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360.86</w:t>
            </w:r>
          </w:p>
        </w:tc>
        <w:tc>
          <w:tcPr>
            <w:tcW w:w="4535" w:type="dxa"/>
            <w:vAlign w:val="center"/>
          </w:tcPr>
          <w:p>
            <w:pPr>
              <w:pStyle w:val="12"/>
            </w:pPr>
            <w:r>
              <w:t>一、一般公共服务支出</w:t>
            </w:r>
          </w:p>
        </w:tc>
        <w:tc>
          <w:tcPr>
            <w:tcW w:w="2126" w:type="dxa"/>
            <w:vAlign w:val="center"/>
          </w:tcPr>
          <w:p>
            <w:pPr>
              <w:pStyle w:val="11"/>
            </w:pPr>
            <w:r>
              <w:t>290.24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44.96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405.82</w:t>
            </w:r>
          </w:p>
        </w:tc>
        <w:tc>
          <w:tcPr>
            <w:tcW w:w="4535" w:type="dxa"/>
            <w:vAlign w:val="center"/>
          </w:tcPr>
          <w:p>
            <w:pPr>
              <w:pStyle w:val="14"/>
            </w:pPr>
            <w:r>
              <w:t>本年支出合计</w:t>
            </w:r>
          </w:p>
        </w:tc>
        <w:tc>
          <w:tcPr>
            <w:tcW w:w="2126" w:type="dxa"/>
            <w:vAlign w:val="center"/>
          </w:tcPr>
          <w:p>
            <w:pPr>
              <w:pStyle w:val="15"/>
            </w:pPr>
            <w:r>
              <w:t>442.14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36.31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442.14</w:t>
            </w:r>
          </w:p>
        </w:tc>
        <w:tc>
          <w:tcPr>
            <w:tcW w:w="4535" w:type="dxa"/>
            <w:vAlign w:val="center"/>
          </w:tcPr>
          <w:p>
            <w:pPr>
              <w:pStyle w:val="14"/>
            </w:pPr>
            <w:r>
              <w:t>支出总计</w:t>
            </w:r>
          </w:p>
        </w:tc>
        <w:tc>
          <w:tcPr>
            <w:tcW w:w="2126" w:type="dxa"/>
            <w:vAlign w:val="center"/>
          </w:tcPr>
          <w:p>
            <w:pPr>
              <w:pStyle w:val="15"/>
            </w:pPr>
            <w:r>
              <w:t>442.14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442.14</w:t>
            </w:r>
          </w:p>
        </w:tc>
        <w:tc>
          <w:tcPr>
            <w:tcW w:w="1134" w:type="dxa"/>
            <w:vAlign w:val="center"/>
          </w:tcPr>
          <w:p>
            <w:pPr>
              <w:pStyle w:val="15"/>
            </w:pPr>
            <w:r>
              <w:t>405.82</w:t>
            </w:r>
          </w:p>
        </w:tc>
        <w:tc>
          <w:tcPr>
            <w:tcW w:w="1134" w:type="dxa"/>
            <w:vAlign w:val="center"/>
          </w:tcPr>
          <w:p>
            <w:pPr>
              <w:pStyle w:val="15"/>
            </w:pPr>
            <w:r>
              <w:t>405.82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290.24</w:t>
            </w:r>
          </w:p>
        </w:tc>
        <w:tc>
          <w:tcPr>
            <w:tcW w:w="1134" w:type="dxa"/>
            <w:vAlign w:val="center"/>
          </w:tcPr>
          <w:p>
            <w:pPr>
              <w:pStyle w:val="11"/>
            </w:pPr>
            <w:r>
              <w:t>268.93</w:t>
            </w:r>
          </w:p>
        </w:tc>
        <w:tc>
          <w:tcPr>
            <w:tcW w:w="1134" w:type="dxa"/>
            <w:vAlign w:val="center"/>
          </w:tcPr>
          <w:p>
            <w:pPr>
              <w:pStyle w:val="11"/>
            </w:pPr>
            <w:r>
              <w:t>268.93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290.24</w:t>
            </w:r>
          </w:p>
        </w:tc>
        <w:tc>
          <w:tcPr>
            <w:tcW w:w="1134" w:type="dxa"/>
            <w:vAlign w:val="center"/>
          </w:tcPr>
          <w:p>
            <w:pPr>
              <w:pStyle w:val="11"/>
            </w:pPr>
            <w:r>
              <w:t>268.93</w:t>
            </w:r>
          </w:p>
        </w:tc>
        <w:tc>
          <w:tcPr>
            <w:tcW w:w="1134" w:type="dxa"/>
            <w:vAlign w:val="center"/>
          </w:tcPr>
          <w:p>
            <w:pPr>
              <w:pStyle w:val="11"/>
            </w:pPr>
            <w:r>
              <w:t>268.93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266.63</w:t>
            </w:r>
          </w:p>
        </w:tc>
        <w:tc>
          <w:tcPr>
            <w:tcW w:w="1134" w:type="dxa"/>
            <w:vAlign w:val="center"/>
          </w:tcPr>
          <w:p>
            <w:pPr>
              <w:pStyle w:val="11"/>
            </w:pPr>
            <w:r>
              <w:t>248.93</w:t>
            </w:r>
          </w:p>
        </w:tc>
        <w:tc>
          <w:tcPr>
            <w:tcW w:w="1134" w:type="dxa"/>
            <w:vAlign w:val="center"/>
          </w:tcPr>
          <w:p>
            <w:pPr>
              <w:pStyle w:val="11"/>
            </w:pPr>
            <w:r>
              <w:t>248.93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21.36</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63.31</w:t>
            </w:r>
          </w:p>
        </w:tc>
        <w:tc>
          <w:tcPr>
            <w:tcW w:w="1134" w:type="dxa"/>
            <w:vAlign w:val="center"/>
          </w:tcPr>
          <w:p>
            <w:pPr>
              <w:pStyle w:val="11"/>
            </w:pPr>
            <w:r>
              <w:t>63.31</w:t>
            </w:r>
          </w:p>
        </w:tc>
        <w:tc>
          <w:tcPr>
            <w:tcW w:w="1134" w:type="dxa"/>
            <w:vAlign w:val="center"/>
          </w:tcPr>
          <w:p>
            <w:pPr>
              <w:pStyle w:val="11"/>
            </w:pPr>
            <w:r>
              <w:t>63.31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60.53</w:t>
            </w:r>
          </w:p>
        </w:tc>
        <w:tc>
          <w:tcPr>
            <w:tcW w:w="1134" w:type="dxa"/>
            <w:vAlign w:val="center"/>
          </w:tcPr>
          <w:p>
            <w:pPr>
              <w:pStyle w:val="11"/>
            </w:pPr>
            <w:r>
              <w:t>60.53</w:t>
            </w:r>
          </w:p>
        </w:tc>
        <w:tc>
          <w:tcPr>
            <w:tcW w:w="1134" w:type="dxa"/>
            <w:vAlign w:val="center"/>
          </w:tcPr>
          <w:p>
            <w:pPr>
              <w:pStyle w:val="11"/>
            </w:pPr>
            <w:r>
              <w:t>60.53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32.79</w:t>
            </w:r>
          </w:p>
        </w:tc>
        <w:tc>
          <w:tcPr>
            <w:tcW w:w="1134" w:type="dxa"/>
            <w:vAlign w:val="center"/>
          </w:tcPr>
          <w:p>
            <w:pPr>
              <w:pStyle w:val="11"/>
            </w:pPr>
            <w:r>
              <w:t>32.79</w:t>
            </w:r>
          </w:p>
        </w:tc>
        <w:tc>
          <w:tcPr>
            <w:tcW w:w="1134" w:type="dxa"/>
            <w:vAlign w:val="center"/>
          </w:tcPr>
          <w:p>
            <w:pPr>
              <w:pStyle w:val="11"/>
            </w:pPr>
            <w:r>
              <w:t>32.79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27.74</w:t>
            </w:r>
          </w:p>
        </w:tc>
        <w:tc>
          <w:tcPr>
            <w:tcW w:w="1134" w:type="dxa"/>
            <w:vAlign w:val="center"/>
          </w:tcPr>
          <w:p>
            <w:pPr>
              <w:pStyle w:val="11"/>
            </w:pPr>
            <w:r>
              <w:t>27.74</w:t>
            </w:r>
          </w:p>
        </w:tc>
        <w:tc>
          <w:tcPr>
            <w:tcW w:w="1134" w:type="dxa"/>
            <w:vAlign w:val="center"/>
          </w:tcPr>
          <w:p>
            <w:pPr>
              <w:pStyle w:val="11"/>
            </w:pPr>
            <w:r>
              <w:t>27.74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14.75</w:t>
            </w:r>
          </w:p>
        </w:tc>
        <w:tc>
          <w:tcPr>
            <w:tcW w:w="1134" w:type="dxa"/>
            <w:vAlign w:val="center"/>
          </w:tcPr>
          <w:p>
            <w:pPr>
              <w:pStyle w:val="11"/>
            </w:pPr>
            <w:r>
              <w:t>14.75</w:t>
            </w:r>
          </w:p>
        </w:tc>
        <w:tc>
          <w:tcPr>
            <w:tcW w:w="1134" w:type="dxa"/>
            <w:vAlign w:val="center"/>
          </w:tcPr>
          <w:p>
            <w:pPr>
              <w:pStyle w:val="11"/>
            </w:pPr>
            <w:r>
              <w:t>14.75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14.75</w:t>
            </w:r>
          </w:p>
        </w:tc>
        <w:tc>
          <w:tcPr>
            <w:tcW w:w="1134" w:type="dxa"/>
            <w:vAlign w:val="center"/>
          </w:tcPr>
          <w:p>
            <w:pPr>
              <w:pStyle w:val="11"/>
            </w:pPr>
            <w:r>
              <w:t>14.75</w:t>
            </w:r>
          </w:p>
        </w:tc>
        <w:tc>
          <w:tcPr>
            <w:tcW w:w="1134" w:type="dxa"/>
            <w:vAlign w:val="center"/>
          </w:tcPr>
          <w:p>
            <w:pPr>
              <w:pStyle w:val="11"/>
            </w:pPr>
            <w:r>
              <w:t>14.75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14.75</w:t>
            </w:r>
          </w:p>
        </w:tc>
        <w:tc>
          <w:tcPr>
            <w:tcW w:w="1134" w:type="dxa"/>
            <w:vAlign w:val="center"/>
          </w:tcPr>
          <w:p>
            <w:pPr>
              <w:pStyle w:val="11"/>
            </w:pPr>
            <w:r>
              <w:t>14.75</w:t>
            </w:r>
          </w:p>
        </w:tc>
        <w:tc>
          <w:tcPr>
            <w:tcW w:w="1134" w:type="dxa"/>
            <w:vAlign w:val="center"/>
          </w:tcPr>
          <w:p>
            <w:pPr>
              <w:pStyle w:val="11"/>
            </w:pPr>
            <w:r>
              <w:t>14.75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59.96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59.96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59.96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442.14</w:t>
            </w:r>
          </w:p>
        </w:tc>
        <w:tc>
          <w:tcPr>
            <w:tcW w:w="1361" w:type="dxa"/>
            <w:vAlign w:val="center"/>
          </w:tcPr>
          <w:p>
            <w:pPr>
              <w:pStyle w:val="15"/>
            </w:pPr>
            <w:r>
              <w:t>358.57</w:t>
            </w:r>
          </w:p>
        </w:tc>
        <w:tc>
          <w:tcPr>
            <w:tcW w:w="1361" w:type="dxa"/>
            <w:vAlign w:val="center"/>
          </w:tcPr>
          <w:p>
            <w:pPr>
              <w:pStyle w:val="15"/>
            </w:pPr>
            <w:r>
              <w:t>83.57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290.24</w:t>
            </w:r>
          </w:p>
        </w:tc>
        <w:tc>
          <w:tcPr>
            <w:tcW w:w="1361" w:type="dxa"/>
            <w:vAlign w:val="center"/>
          </w:tcPr>
          <w:p>
            <w:pPr>
              <w:pStyle w:val="11"/>
            </w:pPr>
            <w:r>
              <w:t>266.63</w:t>
            </w:r>
          </w:p>
        </w:tc>
        <w:tc>
          <w:tcPr>
            <w:tcW w:w="1361" w:type="dxa"/>
            <w:vAlign w:val="center"/>
          </w:tcPr>
          <w:p>
            <w:pPr>
              <w:pStyle w:val="11"/>
            </w:pPr>
            <w:r>
              <w:t>23.61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290.24</w:t>
            </w:r>
          </w:p>
        </w:tc>
        <w:tc>
          <w:tcPr>
            <w:tcW w:w="1361" w:type="dxa"/>
            <w:vAlign w:val="center"/>
          </w:tcPr>
          <w:p>
            <w:pPr>
              <w:pStyle w:val="11"/>
            </w:pPr>
            <w:r>
              <w:t>266.63</w:t>
            </w:r>
          </w:p>
        </w:tc>
        <w:tc>
          <w:tcPr>
            <w:tcW w:w="1361" w:type="dxa"/>
            <w:vAlign w:val="center"/>
          </w:tcPr>
          <w:p>
            <w:pPr>
              <w:pStyle w:val="11"/>
            </w:pPr>
            <w:r>
              <w:t>23.61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266.63</w:t>
            </w:r>
          </w:p>
        </w:tc>
        <w:tc>
          <w:tcPr>
            <w:tcW w:w="1361" w:type="dxa"/>
            <w:vAlign w:val="center"/>
          </w:tcPr>
          <w:p>
            <w:pPr>
              <w:pStyle w:val="11"/>
            </w:pPr>
            <w:r>
              <w:t>266.63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21.36</w:t>
            </w:r>
          </w:p>
        </w:tc>
        <w:tc>
          <w:tcPr>
            <w:tcW w:w="1361" w:type="dxa"/>
            <w:vAlign w:val="center"/>
          </w:tcPr>
          <w:p>
            <w:pPr>
              <w:pStyle w:val="11"/>
            </w:pPr>
          </w:p>
        </w:tc>
        <w:tc>
          <w:tcPr>
            <w:tcW w:w="1361" w:type="dxa"/>
            <w:vAlign w:val="center"/>
          </w:tcPr>
          <w:p>
            <w:pPr>
              <w:pStyle w:val="11"/>
            </w:pPr>
            <w:r>
              <w:t>21.36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2.25</w:t>
            </w:r>
          </w:p>
        </w:tc>
        <w:tc>
          <w:tcPr>
            <w:tcW w:w="1361" w:type="dxa"/>
            <w:vAlign w:val="center"/>
          </w:tcPr>
          <w:p>
            <w:pPr>
              <w:pStyle w:val="11"/>
            </w:pPr>
          </w:p>
        </w:tc>
        <w:tc>
          <w:tcPr>
            <w:tcW w:w="1361" w:type="dxa"/>
            <w:vAlign w:val="center"/>
          </w:tcPr>
          <w:p>
            <w:pPr>
              <w:pStyle w:val="11"/>
            </w:pPr>
            <w:r>
              <w:t>2.25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63.31</w:t>
            </w:r>
          </w:p>
        </w:tc>
        <w:tc>
          <w:tcPr>
            <w:tcW w:w="1361" w:type="dxa"/>
            <w:vAlign w:val="center"/>
          </w:tcPr>
          <w:p>
            <w:pPr>
              <w:pStyle w:val="11"/>
            </w:pPr>
            <w:r>
              <w:t>63.31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60.53</w:t>
            </w:r>
          </w:p>
        </w:tc>
        <w:tc>
          <w:tcPr>
            <w:tcW w:w="1361" w:type="dxa"/>
            <w:vAlign w:val="center"/>
          </w:tcPr>
          <w:p>
            <w:pPr>
              <w:pStyle w:val="11"/>
            </w:pPr>
            <w:r>
              <w:t>60.53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32.79</w:t>
            </w:r>
          </w:p>
        </w:tc>
        <w:tc>
          <w:tcPr>
            <w:tcW w:w="1361" w:type="dxa"/>
            <w:vAlign w:val="center"/>
          </w:tcPr>
          <w:p>
            <w:pPr>
              <w:pStyle w:val="11"/>
            </w:pPr>
            <w:r>
              <w:t>32.79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27.74</w:t>
            </w:r>
          </w:p>
        </w:tc>
        <w:tc>
          <w:tcPr>
            <w:tcW w:w="1361" w:type="dxa"/>
            <w:vAlign w:val="center"/>
          </w:tcPr>
          <w:p>
            <w:pPr>
              <w:pStyle w:val="11"/>
            </w:pPr>
            <w:r>
              <w:t>27.74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2.79</w:t>
            </w:r>
          </w:p>
        </w:tc>
        <w:tc>
          <w:tcPr>
            <w:tcW w:w="1361" w:type="dxa"/>
            <w:vAlign w:val="center"/>
          </w:tcPr>
          <w:p>
            <w:pPr>
              <w:pStyle w:val="11"/>
            </w:pPr>
            <w:r>
              <w:t>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2.79</w:t>
            </w:r>
          </w:p>
        </w:tc>
        <w:tc>
          <w:tcPr>
            <w:tcW w:w="1361" w:type="dxa"/>
            <w:vAlign w:val="center"/>
          </w:tcPr>
          <w:p>
            <w:pPr>
              <w:pStyle w:val="11"/>
            </w:pPr>
            <w:r>
              <w:t>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14.75</w:t>
            </w:r>
          </w:p>
        </w:tc>
        <w:tc>
          <w:tcPr>
            <w:tcW w:w="1361" w:type="dxa"/>
            <w:vAlign w:val="center"/>
          </w:tcPr>
          <w:p>
            <w:pPr>
              <w:pStyle w:val="11"/>
            </w:pPr>
            <w:r>
              <w:t>14.75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14.75</w:t>
            </w:r>
          </w:p>
        </w:tc>
        <w:tc>
          <w:tcPr>
            <w:tcW w:w="1361" w:type="dxa"/>
            <w:vAlign w:val="center"/>
          </w:tcPr>
          <w:p>
            <w:pPr>
              <w:pStyle w:val="11"/>
            </w:pPr>
            <w:r>
              <w:t>14.75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14.75</w:t>
            </w:r>
          </w:p>
        </w:tc>
        <w:tc>
          <w:tcPr>
            <w:tcW w:w="1361" w:type="dxa"/>
            <w:vAlign w:val="center"/>
          </w:tcPr>
          <w:p>
            <w:pPr>
              <w:pStyle w:val="11"/>
            </w:pPr>
            <w:r>
              <w:t>14.75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59.96</w:t>
            </w:r>
          </w:p>
        </w:tc>
        <w:tc>
          <w:tcPr>
            <w:tcW w:w="1361" w:type="dxa"/>
            <w:vAlign w:val="center"/>
          </w:tcPr>
          <w:p>
            <w:pPr>
              <w:pStyle w:val="11"/>
            </w:pPr>
          </w:p>
        </w:tc>
        <w:tc>
          <w:tcPr>
            <w:tcW w:w="1361" w:type="dxa"/>
            <w:vAlign w:val="center"/>
          </w:tcPr>
          <w:p>
            <w:pPr>
              <w:pStyle w:val="11"/>
            </w:pPr>
            <w:r>
              <w:t>59.96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59.96</w:t>
            </w:r>
          </w:p>
        </w:tc>
        <w:tc>
          <w:tcPr>
            <w:tcW w:w="1361" w:type="dxa"/>
            <w:vAlign w:val="center"/>
          </w:tcPr>
          <w:p>
            <w:pPr>
              <w:pStyle w:val="11"/>
            </w:pPr>
          </w:p>
        </w:tc>
        <w:tc>
          <w:tcPr>
            <w:tcW w:w="1361" w:type="dxa"/>
            <w:vAlign w:val="center"/>
          </w:tcPr>
          <w:p>
            <w:pPr>
              <w:pStyle w:val="11"/>
            </w:pPr>
            <w:r>
              <w:t>59.96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59.96</w:t>
            </w:r>
          </w:p>
        </w:tc>
        <w:tc>
          <w:tcPr>
            <w:tcW w:w="1361" w:type="dxa"/>
            <w:vAlign w:val="center"/>
          </w:tcPr>
          <w:p>
            <w:pPr>
              <w:pStyle w:val="11"/>
            </w:pPr>
          </w:p>
        </w:tc>
        <w:tc>
          <w:tcPr>
            <w:tcW w:w="1361" w:type="dxa"/>
            <w:vAlign w:val="center"/>
          </w:tcPr>
          <w:p>
            <w:pPr>
              <w:pStyle w:val="11"/>
            </w:pPr>
            <w:r>
              <w:t>59.96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360.86</w:t>
            </w:r>
          </w:p>
        </w:tc>
        <w:tc>
          <w:tcPr>
            <w:tcW w:w="3402" w:type="dxa"/>
            <w:vAlign w:val="center"/>
          </w:tcPr>
          <w:p>
            <w:pPr>
              <w:pStyle w:val="12"/>
            </w:pPr>
            <w:r>
              <w:t>一、一般公共服务支出</w:t>
            </w:r>
          </w:p>
        </w:tc>
        <w:tc>
          <w:tcPr>
            <w:tcW w:w="1474" w:type="dxa"/>
            <w:vAlign w:val="center"/>
          </w:tcPr>
          <w:p>
            <w:pPr>
              <w:pStyle w:val="11"/>
            </w:pPr>
            <w:r>
              <w:t>290.24</w:t>
            </w:r>
          </w:p>
        </w:tc>
        <w:tc>
          <w:tcPr>
            <w:tcW w:w="1474" w:type="dxa"/>
            <w:vAlign w:val="center"/>
          </w:tcPr>
          <w:p>
            <w:pPr>
              <w:pStyle w:val="11"/>
            </w:pPr>
            <w:r>
              <w:t>290.24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44.96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63.31</w:t>
            </w:r>
          </w:p>
        </w:tc>
        <w:tc>
          <w:tcPr>
            <w:tcW w:w="1474" w:type="dxa"/>
            <w:vAlign w:val="center"/>
          </w:tcPr>
          <w:p>
            <w:pPr>
              <w:pStyle w:val="11"/>
            </w:pPr>
            <w:r>
              <w:t>63.31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14.75</w:t>
            </w:r>
          </w:p>
        </w:tc>
        <w:tc>
          <w:tcPr>
            <w:tcW w:w="1474" w:type="dxa"/>
            <w:vAlign w:val="center"/>
          </w:tcPr>
          <w:p>
            <w:pPr>
              <w:pStyle w:val="11"/>
            </w:pPr>
            <w:r>
              <w:t>14.75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59.96</w:t>
            </w:r>
          </w:p>
        </w:tc>
        <w:tc>
          <w:tcPr>
            <w:tcW w:w="1474" w:type="dxa"/>
            <w:vAlign w:val="center"/>
          </w:tcPr>
          <w:p>
            <w:pPr>
              <w:pStyle w:val="11"/>
            </w:pPr>
          </w:p>
        </w:tc>
        <w:tc>
          <w:tcPr>
            <w:tcW w:w="1474" w:type="dxa"/>
            <w:vAlign w:val="center"/>
          </w:tcPr>
          <w:p>
            <w:pPr>
              <w:pStyle w:val="11"/>
            </w:pPr>
            <w:r>
              <w:t>59.96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13.87</w:t>
            </w:r>
          </w:p>
        </w:tc>
        <w:tc>
          <w:tcPr>
            <w:tcW w:w="1474" w:type="dxa"/>
            <w:vAlign w:val="center"/>
          </w:tcPr>
          <w:p>
            <w:pPr>
              <w:pStyle w:val="11"/>
            </w:pPr>
            <w:r>
              <w:t>13.87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405.82</w:t>
            </w:r>
          </w:p>
        </w:tc>
        <w:tc>
          <w:tcPr>
            <w:tcW w:w="3402" w:type="dxa"/>
            <w:vAlign w:val="center"/>
          </w:tcPr>
          <w:p>
            <w:pPr>
              <w:pStyle w:val="14"/>
            </w:pPr>
            <w:r>
              <w:t>本年支出合计</w:t>
            </w:r>
          </w:p>
        </w:tc>
        <w:tc>
          <w:tcPr>
            <w:tcW w:w="1474" w:type="dxa"/>
            <w:vAlign w:val="center"/>
          </w:tcPr>
          <w:p>
            <w:pPr>
              <w:pStyle w:val="15"/>
            </w:pPr>
            <w:r>
              <w:t>442.14</w:t>
            </w:r>
          </w:p>
        </w:tc>
        <w:tc>
          <w:tcPr>
            <w:tcW w:w="1474" w:type="dxa"/>
            <w:vAlign w:val="center"/>
          </w:tcPr>
          <w:p>
            <w:pPr>
              <w:pStyle w:val="15"/>
            </w:pPr>
            <w:r>
              <w:t>382.18</w:t>
            </w:r>
          </w:p>
        </w:tc>
        <w:tc>
          <w:tcPr>
            <w:tcW w:w="1474" w:type="dxa"/>
            <w:vAlign w:val="center"/>
          </w:tcPr>
          <w:p>
            <w:pPr>
              <w:pStyle w:val="15"/>
            </w:pPr>
            <w:r>
              <w:t>59.96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36.31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21.31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442.14</w:t>
            </w:r>
          </w:p>
        </w:tc>
        <w:tc>
          <w:tcPr>
            <w:tcW w:w="3402" w:type="dxa"/>
            <w:vAlign w:val="center"/>
          </w:tcPr>
          <w:p>
            <w:pPr>
              <w:pStyle w:val="14"/>
            </w:pPr>
            <w:r>
              <w:t>支出总计</w:t>
            </w:r>
          </w:p>
        </w:tc>
        <w:tc>
          <w:tcPr>
            <w:tcW w:w="1474" w:type="dxa"/>
            <w:vAlign w:val="center"/>
          </w:tcPr>
          <w:p>
            <w:pPr>
              <w:pStyle w:val="15"/>
            </w:pPr>
            <w:r>
              <w:t>442.14</w:t>
            </w:r>
          </w:p>
        </w:tc>
        <w:tc>
          <w:tcPr>
            <w:tcW w:w="1474" w:type="dxa"/>
            <w:vAlign w:val="center"/>
          </w:tcPr>
          <w:p>
            <w:pPr>
              <w:pStyle w:val="15"/>
            </w:pPr>
            <w:r>
              <w:t>382.18</w:t>
            </w:r>
          </w:p>
        </w:tc>
        <w:tc>
          <w:tcPr>
            <w:tcW w:w="1474" w:type="dxa"/>
            <w:vAlign w:val="center"/>
          </w:tcPr>
          <w:p>
            <w:pPr>
              <w:pStyle w:val="15"/>
            </w:pPr>
            <w:r>
              <w:t>59.96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382.18</w:t>
            </w:r>
          </w:p>
        </w:tc>
        <w:tc>
          <w:tcPr>
            <w:tcW w:w="2551" w:type="dxa"/>
            <w:vAlign w:val="center"/>
          </w:tcPr>
          <w:p>
            <w:pPr>
              <w:pStyle w:val="15"/>
            </w:pPr>
            <w:r>
              <w:t>358.57</w:t>
            </w:r>
          </w:p>
        </w:tc>
        <w:tc>
          <w:tcPr>
            <w:tcW w:w="2551" w:type="dxa"/>
            <w:vAlign w:val="center"/>
          </w:tcPr>
          <w:p>
            <w:pPr>
              <w:pStyle w:val="15"/>
            </w:pPr>
            <w:r>
              <w:t>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290.24</w:t>
            </w:r>
          </w:p>
        </w:tc>
        <w:tc>
          <w:tcPr>
            <w:tcW w:w="2551" w:type="dxa"/>
            <w:vAlign w:val="center"/>
          </w:tcPr>
          <w:p>
            <w:pPr>
              <w:pStyle w:val="11"/>
            </w:pPr>
            <w:r>
              <w:t>266.63</w:t>
            </w:r>
          </w:p>
        </w:tc>
        <w:tc>
          <w:tcPr>
            <w:tcW w:w="2551" w:type="dxa"/>
            <w:vAlign w:val="center"/>
          </w:tcPr>
          <w:p>
            <w:pPr>
              <w:pStyle w:val="11"/>
            </w:pPr>
            <w:r>
              <w:t>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290.24</w:t>
            </w:r>
          </w:p>
        </w:tc>
        <w:tc>
          <w:tcPr>
            <w:tcW w:w="2551" w:type="dxa"/>
            <w:vAlign w:val="center"/>
          </w:tcPr>
          <w:p>
            <w:pPr>
              <w:pStyle w:val="11"/>
            </w:pPr>
            <w:r>
              <w:t>266.63</w:t>
            </w:r>
          </w:p>
        </w:tc>
        <w:tc>
          <w:tcPr>
            <w:tcW w:w="2551" w:type="dxa"/>
            <w:vAlign w:val="center"/>
          </w:tcPr>
          <w:p>
            <w:pPr>
              <w:pStyle w:val="11"/>
            </w:pPr>
            <w:r>
              <w:t>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266.63</w:t>
            </w:r>
          </w:p>
        </w:tc>
        <w:tc>
          <w:tcPr>
            <w:tcW w:w="2551" w:type="dxa"/>
            <w:vAlign w:val="center"/>
          </w:tcPr>
          <w:p>
            <w:pPr>
              <w:pStyle w:val="11"/>
            </w:pPr>
            <w:r>
              <w:t>266.63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21.36</w:t>
            </w:r>
          </w:p>
        </w:tc>
        <w:tc>
          <w:tcPr>
            <w:tcW w:w="2551" w:type="dxa"/>
            <w:vAlign w:val="center"/>
          </w:tcPr>
          <w:p>
            <w:pPr>
              <w:pStyle w:val="11"/>
            </w:pPr>
          </w:p>
        </w:tc>
        <w:tc>
          <w:tcPr>
            <w:tcW w:w="2551" w:type="dxa"/>
            <w:vAlign w:val="center"/>
          </w:tcPr>
          <w:p>
            <w:pPr>
              <w:pStyle w:val="11"/>
            </w:pPr>
            <w: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63.31</w:t>
            </w:r>
          </w:p>
        </w:tc>
        <w:tc>
          <w:tcPr>
            <w:tcW w:w="2551" w:type="dxa"/>
            <w:vAlign w:val="center"/>
          </w:tcPr>
          <w:p>
            <w:pPr>
              <w:pStyle w:val="11"/>
            </w:pPr>
            <w:r>
              <w:t>63.31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60.53</w:t>
            </w:r>
          </w:p>
        </w:tc>
        <w:tc>
          <w:tcPr>
            <w:tcW w:w="2551" w:type="dxa"/>
            <w:vAlign w:val="center"/>
          </w:tcPr>
          <w:p>
            <w:pPr>
              <w:pStyle w:val="11"/>
            </w:pPr>
            <w:r>
              <w:t>60.53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32.79</w:t>
            </w:r>
          </w:p>
        </w:tc>
        <w:tc>
          <w:tcPr>
            <w:tcW w:w="2551" w:type="dxa"/>
            <w:vAlign w:val="center"/>
          </w:tcPr>
          <w:p>
            <w:pPr>
              <w:pStyle w:val="11"/>
            </w:pPr>
            <w:r>
              <w:t>32.79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27.74</w:t>
            </w:r>
          </w:p>
        </w:tc>
        <w:tc>
          <w:tcPr>
            <w:tcW w:w="2551" w:type="dxa"/>
            <w:vAlign w:val="center"/>
          </w:tcPr>
          <w:p>
            <w:pPr>
              <w:pStyle w:val="11"/>
            </w:pPr>
            <w:r>
              <w:t>27.74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14.75</w:t>
            </w:r>
          </w:p>
        </w:tc>
        <w:tc>
          <w:tcPr>
            <w:tcW w:w="2551" w:type="dxa"/>
            <w:vAlign w:val="center"/>
          </w:tcPr>
          <w:p>
            <w:pPr>
              <w:pStyle w:val="11"/>
            </w:pPr>
            <w:r>
              <w:t>14.75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14.75</w:t>
            </w:r>
          </w:p>
        </w:tc>
        <w:tc>
          <w:tcPr>
            <w:tcW w:w="2551" w:type="dxa"/>
            <w:vAlign w:val="center"/>
          </w:tcPr>
          <w:p>
            <w:pPr>
              <w:pStyle w:val="11"/>
            </w:pPr>
            <w:r>
              <w:t>14.75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14.75</w:t>
            </w:r>
          </w:p>
        </w:tc>
        <w:tc>
          <w:tcPr>
            <w:tcW w:w="2551" w:type="dxa"/>
            <w:vAlign w:val="center"/>
          </w:tcPr>
          <w:p>
            <w:pPr>
              <w:pStyle w:val="11"/>
            </w:pPr>
            <w:r>
              <w:t>14.75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358.57</w:t>
            </w:r>
          </w:p>
        </w:tc>
        <w:tc>
          <w:tcPr>
            <w:tcW w:w="2551" w:type="dxa"/>
            <w:vAlign w:val="center"/>
          </w:tcPr>
          <w:p>
            <w:pPr>
              <w:pStyle w:val="15"/>
            </w:pPr>
            <w:r>
              <w:t>273.05</w:t>
            </w:r>
          </w:p>
        </w:tc>
        <w:tc>
          <w:tcPr>
            <w:tcW w:w="2551" w:type="dxa"/>
            <w:vAlign w:val="center"/>
          </w:tcPr>
          <w:p>
            <w:pPr>
              <w:pStyle w:val="15"/>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237.47</w:t>
            </w:r>
          </w:p>
        </w:tc>
        <w:tc>
          <w:tcPr>
            <w:tcW w:w="2551" w:type="dxa"/>
            <w:vAlign w:val="center"/>
          </w:tcPr>
          <w:p>
            <w:pPr>
              <w:pStyle w:val="11"/>
            </w:pPr>
            <w:r>
              <w:t>237.47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108.99</w:t>
            </w:r>
          </w:p>
        </w:tc>
        <w:tc>
          <w:tcPr>
            <w:tcW w:w="2551" w:type="dxa"/>
            <w:vAlign w:val="center"/>
          </w:tcPr>
          <w:p>
            <w:pPr>
              <w:pStyle w:val="11"/>
            </w:pPr>
            <w:r>
              <w:t>108.99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47.31</w:t>
            </w:r>
          </w:p>
        </w:tc>
        <w:tc>
          <w:tcPr>
            <w:tcW w:w="2551" w:type="dxa"/>
            <w:vAlign w:val="center"/>
          </w:tcPr>
          <w:p>
            <w:pPr>
              <w:pStyle w:val="11"/>
            </w:pPr>
            <w:r>
              <w:t>47.31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27.74</w:t>
            </w:r>
          </w:p>
        </w:tc>
        <w:tc>
          <w:tcPr>
            <w:tcW w:w="2551" w:type="dxa"/>
            <w:vAlign w:val="center"/>
          </w:tcPr>
          <w:p>
            <w:pPr>
              <w:pStyle w:val="11"/>
            </w:pPr>
            <w:r>
              <w:t>27.74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13.93</w:t>
            </w:r>
          </w:p>
        </w:tc>
        <w:tc>
          <w:tcPr>
            <w:tcW w:w="2551" w:type="dxa"/>
            <w:vAlign w:val="center"/>
          </w:tcPr>
          <w:p>
            <w:pPr>
              <w:pStyle w:val="11"/>
            </w:pPr>
            <w:r>
              <w:t>13.93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1.69</w:t>
            </w:r>
          </w:p>
        </w:tc>
        <w:tc>
          <w:tcPr>
            <w:tcW w:w="2551" w:type="dxa"/>
            <w:vAlign w:val="center"/>
          </w:tcPr>
          <w:p>
            <w:pPr>
              <w:pStyle w:val="11"/>
            </w:pPr>
            <w:r>
              <w:t>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81.74</w:t>
            </w:r>
          </w:p>
        </w:tc>
        <w:tc>
          <w:tcPr>
            <w:tcW w:w="2551" w:type="dxa"/>
            <w:vAlign w:val="center"/>
          </w:tcPr>
          <w:p>
            <w:pPr>
              <w:pStyle w:val="11"/>
            </w:pPr>
          </w:p>
        </w:tc>
        <w:tc>
          <w:tcPr>
            <w:tcW w:w="2551" w:type="dxa"/>
            <w:vAlign w:val="center"/>
          </w:tcPr>
          <w:p>
            <w:pPr>
              <w:pStyle w:val="11"/>
            </w:pPr>
            <w:r>
              <w:t>81.74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11.34</w:t>
            </w:r>
          </w:p>
        </w:tc>
        <w:tc>
          <w:tcPr>
            <w:tcW w:w="2551" w:type="dxa"/>
            <w:vAlign w:val="center"/>
          </w:tcPr>
          <w:p>
            <w:pPr>
              <w:pStyle w:val="11"/>
            </w:pPr>
          </w:p>
        </w:tc>
        <w:tc>
          <w:tcPr>
            <w:tcW w:w="2551" w:type="dxa"/>
            <w:vAlign w:val="center"/>
          </w:tcPr>
          <w:p>
            <w:pPr>
              <w:pStyle w:val="11"/>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4.87</w:t>
            </w:r>
          </w:p>
        </w:tc>
        <w:tc>
          <w:tcPr>
            <w:tcW w:w="2551" w:type="dxa"/>
            <w:vAlign w:val="center"/>
          </w:tcPr>
          <w:p>
            <w:pPr>
              <w:pStyle w:val="11"/>
            </w:pPr>
          </w:p>
        </w:tc>
        <w:tc>
          <w:tcPr>
            <w:tcW w:w="2551" w:type="dxa"/>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14.50</w:t>
            </w:r>
          </w:p>
        </w:tc>
        <w:tc>
          <w:tcPr>
            <w:tcW w:w="2551" w:type="dxa"/>
            <w:vAlign w:val="center"/>
          </w:tcPr>
          <w:p>
            <w:pPr>
              <w:pStyle w:val="11"/>
            </w:pPr>
          </w:p>
        </w:tc>
        <w:tc>
          <w:tcPr>
            <w:tcW w:w="2551"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10.62</w:t>
            </w:r>
          </w:p>
        </w:tc>
        <w:tc>
          <w:tcPr>
            <w:tcW w:w="2551" w:type="dxa"/>
            <w:vAlign w:val="center"/>
          </w:tcPr>
          <w:p>
            <w:pPr>
              <w:pStyle w:val="11"/>
            </w:pPr>
          </w:p>
        </w:tc>
        <w:tc>
          <w:tcPr>
            <w:tcW w:w="2551" w:type="dxa"/>
            <w:vAlign w:val="center"/>
          </w:tcPr>
          <w:p>
            <w:pPr>
              <w:pStyle w:val="11"/>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17.81</w:t>
            </w:r>
          </w:p>
        </w:tc>
        <w:tc>
          <w:tcPr>
            <w:tcW w:w="2551" w:type="dxa"/>
            <w:vAlign w:val="center"/>
          </w:tcPr>
          <w:p>
            <w:pPr>
              <w:pStyle w:val="11"/>
            </w:pPr>
          </w:p>
        </w:tc>
        <w:tc>
          <w:tcPr>
            <w:tcW w:w="2551" w:type="dxa"/>
            <w:vAlign w:val="center"/>
          </w:tcPr>
          <w:p>
            <w:pPr>
              <w:pStyle w:val="11"/>
            </w:pPr>
            <w:r>
              <w:t>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35.58</w:t>
            </w:r>
          </w:p>
        </w:tc>
        <w:tc>
          <w:tcPr>
            <w:tcW w:w="2551" w:type="dxa"/>
            <w:vAlign w:val="center"/>
          </w:tcPr>
          <w:p>
            <w:pPr>
              <w:pStyle w:val="11"/>
            </w:pPr>
            <w:r>
              <w:t>35.58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32.79</w:t>
            </w:r>
          </w:p>
        </w:tc>
        <w:tc>
          <w:tcPr>
            <w:tcW w:w="2551" w:type="dxa"/>
            <w:vAlign w:val="center"/>
          </w:tcPr>
          <w:p>
            <w:pPr>
              <w:pStyle w:val="11"/>
            </w:pPr>
            <w:r>
              <w:t>32.79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3.77</w:t>
            </w:r>
          </w:p>
        </w:tc>
        <w:tc>
          <w:tcPr>
            <w:tcW w:w="2551" w:type="dxa"/>
            <w:vAlign w:val="center"/>
          </w:tcPr>
          <w:p>
            <w:pPr>
              <w:pStyle w:val="11"/>
            </w:pPr>
          </w:p>
        </w:tc>
        <w:tc>
          <w:tcPr>
            <w:tcW w:w="2551" w:type="dxa"/>
            <w:vAlign w:val="center"/>
          </w:tcPr>
          <w:p>
            <w:pPr>
              <w:pStyle w:val="11"/>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3.77</w:t>
            </w:r>
          </w:p>
        </w:tc>
        <w:tc>
          <w:tcPr>
            <w:tcW w:w="2551" w:type="dxa"/>
            <w:vAlign w:val="center"/>
          </w:tcPr>
          <w:p>
            <w:pPr>
              <w:pStyle w:val="11"/>
            </w:pPr>
          </w:p>
        </w:tc>
        <w:tc>
          <w:tcPr>
            <w:tcW w:w="2551" w:type="dxa"/>
            <w:vAlign w:val="center"/>
          </w:tcPr>
          <w:p>
            <w:pPr>
              <w:pStyle w:val="11"/>
            </w:pPr>
            <w:r>
              <w:t>3.77</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w:t>
            </w:r>
            <w:r>
              <w:rPr>
                <w:rFonts w:hint="eastAsia"/>
                <w:lang w:val="en-US" w:eastAsia="zh-CN"/>
              </w:rPr>
              <w:t>001</w:t>
            </w:r>
            <w:r>
              <w:t>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59.96</w:t>
            </w:r>
          </w:p>
        </w:tc>
        <w:tc>
          <w:tcPr>
            <w:tcW w:w="2551" w:type="dxa"/>
            <w:vAlign w:val="center"/>
          </w:tcPr>
          <w:p>
            <w:pPr>
              <w:pStyle w:val="15"/>
            </w:pPr>
          </w:p>
        </w:tc>
        <w:tc>
          <w:tcPr>
            <w:tcW w:w="2551" w:type="dxa"/>
            <w:vAlign w:val="center"/>
          </w:tcPr>
          <w:p>
            <w:pPr>
              <w:pStyle w:val="15"/>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59.96</w:t>
            </w:r>
          </w:p>
        </w:tc>
        <w:tc>
          <w:tcPr>
            <w:tcW w:w="2551" w:type="dxa"/>
            <w:vAlign w:val="center"/>
          </w:tcPr>
          <w:p>
            <w:pPr>
              <w:pStyle w:val="11"/>
            </w:pPr>
          </w:p>
        </w:tc>
        <w:tc>
          <w:tcPr>
            <w:tcW w:w="2551" w:type="dxa"/>
            <w:vAlign w:val="center"/>
          </w:tcPr>
          <w:p>
            <w:pPr>
              <w:pStyle w:val="11"/>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59.96</w:t>
            </w:r>
          </w:p>
        </w:tc>
        <w:tc>
          <w:tcPr>
            <w:tcW w:w="2551" w:type="dxa"/>
            <w:vAlign w:val="center"/>
          </w:tcPr>
          <w:p>
            <w:pPr>
              <w:pStyle w:val="11"/>
            </w:pPr>
          </w:p>
        </w:tc>
        <w:tc>
          <w:tcPr>
            <w:tcW w:w="2551" w:type="dxa"/>
            <w:vAlign w:val="center"/>
          </w:tcPr>
          <w:p>
            <w:pPr>
              <w:pStyle w:val="11"/>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59.96</w:t>
            </w:r>
          </w:p>
        </w:tc>
        <w:tc>
          <w:tcPr>
            <w:tcW w:w="2551" w:type="dxa"/>
            <w:vAlign w:val="center"/>
          </w:tcPr>
          <w:p>
            <w:pPr>
              <w:pStyle w:val="11"/>
            </w:pPr>
          </w:p>
        </w:tc>
        <w:tc>
          <w:tcPr>
            <w:tcW w:w="2551" w:type="dxa"/>
            <w:vAlign w:val="center"/>
          </w:tcPr>
          <w:p>
            <w:pPr>
              <w:pStyle w:val="11"/>
            </w:pPr>
            <w:r>
              <w:t>59.96</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w:t>
            </w:r>
            <w:r>
              <w:rPr>
                <w:rFonts w:hint="eastAsia"/>
                <w:lang w:val="en-US" w:eastAsia="zh-CN"/>
              </w:rPr>
              <w:t>001</w:t>
            </w:r>
            <w:r>
              <w:t>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jc w:val="center"/>
            </w:pPr>
            <w:r>
              <w:t>13.62</w:t>
            </w:r>
          </w:p>
        </w:tc>
        <w:tc>
          <w:tcPr>
            <w:tcW w:w="2381" w:type="dxa"/>
            <w:vAlign w:val="center"/>
          </w:tcPr>
          <w:p>
            <w:pPr>
              <w:pStyle w:val="15"/>
              <w:jc w:val="center"/>
            </w:pPr>
            <w:r>
              <w:t>12.12</w:t>
            </w:r>
          </w:p>
        </w:tc>
        <w:tc>
          <w:tcPr>
            <w:tcW w:w="2381" w:type="dxa"/>
            <w:vAlign w:val="center"/>
          </w:tcPr>
          <w:p>
            <w:pPr>
              <w:pStyle w:val="15"/>
              <w:jc w:val="center"/>
            </w:pPr>
            <w:r>
              <w:t>1.50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jc w:val="center"/>
            </w:pPr>
            <w:r>
              <w:t>13.62</w:t>
            </w:r>
          </w:p>
        </w:tc>
        <w:tc>
          <w:tcPr>
            <w:tcW w:w="2381" w:type="dxa"/>
            <w:vAlign w:val="center"/>
          </w:tcPr>
          <w:p>
            <w:pPr>
              <w:pStyle w:val="11"/>
              <w:jc w:val="center"/>
            </w:pPr>
            <w:r>
              <w:t>12.12</w:t>
            </w:r>
          </w:p>
        </w:tc>
        <w:tc>
          <w:tcPr>
            <w:tcW w:w="2381" w:type="dxa"/>
            <w:vAlign w:val="center"/>
          </w:tcPr>
          <w:p>
            <w:pPr>
              <w:pStyle w:val="11"/>
              <w:jc w:val="center"/>
            </w:pPr>
            <w:r>
              <w:t>1.50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jc w:val="center"/>
            </w:pPr>
            <w:r>
              <w:t>10.62</w:t>
            </w:r>
          </w:p>
        </w:tc>
        <w:tc>
          <w:tcPr>
            <w:tcW w:w="2381" w:type="dxa"/>
            <w:vAlign w:val="center"/>
          </w:tcPr>
          <w:p>
            <w:pPr>
              <w:pStyle w:val="11"/>
              <w:jc w:val="center"/>
            </w:pPr>
            <w:r>
              <w:t>10.62</w:t>
            </w:r>
          </w:p>
        </w:tc>
        <w:tc>
          <w:tcPr>
            <w:tcW w:w="2381" w:type="dxa"/>
            <w:vAlign w:val="center"/>
          </w:tcPr>
          <w:p>
            <w:pPr>
              <w:pStyle w:val="11"/>
              <w:jc w:val="cente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jc w:val="center"/>
            </w:pPr>
            <w:r>
              <w:t>10.62</w:t>
            </w:r>
          </w:p>
        </w:tc>
        <w:tc>
          <w:tcPr>
            <w:tcW w:w="2381" w:type="dxa"/>
            <w:vAlign w:val="center"/>
          </w:tcPr>
          <w:p>
            <w:pPr>
              <w:pStyle w:val="11"/>
              <w:jc w:val="center"/>
            </w:pPr>
            <w:r>
              <w:t>10.62</w:t>
            </w:r>
          </w:p>
        </w:tc>
        <w:tc>
          <w:tcPr>
            <w:tcW w:w="2381" w:type="dxa"/>
            <w:vAlign w:val="center"/>
          </w:tcPr>
          <w:p>
            <w:pPr>
              <w:pStyle w:val="11"/>
              <w:jc w:val="cente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jc w:val="center"/>
            </w:pPr>
            <w:r>
              <w:t>3.00</w:t>
            </w:r>
          </w:p>
        </w:tc>
        <w:tc>
          <w:tcPr>
            <w:tcW w:w="2381" w:type="dxa"/>
            <w:vAlign w:val="center"/>
          </w:tcPr>
          <w:p>
            <w:pPr>
              <w:pStyle w:val="11"/>
              <w:jc w:val="center"/>
            </w:pPr>
            <w:r>
              <w:t>1.50</w:t>
            </w:r>
          </w:p>
        </w:tc>
        <w:tc>
          <w:tcPr>
            <w:tcW w:w="2381" w:type="dxa"/>
            <w:vAlign w:val="center"/>
          </w:tcPr>
          <w:p>
            <w:pPr>
              <w:pStyle w:val="11"/>
              <w:jc w:val="center"/>
            </w:pPr>
            <w:r>
              <w:t>1.50</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青龙满族自治县人民代表大会常务委员会办公室2023年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青龙满族自治县人民代表大会常务委员会办公室2023年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预算法》、《地方预决算公开操作规程》和《关于进一步推进预算公开工作的实施意见》规定，现将青龙满族自治县人民代表大会常务委员会办公室2023年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1、组织常委会委员对法律实施情况进行检查；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17"/>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17"/>
      </w:pPr>
      <w:r>
        <w:t>3、确保县乡人大换届选举工作顺利完成，提高组织换届选举工作水平；高质量完成机关领导人选举和常委会人事任免服务工作；高效督办有关</w:t>
      </w:r>
      <w:r>
        <w:rPr>
          <w:rFonts w:hint="eastAsia"/>
          <w:lang w:eastAsia="zh-CN"/>
        </w:rPr>
        <w:t>单位</w:t>
      </w:r>
      <w:r>
        <w:t>负责人的目标责任书和述职报告。</w:t>
      </w:r>
    </w:p>
    <w:p>
      <w:pPr>
        <w:pStyle w:val="17"/>
      </w:pPr>
      <w:r>
        <w:t>4、进行立法调研；负责指导组织人大常委会及有关</w:t>
      </w:r>
      <w:r>
        <w:rPr>
          <w:rFonts w:hint="eastAsia"/>
          <w:lang w:eastAsia="zh-CN"/>
        </w:rPr>
        <w:t>单位</w:t>
      </w:r>
      <w:r>
        <w:t>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17"/>
      </w:pPr>
      <w: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17"/>
      </w:pPr>
      <w:r>
        <w:t>6、机关文书档案印信管理和保密，机关人事、离退休人员服务，财务、后勤服务；领导交办的其他工作。确保机关工作有效运转。</w:t>
      </w: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青龙满族自治县人民代表大会常务委员会办公室本级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numPr>
          <w:ilvl w:val="0"/>
          <w:numId w:val="1"/>
        </w:num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numPr>
          <w:ilvl w:val="0"/>
          <w:numId w:val="0"/>
        </w:numPr>
        <w:spacing w:before="10" w:after="10" w:line="360" w:lineRule="auto"/>
        <w:outlineLvl w:val="2"/>
        <w:rPr>
          <w:rFonts w:hint="default" w:ascii="Times New Roman" w:hAnsi="Times New Roman" w:eastAsia="方正仿宋_GBK" w:cs="Times New Roman"/>
          <w:sz w:val="28"/>
          <w:szCs w:val="24"/>
          <w:lang w:val="en-US" w:eastAsia="zh-CN" w:bidi="ar-SA"/>
        </w:rPr>
      </w:pPr>
      <w:r>
        <w:rPr>
          <w:rFonts w:hint="eastAsia" w:ascii="黑体" w:hAnsi="黑体" w:eastAsia="黑体" w:cs="黑体"/>
          <w:color w:val="000000"/>
          <w:sz w:val="32"/>
          <w:lang w:val="en-US" w:eastAsia="zh-CN"/>
        </w:rPr>
        <w:t xml:space="preserve">    </w:t>
      </w:r>
      <w:r>
        <w:rPr>
          <w:rFonts w:hint="eastAsia" w:ascii="仿宋" w:hAnsi="仿宋" w:eastAsia="仿宋" w:cs="仿宋"/>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按照预算管理有关规定，目前我县单位预算的编制实行综合预算管理，即全部收入和支出都反映在预算中。</w:t>
      </w:r>
    </w:p>
    <w:p>
      <w:pPr>
        <w:pStyle w:val="18"/>
        <w:numPr>
          <w:ilvl w:val="0"/>
          <w:numId w:val="0"/>
        </w:numPr>
        <w:ind w:firstLine="840" w:firstLineChars="3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收入说明</w:t>
      </w:r>
    </w:p>
    <w:p>
      <w:pPr>
        <w:pStyle w:val="18"/>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w:t>
      </w:r>
      <w:r>
        <w:rPr>
          <w:rFonts w:hint="eastAsia" w:ascii="Times New Roman" w:hAnsi="Times New Roman"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当年全部收入。202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总</w:t>
      </w:r>
      <w:r>
        <w:rPr>
          <w:rFonts w:hint="eastAsia" w:ascii="Times New Roman" w:hAnsi="Times New Roman" w:eastAsia="方正仿宋_GBK" w:cs="Times New Roman"/>
          <w:sz w:val="28"/>
          <w:szCs w:val="24"/>
          <w:lang w:val="en-US" w:eastAsia="uk-UA" w:bidi="ar-SA"/>
        </w:rPr>
        <w:t>收</w:t>
      </w:r>
      <w:r>
        <w:rPr>
          <w:rFonts w:hint="eastAsia" w:ascii="Times New Roman" w:hAnsi="Times New Roman" w:eastAsia="方正仿宋_GBK" w:cs="Times New Roman"/>
          <w:sz w:val="28"/>
          <w:szCs w:val="24"/>
          <w:lang w:val="en-US" w:eastAsia="zh-CN" w:bidi="ar-SA"/>
        </w:rPr>
        <w:t>入442.14</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其中：一般公共预算收入</w:t>
      </w:r>
      <w:r>
        <w:rPr>
          <w:rFonts w:hint="eastAsia" w:ascii="Times New Roman" w:hAnsi="Times New Roman" w:eastAsia="方正仿宋_GBK" w:cs="Times New Roman"/>
          <w:sz w:val="28"/>
          <w:szCs w:val="24"/>
          <w:lang w:val="en-US" w:eastAsia="zh-CN" w:bidi="ar-SA"/>
        </w:rPr>
        <w:t>360.86</w:t>
      </w:r>
      <w:r>
        <w:rPr>
          <w:rFonts w:hint="eastAsia" w:ascii="Times New Roman" w:hAnsi="Times New Roman" w:eastAsia="方正仿宋_GBK" w:cs="Times New Roman"/>
          <w:sz w:val="28"/>
          <w:szCs w:val="24"/>
          <w:lang w:val="en-US" w:eastAsia="uk-UA" w:bidi="ar-SA"/>
        </w:rPr>
        <w:t>万元，基金预算收入</w:t>
      </w:r>
      <w:r>
        <w:rPr>
          <w:rFonts w:hint="eastAsia" w:ascii="Times New Roman" w:hAnsi="Times New Roman" w:eastAsia="方正仿宋_GBK" w:cs="Times New Roman"/>
          <w:sz w:val="28"/>
          <w:szCs w:val="24"/>
          <w:lang w:val="en-US" w:eastAsia="zh-CN" w:bidi="ar-SA"/>
        </w:rPr>
        <w:t>44.96</w:t>
      </w:r>
      <w:r>
        <w:rPr>
          <w:rFonts w:hint="eastAsia" w:ascii="Times New Roman" w:hAnsi="Times New Roman" w:eastAsia="方正仿宋_GBK" w:cs="Times New Roman"/>
          <w:sz w:val="28"/>
          <w:szCs w:val="24"/>
          <w:lang w:val="en-US" w:eastAsia="uk-UA" w:bidi="ar-SA"/>
        </w:rPr>
        <w:t>万元，财政专户核拨收入0万元，国有资本经营收入0万元，其他来源收入0万元；202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年初财政拨款结转和结余</w:t>
      </w:r>
      <w:r>
        <w:rPr>
          <w:rFonts w:hint="eastAsia" w:ascii="Times New Roman" w:hAnsi="Times New Roman" w:eastAsia="方正仿宋_GBK" w:cs="Times New Roman"/>
          <w:sz w:val="28"/>
          <w:szCs w:val="24"/>
          <w:lang w:val="en-US" w:eastAsia="zh-CN" w:bidi="ar-SA"/>
        </w:rPr>
        <w:t>36.32</w:t>
      </w:r>
      <w:r>
        <w:rPr>
          <w:rFonts w:hint="eastAsia" w:ascii="Times New Roman" w:hAnsi="Times New Roman" w:eastAsia="方正仿宋_GBK" w:cs="Times New Roman"/>
          <w:sz w:val="28"/>
          <w:szCs w:val="24"/>
          <w:lang w:val="en-US" w:eastAsia="uk-UA" w:bidi="ar-SA"/>
        </w:rPr>
        <w:t>万元，其中公共预算拨款</w:t>
      </w:r>
      <w:r>
        <w:rPr>
          <w:rFonts w:hint="eastAsia" w:ascii="Times New Roman" w:hAnsi="Times New Roman" w:eastAsia="方正仿宋_GBK" w:cs="Times New Roman"/>
          <w:sz w:val="28"/>
          <w:szCs w:val="24"/>
          <w:lang w:val="en-US" w:eastAsia="zh-CN" w:bidi="ar-SA"/>
        </w:rPr>
        <w:t>21.32</w:t>
      </w:r>
      <w:r>
        <w:rPr>
          <w:rFonts w:hint="eastAsia" w:ascii="Times New Roman" w:hAnsi="Times New Roman" w:eastAsia="方正仿宋_GBK" w:cs="Times New Roman"/>
          <w:sz w:val="28"/>
          <w:szCs w:val="24"/>
          <w:lang w:val="en-US" w:eastAsia="uk-UA" w:bidi="ar-SA"/>
        </w:rPr>
        <w:t>万元，政府性基金预算拨款</w:t>
      </w: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万元。</w:t>
      </w:r>
    </w:p>
    <w:p>
      <w:pPr>
        <w:pStyle w:val="18"/>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pStyle w:val="18"/>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收支预算总表支出栏、基本支出表、项目支出表按经济分类和支出功能分类科目编制，反映本</w:t>
      </w:r>
      <w:r>
        <w:rPr>
          <w:rFonts w:hint="eastAsia" w:ascii="Times New Roman" w:hAnsi="Times New Roman"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年度</w:t>
      </w:r>
      <w:r>
        <w:rPr>
          <w:rFonts w:hint="eastAsia" w:ascii="Times New Roman" w:hAnsi="Times New Roman"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预算中支出预算的总体情况。202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442.14</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358.57</w:t>
      </w:r>
      <w:r>
        <w:rPr>
          <w:rFonts w:hint="eastAsia" w:ascii="Times New Roman" w:hAnsi="Times New Roman" w:eastAsia="方正仿宋_GBK" w:cs="Times New Roman"/>
          <w:sz w:val="28"/>
          <w:szCs w:val="24"/>
          <w:lang w:val="en-US" w:eastAsia="uk-UA" w:bidi="ar-SA"/>
        </w:rPr>
        <w:t>万元，包括人员经费</w:t>
      </w:r>
      <w:r>
        <w:rPr>
          <w:rFonts w:hint="eastAsia" w:ascii="Times New Roman" w:hAnsi="Times New Roman" w:eastAsia="方正仿宋_GBK" w:cs="Times New Roman"/>
          <w:sz w:val="28"/>
          <w:szCs w:val="24"/>
          <w:lang w:val="en-US" w:eastAsia="zh-CN" w:bidi="ar-SA"/>
        </w:rPr>
        <w:t>273.05</w:t>
      </w:r>
      <w:r>
        <w:rPr>
          <w:rFonts w:hint="eastAsia" w:ascii="Times New Roman" w:hAnsi="Times New Roman" w:eastAsia="方正仿宋_GBK" w:cs="Times New Roman"/>
          <w:sz w:val="28"/>
          <w:szCs w:val="24"/>
          <w:lang w:val="en-US" w:eastAsia="uk-UA" w:bidi="ar-SA"/>
        </w:rPr>
        <w:t>万元和日常公用经费</w:t>
      </w:r>
      <w:r>
        <w:rPr>
          <w:rFonts w:hint="eastAsia" w:ascii="Times New Roman" w:hAnsi="Times New Roman" w:eastAsia="方正仿宋_GBK" w:cs="Times New Roman"/>
          <w:sz w:val="28"/>
          <w:szCs w:val="24"/>
          <w:lang w:val="en-US" w:eastAsia="zh-CN" w:bidi="ar-SA"/>
        </w:rPr>
        <w:t>85.52</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83.57</w:t>
      </w:r>
      <w:r>
        <w:rPr>
          <w:rFonts w:hint="eastAsia" w:ascii="Times New Roman" w:hAnsi="Times New Roman" w:eastAsia="方正仿宋_GBK" w:cs="Times New Roman"/>
          <w:sz w:val="28"/>
          <w:szCs w:val="24"/>
          <w:lang w:val="en-US" w:eastAsia="uk-UA" w:bidi="ar-SA"/>
        </w:rPr>
        <w:t>万元，主要</w:t>
      </w:r>
      <w:r>
        <w:rPr>
          <w:rFonts w:hint="eastAsia" w:ascii="Times New Roman" w:hAnsi="Times New Roman" w:eastAsia="方正仿宋_GBK" w:cs="Times New Roman"/>
          <w:sz w:val="28"/>
          <w:szCs w:val="24"/>
          <w:lang w:val="en-US" w:eastAsia="zh-CN" w:bidi="ar-SA"/>
        </w:rPr>
        <w:t>为2023年提前下达一般公共预算资金项目（非三保）20万元；当年下达专款2.25万元；刚性支出资金1.36万元；人大代表活动经费36.16万元；人大立法工作经费6万元；人大综合事务管理经费17.8万元。</w:t>
      </w:r>
    </w:p>
    <w:p>
      <w:pPr>
        <w:pStyle w:val="18"/>
        <w:numPr>
          <w:ilvl w:val="0"/>
          <w:numId w:val="2"/>
        </w:numPr>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比上年增减情况</w:t>
      </w:r>
    </w:p>
    <w:p>
      <w:pPr>
        <w:spacing w:line="500" w:lineRule="exact"/>
        <w:ind w:firstLine="560"/>
        <w:rPr>
          <w:rFonts w:hint="eastAsia" w:eastAsia="方正仿宋_GBK"/>
          <w:color w:val="000000"/>
          <w:sz w:val="28"/>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442.14</w:t>
      </w:r>
      <w:r>
        <w:rPr>
          <w:rFonts w:hint="eastAsia" w:ascii="Times New Roman" w:hAnsi="Times New Roman" w:eastAsia="方正仿宋_GBK" w:cs="Times New Roman"/>
          <w:sz w:val="28"/>
          <w:szCs w:val="24"/>
          <w:lang w:val="en-US" w:eastAsia="uk-UA" w:bidi="ar-SA"/>
        </w:rPr>
        <w:t>万元，较202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年预算增加</w:t>
      </w:r>
      <w:r>
        <w:rPr>
          <w:rFonts w:hint="eastAsia" w:ascii="Times New Roman" w:hAnsi="Times New Roman" w:eastAsia="方正仿宋_GBK" w:cs="Times New Roman"/>
          <w:sz w:val="28"/>
          <w:szCs w:val="24"/>
          <w:lang w:val="en-US" w:eastAsia="zh-CN" w:bidi="ar-SA"/>
        </w:rPr>
        <w:t>116.74</w:t>
      </w:r>
      <w:r>
        <w:rPr>
          <w:rFonts w:hint="eastAsia" w:ascii="Times New Roman" w:hAnsi="Times New Roman" w:eastAsia="方正仿宋_GBK" w:cs="Times New Roman"/>
          <w:sz w:val="28"/>
          <w:szCs w:val="24"/>
          <w:lang w:val="en-US" w:eastAsia="uk-UA" w:bidi="ar-SA"/>
        </w:rPr>
        <w:t>万元，其中：基本支出增加</w:t>
      </w:r>
      <w:r>
        <w:rPr>
          <w:rFonts w:hint="eastAsia" w:ascii="Times New Roman" w:hAnsi="Times New Roman" w:eastAsia="方正仿宋_GBK" w:cs="Times New Roman"/>
          <w:sz w:val="28"/>
          <w:szCs w:val="24"/>
          <w:lang w:val="en-US" w:eastAsia="zh-CN" w:bidi="ar-SA"/>
        </w:rPr>
        <w:t>104.13</w:t>
      </w:r>
      <w:r>
        <w:rPr>
          <w:rFonts w:hint="eastAsia" w:ascii="Times New Roman" w:hAnsi="Times New Roman" w:eastAsia="方正仿宋_GBK" w:cs="Times New Roman"/>
          <w:sz w:val="28"/>
          <w:szCs w:val="24"/>
          <w:lang w:val="en-US" w:eastAsia="uk-UA" w:bidi="ar-SA"/>
        </w:rPr>
        <w:t>万元，主要为增加人员经费支出</w:t>
      </w:r>
      <w:r>
        <w:rPr>
          <w:rFonts w:hint="eastAsia" w:ascii="Times New Roman" w:hAnsi="Times New Roman" w:eastAsia="方正仿宋_GBK" w:cs="Times New Roman"/>
          <w:sz w:val="28"/>
          <w:szCs w:val="24"/>
          <w:lang w:val="en-US" w:eastAsia="zh-CN" w:bidi="ar-SA"/>
        </w:rPr>
        <w:t>83.0</w:t>
      </w:r>
      <w:r>
        <w:rPr>
          <w:rFonts w:hint="eastAsia" w:ascii="Times New Roman" w:hAnsi="Times New Roman" w:eastAsia="方正仿宋_GBK" w:cs="Times New Roman"/>
          <w:sz w:val="28"/>
          <w:szCs w:val="24"/>
          <w:lang w:val="en-US" w:eastAsia="uk-UA" w:bidi="ar-SA"/>
        </w:rPr>
        <w:t>万元和增加日常公用经费</w:t>
      </w:r>
      <w:r>
        <w:rPr>
          <w:rFonts w:hint="eastAsia" w:ascii="Times New Roman" w:hAnsi="Times New Roman" w:eastAsia="方正仿宋_GBK" w:cs="Times New Roman"/>
          <w:sz w:val="28"/>
          <w:szCs w:val="24"/>
          <w:lang w:val="en-US" w:eastAsia="zh-CN" w:bidi="ar-SA"/>
        </w:rPr>
        <w:t>21.13</w:t>
      </w:r>
      <w:r>
        <w:rPr>
          <w:rFonts w:hint="eastAsia" w:ascii="Times New Roman" w:hAnsi="Times New Roman" w:eastAsia="方正仿宋_GBK" w:cs="Times New Roman"/>
          <w:sz w:val="28"/>
          <w:szCs w:val="24"/>
          <w:lang w:val="en-US" w:eastAsia="uk-UA" w:bidi="ar-SA"/>
        </w:rPr>
        <w:t>万元；项目支出增加</w:t>
      </w:r>
      <w:r>
        <w:rPr>
          <w:rFonts w:hint="eastAsia" w:ascii="Times New Roman" w:hAnsi="Times New Roman" w:eastAsia="方正仿宋_GBK" w:cs="Times New Roman"/>
          <w:sz w:val="28"/>
          <w:szCs w:val="24"/>
          <w:lang w:val="en-US" w:eastAsia="zh-CN" w:bidi="ar-SA"/>
        </w:rPr>
        <w:t>12.61</w:t>
      </w:r>
      <w:r>
        <w:rPr>
          <w:rFonts w:hint="eastAsia" w:ascii="Times New Roman" w:hAnsi="Times New Roman" w:eastAsia="方正仿宋_GBK" w:cs="Times New Roman"/>
          <w:sz w:val="28"/>
          <w:szCs w:val="24"/>
          <w:lang w:val="en-US" w:eastAsia="uk-UA" w:bidi="ar-SA"/>
        </w:rPr>
        <w:t>万元，</w:t>
      </w:r>
      <w:r>
        <w:rPr>
          <w:rFonts w:hint="eastAsia" w:eastAsia="方正仿宋_GBK"/>
          <w:color w:val="000000"/>
          <w:sz w:val="28"/>
        </w:rPr>
        <w:t>主要是增加了</w:t>
      </w:r>
      <w:r>
        <w:rPr>
          <w:rFonts w:hint="eastAsia" w:eastAsia="方正仿宋_GBK"/>
          <w:color w:val="000000"/>
          <w:sz w:val="28"/>
          <w:lang w:eastAsia="zh-CN"/>
        </w:rPr>
        <w:t>人大代表活动经费、</w:t>
      </w:r>
      <w:r>
        <w:rPr>
          <w:rFonts w:hint="eastAsia" w:eastAsia="方正仿宋_GBK"/>
          <w:color w:val="000000"/>
          <w:sz w:val="28"/>
        </w:rPr>
        <w:t>人大综合事务管理经费</w:t>
      </w:r>
      <w:r>
        <w:rPr>
          <w:rFonts w:hint="eastAsia" w:eastAsia="方正仿宋_GBK"/>
          <w:color w:val="000000"/>
          <w:sz w:val="28"/>
          <w:lang w:val="en-US" w:eastAsia="zh-CN"/>
        </w:rPr>
        <w:t>及</w:t>
      </w:r>
      <w:r>
        <w:rPr>
          <w:rFonts w:hint="eastAsia" w:ascii="Times New Roman" w:hAnsi="Times New Roman" w:eastAsia="方正仿宋_GBK" w:cs="Times New Roman"/>
          <w:color w:val="000000"/>
          <w:sz w:val="28"/>
          <w:szCs w:val="24"/>
          <w:lang w:val="en-US" w:eastAsia="zh-CN" w:bidi="ar-SA"/>
        </w:rPr>
        <w:t>上年结转指标</w:t>
      </w:r>
      <w:r>
        <w:rPr>
          <w:rFonts w:hint="eastAsia" w:cs="Times New Roman"/>
          <w:color w:val="000000"/>
          <w:sz w:val="28"/>
          <w:szCs w:val="24"/>
          <w:lang w:val="en-US" w:eastAsia="zh-CN" w:bidi="ar-SA"/>
        </w:rPr>
        <w:t>在本年列支</w:t>
      </w:r>
      <w:r>
        <w:rPr>
          <w:rFonts w:hint="eastAsia" w:eastAsia="方正仿宋_GBK"/>
          <w:color w:val="000000"/>
          <w:sz w:val="28"/>
        </w:rPr>
        <w:t>等项目资金。</w:t>
      </w:r>
    </w:p>
    <w:p>
      <w:pPr>
        <w:pStyle w:val="18"/>
        <w:numPr>
          <w:ilvl w:val="0"/>
          <w:numId w:val="0"/>
        </w:numPr>
        <w:ind w:firstLine="560" w:firstLineChars="200"/>
        <w:rPr>
          <w:rFonts w:hint="eastAsia" w:ascii="Times New Roman" w:hAnsi="Times New Roman" w:eastAsia="方正仿宋_GBK" w:cs="Times New Roman"/>
          <w:sz w:val="28"/>
          <w:szCs w:val="24"/>
          <w:lang w:val="en-US" w:eastAsia="uk-UA" w:bidi="ar-SA"/>
        </w:rPr>
      </w:pPr>
    </w:p>
    <w:p>
      <w:pPr>
        <w:spacing w:before="0" w:after="0" w:line="240" w:lineRule="auto"/>
        <w:ind w:firstLine="0"/>
        <w:jc w:val="left"/>
        <w:outlineLvl w:val="0"/>
      </w:pP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eastAsia="仿宋"/>
          <w:lang w:eastAsia="zh-CN"/>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年，我</w:t>
      </w:r>
      <w:r>
        <w:rPr>
          <w:rFonts w:hint="eastAsia" w:ascii="Times New Roman" w:hAnsi="Times New Roman"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67.81</w:t>
      </w:r>
      <w:r>
        <w:rPr>
          <w:rFonts w:hint="eastAsia" w:ascii="Times New Roman" w:hAnsi="Times New Roman" w:eastAsia="方正仿宋_GBK" w:cs="Times New Roman"/>
          <w:sz w:val="28"/>
          <w:szCs w:val="24"/>
          <w:lang w:val="en-US" w:eastAsia="uk-UA" w:bidi="ar-SA"/>
        </w:rPr>
        <w:t>万元，主要用于办公费</w:t>
      </w:r>
      <w:r>
        <w:rPr>
          <w:rFonts w:hint="eastAsia" w:ascii="Times New Roman" w:hAnsi="Times New Roman" w:eastAsia="方正仿宋_GBK" w:cs="Times New Roman"/>
          <w:sz w:val="28"/>
          <w:szCs w:val="24"/>
          <w:lang w:val="en-US" w:eastAsia="zh-CN" w:bidi="ar-SA"/>
        </w:rPr>
        <w:t>11.1</w:t>
      </w:r>
      <w:r>
        <w:rPr>
          <w:rFonts w:hint="eastAsia" w:ascii="Times New Roman" w:hAnsi="Times New Roman" w:eastAsia="方正仿宋_GBK" w:cs="Times New Roman"/>
          <w:sz w:val="28"/>
          <w:szCs w:val="24"/>
          <w:lang w:val="en-US" w:eastAsia="uk-UA" w:bidi="ar-SA"/>
        </w:rPr>
        <w:t xml:space="preserve"> 万元、邮电费</w:t>
      </w:r>
      <w:r>
        <w:rPr>
          <w:rFonts w:hint="eastAsia" w:ascii="Times New Roman" w:hAnsi="Times New Roman" w:eastAsia="方正仿宋_GBK" w:cs="Times New Roman"/>
          <w:sz w:val="28"/>
          <w:szCs w:val="24"/>
          <w:lang w:val="en-US" w:eastAsia="zh-CN" w:bidi="ar-SA"/>
        </w:rPr>
        <w:t>4.0</w:t>
      </w:r>
      <w:r>
        <w:rPr>
          <w:rFonts w:hint="eastAsia" w:ascii="Times New Roman" w:hAnsi="Times New Roman" w:eastAsia="方正仿宋_GBK" w:cs="Times New Roman"/>
          <w:sz w:val="28"/>
          <w:szCs w:val="24"/>
          <w:lang w:val="en-US" w:eastAsia="uk-UA" w:bidi="ar-SA"/>
        </w:rPr>
        <w:t>万元、差旅费</w:t>
      </w:r>
      <w:r>
        <w:rPr>
          <w:rFonts w:hint="eastAsia" w:ascii="Times New Roman" w:hAnsi="Times New Roman" w:eastAsia="方正仿宋_GBK" w:cs="Times New Roman"/>
          <w:sz w:val="28"/>
          <w:szCs w:val="24"/>
          <w:lang w:val="en-US" w:eastAsia="zh-CN" w:bidi="ar-SA"/>
        </w:rPr>
        <w:t>4.0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会议费4.0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办公设备购置费3.0万元、</w:t>
      </w:r>
      <w:r>
        <w:rPr>
          <w:rFonts w:hint="eastAsia" w:ascii="Times New Roman" w:hAnsi="Times New Roman" w:eastAsia="方正仿宋_GBK" w:cs="Times New Roman"/>
          <w:sz w:val="28"/>
          <w:szCs w:val="24"/>
          <w:lang w:val="en-US" w:eastAsia="uk-UA" w:bidi="ar-SA"/>
        </w:rPr>
        <w:t>公务用车运行维护费</w:t>
      </w:r>
      <w:r>
        <w:rPr>
          <w:rFonts w:hint="eastAsia" w:ascii="Times New Roman" w:hAnsi="Times New Roman" w:eastAsia="方正仿宋_GBK" w:cs="Times New Roman"/>
          <w:sz w:val="28"/>
          <w:szCs w:val="24"/>
          <w:lang w:val="en-US" w:eastAsia="zh-CN" w:bidi="ar-SA"/>
        </w:rPr>
        <w:t>6.4</w:t>
      </w:r>
      <w:r>
        <w:rPr>
          <w:rFonts w:hint="eastAsia" w:ascii="Times New Roman" w:hAnsi="Times New Roman" w:eastAsia="方正仿宋_GBK" w:cs="Times New Roman"/>
          <w:sz w:val="28"/>
          <w:szCs w:val="24"/>
          <w:lang w:val="en-US" w:eastAsia="uk-UA" w:bidi="ar-SA"/>
        </w:rPr>
        <w:t>万元、其他交通费</w:t>
      </w:r>
      <w:r>
        <w:rPr>
          <w:rFonts w:hint="eastAsia" w:ascii="Times New Roman" w:hAnsi="Times New Roman" w:eastAsia="方正仿宋_GBK" w:cs="Times New Roman"/>
          <w:sz w:val="28"/>
          <w:szCs w:val="24"/>
          <w:lang w:val="en-US" w:eastAsia="zh-CN" w:bidi="ar-SA"/>
        </w:rPr>
        <w:t>（公务交通补贴）17.81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印刷费9.0万元，劳务费3.0万元，培训费4.0万元，</w:t>
      </w:r>
      <w:r>
        <w:rPr>
          <w:rFonts w:hint="eastAsia"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rPr>
          <w:rFonts w:hint="eastAsia" w:ascii="Times New Roman" w:hAnsi="Times New Roman" w:eastAsia="方正仿宋_GBK" w:cs="Times New Roman"/>
          <w:color w:val="000000"/>
          <w:sz w:val="28"/>
          <w:szCs w:val="24"/>
          <w:lang w:val="en-US" w:eastAsia="zh-CN"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zh-CN" w:bidi="ar-SA"/>
        </w:rPr>
        <w:t>财政拨款“三公”经费预算安排</w:t>
      </w:r>
      <w:r>
        <w:rPr>
          <w:rFonts w:hint="eastAsia" w:cs="Times New Roman"/>
          <w:color w:val="000000"/>
          <w:sz w:val="28"/>
          <w:szCs w:val="24"/>
          <w:lang w:val="en-US" w:eastAsia="zh-CN" w:bidi="ar-SA"/>
        </w:rPr>
        <w:t>13.62</w:t>
      </w:r>
      <w:r>
        <w:rPr>
          <w:rFonts w:hint="eastAsia" w:ascii="Times New Roman" w:hAnsi="Times New Roman" w:eastAsia="方正仿宋_GBK" w:cs="Times New Roman"/>
          <w:color w:val="000000"/>
          <w:sz w:val="28"/>
          <w:szCs w:val="24"/>
          <w:lang w:val="en-US" w:eastAsia="zh-CN" w:bidi="ar-SA"/>
        </w:rPr>
        <w:t>万元，其中因公出国（境）费0万元，同比无变化，原因是无因公出国（境）安排；公务用车购置及运维费</w:t>
      </w:r>
      <w:r>
        <w:rPr>
          <w:rFonts w:hint="eastAsia" w:cs="Times New Roman"/>
          <w:color w:val="000000"/>
          <w:sz w:val="28"/>
          <w:szCs w:val="24"/>
          <w:lang w:val="en-US" w:eastAsia="zh-CN" w:bidi="ar-SA"/>
        </w:rPr>
        <w:t>10.62</w:t>
      </w:r>
      <w:r>
        <w:rPr>
          <w:rFonts w:hint="eastAsia" w:ascii="Times New Roman" w:hAnsi="Times New Roman" w:eastAsia="方正仿宋_GBK" w:cs="Times New Roman"/>
          <w:color w:val="000000"/>
          <w:sz w:val="28"/>
          <w:szCs w:val="24"/>
          <w:lang w:val="en-US" w:eastAsia="zh-CN" w:bidi="ar-SA"/>
        </w:rPr>
        <w:t>万元（其中：公务用车购置费为0万元，公务用车运维费10.62万元)，同比</w:t>
      </w:r>
      <w:r>
        <w:rPr>
          <w:rFonts w:hint="eastAsia" w:cs="Times New Roman"/>
          <w:color w:val="000000"/>
          <w:sz w:val="28"/>
          <w:szCs w:val="24"/>
          <w:lang w:val="en-US" w:eastAsia="zh-CN" w:bidi="ar-SA"/>
        </w:rPr>
        <w:t>减少1.82</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了14.63%，</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的原因是我单位严格执行中央八项规定文件要求，严格公务用车使用管理，做到定点加油、定点维修</w:t>
      </w:r>
      <w:r>
        <w:rPr>
          <w:rFonts w:hint="eastAsia" w:cs="Times New Roman"/>
          <w:color w:val="000000"/>
          <w:sz w:val="28"/>
          <w:szCs w:val="24"/>
          <w:lang w:val="en-US" w:eastAsia="zh-CN" w:bidi="ar-SA"/>
        </w:rPr>
        <w:t>，节约的开支</w:t>
      </w:r>
      <w:r>
        <w:rPr>
          <w:rFonts w:hint="eastAsia" w:ascii="Times New Roman" w:hAnsi="Times New Roman" w:eastAsia="方正仿宋_GBK" w:cs="Times New Roman"/>
          <w:color w:val="000000"/>
          <w:sz w:val="28"/>
          <w:szCs w:val="24"/>
          <w:lang w:val="en-US" w:eastAsia="zh-CN" w:bidi="ar-SA"/>
        </w:rPr>
        <w:t>；公务接待费3万元，同比增加1.5万元，增加100%，主要原因是上年结转指标</w:t>
      </w:r>
      <w:r>
        <w:rPr>
          <w:rFonts w:hint="eastAsia" w:cs="Times New Roman"/>
          <w:color w:val="000000"/>
          <w:sz w:val="28"/>
          <w:szCs w:val="24"/>
          <w:lang w:val="en-US" w:eastAsia="zh-CN" w:bidi="ar-SA"/>
        </w:rPr>
        <w:t>在本年列支，</w:t>
      </w:r>
      <w:r>
        <w:rPr>
          <w:rFonts w:hint="eastAsia" w:ascii="Times New Roman" w:hAnsi="Times New Roman" w:eastAsia="方正仿宋_GBK" w:cs="Times New Roman"/>
          <w:color w:val="000000"/>
          <w:sz w:val="28"/>
          <w:szCs w:val="24"/>
          <w:lang w:val="en-US" w:eastAsia="zh-CN" w:bidi="ar-SA"/>
        </w:rPr>
        <w:t>我单位严格执行中央八项规定文件要求。</w:t>
      </w: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1"/>
      </w:pPr>
      <w:r>
        <w:t>1.县九届人大三次会议项目20万。完善各项会议制度，规范会议程序，提高会议质量。提高人大代表及常委会审议水平。完成县乡人大代表换届选举工作。</w:t>
      </w:r>
    </w:p>
    <w:p>
      <w:pPr>
        <w:pStyle w:val="21"/>
      </w:pPr>
      <w:r>
        <w:t>2.人大代表活动经费项目25.96万。组织代表日常开展职务活动、学习培训、参加调研视察和执法检查。发挥常委及代表的桥梁纽带作用，集中反映民意，促进依法履职。</w:t>
      </w:r>
      <w:r>
        <w:tab/>
      </w:r>
    </w:p>
    <w:p>
      <w:pPr>
        <w:pStyle w:val="21"/>
      </w:pPr>
      <w:r>
        <w:t>3.人大立法工作经费项目6万元。提升我县城市市容和环境卫生管理，创造清洁、优美的城市工作、生活环境，促进城市社会主义物质文明和精神文明建设。坚持科学立法、民主立法、依法立法，力争制定出一部高质量、有特色的地方性法规。</w:t>
      </w:r>
    </w:p>
    <w:p>
      <w:pPr>
        <w:pStyle w:val="21"/>
      </w:pPr>
      <w:r>
        <w:t>4.人大综合事务管理经费项目11万元。完成统一的备案审查信息平台建设，通过信息化推动备案审查工作不断发展，为建立健全宪法法律监督制度打好基础。强化“人大代表之家”的服务功能，保证县人大常委会代表之家运转正常，进一步加强代表与选民的联系，让群众的意见能够直接反映给各级人大代表。</w:t>
      </w:r>
      <w:r>
        <w:tab/>
      </w:r>
      <w:r>
        <w:tab/>
      </w:r>
      <w:r>
        <w:tab/>
      </w:r>
      <w:r>
        <w:tab/>
      </w:r>
      <w:r>
        <w:tab/>
      </w:r>
      <w:r>
        <w:tab/>
      </w:r>
      <w:r>
        <w:tab/>
      </w:r>
      <w:r>
        <w:tab/>
      </w:r>
      <w:r>
        <w:tab/>
      </w:r>
    </w:p>
    <w:p>
      <w:pPr>
        <w:spacing w:line="500" w:lineRule="exact"/>
        <w:ind w:firstLine="560"/>
      </w:pPr>
      <w:r>
        <w:rPr>
          <w:rFonts w:eastAsia="方正仿宋_GBK"/>
          <w:color w:val="000000"/>
          <w:sz w:val="28"/>
        </w:rPr>
        <w:t>（二）分项绩效目标</w:t>
      </w:r>
    </w:p>
    <w:p>
      <w:pPr>
        <w:pStyle w:val="22"/>
      </w:pPr>
      <w:r>
        <w:t>1、监督检查方面</w:t>
      </w:r>
    </w:p>
    <w:p>
      <w:pPr>
        <w:pStyle w:val="22"/>
      </w:pPr>
      <w:r>
        <w:t>绩效目标：组织常委会委员对法律实施情况进行检查；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22"/>
      </w:pPr>
      <w:r>
        <w:t>绩效指标：组织各级代表培训、调研、监督检查≤18次，促进代表工作水平和代表履职能力的提高，促进政府</w:t>
      </w:r>
      <w:r>
        <w:rPr>
          <w:rFonts w:hint="eastAsia"/>
          <w:lang w:eastAsia="zh-CN"/>
        </w:rPr>
        <w:t>单位</w:t>
      </w:r>
      <w:r>
        <w:t>更好行履职功能。</w:t>
      </w:r>
    </w:p>
    <w:p>
      <w:pPr>
        <w:pStyle w:val="22"/>
      </w:pPr>
      <w:r>
        <w:t>2、人大会议方面</w:t>
      </w:r>
    </w:p>
    <w:p>
      <w:pPr>
        <w:pStyle w:val="22"/>
      </w:pPr>
      <w:r>
        <w:t>绩效目标：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22"/>
      </w:pPr>
      <w:r>
        <w:t>绩效指标：定期召开人大代表会议常务委员会各种会议，完善各项会议制度，规范会议程序，确保会议按照议程顺利进行，达到预期目的。圆满完成各项任务。</w:t>
      </w:r>
    </w:p>
    <w:p>
      <w:pPr>
        <w:pStyle w:val="22"/>
      </w:pPr>
      <w:r>
        <w:t>3、人事任免方面</w:t>
      </w:r>
    </w:p>
    <w:p>
      <w:pPr>
        <w:pStyle w:val="22"/>
      </w:pPr>
      <w:r>
        <w:t>绩效目标：高质量完成机关领导人选举和常委会人事任免服务工作；高效督办有关</w:t>
      </w:r>
      <w:r>
        <w:rPr>
          <w:rFonts w:hint="eastAsia"/>
          <w:lang w:eastAsia="zh-CN"/>
        </w:rPr>
        <w:t>单位</w:t>
      </w:r>
      <w:r>
        <w:t>负责人的目标责任书和述职报告。</w:t>
      </w:r>
    </w:p>
    <w:p>
      <w:pPr>
        <w:pStyle w:val="22"/>
      </w:pPr>
      <w:r>
        <w:t>绩效指标：按照有关规定，高质量完成督办职责和人事任免工作。</w:t>
      </w:r>
    </w:p>
    <w:p>
      <w:pPr>
        <w:pStyle w:val="22"/>
      </w:pPr>
      <w:r>
        <w:t>4、立法调研方面</w:t>
      </w:r>
    </w:p>
    <w:p>
      <w:pPr>
        <w:pStyle w:val="22"/>
      </w:pPr>
      <w:r>
        <w:t>绩效目标：负责指导组织人大常委会及有关</w:t>
      </w:r>
      <w:r>
        <w:rPr>
          <w:rFonts w:hint="eastAsia"/>
          <w:lang w:eastAsia="zh-CN"/>
        </w:rPr>
        <w:t>单位</w:t>
      </w:r>
      <w:r>
        <w:t>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22"/>
      </w:pPr>
      <w:r>
        <w:t>绩效指标：加大《青龙满族自治县城市管理条例》立法工作进度，力争2022年全部完成《青龙满族自治县城市管理条例》立法工作。</w:t>
      </w:r>
    </w:p>
    <w:p>
      <w:pPr>
        <w:pStyle w:val="22"/>
      </w:pPr>
      <w:r>
        <w:t>5、综合事务方面</w:t>
      </w:r>
    </w:p>
    <w:p>
      <w:pPr>
        <w:pStyle w:val="22"/>
      </w:pPr>
      <w:r>
        <w:t>绩效目标：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22"/>
      </w:pPr>
      <w:r>
        <w:t>绩效指标：</w:t>
      </w:r>
    </w:p>
    <w:p>
      <w:pPr>
        <w:pStyle w:val="22"/>
      </w:pPr>
      <w:r>
        <w:t>（1）备案审查信息平台和预算联网监督及网络运行工作正常运行。</w:t>
      </w:r>
    </w:p>
    <w:p>
      <w:pPr>
        <w:pStyle w:val="22"/>
      </w:pPr>
      <w:r>
        <w:t>（2）机关文书档案印信管理和保密，机关人事、离退休人员服务，财务、后勤服务；领导交办的其他工作。确保机关工作有效运转。</w:t>
      </w:r>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（三）工作保障措施</w:t>
      </w:r>
    </w:p>
    <w:p>
      <w:pPr>
        <w:pStyle w:val="23"/>
      </w:pPr>
      <w:r>
        <w:t>1、加强思想建设，强化大局意识、责任意识，形成工作合力；营造想事、干事的浓厚氛围，为常委会依法履职提供坚强的政治保障。</w:t>
      </w:r>
    </w:p>
    <w:p>
      <w:pPr>
        <w:pStyle w:val="23"/>
      </w:pPr>
      <w:r>
        <w:t>2、加强作风建设，要坚持求真务实，深入调查研究，紧紧抓住事关改革发展稳定大局和人民群众普遍关注的热点问题，深入基层、深入群众，了解掌握真实情况，为会议审议提供详实情况，使做出的决定、决议符合实际，真正代表广大人民群众的根本利益。</w:t>
      </w:r>
    </w:p>
    <w:p>
      <w:pPr>
        <w:pStyle w:val="23"/>
      </w:pPr>
      <w:r>
        <w:t>3、加强立法建设。坚持科学立法、民主立法。认真开展立法调研，不断完善立法工作机制。坚持和完善草案公布机制，扩大群众对立法的有序参与。在坚持提高立法质量的前提下，你够贱符合青龙县情的民族法规体系。</w:t>
      </w:r>
    </w:p>
    <w:p>
      <w:pPr>
        <w:pStyle w:val="23"/>
      </w:pPr>
      <w:r>
        <w:t>4、加强组织制度建设。进一步完善常委会、各室委工作职责和程序，规范常委会履职的会议制度、决策制度、监督制度、代表工作制度以及机关工作制度，形成常委会及机关工作的制度会、规范化和程序化，为更好履行法定职权提供制度保障。</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1.通过组织代表日常开展职务活动、学习培训、参加调研视察和执法检查，发挥常委及代表的桥梁纽带作用，集中反映民意，促进依法履职。</w:t>
            </w:r>
          </w:p>
          <w:p>
            <w:pPr>
              <w:pStyle w:val="12"/>
            </w:pPr>
            <w:r>
              <w:t>2.通过组织调研培训等活动，提高代表们的履职能力，保障各项工作的持续有序推进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调研视察次数</w:t>
            </w:r>
          </w:p>
        </w:tc>
        <w:tc>
          <w:tcPr>
            <w:tcW w:w="2835" w:type="dxa"/>
            <w:vAlign w:val="center"/>
          </w:tcPr>
          <w:p>
            <w:pPr>
              <w:pStyle w:val="12"/>
            </w:pPr>
            <w:r>
              <w:t>组织开展调研视察活动的次数</w:t>
            </w:r>
          </w:p>
        </w:tc>
        <w:tc>
          <w:tcPr>
            <w:tcW w:w="2551" w:type="dxa"/>
            <w:vAlign w:val="center"/>
          </w:tcPr>
          <w:p>
            <w:pPr>
              <w:pStyle w:val="12"/>
            </w:pPr>
            <w:r>
              <w:t>≥4次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职务活动及学习培训次数</w:t>
            </w:r>
          </w:p>
        </w:tc>
        <w:tc>
          <w:tcPr>
            <w:tcW w:w="2835" w:type="dxa"/>
            <w:vAlign w:val="center"/>
          </w:tcPr>
          <w:p>
            <w:pPr>
              <w:pStyle w:val="12"/>
            </w:pPr>
            <w:r>
              <w:t>组织开展职务活动、学习培训的次数</w:t>
            </w:r>
          </w:p>
        </w:tc>
        <w:tc>
          <w:tcPr>
            <w:tcW w:w="2551" w:type="dxa"/>
            <w:vAlign w:val="center"/>
          </w:tcPr>
          <w:p>
            <w:pPr>
              <w:pStyle w:val="12"/>
            </w:pPr>
            <w:r>
              <w:t>≥2次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组织开展执法检查次数</w:t>
            </w:r>
          </w:p>
        </w:tc>
        <w:tc>
          <w:tcPr>
            <w:tcW w:w="2551" w:type="dxa"/>
            <w:vAlign w:val="center"/>
          </w:tcPr>
          <w:p>
            <w:pPr>
              <w:pStyle w:val="12"/>
            </w:pPr>
            <w:r>
              <w:t>≥4次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调研视察完成率</w:t>
            </w:r>
          </w:p>
        </w:tc>
        <w:tc>
          <w:tcPr>
            <w:tcW w:w="2835" w:type="dxa"/>
            <w:vAlign w:val="center"/>
          </w:tcPr>
          <w:p>
            <w:pPr>
              <w:pStyle w:val="12"/>
            </w:pPr>
            <w:r>
              <w:t>实际调研视察数量占计划总数量的比率</w:t>
            </w:r>
          </w:p>
        </w:tc>
        <w:tc>
          <w:tcPr>
            <w:tcW w:w="2551" w:type="dxa"/>
            <w:vAlign w:val="center"/>
          </w:tcPr>
          <w:p>
            <w:pPr>
              <w:pStyle w:val="12"/>
            </w:pPr>
            <w:r>
              <w:t>≥95%</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职务活动、培训完成率</w:t>
            </w:r>
          </w:p>
        </w:tc>
        <w:tc>
          <w:tcPr>
            <w:tcW w:w="2835" w:type="dxa"/>
            <w:vAlign w:val="center"/>
          </w:tcPr>
          <w:p>
            <w:pPr>
              <w:pStyle w:val="12"/>
            </w:pPr>
            <w:r>
              <w:t>实际培训数量占计划数的比例</w:t>
            </w:r>
          </w:p>
        </w:tc>
        <w:tc>
          <w:tcPr>
            <w:tcW w:w="2551" w:type="dxa"/>
            <w:vAlign w:val="center"/>
          </w:tcPr>
          <w:p>
            <w:pPr>
              <w:pStyle w:val="12"/>
            </w:pPr>
            <w:r>
              <w:t>≥95%</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培训合格人数占培训总人数的比例</w:t>
            </w:r>
          </w:p>
        </w:tc>
        <w:tc>
          <w:tcPr>
            <w:tcW w:w="2551" w:type="dxa"/>
            <w:vAlign w:val="center"/>
          </w:tcPr>
          <w:p>
            <w:pPr>
              <w:pStyle w:val="12"/>
            </w:pPr>
            <w:r>
              <w:t>≥95%</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执法检查完成率</w:t>
            </w:r>
          </w:p>
        </w:tc>
        <w:tc>
          <w:tcPr>
            <w:tcW w:w="2835" w:type="dxa"/>
            <w:vAlign w:val="center"/>
          </w:tcPr>
          <w:p>
            <w:pPr>
              <w:pStyle w:val="12"/>
            </w:pPr>
            <w:r>
              <w:t>实际执法检查数量占计划数的比例</w:t>
            </w:r>
          </w:p>
        </w:tc>
        <w:tc>
          <w:tcPr>
            <w:tcW w:w="2551" w:type="dxa"/>
            <w:vAlign w:val="center"/>
          </w:tcPr>
          <w:p>
            <w:pPr>
              <w:pStyle w:val="12"/>
            </w:pPr>
            <w:r>
              <w:t>≥95%</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2835" w:type="dxa"/>
            <w:vAlign w:val="center"/>
          </w:tcPr>
          <w:p>
            <w:pPr>
              <w:pStyle w:val="12"/>
            </w:pPr>
            <w:r>
              <w:t>反映调研、培训工作、执法检查完成时间</w:t>
            </w:r>
          </w:p>
        </w:tc>
        <w:tc>
          <w:tcPr>
            <w:tcW w:w="2551" w:type="dxa"/>
            <w:vAlign w:val="center"/>
          </w:tcPr>
          <w:p>
            <w:pPr>
              <w:pStyle w:val="12"/>
            </w:pPr>
            <w:r>
              <w:t>12月</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开展调研视察经费</w:t>
            </w:r>
          </w:p>
        </w:tc>
        <w:tc>
          <w:tcPr>
            <w:tcW w:w="2835" w:type="dxa"/>
            <w:vAlign w:val="center"/>
          </w:tcPr>
          <w:p>
            <w:pPr>
              <w:pStyle w:val="12"/>
            </w:pPr>
            <w:r>
              <w:t>用于开展调研视察的经费支出</w:t>
            </w:r>
          </w:p>
        </w:tc>
        <w:tc>
          <w:tcPr>
            <w:tcW w:w="2551" w:type="dxa"/>
            <w:vAlign w:val="center"/>
          </w:tcPr>
          <w:p>
            <w:pPr>
              <w:pStyle w:val="12"/>
            </w:pPr>
            <w:r>
              <w:t>≤4.2万元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开展职务活动、学习培训经费</w:t>
            </w:r>
          </w:p>
        </w:tc>
        <w:tc>
          <w:tcPr>
            <w:tcW w:w="2835" w:type="dxa"/>
            <w:vAlign w:val="center"/>
          </w:tcPr>
          <w:p>
            <w:pPr>
              <w:pStyle w:val="12"/>
            </w:pPr>
            <w:r>
              <w:t>用于开展职务活动、学习培训的经费支出</w:t>
            </w:r>
          </w:p>
        </w:tc>
        <w:tc>
          <w:tcPr>
            <w:tcW w:w="2551" w:type="dxa"/>
            <w:vAlign w:val="center"/>
          </w:tcPr>
          <w:p>
            <w:pPr>
              <w:pStyle w:val="12"/>
            </w:pPr>
            <w:r>
              <w:t>≤2万元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开展执法检查经费</w:t>
            </w:r>
          </w:p>
        </w:tc>
        <w:tc>
          <w:tcPr>
            <w:tcW w:w="2835" w:type="dxa"/>
            <w:vAlign w:val="center"/>
          </w:tcPr>
          <w:p>
            <w:pPr>
              <w:pStyle w:val="12"/>
            </w:pPr>
            <w:r>
              <w:t>用于开展执法检查的经费支出</w:t>
            </w:r>
          </w:p>
        </w:tc>
        <w:tc>
          <w:tcPr>
            <w:tcW w:w="2551" w:type="dxa"/>
            <w:vAlign w:val="center"/>
          </w:tcPr>
          <w:p>
            <w:pPr>
              <w:pStyle w:val="12"/>
            </w:pPr>
            <w:r>
              <w:t>≤2万元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提高履职水平</w:t>
            </w:r>
          </w:p>
        </w:tc>
        <w:tc>
          <w:tcPr>
            <w:tcW w:w="2835" w:type="dxa"/>
            <w:vAlign w:val="center"/>
          </w:tcPr>
          <w:p>
            <w:pPr>
              <w:pStyle w:val="12"/>
            </w:pPr>
            <w:r>
              <w:t>通过组织开展代表学习培训、视察、调研等活动，促进代表工作水平和代表履职能力的提高</w:t>
            </w:r>
          </w:p>
        </w:tc>
        <w:tc>
          <w:tcPr>
            <w:tcW w:w="2551" w:type="dxa"/>
            <w:vAlign w:val="center"/>
          </w:tcPr>
          <w:p>
            <w:pPr>
              <w:pStyle w:val="12"/>
            </w:pPr>
            <w:r>
              <w:t>≥10次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各级人大代表满意度</w:t>
            </w:r>
          </w:p>
        </w:tc>
        <w:tc>
          <w:tcPr>
            <w:tcW w:w="2835" w:type="dxa"/>
            <w:vAlign w:val="center"/>
          </w:tcPr>
          <w:p>
            <w:pPr>
              <w:pStyle w:val="12"/>
            </w:pPr>
            <w:r>
              <w:t>通过问卷调查人大代表对工作的满意度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1.通过组织代表日常开展职务活动、学习培训、参加调研视察和执法检查，发挥常委及代表的桥梁纽带作用，集中反映民意，促进依法履职。</w:t>
            </w:r>
            <w:r>
              <w:tab/>
            </w:r>
            <w:r>
              <w:tab/>
            </w:r>
          </w:p>
          <w:p>
            <w:pPr>
              <w:pStyle w:val="12"/>
            </w:pPr>
            <w:r>
              <w:t>2.通过组织调研培训等活动，提高代表们的履职能力，保障各项工作的持续有序推进。</w:t>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调研视察次数</w:t>
            </w:r>
          </w:p>
        </w:tc>
        <w:tc>
          <w:tcPr>
            <w:tcW w:w="2835" w:type="dxa"/>
            <w:vAlign w:val="center"/>
          </w:tcPr>
          <w:p>
            <w:pPr>
              <w:pStyle w:val="12"/>
            </w:pPr>
            <w:r>
              <w:t>组织开展调研视察活动的次数</w:t>
            </w:r>
          </w:p>
        </w:tc>
        <w:tc>
          <w:tcPr>
            <w:tcW w:w="2551" w:type="dxa"/>
            <w:vAlign w:val="center"/>
          </w:tcPr>
          <w:p>
            <w:pPr>
              <w:pStyle w:val="12"/>
            </w:pPr>
            <w:r>
              <w:t>≥4次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职务活动及学习培训次数</w:t>
            </w:r>
          </w:p>
        </w:tc>
        <w:tc>
          <w:tcPr>
            <w:tcW w:w="2835" w:type="dxa"/>
            <w:vAlign w:val="center"/>
          </w:tcPr>
          <w:p>
            <w:pPr>
              <w:pStyle w:val="12"/>
            </w:pPr>
            <w:r>
              <w:t>组织开展职务活动、学习培训的次数</w:t>
            </w:r>
          </w:p>
        </w:tc>
        <w:tc>
          <w:tcPr>
            <w:tcW w:w="2551" w:type="dxa"/>
            <w:vAlign w:val="center"/>
          </w:tcPr>
          <w:p>
            <w:pPr>
              <w:pStyle w:val="12"/>
            </w:pPr>
            <w:r>
              <w:t>≥2次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组织开展执法检查次数</w:t>
            </w:r>
          </w:p>
        </w:tc>
        <w:tc>
          <w:tcPr>
            <w:tcW w:w="2551" w:type="dxa"/>
            <w:vAlign w:val="center"/>
          </w:tcPr>
          <w:p>
            <w:pPr>
              <w:pStyle w:val="12"/>
            </w:pPr>
            <w:r>
              <w:t>≥4次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调研视察完成率</w:t>
            </w:r>
          </w:p>
        </w:tc>
        <w:tc>
          <w:tcPr>
            <w:tcW w:w="2835" w:type="dxa"/>
            <w:vAlign w:val="center"/>
          </w:tcPr>
          <w:p>
            <w:pPr>
              <w:pStyle w:val="12"/>
            </w:pPr>
            <w:r>
              <w:t>实际调研视察数量占计划总数量的比率</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职务活动、培训完成率</w:t>
            </w:r>
          </w:p>
        </w:tc>
        <w:tc>
          <w:tcPr>
            <w:tcW w:w="2835" w:type="dxa"/>
            <w:vAlign w:val="center"/>
          </w:tcPr>
          <w:p>
            <w:pPr>
              <w:pStyle w:val="12"/>
            </w:pPr>
            <w:r>
              <w:t>实际培训数量占计划数的比例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培训合格人数占培训总人数的比例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执法检查完成率</w:t>
            </w:r>
          </w:p>
        </w:tc>
        <w:tc>
          <w:tcPr>
            <w:tcW w:w="2835" w:type="dxa"/>
            <w:vAlign w:val="center"/>
          </w:tcPr>
          <w:p>
            <w:pPr>
              <w:pStyle w:val="12"/>
            </w:pPr>
            <w:r>
              <w:t>实际执法检查数量占计划数的比例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2835" w:type="dxa"/>
            <w:vAlign w:val="center"/>
          </w:tcPr>
          <w:p>
            <w:pPr>
              <w:pStyle w:val="12"/>
            </w:pPr>
            <w:r>
              <w:t>反映调研、培训工作、执法检查完成时间</w:t>
            </w:r>
          </w:p>
        </w:tc>
        <w:tc>
          <w:tcPr>
            <w:tcW w:w="2551" w:type="dxa"/>
            <w:vAlign w:val="center"/>
          </w:tcPr>
          <w:p>
            <w:pPr>
              <w:pStyle w:val="12"/>
            </w:pPr>
            <w:r>
              <w:t>12月</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开展调研视察经费</w:t>
            </w:r>
          </w:p>
        </w:tc>
        <w:tc>
          <w:tcPr>
            <w:tcW w:w="2835" w:type="dxa"/>
            <w:vAlign w:val="center"/>
          </w:tcPr>
          <w:p>
            <w:pPr>
              <w:pStyle w:val="12"/>
            </w:pPr>
            <w:r>
              <w:t>用于开展调研视察的经费支出</w:t>
            </w:r>
          </w:p>
        </w:tc>
        <w:tc>
          <w:tcPr>
            <w:tcW w:w="2551" w:type="dxa"/>
            <w:vAlign w:val="center"/>
          </w:tcPr>
          <w:p>
            <w:pPr>
              <w:pStyle w:val="12"/>
            </w:pPr>
            <w:r>
              <w:t>≤7万元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开展职务活动、学习培训经费</w:t>
            </w:r>
          </w:p>
        </w:tc>
        <w:tc>
          <w:tcPr>
            <w:tcW w:w="2835" w:type="dxa"/>
            <w:vAlign w:val="center"/>
          </w:tcPr>
          <w:p>
            <w:pPr>
              <w:pStyle w:val="12"/>
            </w:pPr>
            <w:r>
              <w:t>用于开展职务活动、学习培训的经费支出</w:t>
            </w:r>
          </w:p>
        </w:tc>
        <w:tc>
          <w:tcPr>
            <w:tcW w:w="2551" w:type="dxa"/>
            <w:vAlign w:val="center"/>
          </w:tcPr>
          <w:p>
            <w:pPr>
              <w:pStyle w:val="12"/>
            </w:pPr>
            <w:r>
              <w:t>≤2万元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开展执法检查经费</w:t>
            </w:r>
          </w:p>
        </w:tc>
        <w:tc>
          <w:tcPr>
            <w:tcW w:w="2835" w:type="dxa"/>
            <w:vAlign w:val="center"/>
          </w:tcPr>
          <w:p>
            <w:pPr>
              <w:pStyle w:val="12"/>
            </w:pPr>
            <w:r>
              <w:t>用于开展执法检查的经费支出</w:t>
            </w:r>
          </w:p>
        </w:tc>
        <w:tc>
          <w:tcPr>
            <w:tcW w:w="2551" w:type="dxa"/>
            <w:vAlign w:val="center"/>
          </w:tcPr>
          <w:p>
            <w:pPr>
              <w:pStyle w:val="12"/>
            </w:pPr>
            <w:r>
              <w:t>≤2万元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提高履职水平</w:t>
            </w:r>
          </w:p>
        </w:tc>
        <w:tc>
          <w:tcPr>
            <w:tcW w:w="2835" w:type="dxa"/>
            <w:vAlign w:val="center"/>
          </w:tcPr>
          <w:p>
            <w:pPr>
              <w:pStyle w:val="12"/>
            </w:pPr>
            <w:r>
              <w:t>通过组织开展代表学习培训、视察、调研等活动，促进代表工作水平和代表履职能力的提高</w:t>
            </w:r>
          </w:p>
        </w:tc>
        <w:tc>
          <w:tcPr>
            <w:tcW w:w="2551" w:type="dxa"/>
            <w:vAlign w:val="center"/>
          </w:tcPr>
          <w:p>
            <w:pPr>
              <w:pStyle w:val="12"/>
            </w:pPr>
            <w:r>
              <w:t>≥10次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各级人大代表满意度</w:t>
            </w:r>
          </w:p>
        </w:tc>
        <w:tc>
          <w:tcPr>
            <w:tcW w:w="2835" w:type="dxa"/>
            <w:vAlign w:val="center"/>
          </w:tcPr>
          <w:p>
            <w:pPr>
              <w:pStyle w:val="12"/>
            </w:pPr>
            <w:r>
              <w:t>通过问卷调查人大代表对工作的满意度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3、人大立法工作经费绩效目标表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1.通过立法工作，提升我县城市市容和环境卫生管理，创造清洁、优美的城市工作、生活环境，促进城市社会主义物质文明和精神文明建设。</w:t>
            </w:r>
          </w:p>
          <w:p>
            <w:pPr>
              <w:pStyle w:val="12"/>
            </w:pPr>
            <w:r>
              <w:t>2.通过立法研究讨论，达到科学立法、民主立法、依法立法，力争制定出一部高质量、有特色的地方性法规。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开展调研视察次数</w:t>
            </w:r>
          </w:p>
        </w:tc>
        <w:tc>
          <w:tcPr>
            <w:tcW w:w="2835" w:type="dxa"/>
            <w:vAlign w:val="center"/>
          </w:tcPr>
          <w:p>
            <w:pPr>
              <w:pStyle w:val="12"/>
            </w:pPr>
            <w:r>
              <w:t>组织开展调研视察活动的次数</w:t>
            </w:r>
          </w:p>
        </w:tc>
        <w:tc>
          <w:tcPr>
            <w:tcW w:w="2551" w:type="dxa"/>
            <w:vAlign w:val="center"/>
          </w:tcPr>
          <w:p>
            <w:pPr>
              <w:pStyle w:val="12"/>
            </w:pPr>
            <w:r>
              <w:t>≥4次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开展专家论证的次数</w:t>
            </w:r>
          </w:p>
        </w:tc>
        <w:tc>
          <w:tcPr>
            <w:tcW w:w="2835" w:type="dxa"/>
            <w:vAlign w:val="center"/>
          </w:tcPr>
          <w:p>
            <w:pPr>
              <w:pStyle w:val="12"/>
            </w:pPr>
            <w:r>
              <w:t>开展职专家论证及学习培训次数</w:t>
            </w:r>
          </w:p>
        </w:tc>
        <w:tc>
          <w:tcPr>
            <w:tcW w:w="2551" w:type="dxa"/>
            <w:vAlign w:val="center"/>
          </w:tcPr>
          <w:p>
            <w:pPr>
              <w:pStyle w:val="12"/>
            </w:pPr>
            <w:r>
              <w:t>≥3次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立法培训完成率</w:t>
            </w:r>
          </w:p>
        </w:tc>
        <w:tc>
          <w:tcPr>
            <w:tcW w:w="2835" w:type="dxa"/>
            <w:vAlign w:val="center"/>
          </w:tcPr>
          <w:p>
            <w:pPr>
              <w:pStyle w:val="12"/>
            </w:pPr>
            <w:r>
              <w:t>实际开展立法培训数量占计划立法培训数的比率</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立法调研计划完成率</w:t>
            </w:r>
          </w:p>
        </w:tc>
        <w:tc>
          <w:tcPr>
            <w:tcW w:w="2835" w:type="dxa"/>
            <w:vAlign w:val="center"/>
          </w:tcPr>
          <w:p>
            <w:pPr>
              <w:pStyle w:val="12"/>
            </w:pPr>
            <w:r>
              <w:t>实际立法调研工作量占计划量的比例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立法论证完成率</w:t>
            </w:r>
          </w:p>
        </w:tc>
        <w:tc>
          <w:tcPr>
            <w:tcW w:w="2835" w:type="dxa"/>
            <w:vAlign w:val="center"/>
          </w:tcPr>
          <w:p>
            <w:pPr>
              <w:pStyle w:val="12"/>
            </w:pPr>
            <w:r>
              <w:t>实际论证立法数占计划完成立法数的比例</w:t>
            </w:r>
          </w:p>
        </w:tc>
        <w:tc>
          <w:tcPr>
            <w:tcW w:w="2551" w:type="dxa"/>
            <w:vAlign w:val="center"/>
          </w:tcPr>
          <w:p>
            <w:pPr>
              <w:pStyle w:val="12"/>
            </w:pPr>
            <w:r>
              <w:t>≥98%</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立法调研完成的时间</w:t>
            </w:r>
          </w:p>
        </w:tc>
        <w:tc>
          <w:tcPr>
            <w:tcW w:w="2835" w:type="dxa"/>
            <w:vAlign w:val="center"/>
          </w:tcPr>
          <w:p>
            <w:pPr>
              <w:pStyle w:val="12"/>
            </w:pPr>
            <w:r>
              <w:t>反应立法调研工作的完成情况</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用于条例初稿、征求意见稿等印刷的费用</w:t>
            </w:r>
          </w:p>
        </w:tc>
        <w:tc>
          <w:tcPr>
            <w:tcW w:w="2551" w:type="dxa"/>
            <w:vAlign w:val="center"/>
          </w:tcPr>
          <w:p>
            <w:pPr>
              <w:pStyle w:val="12"/>
            </w:pPr>
            <w:r>
              <w:t>≤3万元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专家论证</w:t>
            </w:r>
          </w:p>
        </w:tc>
        <w:tc>
          <w:tcPr>
            <w:tcW w:w="2835" w:type="dxa"/>
            <w:vAlign w:val="center"/>
          </w:tcPr>
          <w:p>
            <w:pPr>
              <w:pStyle w:val="12"/>
            </w:pPr>
            <w:r>
              <w:t>用于专家论证的费用</w:t>
            </w:r>
          </w:p>
        </w:tc>
        <w:tc>
          <w:tcPr>
            <w:tcW w:w="2551" w:type="dxa"/>
            <w:vAlign w:val="center"/>
          </w:tcPr>
          <w:p>
            <w:pPr>
              <w:pStyle w:val="12"/>
            </w:pPr>
            <w:r>
              <w:t>≤3万元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立法后评估完成率</w:t>
            </w:r>
          </w:p>
        </w:tc>
        <w:tc>
          <w:tcPr>
            <w:tcW w:w="2835" w:type="dxa"/>
            <w:vAlign w:val="center"/>
          </w:tcPr>
          <w:p>
            <w:pPr>
              <w:pStyle w:val="12"/>
            </w:pPr>
            <w:r>
              <w:t>反映对新设立法律法规实施效果评估情况</w:t>
            </w:r>
          </w:p>
        </w:tc>
        <w:tc>
          <w:tcPr>
            <w:tcW w:w="2551" w:type="dxa"/>
            <w:vAlign w:val="center"/>
          </w:tcPr>
          <w:p>
            <w:pPr>
              <w:pStyle w:val="12"/>
            </w:pPr>
            <w:r>
              <w:t>≥98%</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2835" w:type="dxa"/>
            <w:vAlign w:val="center"/>
          </w:tcPr>
          <w:p>
            <w:pPr>
              <w:pStyle w:val="12"/>
            </w:pPr>
            <w:r>
              <w:t>通过组织调研及培训等活动，提高代表们的履职能力，保障各项工作的持续有序推进</w:t>
            </w:r>
          </w:p>
        </w:tc>
        <w:tc>
          <w:tcPr>
            <w:tcW w:w="2551" w:type="dxa"/>
            <w:vAlign w:val="center"/>
          </w:tcPr>
          <w:p>
            <w:pPr>
              <w:pStyle w:val="12"/>
            </w:pPr>
            <w:r>
              <w:t>≥7次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各级人大代表满意度</w:t>
            </w:r>
          </w:p>
        </w:tc>
        <w:tc>
          <w:tcPr>
            <w:tcW w:w="2835" w:type="dxa"/>
            <w:vAlign w:val="center"/>
          </w:tcPr>
          <w:p>
            <w:pPr>
              <w:pStyle w:val="12"/>
            </w:pPr>
            <w:r>
              <w:t>通过问卷调查，满意和基本满意的代表占所有调查代表的比例</w:t>
            </w:r>
          </w:p>
        </w:tc>
        <w:tc>
          <w:tcPr>
            <w:tcW w:w="2551" w:type="dxa"/>
            <w:vAlign w:val="center"/>
          </w:tcPr>
          <w:p>
            <w:pPr>
              <w:pStyle w:val="12"/>
            </w:pPr>
            <w:r>
              <w:t>≥95%</w:t>
            </w:r>
          </w:p>
        </w:tc>
        <w:tc>
          <w:tcPr>
            <w:tcW w:w="2268" w:type="dxa"/>
            <w:vAlign w:val="center"/>
          </w:tcPr>
          <w:p>
            <w:pPr>
              <w:pStyle w:val="12"/>
            </w:pPr>
            <w:r>
              <w:t>问卷待查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numPr>
                <w:ilvl w:val="0"/>
                <w:numId w:val="3"/>
              </w:numPr>
            </w:pPr>
            <w:r>
              <w:t>通过信息化推动备案审查工作不断发展，完成统一的备案审查信息平台建设，为建立健全宪法法律监督制度打好基础。</w:t>
            </w:r>
            <w:r>
              <w:tab/>
            </w:r>
            <w:r>
              <w:tab/>
            </w:r>
          </w:p>
          <w:p>
            <w:pPr>
              <w:pStyle w:val="12"/>
              <w:numPr>
                <w:ilvl w:val="0"/>
                <w:numId w:val="0"/>
              </w:numPr>
            </w:pPr>
            <w:r>
              <w:t>2.通过强化“人大代表之家”的服务功能，保证县人大常委会代表之家运转正常，进一步加强代表与选民的联系，让群众的意见能够直接反映给各级人大代表。</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2835" w:type="dxa"/>
            <w:vAlign w:val="center"/>
          </w:tcPr>
          <w:p>
            <w:pPr>
              <w:pStyle w:val="12"/>
            </w:pPr>
            <w:r>
              <w:t>计划召开学习、视察、调查研究活动次数</w:t>
            </w:r>
            <w:r>
              <w:tab/>
            </w:r>
          </w:p>
          <w:p>
            <w:pPr>
              <w:pStyle w:val="12"/>
            </w:pPr>
          </w:p>
        </w:tc>
        <w:tc>
          <w:tcPr>
            <w:tcW w:w="2551" w:type="dxa"/>
            <w:vAlign w:val="center"/>
          </w:tcPr>
          <w:p>
            <w:pPr>
              <w:pStyle w:val="12"/>
            </w:pPr>
            <w:r>
              <w:t>≥3次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支付软件维护费用</w:t>
            </w:r>
          </w:p>
        </w:tc>
        <w:tc>
          <w:tcPr>
            <w:tcW w:w="2835" w:type="dxa"/>
            <w:vAlign w:val="center"/>
          </w:tcPr>
          <w:p>
            <w:pPr>
              <w:pStyle w:val="12"/>
            </w:pPr>
            <w:r>
              <w:t>足额支付网络运行维护费用</w:t>
            </w:r>
            <w:r>
              <w:tab/>
            </w:r>
          </w:p>
          <w:p>
            <w:pPr>
              <w:pStyle w:val="12"/>
            </w:pPr>
          </w:p>
        </w:tc>
        <w:tc>
          <w:tcPr>
            <w:tcW w:w="2551" w:type="dxa"/>
            <w:vAlign w:val="center"/>
          </w:tcPr>
          <w:p>
            <w:pPr>
              <w:pStyle w:val="12"/>
            </w:pPr>
            <w:r>
              <w:t>2家</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数据安全性</w:t>
            </w:r>
          </w:p>
        </w:tc>
        <w:tc>
          <w:tcPr>
            <w:tcW w:w="2835" w:type="dxa"/>
            <w:vAlign w:val="center"/>
          </w:tcPr>
          <w:p>
            <w:pPr>
              <w:pStyle w:val="12"/>
            </w:pPr>
            <w:r>
              <w:t>降低系统数据差错率、保证数据安全</w:t>
            </w:r>
            <w:r>
              <w:tab/>
            </w:r>
          </w:p>
          <w:p>
            <w:pPr>
              <w:pStyle w:val="12"/>
            </w:pPr>
          </w:p>
        </w:tc>
        <w:tc>
          <w:tcPr>
            <w:tcW w:w="2551" w:type="dxa"/>
            <w:vAlign w:val="center"/>
          </w:tcPr>
          <w:p>
            <w:pPr>
              <w:pStyle w:val="12"/>
            </w:pPr>
            <w:r>
              <w:t>≥98%</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代表活动完成率</w:t>
            </w:r>
          </w:p>
        </w:tc>
        <w:tc>
          <w:tcPr>
            <w:tcW w:w="2835" w:type="dxa"/>
            <w:vAlign w:val="center"/>
          </w:tcPr>
          <w:p>
            <w:pPr>
              <w:pStyle w:val="12"/>
            </w:pPr>
            <w:r>
              <w:t>做好协调组织工作，为代表依法履职提供服务。</w:t>
            </w:r>
          </w:p>
        </w:tc>
        <w:tc>
          <w:tcPr>
            <w:tcW w:w="2551" w:type="dxa"/>
            <w:vAlign w:val="center"/>
          </w:tcPr>
          <w:p>
            <w:pPr>
              <w:pStyle w:val="12"/>
            </w:pPr>
            <w:r>
              <w:t>≥98%</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2835" w:type="dxa"/>
            <w:vAlign w:val="center"/>
          </w:tcPr>
          <w:p>
            <w:pPr>
              <w:pStyle w:val="12"/>
            </w:pPr>
            <w:r>
              <w:t>备案审查及代表之家工作完成时间</w:t>
            </w:r>
            <w:r>
              <w:tab/>
            </w:r>
          </w:p>
          <w:p>
            <w:pPr>
              <w:pStyle w:val="12"/>
            </w:pPr>
          </w:p>
        </w:tc>
        <w:tc>
          <w:tcPr>
            <w:tcW w:w="2551" w:type="dxa"/>
            <w:vAlign w:val="center"/>
          </w:tcPr>
          <w:p>
            <w:pPr>
              <w:pStyle w:val="12"/>
            </w:pPr>
            <w:r>
              <w:t>12月</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代表之家运行费</w:t>
            </w:r>
          </w:p>
        </w:tc>
        <w:tc>
          <w:tcPr>
            <w:tcW w:w="2835" w:type="dxa"/>
            <w:vAlign w:val="center"/>
          </w:tcPr>
          <w:p>
            <w:pPr>
              <w:pStyle w:val="12"/>
            </w:pPr>
            <w:r>
              <w:t>人大代表之家运行经费控制数</w:t>
            </w:r>
          </w:p>
        </w:tc>
        <w:tc>
          <w:tcPr>
            <w:tcW w:w="2551" w:type="dxa"/>
            <w:vAlign w:val="center"/>
          </w:tcPr>
          <w:p>
            <w:pPr>
              <w:pStyle w:val="12"/>
            </w:pPr>
            <w:r>
              <w:t>≤2万元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预算联网监督费</w:t>
            </w:r>
          </w:p>
        </w:tc>
        <w:tc>
          <w:tcPr>
            <w:tcW w:w="2835" w:type="dxa"/>
            <w:vAlign w:val="center"/>
          </w:tcPr>
          <w:p>
            <w:pPr>
              <w:pStyle w:val="12"/>
            </w:pPr>
            <w:r>
              <w:t>预算联网监督工作成本费用</w:t>
            </w:r>
          </w:p>
        </w:tc>
        <w:tc>
          <w:tcPr>
            <w:tcW w:w="2551" w:type="dxa"/>
            <w:vAlign w:val="center"/>
          </w:tcPr>
          <w:p>
            <w:pPr>
              <w:pStyle w:val="12"/>
            </w:pPr>
            <w:r>
              <w:t>≤2万元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专门委员会活动经费</w:t>
            </w:r>
          </w:p>
        </w:tc>
        <w:tc>
          <w:tcPr>
            <w:tcW w:w="2835" w:type="dxa"/>
            <w:vAlign w:val="center"/>
          </w:tcPr>
          <w:p>
            <w:pPr>
              <w:pStyle w:val="12"/>
            </w:pPr>
            <w:r>
              <w:t>专门委员会活动及培训的经费支出</w:t>
            </w:r>
          </w:p>
        </w:tc>
        <w:tc>
          <w:tcPr>
            <w:tcW w:w="2551" w:type="dxa"/>
            <w:vAlign w:val="center"/>
          </w:tcPr>
          <w:p>
            <w:pPr>
              <w:pStyle w:val="12"/>
            </w:pPr>
            <w:r>
              <w:t>≤2.8万元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预算联网监督工作圆满完成</w:t>
            </w:r>
          </w:p>
        </w:tc>
        <w:tc>
          <w:tcPr>
            <w:tcW w:w="2835" w:type="dxa"/>
            <w:vAlign w:val="center"/>
          </w:tcPr>
          <w:p>
            <w:pPr>
              <w:pStyle w:val="12"/>
            </w:pPr>
            <w:r>
              <w:t>对政府预算检查和监督工作全面规范，实现预算制度公开透明</w:t>
            </w:r>
          </w:p>
        </w:tc>
        <w:tc>
          <w:tcPr>
            <w:tcW w:w="2551" w:type="dxa"/>
            <w:vAlign w:val="center"/>
          </w:tcPr>
          <w:p>
            <w:pPr>
              <w:pStyle w:val="12"/>
            </w:pPr>
            <w:r>
              <w:t>≥98%</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会议服务满意率</w:t>
            </w:r>
          </w:p>
        </w:tc>
        <w:tc>
          <w:tcPr>
            <w:tcW w:w="2835" w:type="dxa"/>
            <w:vAlign w:val="center"/>
          </w:tcPr>
          <w:p>
            <w:pPr>
              <w:pStyle w:val="12"/>
            </w:pPr>
            <w:r>
              <w:t>县人大代表和常委对代表工作的满意度</w:t>
            </w:r>
            <w:r>
              <w:tab/>
            </w:r>
          </w:p>
          <w:p>
            <w:pPr>
              <w:pStyle w:val="12"/>
            </w:pP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numPr>
                <w:ilvl w:val="0"/>
                <w:numId w:val="4"/>
              </w:numPr>
            </w:pPr>
            <w:r>
              <w:t>通过信息化推动备案审查工作不断发展，完成统一的备案审查信息平台建设，为建立健全宪法法律监督制度打好基础。</w:t>
            </w:r>
            <w:r>
              <w:tab/>
            </w:r>
            <w:r>
              <w:tab/>
            </w:r>
          </w:p>
          <w:p>
            <w:pPr>
              <w:pStyle w:val="12"/>
              <w:numPr>
                <w:ilvl w:val="0"/>
                <w:numId w:val="0"/>
              </w:numPr>
            </w:pPr>
            <w:r>
              <w:t>2.通过强化“人大代表之家”的服务功能，保证县人大常委会代表之家运转正常，进一步加强代表与选民的联系，让群众的意见能够直接反映给各级人大代表。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2835" w:type="dxa"/>
            <w:vAlign w:val="center"/>
          </w:tcPr>
          <w:p>
            <w:pPr>
              <w:pStyle w:val="12"/>
            </w:pPr>
            <w:r>
              <w:t>计划召开学习、视察、调查研究活动次数</w:t>
            </w:r>
          </w:p>
        </w:tc>
        <w:tc>
          <w:tcPr>
            <w:tcW w:w="2551" w:type="dxa"/>
            <w:vAlign w:val="center"/>
          </w:tcPr>
          <w:p>
            <w:pPr>
              <w:pStyle w:val="12"/>
            </w:pPr>
            <w:r>
              <w:t>≥3次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支付软件维护费用</w:t>
            </w:r>
          </w:p>
        </w:tc>
        <w:tc>
          <w:tcPr>
            <w:tcW w:w="2835" w:type="dxa"/>
            <w:vAlign w:val="center"/>
          </w:tcPr>
          <w:p>
            <w:pPr>
              <w:pStyle w:val="12"/>
            </w:pPr>
            <w:r>
              <w:t>足额支付网络运行维护费用</w:t>
            </w:r>
          </w:p>
        </w:tc>
        <w:tc>
          <w:tcPr>
            <w:tcW w:w="2551" w:type="dxa"/>
            <w:vAlign w:val="center"/>
          </w:tcPr>
          <w:p>
            <w:pPr>
              <w:pStyle w:val="12"/>
            </w:pPr>
            <w:r>
              <w:t>2家</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数据安全性</w:t>
            </w:r>
          </w:p>
        </w:tc>
        <w:tc>
          <w:tcPr>
            <w:tcW w:w="2835" w:type="dxa"/>
            <w:vAlign w:val="center"/>
          </w:tcPr>
          <w:p>
            <w:pPr>
              <w:pStyle w:val="12"/>
            </w:pPr>
            <w:r>
              <w:t>降低系统数据差错率、保证数据安全</w:t>
            </w:r>
          </w:p>
        </w:tc>
        <w:tc>
          <w:tcPr>
            <w:tcW w:w="2551" w:type="dxa"/>
            <w:vAlign w:val="center"/>
          </w:tcPr>
          <w:p>
            <w:pPr>
              <w:pStyle w:val="12"/>
            </w:pPr>
            <w:r>
              <w:t>≥98%</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数据维护及时性</w:t>
            </w:r>
          </w:p>
        </w:tc>
        <w:tc>
          <w:tcPr>
            <w:tcW w:w="2835" w:type="dxa"/>
            <w:vAlign w:val="center"/>
          </w:tcPr>
          <w:p>
            <w:pPr>
              <w:pStyle w:val="12"/>
            </w:pPr>
            <w:r>
              <w:t>系统维护及更新及时，稳定运行，保障预算监督工作正常运行</w:t>
            </w:r>
          </w:p>
        </w:tc>
        <w:tc>
          <w:tcPr>
            <w:tcW w:w="2551" w:type="dxa"/>
            <w:vAlign w:val="center"/>
          </w:tcPr>
          <w:p>
            <w:pPr>
              <w:pStyle w:val="12"/>
            </w:pPr>
            <w:r>
              <w:t>≥98%</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代表活动完成率</w:t>
            </w:r>
          </w:p>
        </w:tc>
        <w:tc>
          <w:tcPr>
            <w:tcW w:w="2835" w:type="dxa"/>
            <w:vAlign w:val="center"/>
          </w:tcPr>
          <w:p>
            <w:pPr>
              <w:pStyle w:val="12"/>
            </w:pPr>
            <w:r>
              <w:t>做好协调组织工作，为代表依法履职提供服务。</w:t>
            </w:r>
          </w:p>
        </w:tc>
        <w:tc>
          <w:tcPr>
            <w:tcW w:w="2551" w:type="dxa"/>
            <w:vAlign w:val="center"/>
          </w:tcPr>
          <w:p>
            <w:pPr>
              <w:pStyle w:val="12"/>
            </w:pPr>
            <w:r>
              <w:t>100%</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工作完成时效性</w:t>
            </w:r>
          </w:p>
        </w:tc>
        <w:tc>
          <w:tcPr>
            <w:tcW w:w="2835" w:type="dxa"/>
            <w:vAlign w:val="center"/>
          </w:tcPr>
          <w:p>
            <w:pPr>
              <w:pStyle w:val="12"/>
            </w:pPr>
            <w:r>
              <w:t>备案审查及代表之家工作完成时间</w:t>
            </w:r>
          </w:p>
        </w:tc>
        <w:tc>
          <w:tcPr>
            <w:tcW w:w="2551" w:type="dxa"/>
            <w:vAlign w:val="center"/>
          </w:tcPr>
          <w:p>
            <w:pPr>
              <w:pStyle w:val="12"/>
            </w:pPr>
            <w:r>
              <w:t>12月</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预算联网监督费</w:t>
            </w:r>
          </w:p>
        </w:tc>
        <w:tc>
          <w:tcPr>
            <w:tcW w:w="2835" w:type="dxa"/>
            <w:vAlign w:val="center"/>
          </w:tcPr>
          <w:p>
            <w:pPr>
              <w:pStyle w:val="12"/>
            </w:pPr>
            <w:r>
              <w:t>预算联网监督工作成本费用</w:t>
            </w:r>
          </w:p>
        </w:tc>
        <w:tc>
          <w:tcPr>
            <w:tcW w:w="2551" w:type="dxa"/>
            <w:vAlign w:val="center"/>
          </w:tcPr>
          <w:p>
            <w:pPr>
              <w:pStyle w:val="12"/>
            </w:pPr>
            <w:r>
              <w:t>≤4万</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代表之家运行费</w:t>
            </w:r>
          </w:p>
        </w:tc>
        <w:tc>
          <w:tcPr>
            <w:tcW w:w="2835" w:type="dxa"/>
            <w:vAlign w:val="center"/>
          </w:tcPr>
          <w:p>
            <w:pPr>
              <w:pStyle w:val="12"/>
            </w:pPr>
            <w:r>
              <w:t>人大代表之家运行经费控制数</w:t>
            </w:r>
          </w:p>
        </w:tc>
        <w:tc>
          <w:tcPr>
            <w:tcW w:w="2551" w:type="dxa"/>
            <w:vAlign w:val="center"/>
          </w:tcPr>
          <w:p>
            <w:pPr>
              <w:pStyle w:val="12"/>
            </w:pPr>
            <w:r>
              <w:t>≤2万</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专门委员会活动经费控制数</w:t>
            </w:r>
          </w:p>
        </w:tc>
        <w:tc>
          <w:tcPr>
            <w:tcW w:w="2835" w:type="dxa"/>
            <w:vAlign w:val="center"/>
          </w:tcPr>
          <w:p>
            <w:pPr>
              <w:pStyle w:val="12"/>
            </w:pPr>
            <w:r>
              <w:t>专门委员会培训及活动经费</w:t>
            </w:r>
          </w:p>
        </w:tc>
        <w:tc>
          <w:tcPr>
            <w:tcW w:w="2551" w:type="dxa"/>
            <w:vAlign w:val="center"/>
          </w:tcPr>
          <w:p>
            <w:pPr>
              <w:pStyle w:val="12"/>
            </w:pPr>
            <w:r>
              <w:t>≤5万</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预算联网监督工作圆满完成</w:t>
            </w:r>
          </w:p>
          <w:p>
            <w:pPr>
              <w:pStyle w:val="12"/>
            </w:pPr>
          </w:p>
        </w:tc>
        <w:tc>
          <w:tcPr>
            <w:tcW w:w="2835" w:type="dxa"/>
            <w:vAlign w:val="center"/>
          </w:tcPr>
          <w:p>
            <w:pPr>
              <w:pStyle w:val="12"/>
            </w:pPr>
            <w:r>
              <w:t>对政府预算检查和监督工作全面规范，实现预算制度公开透明</w:t>
            </w:r>
          </w:p>
        </w:tc>
        <w:tc>
          <w:tcPr>
            <w:tcW w:w="2551" w:type="dxa"/>
            <w:vAlign w:val="center"/>
          </w:tcPr>
          <w:p>
            <w:pPr>
              <w:pStyle w:val="12"/>
            </w:pPr>
            <w:r>
              <w:t>≥98%</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会议服务满意率</w:t>
            </w:r>
          </w:p>
        </w:tc>
        <w:tc>
          <w:tcPr>
            <w:tcW w:w="2835" w:type="dxa"/>
            <w:vAlign w:val="center"/>
          </w:tcPr>
          <w:p>
            <w:pPr>
              <w:pStyle w:val="12"/>
            </w:pPr>
            <w:r>
              <w:t>县人大代表和常委对代表工作的满意度</w:t>
            </w:r>
          </w:p>
          <w:p>
            <w:pPr>
              <w:pStyle w:val="12"/>
            </w:pPr>
          </w:p>
        </w:tc>
        <w:tc>
          <w:tcPr>
            <w:tcW w:w="2551" w:type="dxa"/>
            <w:vAlign w:val="center"/>
          </w:tcPr>
          <w:p>
            <w:pPr>
              <w:pStyle w:val="12"/>
            </w:pPr>
            <w:r>
              <w:t>≥95%</w:t>
            </w:r>
          </w:p>
        </w:tc>
        <w:tc>
          <w:tcPr>
            <w:tcW w:w="2268" w:type="dxa"/>
            <w:vAlign w:val="center"/>
          </w:tcPr>
          <w:p>
            <w:pPr>
              <w:pStyle w:val="12"/>
            </w:pPr>
            <w:r>
              <w:t>2023工作安排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6、九届人大二次会议经费绩效目标表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1.通过组织召开人大会完善各项会议制度，规范会议程序，提高会议质量。</w:t>
            </w:r>
          </w:p>
          <w:p>
            <w:pPr>
              <w:pStyle w:val="12"/>
            </w:pPr>
            <w:r>
              <w:t>2.通过组织召开人代会，提高人大代表及常委会审议水平及代表履职水平。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会议次数</w:t>
            </w:r>
          </w:p>
        </w:tc>
        <w:tc>
          <w:tcPr>
            <w:tcW w:w="2835" w:type="dxa"/>
            <w:vAlign w:val="center"/>
          </w:tcPr>
          <w:p>
            <w:pPr>
              <w:pStyle w:val="12"/>
            </w:pPr>
            <w:r>
              <w:t>组织召开九届人大二次会议的次数</w:t>
            </w:r>
          </w:p>
        </w:tc>
        <w:tc>
          <w:tcPr>
            <w:tcW w:w="2551" w:type="dxa"/>
            <w:vAlign w:val="center"/>
          </w:tcPr>
          <w:p>
            <w:pPr>
              <w:pStyle w:val="12"/>
            </w:pPr>
            <w:r>
              <w:t>1次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参加会议人数</w:t>
            </w:r>
          </w:p>
        </w:tc>
        <w:tc>
          <w:tcPr>
            <w:tcW w:w="2835" w:type="dxa"/>
            <w:vAlign w:val="center"/>
          </w:tcPr>
          <w:p>
            <w:pPr>
              <w:pStyle w:val="12"/>
            </w:pPr>
            <w:r>
              <w:t>参加及列席会议人员数量</w:t>
            </w:r>
          </w:p>
        </w:tc>
        <w:tc>
          <w:tcPr>
            <w:tcW w:w="2551" w:type="dxa"/>
            <w:vAlign w:val="center"/>
          </w:tcPr>
          <w:p>
            <w:pPr>
              <w:pStyle w:val="12"/>
            </w:pPr>
            <w:r>
              <w:t>≥200人</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会议召开天数</w:t>
            </w:r>
          </w:p>
        </w:tc>
        <w:tc>
          <w:tcPr>
            <w:tcW w:w="2835" w:type="dxa"/>
            <w:vAlign w:val="center"/>
          </w:tcPr>
          <w:p>
            <w:pPr>
              <w:pStyle w:val="12"/>
            </w:pPr>
            <w:r>
              <w:t>完成人大会议议程的天数</w:t>
            </w:r>
          </w:p>
        </w:tc>
        <w:tc>
          <w:tcPr>
            <w:tcW w:w="2551" w:type="dxa"/>
            <w:vAlign w:val="center"/>
          </w:tcPr>
          <w:p>
            <w:pPr>
              <w:pStyle w:val="12"/>
            </w:pPr>
            <w:r>
              <w:t>3天</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会议活动组织完成率</w:t>
            </w:r>
          </w:p>
        </w:tc>
        <w:tc>
          <w:tcPr>
            <w:tcW w:w="2835" w:type="dxa"/>
            <w:vAlign w:val="center"/>
          </w:tcPr>
          <w:p>
            <w:pPr>
              <w:pStyle w:val="12"/>
            </w:pPr>
            <w:r>
              <w:t>完成会议各项议程的情况</w:t>
            </w:r>
          </w:p>
        </w:tc>
        <w:tc>
          <w:tcPr>
            <w:tcW w:w="2551" w:type="dxa"/>
            <w:vAlign w:val="center"/>
          </w:tcPr>
          <w:p>
            <w:pPr>
              <w:pStyle w:val="12"/>
            </w:pPr>
            <w:r>
              <w:t>100%</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会议用品采购费用</w:t>
            </w:r>
          </w:p>
        </w:tc>
        <w:tc>
          <w:tcPr>
            <w:tcW w:w="2835" w:type="dxa"/>
            <w:vAlign w:val="center"/>
          </w:tcPr>
          <w:p>
            <w:pPr>
              <w:pStyle w:val="12"/>
            </w:pPr>
            <w:r>
              <w:t>采购各种证件、文件包、笔、本等会议用品</w:t>
            </w:r>
          </w:p>
        </w:tc>
        <w:tc>
          <w:tcPr>
            <w:tcW w:w="2551" w:type="dxa"/>
            <w:vAlign w:val="center"/>
          </w:tcPr>
          <w:p>
            <w:pPr>
              <w:pStyle w:val="12"/>
            </w:pPr>
            <w:r>
              <w:t>≤0.46万元</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各种报告的印刷费用情况</w:t>
            </w:r>
          </w:p>
        </w:tc>
        <w:tc>
          <w:tcPr>
            <w:tcW w:w="2551" w:type="dxa"/>
            <w:vAlign w:val="center"/>
          </w:tcPr>
          <w:p>
            <w:pPr>
              <w:pStyle w:val="12"/>
            </w:pPr>
            <w:r>
              <w:t>≤0.3万元</w:t>
            </w:r>
          </w:p>
          <w:p>
            <w:pPr>
              <w:pStyle w:val="12"/>
            </w:pP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代表食宿费用</w:t>
            </w:r>
          </w:p>
        </w:tc>
        <w:tc>
          <w:tcPr>
            <w:tcW w:w="2835" w:type="dxa"/>
            <w:vAlign w:val="center"/>
          </w:tcPr>
          <w:p>
            <w:pPr>
              <w:pStyle w:val="12"/>
            </w:pPr>
            <w:r>
              <w:t>参会代表食宿费用</w:t>
            </w:r>
          </w:p>
        </w:tc>
        <w:tc>
          <w:tcPr>
            <w:tcW w:w="2551" w:type="dxa"/>
            <w:vAlign w:val="center"/>
          </w:tcPr>
          <w:p>
            <w:pPr>
              <w:pStyle w:val="12"/>
            </w:pPr>
            <w:r>
              <w:t>≤0.3万元</w:t>
            </w:r>
          </w:p>
          <w:p>
            <w:pPr>
              <w:pStyle w:val="12"/>
            </w:pP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选票</w:t>
            </w:r>
          </w:p>
        </w:tc>
        <w:tc>
          <w:tcPr>
            <w:tcW w:w="2835" w:type="dxa"/>
            <w:vAlign w:val="center"/>
          </w:tcPr>
          <w:p>
            <w:pPr>
              <w:pStyle w:val="12"/>
            </w:pPr>
            <w:r>
              <w:t>会议所需选票费用</w:t>
            </w:r>
          </w:p>
        </w:tc>
        <w:tc>
          <w:tcPr>
            <w:tcW w:w="2551" w:type="dxa"/>
            <w:vAlign w:val="center"/>
          </w:tcPr>
          <w:p>
            <w:pPr>
              <w:pStyle w:val="12"/>
            </w:pPr>
            <w:r>
              <w:t>≤0.3万元</w:t>
            </w:r>
          </w:p>
          <w:p>
            <w:pPr>
              <w:pStyle w:val="12"/>
            </w:pP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会议完成时间</w:t>
            </w:r>
          </w:p>
        </w:tc>
        <w:tc>
          <w:tcPr>
            <w:tcW w:w="2835" w:type="dxa"/>
            <w:vAlign w:val="center"/>
          </w:tcPr>
          <w:p>
            <w:pPr>
              <w:pStyle w:val="12"/>
            </w:pPr>
            <w:r>
              <w:t>九届人大二次会议完成时间</w:t>
            </w:r>
          </w:p>
        </w:tc>
        <w:tc>
          <w:tcPr>
            <w:tcW w:w="2551" w:type="dxa"/>
            <w:vAlign w:val="center"/>
          </w:tcPr>
          <w:p>
            <w:pPr>
              <w:pStyle w:val="12"/>
            </w:pPr>
            <w:r>
              <w:t>2022年1月底前</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发挥人大代表监督作用</w:t>
            </w:r>
          </w:p>
        </w:tc>
        <w:tc>
          <w:tcPr>
            <w:tcW w:w="2835" w:type="dxa"/>
            <w:vAlign w:val="center"/>
          </w:tcPr>
          <w:p>
            <w:pPr>
              <w:pStyle w:val="12"/>
            </w:pPr>
            <w:r>
              <w:t>行使人代会权利，听取汇报，审议，和批准相关事项，发挥监督作用。</w:t>
            </w:r>
          </w:p>
        </w:tc>
        <w:tc>
          <w:tcPr>
            <w:tcW w:w="2551" w:type="dxa"/>
            <w:vAlign w:val="center"/>
          </w:tcPr>
          <w:p>
            <w:pPr>
              <w:pStyle w:val="12"/>
            </w:pPr>
            <w:r>
              <w:t>1次</w:t>
            </w:r>
          </w:p>
        </w:tc>
        <w:tc>
          <w:tcPr>
            <w:tcW w:w="2268" w:type="dxa"/>
            <w:vAlign w:val="center"/>
          </w:tcPr>
          <w:p>
            <w:pPr>
              <w:pStyle w:val="12"/>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代表对会议议程及结果满意度</w:t>
            </w:r>
          </w:p>
        </w:tc>
        <w:tc>
          <w:tcPr>
            <w:tcW w:w="2835" w:type="dxa"/>
            <w:vAlign w:val="center"/>
          </w:tcPr>
          <w:p>
            <w:pPr>
              <w:pStyle w:val="12"/>
            </w:pPr>
            <w:r>
              <w:t>人大代表对九届人大二次会议议程及结果安排满意程度</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2835" w:type="dxa"/>
            <w:vAlign w:val="center"/>
          </w:tcPr>
          <w:p>
            <w:pPr>
              <w:pStyle w:val="12"/>
            </w:pPr>
            <w:r>
              <w:t>组织召开的人代会等服务工作的满意度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7、九届人大三次会议经费绩效目标表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.通过组织召开人大会完善各项会议制度，规范会议程序，提高会议质量。</w:t>
            </w:r>
            <w:r>
              <w:tab/>
            </w:r>
            <w:r>
              <w:tab/>
            </w:r>
            <w:r>
              <w:tab/>
            </w:r>
          </w:p>
          <w:p>
            <w:pPr>
              <w:pStyle w:val="12"/>
            </w:pPr>
            <w:r>
              <w:rPr>
                <w:rFonts w:hint="eastAsia"/>
                <w:lang w:val="en-US" w:eastAsia="zh-CN"/>
              </w:rPr>
              <w:t>2</w:t>
            </w:r>
            <w:r>
              <w:t>.通过组织召开人代会，提高人大代表及常委会审议水平及代表履职水平。</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会议次数</w:t>
            </w:r>
          </w:p>
        </w:tc>
        <w:tc>
          <w:tcPr>
            <w:tcW w:w="2835" w:type="dxa"/>
            <w:vAlign w:val="center"/>
          </w:tcPr>
          <w:p>
            <w:pPr>
              <w:pStyle w:val="12"/>
            </w:pPr>
            <w:r>
              <w:t>组织召开九届人大三次会议的次数</w:t>
            </w:r>
          </w:p>
        </w:tc>
        <w:tc>
          <w:tcPr>
            <w:tcW w:w="2551" w:type="dxa"/>
            <w:vAlign w:val="center"/>
          </w:tcPr>
          <w:p>
            <w:pPr>
              <w:pStyle w:val="12"/>
            </w:pPr>
            <w:r>
              <w:t>1次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参加会议人数</w:t>
            </w:r>
          </w:p>
        </w:tc>
        <w:tc>
          <w:tcPr>
            <w:tcW w:w="2835" w:type="dxa"/>
            <w:vAlign w:val="center"/>
          </w:tcPr>
          <w:p>
            <w:pPr>
              <w:pStyle w:val="12"/>
            </w:pPr>
            <w:r>
              <w:t>参加及列席会议人员数量</w:t>
            </w:r>
          </w:p>
        </w:tc>
        <w:tc>
          <w:tcPr>
            <w:tcW w:w="2551" w:type="dxa"/>
            <w:vAlign w:val="center"/>
          </w:tcPr>
          <w:p>
            <w:pPr>
              <w:pStyle w:val="12"/>
            </w:pPr>
            <w:r>
              <w:t>≥200人</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会议召开天数</w:t>
            </w:r>
          </w:p>
        </w:tc>
        <w:tc>
          <w:tcPr>
            <w:tcW w:w="2835" w:type="dxa"/>
            <w:vAlign w:val="center"/>
          </w:tcPr>
          <w:p>
            <w:pPr>
              <w:pStyle w:val="12"/>
            </w:pPr>
            <w:r>
              <w:t>完成人大会议议程的天数</w:t>
            </w:r>
          </w:p>
        </w:tc>
        <w:tc>
          <w:tcPr>
            <w:tcW w:w="2551" w:type="dxa"/>
            <w:vAlign w:val="center"/>
          </w:tcPr>
          <w:p>
            <w:pPr>
              <w:pStyle w:val="12"/>
            </w:pPr>
            <w:r>
              <w:t>3天</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会议活动组织完成率</w:t>
            </w:r>
          </w:p>
        </w:tc>
        <w:tc>
          <w:tcPr>
            <w:tcW w:w="2835" w:type="dxa"/>
            <w:vAlign w:val="center"/>
          </w:tcPr>
          <w:p>
            <w:pPr>
              <w:pStyle w:val="12"/>
            </w:pPr>
            <w:r>
              <w:t>完成会议各项议程的情况</w:t>
            </w:r>
          </w:p>
        </w:tc>
        <w:tc>
          <w:tcPr>
            <w:tcW w:w="2551" w:type="dxa"/>
            <w:vAlign w:val="center"/>
          </w:tcPr>
          <w:p>
            <w:pPr>
              <w:pStyle w:val="12"/>
            </w:pPr>
            <w:r>
              <w:t>100%</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会议用品采购费用</w:t>
            </w:r>
          </w:p>
        </w:tc>
        <w:tc>
          <w:tcPr>
            <w:tcW w:w="2835" w:type="dxa"/>
            <w:vAlign w:val="center"/>
          </w:tcPr>
          <w:p>
            <w:pPr>
              <w:pStyle w:val="12"/>
            </w:pPr>
            <w:r>
              <w:t>采购各种证件、文件包、笔、本等会议用品</w:t>
            </w:r>
          </w:p>
        </w:tc>
        <w:tc>
          <w:tcPr>
            <w:tcW w:w="2551" w:type="dxa"/>
            <w:vAlign w:val="center"/>
          </w:tcPr>
          <w:p>
            <w:pPr>
              <w:pStyle w:val="12"/>
            </w:pPr>
            <w:r>
              <w:t>≤3万元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各种报告的印刷费用情况</w:t>
            </w:r>
          </w:p>
        </w:tc>
        <w:tc>
          <w:tcPr>
            <w:tcW w:w="2551" w:type="dxa"/>
            <w:vAlign w:val="center"/>
          </w:tcPr>
          <w:p>
            <w:pPr>
              <w:pStyle w:val="12"/>
            </w:pPr>
            <w:r>
              <w:t>≤3.5万元</w:t>
            </w:r>
          </w:p>
          <w:p>
            <w:pPr>
              <w:pStyle w:val="12"/>
            </w:pP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代表食宿费用</w:t>
            </w:r>
          </w:p>
        </w:tc>
        <w:tc>
          <w:tcPr>
            <w:tcW w:w="2835" w:type="dxa"/>
            <w:vAlign w:val="center"/>
          </w:tcPr>
          <w:p>
            <w:pPr>
              <w:pStyle w:val="12"/>
            </w:pPr>
            <w:r>
              <w:t>参会代表食宿费用</w:t>
            </w:r>
          </w:p>
        </w:tc>
        <w:tc>
          <w:tcPr>
            <w:tcW w:w="2551" w:type="dxa"/>
            <w:vAlign w:val="center"/>
          </w:tcPr>
          <w:p>
            <w:pPr>
              <w:pStyle w:val="12"/>
            </w:pPr>
            <w:r>
              <w:t>≤12万元</w:t>
            </w:r>
          </w:p>
          <w:p>
            <w:pPr>
              <w:pStyle w:val="12"/>
            </w:pP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选票</w:t>
            </w:r>
          </w:p>
        </w:tc>
        <w:tc>
          <w:tcPr>
            <w:tcW w:w="2835" w:type="dxa"/>
            <w:vAlign w:val="center"/>
          </w:tcPr>
          <w:p>
            <w:pPr>
              <w:pStyle w:val="12"/>
            </w:pPr>
            <w:r>
              <w:t>会议所需选票费用</w:t>
            </w:r>
          </w:p>
        </w:tc>
        <w:tc>
          <w:tcPr>
            <w:tcW w:w="2551" w:type="dxa"/>
            <w:vAlign w:val="center"/>
          </w:tcPr>
          <w:p>
            <w:pPr>
              <w:pStyle w:val="12"/>
            </w:pPr>
            <w:r>
              <w:t>≤1.5万元</w:t>
            </w:r>
          </w:p>
          <w:p>
            <w:pPr>
              <w:pStyle w:val="12"/>
            </w:pP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会议完成时间</w:t>
            </w:r>
          </w:p>
        </w:tc>
        <w:tc>
          <w:tcPr>
            <w:tcW w:w="2835" w:type="dxa"/>
            <w:vAlign w:val="center"/>
          </w:tcPr>
          <w:p>
            <w:pPr>
              <w:pStyle w:val="12"/>
            </w:pPr>
            <w:r>
              <w:t>九届人大二次会议完成时间</w:t>
            </w:r>
          </w:p>
        </w:tc>
        <w:tc>
          <w:tcPr>
            <w:tcW w:w="2551" w:type="dxa"/>
            <w:vAlign w:val="center"/>
          </w:tcPr>
          <w:p>
            <w:pPr>
              <w:pStyle w:val="12"/>
            </w:pPr>
            <w:r>
              <w:t>2022年1月底前</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发挥人大代表监督作用</w:t>
            </w:r>
          </w:p>
        </w:tc>
        <w:tc>
          <w:tcPr>
            <w:tcW w:w="2835" w:type="dxa"/>
            <w:vAlign w:val="center"/>
          </w:tcPr>
          <w:p>
            <w:pPr>
              <w:pStyle w:val="12"/>
            </w:pPr>
            <w:r>
              <w:t>行使人代会权利，听取汇报，审议，和批准相关事项，发挥监督作用。</w:t>
            </w:r>
          </w:p>
        </w:tc>
        <w:tc>
          <w:tcPr>
            <w:tcW w:w="2551" w:type="dxa"/>
            <w:vAlign w:val="center"/>
          </w:tcPr>
          <w:p>
            <w:pPr>
              <w:pStyle w:val="12"/>
            </w:pPr>
            <w:r>
              <w:t>1次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代表对会议议程及结果满意度</w:t>
            </w:r>
          </w:p>
        </w:tc>
        <w:tc>
          <w:tcPr>
            <w:tcW w:w="2835" w:type="dxa"/>
            <w:vAlign w:val="center"/>
          </w:tcPr>
          <w:p>
            <w:pPr>
              <w:pStyle w:val="12"/>
            </w:pPr>
            <w:r>
              <w:t>人大代表对九届人大二次会议议程及结果安排满意程度</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2835" w:type="dxa"/>
            <w:vAlign w:val="center"/>
          </w:tcPr>
          <w:p>
            <w:pPr>
              <w:pStyle w:val="12"/>
            </w:pPr>
            <w:r>
              <w:t>组织召开的人代会等服务工作的满意度</w:t>
            </w:r>
          </w:p>
        </w:tc>
        <w:tc>
          <w:tcPr>
            <w:tcW w:w="2551" w:type="dxa"/>
            <w:vAlign w:val="center"/>
          </w:tcPr>
          <w:p>
            <w:pPr>
              <w:pStyle w:val="12"/>
            </w:pPr>
            <w:r>
              <w:t>≥95%</w:t>
            </w:r>
          </w:p>
        </w:tc>
        <w:tc>
          <w:tcPr>
            <w:tcW w:w="2268" w:type="dxa"/>
            <w:vAlign w:val="center"/>
          </w:tcPr>
          <w:p>
            <w:pPr>
              <w:pStyle w:val="12"/>
            </w:pPr>
            <w:r>
              <w:t>2023年工作安排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8、秦皇岛市财政局关于下达2022年人大代表经费的通知（秦财行【2022】613号）绩效目标表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1.通过组织代表日常开展职务活动、学习培训、参加调研视察和执法检查，发挥常委及代表的桥梁纽带作用，集中反映民意，促进依法履职。</w:t>
            </w:r>
            <w:r>
              <w:tab/>
            </w:r>
            <w:r>
              <w:tab/>
            </w:r>
            <w:r>
              <w:tab/>
            </w:r>
            <w:r>
              <w:tab/>
            </w:r>
            <w:r>
              <w:tab/>
            </w:r>
          </w:p>
          <w:p>
            <w:pPr>
              <w:pStyle w:val="12"/>
            </w:pPr>
            <w:r>
              <w:t>2.通过组织调研培训等活动，提高代表们的履职能力，保障各项工作的持续有序推进。</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开展调研视察次数</w:t>
            </w:r>
          </w:p>
        </w:tc>
        <w:tc>
          <w:tcPr>
            <w:tcW w:w="2835" w:type="dxa"/>
            <w:vAlign w:val="center"/>
          </w:tcPr>
          <w:p>
            <w:pPr>
              <w:pStyle w:val="12"/>
            </w:pPr>
            <w:r>
              <w:t>组织开展调研视察活动的次数</w:t>
            </w:r>
          </w:p>
        </w:tc>
        <w:tc>
          <w:tcPr>
            <w:tcW w:w="2551" w:type="dxa"/>
            <w:vAlign w:val="center"/>
          </w:tcPr>
          <w:p>
            <w:pPr>
              <w:pStyle w:val="12"/>
            </w:pPr>
            <w:r>
              <w:t>5次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开展职务活动、学习培训次数</w:t>
            </w:r>
          </w:p>
        </w:tc>
        <w:tc>
          <w:tcPr>
            <w:tcW w:w="2835" w:type="dxa"/>
            <w:vAlign w:val="center"/>
          </w:tcPr>
          <w:p>
            <w:pPr>
              <w:pStyle w:val="12"/>
            </w:pPr>
            <w:r>
              <w:t>开展职务活动、学习培训的次数</w:t>
            </w:r>
          </w:p>
        </w:tc>
        <w:tc>
          <w:tcPr>
            <w:tcW w:w="2551" w:type="dxa"/>
            <w:vAlign w:val="center"/>
          </w:tcPr>
          <w:p>
            <w:pPr>
              <w:pStyle w:val="12"/>
            </w:pPr>
            <w:r>
              <w:t>2次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开展执法检查的次数</w:t>
            </w:r>
          </w:p>
        </w:tc>
        <w:tc>
          <w:tcPr>
            <w:tcW w:w="2551" w:type="dxa"/>
            <w:vAlign w:val="center"/>
          </w:tcPr>
          <w:p>
            <w:pPr>
              <w:pStyle w:val="12"/>
            </w:pPr>
            <w:r>
              <w:t>4次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开展调研视察完成率</w:t>
            </w:r>
          </w:p>
        </w:tc>
        <w:tc>
          <w:tcPr>
            <w:tcW w:w="2835" w:type="dxa"/>
            <w:vAlign w:val="center"/>
          </w:tcPr>
          <w:p>
            <w:pPr>
              <w:pStyle w:val="12"/>
            </w:pPr>
            <w:r>
              <w:t>实际调研视察数量占计划数的比例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开展职务活动、学习培训完成率</w:t>
            </w:r>
          </w:p>
        </w:tc>
        <w:tc>
          <w:tcPr>
            <w:tcW w:w="2835" w:type="dxa"/>
            <w:vAlign w:val="center"/>
          </w:tcPr>
          <w:p>
            <w:pPr>
              <w:pStyle w:val="12"/>
            </w:pPr>
            <w:r>
              <w:t>实际培训数量占计划数的比例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开展执法检查完成率</w:t>
            </w:r>
          </w:p>
        </w:tc>
        <w:tc>
          <w:tcPr>
            <w:tcW w:w="2835" w:type="dxa"/>
            <w:vAlign w:val="center"/>
          </w:tcPr>
          <w:p>
            <w:pPr>
              <w:pStyle w:val="12"/>
            </w:pPr>
            <w:r>
              <w:t>实际执法检查数量占计划数的比例</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反映布置与培训预算控制情况</w:t>
            </w:r>
          </w:p>
        </w:tc>
        <w:tc>
          <w:tcPr>
            <w:tcW w:w="2551" w:type="dxa"/>
            <w:vAlign w:val="center"/>
          </w:tcPr>
          <w:p>
            <w:pPr>
              <w:pStyle w:val="12"/>
            </w:pPr>
            <w:r>
              <w:t>≤1万元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反映调研与信息收集预算控制情况</w:t>
            </w:r>
          </w:p>
        </w:tc>
        <w:tc>
          <w:tcPr>
            <w:tcW w:w="2551" w:type="dxa"/>
            <w:vAlign w:val="center"/>
          </w:tcPr>
          <w:p>
            <w:pPr>
              <w:pStyle w:val="12"/>
            </w:pPr>
            <w:r>
              <w:t>≤1.25万元</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调研、培训工作、执法检查完成时间</w:t>
            </w:r>
          </w:p>
        </w:tc>
        <w:tc>
          <w:tcPr>
            <w:tcW w:w="2835" w:type="dxa"/>
            <w:vAlign w:val="center"/>
          </w:tcPr>
          <w:p>
            <w:pPr>
              <w:pStyle w:val="12"/>
            </w:pPr>
            <w:r>
              <w:t>反映调研、培训工作、执法检查完成时间</w:t>
            </w:r>
          </w:p>
        </w:tc>
        <w:tc>
          <w:tcPr>
            <w:tcW w:w="2551" w:type="dxa"/>
            <w:vAlign w:val="center"/>
          </w:tcPr>
          <w:p>
            <w:pPr>
              <w:pStyle w:val="12"/>
            </w:pPr>
            <w:r>
              <w:t>≥95%</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监督指导作用</w:t>
            </w:r>
          </w:p>
        </w:tc>
        <w:tc>
          <w:tcPr>
            <w:tcW w:w="2835" w:type="dxa"/>
            <w:vAlign w:val="center"/>
          </w:tcPr>
          <w:p>
            <w:pPr>
              <w:pStyle w:val="12"/>
            </w:pPr>
            <w:r>
              <w:t>学习培训等活动促使各项工作运转较上一年度有明显提高</w:t>
            </w:r>
          </w:p>
        </w:tc>
        <w:tc>
          <w:tcPr>
            <w:tcW w:w="2551" w:type="dxa"/>
            <w:vAlign w:val="center"/>
          </w:tcPr>
          <w:p>
            <w:pPr>
              <w:pStyle w:val="12"/>
            </w:pPr>
            <w:r>
              <w:t>≥8%</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代表履职水平</w:t>
            </w:r>
          </w:p>
        </w:tc>
        <w:tc>
          <w:tcPr>
            <w:tcW w:w="2835" w:type="dxa"/>
            <w:vAlign w:val="center"/>
          </w:tcPr>
          <w:p>
            <w:pPr>
              <w:pStyle w:val="12"/>
            </w:pPr>
            <w:r>
              <w:t>通过组织开展代表学习培训、视察、调研等活动，促进代表工作水平和代表履职能力的提高</w:t>
            </w:r>
          </w:p>
        </w:tc>
        <w:tc>
          <w:tcPr>
            <w:tcW w:w="2551" w:type="dxa"/>
            <w:vAlign w:val="center"/>
          </w:tcPr>
          <w:p>
            <w:pPr>
              <w:pStyle w:val="12"/>
            </w:pPr>
            <w:r>
              <w:t>≥11次</w:t>
            </w:r>
          </w:p>
        </w:tc>
        <w:tc>
          <w:tcPr>
            <w:tcW w:w="2268" w:type="dxa"/>
            <w:vAlign w:val="center"/>
          </w:tcPr>
          <w:p>
            <w:pPr>
              <w:pStyle w:val="12"/>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各级人大代表满意度</w:t>
            </w:r>
          </w:p>
        </w:tc>
        <w:tc>
          <w:tcPr>
            <w:tcW w:w="2835" w:type="dxa"/>
            <w:vAlign w:val="center"/>
          </w:tcPr>
          <w:p>
            <w:pPr>
              <w:pStyle w:val="12"/>
            </w:pPr>
            <w:r>
              <w:t>通过问卷调查人大代表对工作的满意度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eastAsia="方正仿宋_GBK"/>
          <w:color w:val="000000"/>
          <w:sz w:val="28"/>
        </w:rPr>
      </w:pPr>
      <w:r>
        <w:rPr>
          <w:rFonts w:eastAsia="方正仿宋_GBK"/>
          <w:color w:val="000000"/>
          <w:sz w:val="28"/>
        </w:rPr>
        <w:t>2023年，青龙满族自治县人民代表大会常务委员会办公室安排政府采购预算0.00万元。具体内容见下表。</w:t>
      </w:r>
    </w:p>
    <w:p>
      <w:pPr>
        <w:spacing w:line="500" w:lineRule="exact"/>
        <w:ind w:firstLine="560"/>
        <w:rPr>
          <w:rFonts w:eastAsia="方正仿宋_GBK"/>
          <w:color w:val="000000"/>
          <w:sz w:val="28"/>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4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880"/>
        <w:gridCol w:w="1035"/>
        <w:gridCol w:w="1035"/>
        <w:gridCol w:w="646"/>
        <w:gridCol w:w="775"/>
        <w:gridCol w:w="778"/>
        <w:gridCol w:w="879"/>
        <w:gridCol w:w="879"/>
        <w:gridCol w:w="879"/>
        <w:gridCol w:w="879"/>
        <w:gridCol w:w="879"/>
        <w:gridCol w:w="879"/>
        <w:gridCol w:w="879"/>
        <w:gridCol w:w="886"/>
        <w:gridCol w:w="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7" w:hRule="atLeast"/>
          <w:tblHeader/>
          <w:jc w:val="center"/>
        </w:trPr>
        <w:tc>
          <w:tcPr>
            <w:tcW w:w="6701" w:type="dxa"/>
            <w:gridSpan w:val="7"/>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7918"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9" w:hRule="atLeast"/>
          <w:tblHeader/>
          <w:jc w:val="center"/>
        </w:trPr>
        <w:tc>
          <w:tcPr>
            <w:tcW w:w="2432" w:type="dxa"/>
            <w:gridSpan w:val="2"/>
            <w:vAlign w:val="center"/>
          </w:tcPr>
          <w:p>
            <w:pPr>
              <w:pStyle w:val="10"/>
            </w:pPr>
            <w:r>
              <w:t>政府采购项目来源</w:t>
            </w:r>
          </w:p>
        </w:tc>
        <w:tc>
          <w:tcPr>
            <w:tcW w:w="1035" w:type="dxa"/>
            <w:vMerge w:val="restart"/>
            <w:vAlign w:val="center"/>
          </w:tcPr>
          <w:p>
            <w:pPr>
              <w:pStyle w:val="10"/>
            </w:pPr>
            <w:r>
              <w:t>采购物品名称</w:t>
            </w:r>
          </w:p>
        </w:tc>
        <w:tc>
          <w:tcPr>
            <w:tcW w:w="1035" w:type="dxa"/>
            <w:vMerge w:val="restart"/>
            <w:vAlign w:val="center"/>
          </w:tcPr>
          <w:p>
            <w:pPr>
              <w:pStyle w:val="10"/>
            </w:pPr>
            <w:r>
              <w:t>政府采购目录序号</w:t>
            </w:r>
          </w:p>
        </w:tc>
        <w:tc>
          <w:tcPr>
            <w:tcW w:w="646" w:type="dxa"/>
            <w:vMerge w:val="restart"/>
            <w:vAlign w:val="center"/>
          </w:tcPr>
          <w:p>
            <w:pPr>
              <w:pStyle w:val="10"/>
            </w:pPr>
            <w:r>
              <w:t>计量  单位</w:t>
            </w:r>
          </w:p>
        </w:tc>
        <w:tc>
          <w:tcPr>
            <w:tcW w:w="775" w:type="dxa"/>
            <w:vMerge w:val="restart"/>
            <w:vAlign w:val="center"/>
          </w:tcPr>
          <w:p>
            <w:pPr>
              <w:pStyle w:val="10"/>
            </w:pPr>
            <w:r>
              <w:t>数量</w:t>
            </w:r>
          </w:p>
        </w:tc>
        <w:tc>
          <w:tcPr>
            <w:tcW w:w="778" w:type="dxa"/>
            <w:vMerge w:val="restart"/>
            <w:vAlign w:val="center"/>
          </w:tcPr>
          <w:p>
            <w:pPr>
              <w:pStyle w:val="10"/>
            </w:pPr>
            <w:r>
              <w:t>单价</w:t>
            </w:r>
          </w:p>
        </w:tc>
        <w:tc>
          <w:tcPr>
            <w:tcW w:w="7039" w:type="dxa"/>
            <w:gridSpan w:val="8"/>
            <w:vAlign w:val="center"/>
          </w:tcPr>
          <w:p>
            <w:pPr>
              <w:pStyle w:val="10"/>
            </w:pPr>
            <w:r>
              <w:t>政府采购金额（当年</w:t>
            </w:r>
            <w:r>
              <w:rPr>
                <w:rFonts w:hint="eastAsia"/>
                <w:lang w:eastAsia="zh-CN"/>
              </w:rPr>
              <w:t>单位</w:t>
            </w:r>
            <w:r>
              <w:t>预算安排资金）</w:t>
            </w:r>
          </w:p>
        </w:tc>
        <w:tc>
          <w:tcPr>
            <w:tcW w:w="879"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3" w:hRule="atLeast"/>
          <w:tblHeader/>
          <w:jc w:val="center"/>
        </w:trPr>
        <w:tc>
          <w:tcPr>
            <w:tcW w:w="1552" w:type="dxa"/>
            <w:vAlign w:val="center"/>
          </w:tcPr>
          <w:p>
            <w:pPr>
              <w:pStyle w:val="10"/>
            </w:pPr>
            <w:r>
              <w:t>项目名称</w:t>
            </w:r>
          </w:p>
        </w:tc>
        <w:tc>
          <w:tcPr>
            <w:tcW w:w="880" w:type="dxa"/>
            <w:vAlign w:val="center"/>
          </w:tcPr>
          <w:p>
            <w:pPr>
              <w:pStyle w:val="10"/>
            </w:pPr>
            <w:r>
              <w:t>预算    资金</w:t>
            </w:r>
          </w:p>
        </w:tc>
        <w:tc>
          <w:tcPr>
            <w:tcW w:w="1035" w:type="dxa"/>
            <w:vMerge w:val="continue"/>
          </w:tcPr>
          <w:p/>
        </w:tc>
        <w:tc>
          <w:tcPr>
            <w:tcW w:w="1035" w:type="dxa"/>
            <w:vMerge w:val="continue"/>
          </w:tcPr>
          <w:p/>
        </w:tc>
        <w:tc>
          <w:tcPr>
            <w:tcW w:w="646" w:type="dxa"/>
            <w:vMerge w:val="continue"/>
          </w:tcPr>
          <w:p/>
        </w:tc>
        <w:tc>
          <w:tcPr>
            <w:tcW w:w="775" w:type="dxa"/>
            <w:vMerge w:val="continue"/>
          </w:tcPr>
          <w:p/>
        </w:tc>
        <w:tc>
          <w:tcPr>
            <w:tcW w:w="778" w:type="dxa"/>
            <w:vMerge w:val="continue"/>
          </w:tcPr>
          <w:p/>
        </w:tc>
        <w:tc>
          <w:tcPr>
            <w:tcW w:w="879" w:type="dxa"/>
            <w:vAlign w:val="center"/>
          </w:tcPr>
          <w:p>
            <w:pPr>
              <w:pStyle w:val="10"/>
            </w:pPr>
            <w:r>
              <w:t>合计</w:t>
            </w:r>
          </w:p>
        </w:tc>
        <w:tc>
          <w:tcPr>
            <w:tcW w:w="879" w:type="dxa"/>
            <w:vAlign w:val="center"/>
          </w:tcPr>
          <w:p>
            <w:pPr>
              <w:pStyle w:val="10"/>
            </w:pPr>
            <w:r>
              <w:t>一般公共预算拨款</w:t>
            </w:r>
          </w:p>
        </w:tc>
        <w:tc>
          <w:tcPr>
            <w:tcW w:w="879" w:type="dxa"/>
            <w:vAlign w:val="center"/>
          </w:tcPr>
          <w:p>
            <w:pPr>
              <w:pStyle w:val="10"/>
            </w:pPr>
            <w:r>
              <w:t>基金预算拨款</w:t>
            </w:r>
          </w:p>
        </w:tc>
        <w:tc>
          <w:tcPr>
            <w:tcW w:w="879" w:type="dxa"/>
            <w:vAlign w:val="center"/>
          </w:tcPr>
          <w:p>
            <w:pPr>
              <w:pStyle w:val="10"/>
            </w:pPr>
            <w:r>
              <w:t>国有资本经营预算拨款</w:t>
            </w:r>
          </w:p>
        </w:tc>
        <w:tc>
          <w:tcPr>
            <w:tcW w:w="879" w:type="dxa"/>
            <w:vAlign w:val="center"/>
          </w:tcPr>
          <w:p>
            <w:pPr>
              <w:pStyle w:val="10"/>
            </w:pPr>
            <w:r>
              <w:t>财政专户核拨</w:t>
            </w:r>
          </w:p>
        </w:tc>
        <w:tc>
          <w:tcPr>
            <w:tcW w:w="879" w:type="dxa"/>
            <w:vAlign w:val="center"/>
          </w:tcPr>
          <w:p>
            <w:pPr>
              <w:pStyle w:val="10"/>
            </w:pPr>
            <w:r>
              <w:t>单位    资金</w:t>
            </w:r>
          </w:p>
        </w:tc>
        <w:tc>
          <w:tcPr>
            <w:tcW w:w="879" w:type="dxa"/>
            <w:vAlign w:val="center"/>
          </w:tcPr>
          <w:p>
            <w:pPr>
              <w:pStyle w:val="10"/>
            </w:pPr>
            <w:r>
              <w:t>财政拨    款结转</w:t>
            </w:r>
          </w:p>
        </w:tc>
        <w:tc>
          <w:tcPr>
            <w:tcW w:w="886" w:type="dxa"/>
            <w:vAlign w:val="center"/>
          </w:tcPr>
          <w:p>
            <w:pPr>
              <w:pStyle w:val="10"/>
            </w:pPr>
            <w:r>
              <w:t>非财政    拨款结    转结余</w:t>
            </w:r>
          </w:p>
        </w:tc>
        <w:tc>
          <w:tcPr>
            <w:tcW w:w="8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52" w:type="dxa"/>
            <w:vAlign w:val="center"/>
          </w:tcPr>
          <w:p>
            <w:pPr>
              <w:pStyle w:val="12"/>
            </w:pPr>
          </w:p>
        </w:tc>
        <w:tc>
          <w:tcPr>
            <w:tcW w:w="880" w:type="dxa"/>
            <w:vAlign w:val="center"/>
          </w:tcPr>
          <w:p>
            <w:pPr>
              <w:pStyle w:val="11"/>
            </w:pPr>
          </w:p>
        </w:tc>
        <w:tc>
          <w:tcPr>
            <w:tcW w:w="1035" w:type="dxa"/>
            <w:vAlign w:val="center"/>
          </w:tcPr>
          <w:p>
            <w:pPr>
              <w:pStyle w:val="12"/>
            </w:pPr>
          </w:p>
        </w:tc>
        <w:tc>
          <w:tcPr>
            <w:tcW w:w="1035" w:type="dxa"/>
            <w:vAlign w:val="center"/>
          </w:tcPr>
          <w:p>
            <w:pPr>
              <w:pStyle w:val="12"/>
            </w:pPr>
          </w:p>
        </w:tc>
        <w:tc>
          <w:tcPr>
            <w:tcW w:w="646" w:type="dxa"/>
            <w:vAlign w:val="center"/>
          </w:tcPr>
          <w:p>
            <w:pPr>
              <w:pStyle w:val="13"/>
            </w:pPr>
          </w:p>
        </w:tc>
        <w:tc>
          <w:tcPr>
            <w:tcW w:w="775" w:type="dxa"/>
            <w:vAlign w:val="center"/>
          </w:tcPr>
          <w:p>
            <w:pPr>
              <w:pStyle w:val="11"/>
            </w:pPr>
          </w:p>
        </w:tc>
        <w:tc>
          <w:tcPr>
            <w:tcW w:w="778" w:type="dxa"/>
            <w:vAlign w:val="center"/>
          </w:tcPr>
          <w:p>
            <w:pPr>
              <w:pStyle w:val="11"/>
            </w:pPr>
          </w:p>
        </w:tc>
        <w:tc>
          <w:tcPr>
            <w:tcW w:w="879" w:type="dxa"/>
            <w:vAlign w:val="center"/>
          </w:tcPr>
          <w:p>
            <w:pPr>
              <w:pStyle w:val="11"/>
            </w:pPr>
          </w:p>
        </w:tc>
        <w:tc>
          <w:tcPr>
            <w:tcW w:w="879" w:type="dxa"/>
            <w:vAlign w:val="center"/>
          </w:tcPr>
          <w:p>
            <w:pPr>
              <w:pStyle w:val="11"/>
            </w:pPr>
          </w:p>
        </w:tc>
        <w:tc>
          <w:tcPr>
            <w:tcW w:w="879" w:type="dxa"/>
            <w:vAlign w:val="center"/>
          </w:tcPr>
          <w:p>
            <w:pPr>
              <w:pStyle w:val="11"/>
            </w:pPr>
          </w:p>
        </w:tc>
        <w:tc>
          <w:tcPr>
            <w:tcW w:w="879" w:type="dxa"/>
            <w:vAlign w:val="center"/>
          </w:tcPr>
          <w:p>
            <w:pPr>
              <w:pStyle w:val="11"/>
            </w:pPr>
          </w:p>
        </w:tc>
        <w:tc>
          <w:tcPr>
            <w:tcW w:w="879" w:type="dxa"/>
            <w:vAlign w:val="center"/>
          </w:tcPr>
          <w:p>
            <w:pPr>
              <w:pStyle w:val="11"/>
            </w:pPr>
          </w:p>
        </w:tc>
        <w:tc>
          <w:tcPr>
            <w:tcW w:w="879" w:type="dxa"/>
            <w:vAlign w:val="center"/>
          </w:tcPr>
          <w:p>
            <w:pPr>
              <w:pStyle w:val="11"/>
            </w:pPr>
          </w:p>
        </w:tc>
        <w:tc>
          <w:tcPr>
            <w:tcW w:w="879" w:type="dxa"/>
            <w:vAlign w:val="center"/>
          </w:tcPr>
          <w:p>
            <w:pPr>
              <w:pStyle w:val="11"/>
            </w:pPr>
          </w:p>
        </w:tc>
        <w:tc>
          <w:tcPr>
            <w:tcW w:w="886" w:type="dxa"/>
            <w:vAlign w:val="center"/>
          </w:tcPr>
          <w:p>
            <w:pPr>
              <w:pStyle w:val="11"/>
            </w:pPr>
          </w:p>
        </w:tc>
        <w:tc>
          <w:tcPr>
            <w:tcW w:w="879"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ascii="方正书宋_GBK" w:hAnsi="方正书宋_GBK" w:eastAsia="方正书宋_GBK" w:cs="方正书宋_GBK"/>
          <w:color w:val="000000"/>
          <w:sz w:val="21"/>
        </w:rPr>
        <w:t>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青龙满族自治县人民代表大会常务委员会办公室</w:t>
      </w:r>
      <w:r>
        <w:rPr>
          <w:rFonts w:hint="eastAsia" w:eastAsia="方正仿宋_GBK"/>
          <w:color w:val="000000"/>
          <w:sz w:val="28"/>
          <w:lang w:val="en-US" w:eastAsia="zh-CN"/>
        </w:rPr>
        <w:t>本级</w:t>
      </w:r>
      <w:r>
        <w:rPr>
          <w:rFonts w:eastAsia="方正仿宋_GBK"/>
          <w:color w:val="000000"/>
          <w:sz w:val="28"/>
        </w:rPr>
        <w:t>上年末固定资产金额为</w:t>
      </w:r>
      <w:r>
        <w:rPr>
          <w:rFonts w:hint="eastAsia" w:eastAsia="方正仿宋_GBK"/>
          <w:color w:val="000000"/>
          <w:sz w:val="28"/>
          <w:lang w:val="en-US" w:eastAsia="zh-CN"/>
        </w:rPr>
        <w:t>114.39</w:t>
      </w:r>
      <w:r>
        <w:rPr>
          <w:rFonts w:eastAsia="方正仿宋_GBK"/>
          <w:color w:val="000000"/>
          <w:sz w:val="28"/>
        </w:rPr>
        <w:t>万元（详见下表）。</w:t>
      </w:r>
      <w:r>
        <w:rPr>
          <w:rFonts w:hint="eastAsia" w:eastAsia="方正仿宋_GBK"/>
          <w:color w:val="000000"/>
          <w:sz w:val="28"/>
        </w:rPr>
        <w:t>本年度拟购置固定资产总额为0.00万元。</w:t>
      </w: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101</w:t>
            </w:r>
            <w:r>
              <w:rPr>
                <w:rFonts w:hint="eastAsia"/>
                <w:lang w:val="en-US" w:eastAsia="zh-CN"/>
              </w:rPr>
              <w:t>001</w:t>
            </w:r>
            <w:r>
              <w:t>青龙满族自治县人民代表大会常务委员会办公室</w:t>
            </w:r>
            <w:r>
              <w:rPr>
                <w:rFonts w:hint="eastAsia"/>
                <w:lang w:val="en-US"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28.53</w:t>
            </w:r>
          </w:p>
        </w:tc>
      </w:tr>
    </w:tbl>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6AFCB"/>
    <w:multiLevelType w:val="singleLevel"/>
    <w:tmpl w:val="B856AFCB"/>
    <w:lvl w:ilvl="0" w:tentative="0">
      <w:start w:val="3"/>
      <w:numFmt w:val="decimal"/>
      <w:suff w:val="nothing"/>
      <w:lvlText w:val="%1、"/>
      <w:lvlJc w:val="left"/>
    </w:lvl>
  </w:abstractNum>
  <w:abstractNum w:abstractNumId="1">
    <w:nsid w:val="DFD8A732"/>
    <w:multiLevelType w:val="singleLevel"/>
    <w:tmpl w:val="DFD8A732"/>
    <w:lvl w:ilvl="0" w:tentative="0">
      <w:start w:val="1"/>
      <w:numFmt w:val="decimal"/>
      <w:lvlText w:val="%1."/>
      <w:lvlJc w:val="left"/>
      <w:pPr>
        <w:tabs>
          <w:tab w:val="left" w:pos="312"/>
        </w:tabs>
      </w:pPr>
    </w:lvl>
  </w:abstractNum>
  <w:abstractNum w:abstractNumId="2">
    <w:nsid w:val="35C220E3"/>
    <w:multiLevelType w:val="singleLevel"/>
    <w:tmpl w:val="35C220E3"/>
    <w:lvl w:ilvl="0" w:tentative="0">
      <w:start w:val="1"/>
      <w:numFmt w:val="decimal"/>
      <w:lvlText w:val="%1."/>
      <w:lvlJc w:val="left"/>
      <w:pPr>
        <w:tabs>
          <w:tab w:val="left" w:pos="312"/>
        </w:tabs>
      </w:pPr>
    </w:lvl>
  </w:abstractNum>
  <w:abstractNum w:abstractNumId="3">
    <w:nsid w:val="3B7EEA0A"/>
    <w:multiLevelType w:val="singleLevel"/>
    <w:tmpl w:val="3B7EEA0A"/>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BhMTNmZjhmNjBhZjUxNjZkMWIyMjg1OWMxMjIyYmIifQ=="/>
  </w:docVars>
  <w:rsids>
    <w:rsidRoot w:val="00086F79"/>
    <w:rsid w:val="00086F79"/>
    <w:rsid w:val="001634A1"/>
    <w:rsid w:val="006D40C4"/>
    <w:rsid w:val="01971004"/>
    <w:rsid w:val="04043713"/>
    <w:rsid w:val="05410997"/>
    <w:rsid w:val="05A86320"/>
    <w:rsid w:val="0639341C"/>
    <w:rsid w:val="06C929F2"/>
    <w:rsid w:val="08AA7D25"/>
    <w:rsid w:val="0A083831"/>
    <w:rsid w:val="0AFF4C34"/>
    <w:rsid w:val="0C71390F"/>
    <w:rsid w:val="0F3D055C"/>
    <w:rsid w:val="11047760"/>
    <w:rsid w:val="11BB0378"/>
    <w:rsid w:val="11F42BE5"/>
    <w:rsid w:val="12285B31"/>
    <w:rsid w:val="12B55819"/>
    <w:rsid w:val="14DE3B0C"/>
    <w:rsid w:val="15FF1F8C"/>
    <w:rsid w:val="162D03F4"/>
    <w:rsid w:val="16986D6B"/>
    <w:rsid w:val="174A7237"/>
    <w:rsid w:val="18BA4890"/>
    <w:rsid w:val="18C9062F"/>
    <w:rsid w:val="1C84143D"/>
    <w:rsid w:val="1D497F91"/>
    <w:rsid w:val="20E24984"/>
    <w:rsid w:val="21FE759C"/>
    <w:rsid w:val="22592A24"/>
    <w:rsid w:val="22E569AE"/>
    <w:rsid w:val="256911D0"/>
    <w:rsid w:val="25853B30"/>
    <w:rsid w:val="26A821CC"/>
    <w:rsid w:val="287C121A"/>
    <w:rsid w:val="2A2F781A"/>
    <w:rsid w:val="2ACE1AD5"/>
    <w:rsid w:val="2ACF4481"/>
    <w:rsid w:val="2B9E594C"/>
    <w:rsid w:val="2C484235"/>
    <w:rsid w:val="2CAE7E10"/>
    <w:rsid w:val="31293F09"/>
    <w:rsid w:val="3250557D"/>
    <w:rsid w:val="33BC1065"/>
    <w:rsid w:val="34482B7E"/>
    <w:rsid w:val="35505F08"/>
    <w:rsid w:val="36A71B58"/>
    <w:rsid w:val="37144D14"/>
    <w:rsid w:val="39F664CD"/>
    <w:rsid w:val="3B3273A1"/>
    <w:rsid w:val="3E455441"/>
    <w:rsid w:val="3E506F79"/>
    <w:rsid w:val="40FC5C65"/>
    <w:rsid w:val="43817C1F"/>
    <w:rsid w:val="438D657A"/>
    <w:rsid w:val="43A821E8"/>
    <w:rsid w:val="44A11891"/>
    <w:rsid w:val="465B470D"/>
    <w:rsid w:val="4AFA79CE"/>
    <w:rsid w:val="4B4E4840"/>
    <w:rsid w:val="4B5761A8"/>
    <w:rsid w:val="4FD07F1A"/>
    <w:rsid w:val="527A3723"/>
    <w:rsid w:val="53F21BFA"/>
    <w:rsid w:val="55570796"/>
    <w:rsid w:val="56594220"/>
    <w:rsid w:val="56A812A9"/>
    <w:rsid w:val="575B631B"/>
    <w:rsid w:val="57BD5228"/>
    <w:rsid w:val="57D04F5B"/>
    <w:rsid w:val="58C93758"/>
    <w:rsid w:val="58EF1411"/>
    <w:rsid w:val="5A490FF5"/>
    <w:rsid w:val="5A8A39A1"/>
    <w:rsid w:val="5B9067AF"/>
    <w:rsid w:val="5D027239"/>
    <w:rsid w:val="5D2B0A72"/>
    <w:rsid w:val="5D514863"/>
    <w:rsid w:val="5D99194B"/>
    <w:rsid w:val="5FAD7930"/>
    <w:rsid w:val="60A07495"/>
    <w:rsid w:val="626D33A6"/>
    <w:rsid w:val="691602F4"/>
    <w:rsid w:val="69A578CA"/>
    <w:rsid w:val="6A1F142A"/>
    <w:rsid w:val="6B2D5DC9"/>
    <w:rsid w:val="6E9E7C05"/>
    <w:rsid w:val="6EDF73DA"/>
    <w:rsid w:val="6F3E2352"/>
    <w:rsid w:val="726A16B0"/>
    <w:rsid w:val="72737059"/>
    <w:rsid w:val="75383CE8"/>
    <w:rsid w:val="75D03F20"/>
    <w:rsid w:val="75E66464"/>
    <w:rsid w:val="7E2272E3"/>
    <w:rsid w:val="7E5751DF"/>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2023-02-23T14:28:20Z</dcterms:created>
  <dcterms:modified xsi:type="dcterms:W3CDTF">2023-02-23T06:28:20Z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2023-02-23T14:28:30Z</dcterms:created>
  <dcterms:modified xsi:type="dcterms:W3CDTF">2023-02-23T06:28:30Z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2023-02-23T14:28:19Z</dcterms:created>
  <dcterms:modified xsi:type="dcterms:W3CDTF">2023-02-23T06:28:18Z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2023-02-23T14:28:29Z</dcterms:created>
  <dcterms:modified xsi:type="dcterms:W3CDTF">2023-02-23T06:28:29Z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2023-02-23T14:28:22Z</dcterms:created>
  <dcterms:modified xsi:type="dcterms:W3CDTF">2023-02-23T06:28:22Z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2023-02-23T14:28:27Z</dcterms:created>
  <dcterms:modified xsi:type="dcterms:W3CDTF">2023-02-23T06:28:26Z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2023-02-23T14:28:20Z</dcterms:created>
  <dcterms:modified xsi:type="dcterms:W3CDTF">2023-02-23T06:28:20Z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2023-02-23T14:28:22Z</dcterms:created>
  <dcterms:modified xsi:type="dcterms:W3CDTF">2023-02-23T06:28:22Z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2023-02-23T14:28:29Z</dcterms:created>
  <dcterms:modified xsi:type="dcterms:W3CDTF">2023-02-23T06:28:29Z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2023-02-23T14:28:29Z</dcterms:created>
  <dcterms:modified xsi:type="dcterms:W3CDTF">2023-02-23T06:28:29Z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2023-02-23T14:28:23Z</dcterms:created>
  <dcterms:modified xsi:type="dcterms:W3CDTF">2023-02-23T06:28:23Z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2023-02-23T14:28:22Z</dcterms:created>
  <dcterms:modified xsi:type="dcterms:W3CDTF">2023-02-23T06:28:22Z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E31AE4-7218-4865-B22A-C6F247F9868A}">
  <ds:schemaRefs/>
</ds:datastoreItem>
</file>

<file path=customXml/itemProps10.xml><?xml version="1.0" encoding="utf-8"?>
<ds:datastoreItem xmlns:ds="http://schemas.openxmlformats.org/officeDocument/2006/customXml" ds:itemID="{65935386-0A03-4AF2-B5EE-15822090D7C2}">
  <ds:schemaRefs/>
</ds:datastoreItem>
</file>

<file path=customXml/itemProps11.xml><?xml version="1.0" encoding="utf-8"?>
<ds:datastoreItem xmlns:ds="http://schemas.openxmlformats.org/officeDocument/2006/customXml" ds:itemID="{29CF736E-486B-498E-8CC9-7EC8341E2B09}">
  <ds:schemaRefs/>
</ds:datastoreItem>
</file>

<file path=customXml/itemProps12.xml><?xml version="1.0" encoding="utf-8"?>
<ds:datastoreItem xmlns:ds="http://schemas.openxmlformats.org/officeDocument/2006/customXml" ds:itemID="{543F1A1D-5730-494D-9B97-64883F1B8BB7}">
  <ds:schemaRefs/>
</ds:datastoreItem>
</file>

<file path=customXml/itemProps13.xml><?xml version="1.0" encoding="utf-8"?>
<ds:datastoreItem xmlns:ds="http://schemas.openxmlformats.org/officeDocument/2006/customXml" ds:itemID="{964AC205-28A6-4E19-9F4A-28EFDE43314C}">
  <ds:schemaRefs/>
</ds:datastoreItem>
</file>

<file path=customXml/itemProps14.xml><?xml version="1.0" encoding="utf-8"?>
<ds:datastoreItem xmlns:ds="http://schemas.openxmlformats.org/officeDocument/2006/customXml" ds:itemID="{2F8457A4-24D1-4945-BF57-F989654BB686}">
  <ds:schemaRefs/>
</ds:datastoreItem>
</file>

<file path=customXml/itemProps15.xml><?xml version="1.0" encoding="utf-8"?>
<ds:datastoreItem xmlns:ds="http://schemas.openxmlformats.org/officeDocument/2006/customXml" ds:itemID="{78E7D543-C7AC-4054-B2A6-D4305A0BA0BA}">
  <ds:schemaRefs/>
</ds:datastoreItem>
</file>

<file path=customXml/itemProps16.xml><?xml version="1.0" encoding="utf-8"?>
<ds:datastoreItem xmlns:ds="http://schemas.openxmlformats.org/officeDocument/2006/customXml" ds:itemID="{E6FD25CD-8A59-4E85-976B-3DAAF2BE848C}">
  <ds:schemaRefs/>
</ds:datastoreItem>
</file>

<file path=customXml/itemProps17.xml><?xml version="1.0" encoding="utf-8"?>
<ds:datastoreItem xmlns:ds="http://schemas.openxmlformats.org/officeDocument/2006/customXml" ds:itemID="{46B563DA-8A3B-4EF4-9B85-62D6E09DCF7B}">
  <ds:schemaRefs/>
</ds:datastoreItem>
</file>

<file path=customXml/itemProps18.xml><?xml version="1.0" encoding="utf-8"?>
<ds:datastoreItem xmlns:ds="http://schemas.openxmlformats.org/officeDocument/2006/customXml" ds:itemID="{F0C8266F-7C67-4752-BDF5-29BCEEEFEF57}">
  <ds:schemaRefs/>
</ds:datastoreItem>
</file>

<file path=customXml/itemProps19.xml><?xml version="1.0" encoding="utf-8"?>
<ds:datastoreItem xmlns:ds="http://schemas.openxmlformats.org/officeDocument/2006/customXml" ds:itemID="{AB1112B3-6FCF-41EA-A79F-79299AC5C642}">
  <ds:schemaRefs/>
</ds:datastoreItem>
</file>

<file path=customXml/itemProps2.xml><?xml version="1.0" encoding="utf-8"?>
<ds:datastoreItem xmlns:ds="http://schemas.openxmlformats.org/officeDocument/2006/customXml" ds:itemID="{A0E2483C-FB0A-4FF1-BD15-4645EB39DEA5}">
  <ds:schemaRefs/>
</ds:datastoreItem>
</file>

<file path=customXml/itemProps20.xml><?xml version="1.0" encoding="utf-8"?>
<ds:datastoreItem xmlns:ds="http://schemas.openxmlformats.org/officeDocument/2006/customXml" ds:itemID="{B6A32B65-CECE-4A82-AC11-625BBE874A3F}">
  <ds:schemaRefs/>
</ds:datastoreItem>
</file>

<file path=customXml/itemProps21.xml><?xml version="1.0" encoding="utf-8"?>
<ds:datastoreItem xmlns:ds="http://schemas.openxmlformats.org/officeDocument/2006/customXml" ds:itemID="{08BDDE5C-1B82-468B-8794-FA481B1266A7}">
  <ds:schemaRefs/>
</ds:datastoreItem>
</file>

<file path=customXml/itemProps22.xml><?xml version="1.0" encoding="utf-8"?>
<ds:datastoreItem xmlns:ds="http://schemas.openxmlformats.org/officeDocument/2006/customXml" ds:itemID="{9F13A581-8F04-41F4-83BE-22096DFB0E8D}">
  <ds:schemaRefs/>
</ds:datastoreItem>
</file>

<file path=customXml/itemProps23.xml><?xml version="1.0" encoding="utf-8"?>
<ds:datastoreItem xmlns:ds="http://schemas.openxmlformats.org/officeDocument/2006/customXml" ds:itemID="{056D99D5-0E7B-467E-A6E5-E5804E78FB84}">
  <ds:schemaRefs/>
</ds:datastoreItem>
</file>

<file path=customXml/itemProps24.xml><?xml version="1.0" encoding="utf-8"?>
<ds:datastoreItem xmlns:ds="http://schemas.openxmlformats.org/officeDocument/2006/customXml" ds:itemID="{15D2CC75-234F-46D9-9A6D-F252CE7435BF}">
  <ds:schemaRefs/>
</ds:datastoreItem>
</file>

<file path=customXml/itemProps25.xml><?xml version="1.0" encoding="utf-8"?>
<ds:datastoreItem xmlns:ds="http://schemas.openxmlformats.org/officeDocument/2006/customXml" ds:itemID="{119E6624-DDD5-443A-BFDC-DF3691B69D31}">
  <ds:schemaRefs/>
</ds:datastoreItem>
</file>

<file path=customXml/itemProps26.xml><?xml version="1.0" encoding="utf-8"?>
<ds:datastoreItem xmlns:ds="http://schemas.openxmlformats.org/officeDocument/2006/customXml" ds:itemID="{BF169D97-DC16-45ED-8B96-5F2C185EF0C6}">
  <ds:schemaRefs/>
</ds:datastoreItem>
</file>

<file path=customXml/itemProps27.xml><?xml version="1.0" encoding="utf-8"?>
<ds:datastoreItem xmlns:ds="http://schemas.openxmlformats.org/officeDocument/2006/customXml" ds:itemID="{BAA8C48D-FFCA-45C3-9688-19A2B3436A51}">
  <ds:schemaRefs/>
</ds:datastoreItem>
</file>

<file path=customXml/itemProps28.xml><?xml version="1.0" encoding="utf-8"?>
<ds:datastoreItem xmlns:ds="http://schemas.openxmlformats.org/officeDocument/2006/customXml" ds:itemID="{FF07AD70-5F9C-4C7A-9C8D-23AEA9B13455}">
  <ds:schemaRefs/>
</ds:datastoreItem>
</file>

<file path=customXml/itemProps29.xml><?xml version="1.0" encoding="utf-8"?>
<ds:datastoreItem xmlns:ds="http://schemas.openxmlformats.org/officeDocument/2006/customXml" ds:itemID="{B4907AE1-3C9F-411E-A1BB-01E5444B9A21}">
  <ds:schemaRefs/>
</ds:datastoreItem>
</file>

<file path=customXml/itemProps3.xml><?xml version="1.0" encoding="utf-8"?>
<ds:datastoreItem xmlns:ds="http://schemas.openxmlformats.org/officeDocument/2006/customXml" ds:itemID="{248366C2-31BE-4E82-9160-7C6E09CF1B22}">
  <ds:schemaRefs/>
</ds:datastoreItem>
</file>

<file path=customXml/itemProps30.xml><?xml version="1.0" encoding="utf-8"?>
<ds:datastoreItem xmlns:ds="http://schemas.openxmlformats.org/officeDocument/2006/customXml" ds:itemID="{77343AC4-665B-4CD4-9B59-4A68D0CBAAB6}">
  <ds:schemaRefs/>
</ds:datastoreItem>
</file>

<file path=customXml/itemProps31.xml><?xml version="1.0" encoding="utf-8"?>
<ds:datastoreItem xmlns:ds="http://schemas.openxmlformats.org/officeDocument/2006/customXml" ds:itemID="{8FB2FCF2-F343-42AE-B26D-5325D9A60446}">
  <ds:schemaRefs/>
</ds:datastoreItem>
</file>

<file path=customXml/itemProps32.xml><?xml version="1.0" encoding="utf-8"?>
<ds:datastoreItem xmlns:ds="http://schemas.openxmlformats.org/officeDocument/2006/customXml" ds:itemID="{59455421-604B-4C9E-90D8-F266FE374D25}">
  <ds:schemaRefs/>
</ds:datastoreItem>
</file>

<file path=customXml/itemProps33.xml><?xml version="1.0" encoding="utf-8"?>
<ds:datastoreItem xmlns:ds="http://schemas.openxmlformats.org/officeDocument/2006/customXml" ds:itemID="{5865A8D2-C1C0-4E2B-B703-98F32841B694}">
  <ds:schemaRefs/>
</ds:datastoreItem>
</file>

<file path=customXml/itemProps34.xml><?xml version="1.0" encoding="utf-8"?>
<ds:datastoreItem xmlns:ds="http://schemas.openxmlformats.org/officeDocument/2006/customXml" ds:itemID="{6895D36A-01F8-42EA-B9BD-F6D840A41B06}">
  <ds:schemaRefs/>
</ds:datastoreItem>
</file>

<file path=customXml/itemProps35.xml><?xml version="1.0" encoding="utf-8"?>
<ds:datastoreItem xmlns:ds="http://schemas.openxmlformats.org/officeDocument/2006/customXml" ds:itemID="{24D53B8F-66C5-4453-93A1-4411FD6139A3}">
  <ds:schemaRefs/>
</ds:datastoreItem>
</file>

<file path=customXml/itemProps36.xml><?xml version="1.0" encoding="utf-8"?>
<ds:datastoreItem xmlns:ds="http://schemas.openxmlformats.org/officeDocument/2006/customXml" ds:itemID="{0036E6D9-C188-4ED1-8FF8-DCA11B5EABB6}">
  <ds:schemaRefs/>
</ds:datastoreItem>
</file>

<file path=customXml/itemProps37.xml><?xml version="1.0" encoding="utf-8"?>
<ds:datastoreItem xmlns:ds="http://schemas.openxmlformats.org/officeDocument/2006/customXml" ds:itemID="{73A364A0-D09F-4774-8C24-FEF1AD69C349}">
  <ds:schemaRefs/>
</ds:datastoreItem>
</file>

<file path=customXml/itemProps38.xml><?xml version="1.0" encoding="utf-8"?>
<ds:datastoreItem xmlns:ds="http://schemas.openxmlformats.org/officeDocument/2006/customXml" ds:itemID="{C627CE7F-C76D-4A26-AB62-F79F84B0009A}">
  <ds:schemaRefs/>
</ds:datastoreItem>
</file>

<file path=customXml/itemProps39.xml><?xml version="1.0" encoding="utf-8"?>
<ds:datastoreItem xmlns:ds="http://schemas.openxmlformats.org/officeDocument/2006/customXml" ds:itemID="{0B96651C-A606-4FFF-8248-42E13A9D0B55}">
  <ds:schemaRefs/>
</ds:datastoreItem>
</file>

<file path=customXml/itemProps4.xml><?xml version="1.0" encoding="utf-8"?>
<ds:datastoreItem xmlns:ds="http://schemas.openxmlformats.org/officeDocument/2006/customXml" ds:itemID="{A05C2BBD-2044-4A89-90CD-8E07682513E7}">
  <ds:schemaRefs/>
</ds:datastoreItem>
</file>

<file path=customXml/itemProps40.xml><?xml version="1.0" encoding="utf-8"?>
<ds:datastoreItem xmlns:ds="http://schemas.openxmlformats.org/officeDocument/2006/customXml" ds:itemID="{0A8D5784-F9A4-4079-98E0-CBC6E99FD216}">
  <ds:schemaRefs/>
</ds:datastoreItem>
</file>

<file path=customXml/itemProps41.xml><?xml version="1.0" encoding="utf-8"?>
<ds:datastoreItem xmlns:ds="http://schemas.openxmlformats.org/officeDocument/2006/customXml" ds:itemID="{13230095-6BDD-410B-B956-4E97FBE6426F}">
  <ds:schemaRefs/>
</ds:datastoreItem>
</file>

<file path=customXml/itemProps42.xml><?xml version="1.0" encoding="utf-8"?>
<ds:datastoreItem xmlns:ds="http://schemas.openxmlformats.org/officeDocument/2006/customXml" ds:itemID="{AC371C78-6274-42E3-B8B9-0EB1D9EDEC7E}">
  <ds:schemaRefs/>
</ds:datastoreItem>
</file>

<file path=customXml/itemProps5.xml><?xml version="1.0" encoding="utf-8"?>
<ds:datastoreItem xmlns:ds="http://schemas.openxmlformats.org/officeDocument/2006/customXml" ds:itemID="{867F6FE5-86CB-4E96-891B-DCD68ED5E3B9}">
  <ds:schemaRefs/>
</ds:datastoreItem>
</file>

<file path=customXml/itemProps6.xml><?xml version="1.0" encoding="utf-8"?>
<ds:datastoreItem xmlns:ds="http://schemas.openxmlformats.org/officeDocument/2006/customXml" ds:itemID="{4EE6CC86-7C1E-412C-9A2A-4D75C2E46E0E}">
  <ds:schemaRefs/>
</ds:datastoreItem>
</file>

<file path=customXml/itemProps7.xml><?xml version="1.0" encoding="utf-8"?>
<ds:datastoreItem xmlns:ds="http://schemas.openxmlformats.org/officeDocument/2006/customXml" ds:itemID="{6D4C66A7-9A33-4C8E-89DB-9AAAE8247739}">
  <ds:schemaRefs/>
</ds:datastoreItem>
</file>

<file path=customXml/itemProps8.xml><?xml version="1.0" encoding="utf-8"?>
<ds:datastoreItem xmlns:ds="http://schemas.openxmlformats.org/officeDocument/2006/customXml" ds:itemID="{89BB9278-65E6-4082-9AE7-26B6501C5408}">
  <ds:schemaRefs/>
</ds:datastoreItem>
</file>

<file path=customXml/itemProps9.xml><?xml version="1.0" encoding="utf-8"?>
<ds:datastoreItem xmlns:ds="http://schemas.openxmlformats.org/officeDocument/2006/customXml" ds:itemID="{D3DC215E-89F9-40DC-84D0-99508EEA86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12773</Words>
  <Characters>15000</Characters>
  <Lines>220</Lines>
  <Paragraphs>62</Paragraphs>
  <TotalTime>4</TotalTime>
  <ScaleCrop>false</ScaleCrop>
  <LinksUpToDate>false</LinksUpToDate>
  <CharactersWithSpaces>15239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2023-03-08T07:34:00Z</dcterms:created>
  <dc:creator>Administrator</dc:creator>
  <cp:lastModifiedBy>靖晓晓</cp:lastModifiedBy>
  <cp:lastPrinted>2023-08-08T07:01:00Z</cp:lastPrinted>
  <dcterms:modified xsi:type="dcterms:W3CDTF">2024-03-17T01:55:22Z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C61170B271024556B23E86F390AC34C2</vt:lpwstr>
  </property>
</Properties>
</file>