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部门</w:t>
      </w:r>
      <w:r>
        <w:t>预算收支总表</w:t>
      </w:r>
      <w:r>
        <w:tab/>
      </w:r>
      <w:r>
        <w:fldChar w:fldCharType="begin"/>
      </w:r>
      <w:r>
        <w:instrText xml:space="preserve">PAGEREF _Toc_2_2_0000000001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部门</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部门</w:t>
      </w:r>
      <w:r>
        <w:t>预算支出总表</w:t>
      </w:r>
      <w:r>
        <w:tab/>
      </w:r>
      <w:r>
        <w:fldChar w:fldCharType="begin"/>
      </w:r>
      <w:r>
        <w:instrText xml:space="preserve">PAGEREF _Toc_2_2_0000000003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部门</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部门</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部门</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部门</w:t>
      </w:r>
      <w:r>
        <w:t>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部门</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部门</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261.78</w:t>
            </w:r>
          </w:p>
        </w:tc>
        <w:tc>
          <w:tcPr>
            <w:tcW w:w="4535" w:type="dxa"/>
            <w:vAlign w:val="center"/>
          </w:tcPr>
          <w:p>
            <w:pPr>
              <w:pStyle w:val="12"/>
            </w:pPr>
            <w:r>
              <w:t>一、一般公共服务支出</w:t>
            </w:r>
          </w:p>
        </w:tc>
        <w:tc>
          <w:tcPr>
            <w:tcW w:w="2126" w:type="dxa"/>
            <w:vAlign w:val="center"/>
          </w:tcPr>
          <w:p>
            <w:pPr>
              <w:pStyle w:val="11"/>
            </w:pPr>
            <w:r>
              <w:t>249.45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w:t>
            </w:r>
            <w:r>
              <w:rPr>
                <w:rFonts w:hint="eastAsia"/>
                <w:lang w:eastAsia="zh-CN"/>
              </w:rPr>
              <w:t>部门</w:t>
            </w:r>
            <w:r>
              <w:t>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w:t>
            </w:r>
            <w:r>
              <w:rPr>
                <w:rFonts w:hint="eastAsia"/>
                <w:lang w:eastAsia="zh-CN"/>
              </w:rPr>
              <w:t>部门</w:t>
            </w:r>
            <w:r>
              <w:t>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283.78</w:t>
            </w:r>
          </w:p>
        </w:tc>
        <w:tc>
          <w:tcPr>
            <w:tcW w:w="4535" w:type="dxa"/>
            <w:vAlign w:val="center"/>
          </w:tcPr>
          <w:p>
            <w:pPr>
              <w:pStyle w:val="14"/>
            </w:pPr>
            <w:r>
              <w:t>本年支出合计</w:t>
            </w:r>
          </w:p>
        </w:tc>
        <w:tc>
          <w:tcPr>
            <w:tcW w:w="2126" w:type="dxa"/>
            <w:vAlign w:val="center"/>
          </w:tcPr>
          <w:p>
            <w:pPr>
              <w:pStyle w:val="15"/>
            </w:pPr>
            <w:r>
              <w:t>325.40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41.61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325.40</w:t>
            </w:r>
          </w:p>
        </w:tc>
        <w:tc>
          <w:tcPr>
            <w:tcW w:w="4535" w:type="dxa"/>
            <w:vAlign w:val="center"/>
          </w:tcPr>
          <w:p>
            <w:pPr>
              <w:pStyle w:val="14"/>
            </w:pPr>
            <w:r>
              <w:t>支出总计</w:t>
            </w:r>
          </w:p>
        </w:tc>
        <w:tc>
          <w:tcPr>
            <w:tcW w:w="2126" w:type="dxa"/>
            <w:vAlign w:val="center"/>
          </w:tcPr>
          <w:p>
            <w:pPr>
              <w:pStyle w:val="15"/>
            </w:pPr>
            <w:r>
              <w:t>325.40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w:t>
            </w:r>
            <w:r>
              <w:rPr>
                <w:rFonts w:hint="eastAsia"/>
                <w:lang w:eastAsia="zh-CN"/>
              </w:rPr>
              <w:t>部门</w:t>
            </w:r>
            <w:r>
              <w:t>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325.40</w:t>
            </w:r>
          </w:p>
        </w:tc>
        <w:tc>
          <w:tcPr>
            <w:tcW w:w="1134" w:type="dxa"/>
            <w:vAlign w:val="center"/>
          </w:tcPr>
          <w:p>
            <w:pPr>
              <w:pStyle w:val="15"/>
            </w:pPr>
            <w:r>
              <w:t>283.78</w:t>
            </w:r>
          </w:p>
        </w:tc>
        <w:tc>
          <w:tcPr>
            <w:tcW w:w="1134" w:type="dxa"/>
            <w:vAlign w:val="center"/>
          </w:tcPr>
          <w:p>
            <w:pPr>
              <w:pStyle w:val="15"/>
            </w:pPr>
            <w:r>
              <w:t>283.78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249.45</w:t>
            </w:r>
          </w:p>
        </w:tc>
        <w:tc>
          <w:tcPr>
            <w:tcW w:w="1134" w:type="dxa"/>
            <w:vAlign w:val="center"/>
          </w:tcPr>
          <w:p>
            <w:pPr>
              <w:pStyle w:val="11"/>
            </w:pPr>
            <w:r>
              <w:t>207.88</w:t>
            </w:r>
          </w:p>
        </w:tc>
        <w:tc>
          <w:tcPr>
            <w:tcW w:w="1134" w:type="dxa"/>
            <w:vAlign w:val="center"/>
          </w:tcPr>
          <w:p>
            <w:pPr>
              <w:pStyle w:val="11"/>
            </w:pPr>
            <w:r>
              <w:t>207.88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249.45</w:t>
            </w:r>
          </w:p>
        </w:tc>
        <w:tc>
          <w:tcPr>
            <w:tcW w:w="1134" w:type="dxa"/>
            <w:vAlign w:val="center"/>
          </w:tcPr>
          <w:p>
            <w:pPr>
              <w:pStyle w:val="11"/>
            </w:pPr>
            <w:r>
              <w:t>207.88</w:t>
            </w:r>
          </w:p>
        </w:tc>
        <w:tc>
          <w:tcPr>
            <w:tcW w:w="1134" w:type="dxa"/>
            <w:vAlign w:val="center"/>
          </w:tcPr>
          <w:p>
            <w:pPr>
              <w:pStyle w:val="11"/>
            </w:pPr>
            <w:r>
              <w:t>207.88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200.49</w:t>
            </w:r>
          </w:p>
        </w:tc>
        <w:tc>
          <w:tcPr>
            <w:tcW w:w="1134" w:type="dxa"/>
            <w:vAlign w:val="center"/>
          </w:tcPr>
          <w:p>
            <w:pPr>
              <w:pStyle w:val="11"/>
            </w:pPr>
            <w:r>
              <w:t>187.88</w:t>
            </w:r>
          </w:p>
        </w:tc>
        <w:tc>
          <w:tcPr>
            <w:tcW w:w="1134" w:type="dxa"/>
            <w:vAlign w:val="center"/>
          </w:tcPr>
          <w:p>
            <w:pPr>
              <w:pStyle w:val="11"/>
            </w:pPr>
            <w:r>
              <w:t>187.88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32.98</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31.97</w:t>
            </w:r>
          </w:p>
        </w:tc>
        <w:tc>
          <w:tcPr>
            <w:tcW w:w="1134" w:type="dxa"/>
            <w:vAlign w:val="center"/>
          </w:tcPr>
          <w:p>
            <w:pPr>
              <w:pStyle w:val="11"/>
            </w:pPr>
            <w:r>
              <w:t>31.97</w:t>
            </w:r>
          </w:p>
        </w:tc>
        <w:tc>
          <w:tcPr>
            <w:tcW w:w="1134" w:type="dxa"/>
            <w:vAlign w:val="center"/>
          </w:tcPr>
          <w:p>
            <w:pPr>
              <w:pStyle w:val="11"/>
            </w:pPr>
            <w:r>
              <w:t>31.97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w:t>
            </w:r>
            <w:r>
              <w:rPr>
                <w:rFonts w:hint="eastAsia"/>
                <w:lang w:eastAsia="zh-CN"/>
              </w:rPr>
              <w:t>部门</w:t>
            </w:r>
            <w:r>
              <w:t>养老支出</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w:t>
            </w:r>
            <w:r>
              <w:rPr>
                <w:rFonts w:hint="eastAsia"/>
                <w:lang w:eastAsia="zh-CN"/>
              </w:rPr>
              <w:t>部门</w:t>
            </w:r>
            <w:r>
              <w:t>离退休</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r>
              <w:t>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w:t>
            </w:r>
            <w:r>
              <w:rPr>
                <w:rFonts w:hint="eastAsia"/>
                <w:lang w:eastAsia="zh-CN"/>
              </w:rPr>
              <w:t>部门</w:t>
            </w:r>
            <w:r>
              <w:t>基本养老保险缴费支出</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w:t>
            </w:r>
            <w:r>
              <w:rPr>
                <w:rFonts w:hint="eastAsia"/>
                <w:lang w:eastAsia="zh-CN"/>
              </w:rPr>
              <w:t>部门</w:t>
            </w:r>
            <w:r>
              <w:t>医疗</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w:t>
            </w:r>
            <w:r>
              <w:rPr>
                <w:rFonts w:hint="eastAsia"/>
                <w:lang w:eastAsia="zh-CN"/>
              </w:rPr>
              <w:t>部门</w:t>
            </w:r>
            <w:r>
              <w:t>医疗</w:t>
            </w:r>
          </w:p>
        </w:tc>
        <w:tc>
          <w:tcPr>
            <w:tcW w:w="1134" w:type="dxa"/>
            <w:vAlign w:val="center"/>
          </w:tcPr>
          <w:p>
            <w:pPr>
              <w:pStyle w:val="11"/>
            </w:pPr>
            <w:r>
              <w:t>11.35</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r>
              <w:t>10.62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951"/>
        <w:gridCol w:w="3387"/>
        <w:gridCol w:w="998"/>
        <w:gridCol w:w="998"/>
        <w:gridCol w:w="998"/>
        <w:gridCol w:w="998"/>
        <w:gridCol w:w="999"/>
        <w:gridCol w:w="1003"/>
        <w:gridCol w:w="4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pct"/>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680" w:type="pct"/>
            <w:gridSpan w:val="2"/>
            <w:tcBorders>
              <w:top w:val="single" w:color="FFFFFF" w:sz="6" w:space="0"/>
              <w:left w:val="single" w:color="FFFFFF" w:sz="6" w:space="0"/>
              <w:right w:val="single" w:color="FFFFFF" w:sz="6" w:space="0"/>
            </w:tcBorders>
            <w:vAlign w:val="center"/>
          </w:tcPr>
          <w:p>
            <w:pPr>
              <w:pStyle w:val="8"/>
            </w:pPr>
            <w:r>
              <w:t>预算年度：2022</w:t>
            </w:r>
          </w:p>
        </w:tc>
        <w:tc>
          <w:tcPr>
            <w:tcW w:w="1361" w:type="pct"/>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c>
          <w:tcPr>
            <w:tcW w:w="1361" w:type="pct"/>
            <w:tcBorders>
              <w:top w:val="single" w:color="FFFFFF" w:sz="6" w:space="0"/>
              <w:left w:val="single" w:color="FFFFFF" w:sz="6" w:space="0"/>
              <w:right w:val="single" w:color="FFFFFF"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Merge w:val="restart"/>
            <w:vAlign w:val="center"/>
          </w:tcPr>
          <w:p>
            <w:pPr>
              <w:pStyle w:val="10"/>
            </w:pPr>
            <w:r>
              <w:t>序号</w:t>
            </w:r>
          </w:p>
        </w:tc>
        <w:tc>
          <w:tcPr>
            <w:tcW w:w="1383" w:type="pct"/>
            <w:gridSpan w:val="2"/>
            <w:vAlign w:val="center"/>
          </w:tcPr>
          <w:p>
            <w:pPr>
              <w:pStyle w:val="10"/>
            </w:pPr>
            <w:r>
              <w:t>功能分类科目</w:t>
            </w:r>
          </w:p>
        </w:tc>
        <w:tc>
          <w:tcPr>
            <w:tcW w:w="340" w:type="pct"/>
            <w:vMerge w:val="restart"/>
            <w:vAlign w:val="center"/>
          </w:tcPr>
          <w:p>
            <w:pPr>
              <w:pStyle w:val="10"/>
            </w:pPr>
            <w:r>
              <w:t>合计</w:t>
            </w:r>
          </w:p>
        </w:tc>
        <w:tc>
          <w:tcPr>
            <w:tcW w:w="340" w:type="pct"/>
            <w:vMerge w:val="restart"/>
            <w:vAlign w:val="center"/>
          </w:tcPr>
          <w:p>
            <w:pPr>
              <w:pStyle w:val="10"/>
            </w:pPr>
            <w:r>
              <w:t>基本支出</w:t>
            </w:r>
          </w:p>
        </w:tc>
        <w:tc>
          <w:tcPr>
            <w:tcW w:w="340" w:type="pct"/>
            <w:vMerge w:val="restart"/>
            <w:vAlign w:val="center"/>
          </w:tcPr>
          <w:p>
            <w:pPr>
              <w:pStyle w:val="10"/>
            </w:pPr>
            <w:r>
              <w:t>项目支出</w:t>
            </w:r>
          </w:p>
        </w:tc>
        <w:tc>
          <w:tcPr>
            <w:tcW w:w="340" w:type="pct"/>
            <w:vMerge w:val="restart"/>
            <w:vAlign w:val="center"/>
          </w:tcPr>
          <w:p>
            <w:pPr>
              <w:pStyle w:val="10"/>
            </w:pPr>
            <w:r>
              <w:t>经营支出</w:t>
            </w:r>
          </w:p>
        </w:tc>
        <w:tc>
          <w:tcPr>
            <w:tcW w:w="340" w:type="pct"/>
            <w:vMerge w:val="restart"/>
            <w:vAlign w:val="center"/>
          </w:tcPr>
          <w:p>
            <w:pPr>
              <w:pStyle w:val="10"/>
            </w:pPr>
            <w:r>
              <w:t>上解上级     支出</w:t>
            </w:r>
          </w:p>
        </w:tc>
        <w:tc>
          <w:tcPr>
            <w:tcW w:w="340" w:type="pct"/>
            <w:vMerge w:val="restart"/>
            <w:vAlign w:val="center"/>
          </w:tcPr>
          <w:p>
            <w:pPr>
              <w:pStyle w:val="10"/>
            </w:pPr>
            <w:r>
              <w:t>对附属</w:t>
            </w:r>
            <w:r>
              <w:rPr>
                <w:rFonts w:hint="eastAsia"/>
                <w:lang w:eastAsia="zh-CN"/>
              </w:rPr>
              <w:t>部门</w:t>
            </w:r>
            <w:r>
              <w:t>补助支出</w:t>
            </w:r>
          </w:p>
        </w:tc>
        <w:tc>
          <w:tcPr>
            <w:tcW w:w="1361" w:type="pct"/>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Merge w:val="continue"/>
          </w:tcPr>
          <w:p/>
        </w:tc>
        <w:tc>
          <w:tcPr>
            <w:tcW w:w="248" w:type="pct"/>
            <w:vAlign w:val="center"/>
          </w:tcPr>
          <w:p>
            <w:pPr>
              <w:pStyle w:val="10"/>
            </w:pPr>
            <w:r>
              <w:t>科目    编码</w:t>
            </w:r>
          </w:p>
        </w:tc>
        <w:tc>
          <w:tcPr>
            <w:tcW w:w="1135" w:type="pct"/>
            <w:vAlign w:val="center"/>
          </w:tcPr>
          <w:p>
            <w:pPr>
              <w:pStyle w:val="10"/>
            </w:pPr>
            <w:r>
              <w:t>科目名称</w:t>
            </w: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340" w:type="pct"/>
            <w:vMerge w:val="continue"/>
          </w:tcPr>
          <w:p/>
        </w:tc>
        <w:tc>
          <w:tcPr>
            <w:tcW w:w="1361"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 w:type="pct"/>
            <w:vAlign w:val="center"/>
          </w:tcPr>
          <w:p>
            <w:pPr>
              <w:pStyle w:val="10"/>
            </w:pPr>
            <w:r>
              <w:t>栏次</w:t>
            </w:r>
          </w:p>
        </w:tc>
        <w:tc>
          <w:tcPr>
            <w:tcW w:w="248" w:type="pct"/>
            <w:vAlign w:val="center"/>
          </w:tcPr>
          <w:p>
            <w:pPr>
              <w:pStyle w:val="10"/>
            </w:pPr>
            <w:r>
              <w:t>1</w:t>
            </w:r>
          </w:p>
        </w:tc>
        <w:tc>
          <w:tcPr>
            <w:tcW w:w="1135" w:type="pct"/>
            <w:vAlign w:val="center"/>
          </w:tcPr>
          <w:p>
            <w:pPr>
              <w:pStyle w:val="10"/>
            </w:pPr>
            <w:r>
              <w:t>2</w:t>
            </w:r>
          </w:p>
        </w:tc>
        <w:tc>
          <w:tcPr>
            <w:tcW w:w="340" w:type="pct"/>
            <w:vAlign w:val="center"/>
          </w:tcPr>
          <w:p>
            <w:pPr>
              <w:pStyle w:val="10"/>
            </w:pPr>
            <w:r>
              <w:t>3</w:t>
            </w:r>
          </w:p>
        </w:tc>
        <w:tc>
          <w:tcPr>
            <w:tcW w:w="340" w:type="pct"/>
            <w:vAlign w:val="center"/>
          </w:tcPr>
          <w:p>
            <w:pPr>
              <w:pStyle w:val="10"/>
            </w:pPr>
            <w:r>
              <w:t>4</w:t>
            </w:r>
          </w:p>
        </w:tc>
        <w:tc>
          <w:tcPr>
            <w:tcW w:w="340" w:type="pct"/>
            <w:vAlign w:val="center"/>
          </w:tcPr>
          <w:p>
            <w:pPr>
              <w:pStyle w:val="10"/>
            </w:pPr>
            <w:r>
              <w:t>5</w:t>
            </w:r>
          </w:p>
        </w:tc>
        <w:tc>
          <w:tcPr>
            <w:tcW w:w="340" w:type="pct"/>
            <w:vAlign w:val="center"/>
          </w:tcPr>
          <w:p>
            <w:pPr>
              <w:pStyle w:val="10"/>
            </w:pPr>
            <w:r>
              <w:t>6</w:t>
            </w:r>
          </w:p>
        </w:tc>
        <w:tc>
          <w:tcPr>
            <w:tcW w:w="340" w:type="pct"/>
            <w:vAlign w:val="center"/>
          </w:tcPr>
          <w:p>
            <w:pPr>
              <w:pStyle w:val="10"/>
            </w:pPr>
            <w:r>
              <w:t>7</w:t>
            </w:r>
          </w:p>
        </w:tc>
        <w:tc>
          <w:tcPr>
            <w:tcW w:w="340" w:type="pct"/>
            <w:vAlign w:val="center"/>
          </w:tcPr>
          <w:p>
            <w:pPr>
              <w:pStyle w:val="10"/>
            </w:pPr>
            <w:r>
              <w:t>8</w:t>
            </w:r>
          </w:p>
        </w:tc>
        <w:tc>
          <w:tcPr>
            <w:tcW w:w="1361" w:type="pct"/>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w:t>
            </w:r>
          </w:p>
        </w:tc>
        <w:tc>
          <w:tcPr>
            <w:tcW w:w="248" w:type="pct"/>
            <w:vAlign w:val="center"/>
          </w:tcPr>
          <w:p>
            <w:pPr>
              <w:pStyle w:val="16"/>
            </w:pPr>
          </w:p>
        </w:tc>
        <w:tc>
          <w:tcPr>
            <w:tcW w:w="1135" w:type="pct"/>
            <w:vAlign w:val="center"/>
          </w:tcPr>
          <w:p>
            <w:pPr>
              <w:pStyle w:val="14"/>
            </w:pPr>
            <w:r>
              <w:t>合计</w:t>
            </w:r>
          </w:p>
        </w:tc>
        <w:tc>
          <w:tcPr>
            <w:tcW w:w="340" w:type="pct"/>
            <w:vAlign w:val="center"/>
          </w:tcPr>
          <w:p>
            <w:pPr>
              <w:pStyle w:val="15"/>
            </w:pPr>
            <w:r>
              <w:t>325.40</w:t>
            </w:r>
          </w:p>
        </w:tc>
        <w:tc>
          <w:tcPr>
            <w:tcW w:w="340" w:type="pct"/>
            <w:vAlign w:val="center"/>
          </w:tcPr>
          <w:p>
            <w:pPr>
              <w:pStyle w:val="15"/>
            </w:pPr>
            <w:r>
              <w:t>254.44</w:t>
            </w:r>
          </w:p>
        </w:tc>
        <w:tc>
          <w:tcPr>
            <w:tcW w:w="340" w:type="pct"/>
            <w:vAlign w:val="center"/>
          </w:tcPr>
          <w:p>
            <w:pPr>
              <w:pStyle w:val="15"/>
            </w:pPr>
            <w:r>
              <w:t>70.96</w:t>
            </w:r>
          </w:p>
        </w:tc>
        <w:tc>
          <w:tcPr>
            <w:tcW w:w="340" w:type="pct"/>
            <w:vAlign w:val="center"/>
          </w:tcPr>
          <w:p>
            <w:pPr>
              <w:pStyle w:val="15"/>
            </w:pPr>
          </w:p>
        </w:tc>
        <w:tc>
          <w:tcPr>
            <w:tcW w:w="340" w:type="pct"/>
            <w:vAlign w:val="center"/>
          </w:tcPr>
          <w:p>
            <w:pPr>
              <w:pStyle w:val="15"/>
            </w:pPr>
          </w:p>
        </w:tc>
        <w:tc>
          <w:tcPr>
            <w:tcW w:w="340" w:type="pct"/>
            <w:vAlign w:val="center"/>
          </w:tcPr>
          <w:p>
            <w:pPr>
              <w:pStyle w:val="15"/>
            </w:pPr>
          </w:p>
        </w:tc>
        <w:tc>
          <w:tcPr>
            <w:tcW w:w="136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w:t>
            </w:r>
          </w:p>
        </w:tc>
        <w:tc>
          <w:tcPr>
            <w:tcW w:w="248" w:type="pct"/>
            <w:vAlign w:val="center"/>
          </w:tcPr>
          <w:p>
            <w:pPr>
              <w:pStyle w:val="12"/>
            </w:pPr>
            <w:r>
              <w:t>201</w:t>
            </w:r>
          </w:p>
        </w:tc>
        <w:tc>
          <w:tcPr>
            <w:tcW w:w="1135" w:type="pct"/>
            <w:vAlign w:val="center"/>
          </w:tcPr>
          <w:p>
            <w:pPr>
              <w:pStyle w:val="12"/>
            </w:pPr>
            <w:r>
              <w:t>一般公共服务支出</w:t>
            </w:r>
          </w:p>
        </w:tc>
        <w:tc>
          <w:tcPr>
            <w:tcW w:w="340" w:type="pct"/>
            <w:vAlign w:val="center"/>
          </w:tcPr>
          <w:p>
            <w:pPr>
              <w:pStyle w:val="11"/>
            </w:pPr>
            <w:r>
              <w:t>249.45</w:t>
            </w:r>
          </w:p>
        </w:tc>
        <w:tc>
          <w:tcPr>
            <w:tcW w:w="340" w:type="pct"/>
            <w:vAlign w:val="center"/>
          </w:tcPr>
          <w:p>
            <w:pPr>
              <w:pStyle w:val="11"/>
            </w:pPr>
            <w:r>
              <w:t>200.49</w:t>
            </w:r>
          </w:p>
        </w:tc>
        <w:tc>
          <w:tcPr>
            <w:tcW w:w="340" w:type="pct"/>
            <w:vAlign w:val="center"/>
          </w:tcPr>
          <w:p>
            <w:pPr>
              <w:pStyle w:val="11"/>
            </w:pPr>
            <w:r>
              <w:t>48.96</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3</w:t>
            </w:r>
          </w:p>
        </w:tc>
        <w:tc>
          <w:tcPr>
            <w:tcW w:w="248" w:type="pct"/>
            <w:vAlign w:val="center"/>
          </w:tcPr>
          <w:p>
            <w:pPr>
              <w:pStyle w:val="12"/>
            </w:pPr>
            <w:r>
              <w:t>20101</w:t>
            </w:r>
          </w:p>
        </w:tc>
        <w:tc>
          <w:tcPr>
            <w:tcW w:w="1135" w:type="pct"/>
            <w:vAlign w:val="center"/>
          </w:tcPr>
          <w:p>
            <w:pPr>
              <w:pStyle w:val="12"/>
            </w:pPr>
            <w:r>
              <w:t>人大事务</w:t>
            </w:r>
          </w:p>
        </w:tc>
        <w:tc>
          <w:tcPr>
            <w:tcW w:w="340" w:type="pct"/>
            <w:vAlign w:val="center"/>
          </w:tcPr>
          <w:p>
            <w:pPr>
              <w:pStyle w:val="11"/>
            </w:pPr>
            <w:r>
              <w:t>249.45</w:t>
            </w:r>
          </w:p>
        </w:tc>
        <w:tc>
          <w:tcPr>
            <w:tcW w:w="340" w:type="pct"/>
            <w:vAlign w:val="center"/>
          </w:tcPr>
          <w:p>
            <w:pPr>
              <w:pStyle w:val="11"/>
            </w:pPr>
            <w:r>
              <w:t>200.49</w:t>
            </w:r>
          </w:p>
        </w:tc>
        <w:tc>
          <w:tcPr>
            <w:tcW w:w="340" w:type="pct"/>
            <w:vAlign w:val="center"/>
          </w:tcPr>
          <w:p>
            <w:pPr>
              <w:pStyle w:val="11"/>
            </w:pPr>
            <w:r>
              <w:t>48.96</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4</w:t>
            </w:r>
          </w:p>
        </w:tc>
        <w:tc>
          <w:tcPr>
            <w:tcW w:w="248" w:type="pct"/>
            <w:vAlign w:val="center"/>
          </w:tcPr>
          <w:p>
            <w:pPr>
              <w:pStyle w:val="12"/>
            </w:pPr>
            <w:r>
              <w:t>2010101</w:t>
            </w:r>
          </w:p>
        </w:tc>
        <w:tc>
          <w:tcPr>
            <w:tcW w:w="1135" w:type="pct"/>
            <w:vAlign w:val="center"/>
          </w:tcPr>
          <w:p>
            <w:pPr>
              <w:pStyle w:val="12"/>
            </w:pPr>
            <w:r>
              <w:t>行政运行</w:t>
            </w:r>
          </w:p>
        </w:tc>
        <w:tc>
          <w:tcPr>
            <w:tcW w:w="340" w:type="pct"/>
            <w:vAlign w:val="center"/>
          </w:tcPr>
          <w:p>
            <w:pPr>
              <w:pStyle w:val="11"/>
            </w:pPr>
            <w:r>
              <w:t>200.49</w:t>
            </w:r>
          </w:p>
        </w:tc>
        <w:tc>
          <w:tcPr>
            <w:tcW w:w="340" w:type="pct"/>
            <w:vAlign w:val="center"/>
          </w:tcPr>
          <w:p>
            <w:pPr>
              <w:pStyle w:val="11"/>
            </w:pPr>
            <w:r>
              <w:t>200.49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5</w:t>
            </w:r>
          </w:p>
        </w:tc>
        <w:tc>
          <w:tcPr>
            <w:tcW w:w="248" w:type="pct"/>
            <w:vAlign w:val="center"/>
          </w:tcPr>
          <w:p>
            <w:pPr>
              <w:pStyle w:val="12"/>
            </w:pPr>
            <w:r>
              <w:t>2010102</w:t>
            </w:r>
          </w:p>
        </w:tc>
        <w:tc>
          <w:tcPr>
            <w:tcW w:w="1135" w:type="pct"/>
            <w:vAlign w:val="center"/>
          </w:tcPr>
          <w:p>
            <w:pPr>
              <w:pStyle w:val="12"/>
            </w:pPr>
            <w:r>
              <w:t>一般行政管理事务</w:t>
            </w:r>
          </w:p>
        </w:tc>
        <w:tc>
          <w:tcPr>
            <w:tcW w:w="340" w:type="pct"/>
            <w:vAlign w:val="center"/>
          </w:tcPr>
          <w:p>
            <w:pPr>
              <w:pStyle w:val="11"/>
            </w:pPr>
            <w:r>
              <w:t>4.00</w:t>
            </w:r>
          </w:p>
        </w:tc>
        <w:tc>
          <w:tcPr>
            <w:tcW w:w="340" w:type="pct"/>
            <w:vAlign w:val="center"/>
          </w:tcPr>
          <w:p>
            <w:pPr>
              <w:pStyle w:val="11"/>
            </w:pPr>
          </w:p>
        </w:tc>
        <w:tc>
          <w:tcPr>
            <w:tcW w:w="340" w:type="pct"/>
            <w:vAlign w:val="center"/>
          </w:tcPr>
          <w:p>
            <w:pPr>
              <w:pStyle w:val="11"/>
            </w:pPr>
            <w:r>
              <w:t>4.00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6</w:t>
            </w:r>
          </w:p>
        </w:tc>
        <w:tc>
          <w:tcPr>
            <w:tcW w:w="248" w:type="pct"/>
            <w:vAlign w:val="center"/>
          </w:tcPr>
          <w:p>
            <w:pPr>
              <w:pStyle w:val="12"/>
            </w:pPr>
            <w:r>
              <w:t>2010104</w:t>
            </w:r>
          </w:p>
        </w:tc>
        <w:tc>
          <w:tcPr>
            <w:tcW w:w="1135" w:type="pct"/>
            <w:vAlign w:val="center"/>
          </w:tcPr>
          <w:p>
            <w:pPr>
              <w:pStyle w:val="12"/>
            </w:pPr>
            <w:r>
              <w:t>人大会议</w:t>
            </w:r>
          </w:p>
        </w:tc>
        <w:tc>
          <w:tcPr>
            <w:tcW w:w="340" w:type="pct"/>
            <w:vAlign w:val="center"/>
          </w:tcPr>
          <w:p>
            <w:pPr>
              <w:pStyle w:val="11"/>
            </w:pPr>
            <w:r>
              <w:t>32.98</w:t>
            </w:r>
          </w:p>
        </w:tc>
        <w:tc>
          <w:tcPr>
            <w:tcW w:w="340" w:type="pct"/>
            <w:vAlign w:val="center"/>
          </w:tcPr>
          <w:p>
            <w:pPr>
              <w:pStyle w:val="11"/>
            </w:pPr>
          </w:p>
        </w:tc>
        <w:tc>
          <w:tcPr>
            <w:tcW w:w="340" w:type="pct"/>
            <w:vAlign w:val="center"/>
          </w:tcPr>
          <w:p>
            <w:pPr>
              <w:pStyle w:val="11"/>
            </w:pPr>
            <w:r>
              <w:t>32.98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7</w:t>
            </w:r>
          </w:p>
        </w:tc>
        <w:tc>
          <w:tcPr>
            <w:tcW w:w="248" w:type="pct"/>
            <w:vAlign w:val="center"/>
          </w:tcPr>
          <w:p>
            <w:pPr>
              <w:pStyle w:val="12"/>
            </w:pPr>
            <w:r>
              <w:t>2010106</w:t>
            </w:r>
          </w:p>
        </w:tc>
        <w:tc>
          <w:tcPr>
            <w:tcW w:w="1135" w:type="pct"/>
            <w:vAlign w:val="center"/>
          </w:tcPr>
          <w:p>
            <w:pPr>
              <w:pStyle w:val="12"/>
            </w:pPr>
            <w:r>
              <w:t>人大监督</w:t>
            </w:r>
          </w:p>
        </w:tc>
        <w:tc>
          <w:tcPr>
            <w:tcW w:w="340" w:type="pct"/>
            <w:vAlign w:val="center"/>
          </w:tcPr>
          <w:p>
            <w:pPr>
              <w:pStyle w:val="11"/>
            </w:pPr>
            <w:r>
              <w:t>5.00</w:t>
            </w:r>
          </w:p>
        </w:tc>
        <w:tc>
          <w:tcPr>
            <w:tcW w:w="340" w:type="pct"/>
            <w:vAlign w:val="center"/>
          </w:tcPr>
          <w:p>
            <w:pPr>
              <w:pStyle w:val="11"/>
            </w:pPr>
          </w:p>
        </w:tc>
        <w:tc>
          <w:tcPr>
            <w:tcW w:w="340" w:type="pct"/>
            <w:vAlign w:val="center"/>
          </w:tcPr>
          <w:p>
            <w:pPr>
              <w:pStyle w:val="11"/>
            </w:pPr>
            <w:r>
              <w:t>5.00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8</w:t>
            </w:r>
          </w:p>
        </w:tc>
        <w:tc>
          <w:tcPr>
            <w:tcW w:w="248" w:type="pct"/>
            <w:vAlign w:val="center"/>
          </w:tcPr>
          <w:p>
            <w:pPr>
              <w:pStyle w:val="12"/>
            </w:pPr>
            <w:r>
              <w:t>2010108</w:t>
            </w:r>
          </w:p>
        </w:tc>
        <w:tc>
          <w:tcPr>
            <w:tcW w:w="1135" w:type="pct"/>
            <w:vAlign w:val="center"/>
          </w:tcPr>
          <w:p>
            <w:pPr>
              <w:pStyle w:val="12"/>
            </w:pPr>
            <w:r>
              <w:t>代表工作</w:t>
            </w:r>
          </w:p>
        </w:tc>
        <w:tc>
          <w:tcPr>
            <w:tcW w:w="340" w:type="pct"/>
            <w:vAlign w:val="center"/>
          </w:tcPr>
          <w:p>
            <w:pPr>
              <w:pStyle w:val="11"/>
            </w:pPr>
            <w:r>
              <w:t>6.98</w:t>
            </w:r>
          </w:p>
        </w:tc>
        <w:tc>
          <w:tcPr>
            <w:tcW w:w="340" w:type="pct"/>
            <w:vAlign w:val="center"/>
          </w:tcPr>
          <w:p>
            <w:pPr>
              <w:pStyle w:val="11"/>
            </w:pPr>
          </w:p>
        </w:tc>
        <w:tc>
          <w:tcPr>
            <w:tcW w:w="340" w:type="pct"/>
            <w:vAlign w:val="center"/>
          </w:tcPr>
          <w:p>
            <w:pPr>
              <w:pStyle w:val="11"/>
            </w:pPr>
            <w:r>
              <w:t>6.98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9</w:t>
            </w:r>
          </w:p>
        </w:tc>
        <w:tc>
          <w:tcPr>
            <w:tcW w:w="248" w:type="pct"/>
            <w:vAlign w:val="center"/>
          </w:tcPr>
          <w:p>
            <w:pPr>
              <w:pStyle w:val="12"/>
            </w:pPr>
            <w:r>
              <w:t>208</w:t>
            </w:r>
          </w:p>
        </w:tc>
        <w:tc>
          <w:tcPr>
            <w:tcW w:w="1135" w:type="pct"/>
            <w:vAlign w:val="center"/>
          </w:tcPr>
          <w:p>
            <w:pPr>
              <w:pStyle w:val="12"/>
            </w:pPr>
            <w:r>
              <w:t>社会保障和就业支出</w:t>
            </w:r>
          </w:p>
        </w:tc>
        <w:tc>
          <w:tcPr>
            <w:tcW w:w="340" w:type="pct"/>
            <w:vAlign w:val="center"/>
          </w:tcPr>
          <w:p>
            <w:pPr>
              <w:pStyle w:val="11"/>
            </w:pPr>
            <w:r>
              <w:t>31.97</w:t>
            </w:r>
          </w:p>
        </w:tc>
        <w:tc>
          <w:tcPr>
            <w:tcW w:w="340" w:type="pct"/>
            <w:vAlign w:val="center"/>
          </w:tcPr>
          <w:p>
            <w:pPr>
              <w:pStyle w:val="11"/>
            </w:pPr>
            <w:r>
              <w:t>31.97</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10</w:t>
            </w:r>
          </w:p>
        </w:tc>
        <w:tc>
          <w:tcPr>
            <w:tcW w:w="248" w:type="pct"/>
            <w:vAlign w:val="center"/>
          </w:tcPr>
          <w:p>
            <w:pPr>
              <w:pStyle w:val="12"/>
            </w:pPr>
            <w:r>
              <w:t>20805</w:t>
            </w:r>
          </w:p>
        </w:tc>
        <w:tc>
          <w:tcPr>
            <w:tcW w:w="1135" w:type="pct"/>
            <w:vAlign w:val="center"/>
          </w:tcPr>
          <w:p>
            <w:pPr>
              <w:pStyle w:val="12"/>
            </w:pPr>
            <w:r>
              <w:t>行政事业</w:t>
            </w:r>
            <w:r>
              <w:rPr>
                <w:rFonts w:hint="eastAsia"/>
                <w:lang w:eastAsia="zh-CN"/>
              </w:rPr>
              <w:t>部门</w:t>
            </w:r>
            <w:r>
              <w:t>养老支出</w:t>
            </w:r>
          </w:p>
        </w:tc>
        <w:tc>
          <w:tcPr>
            <w:tcW w:w="340" w:type="pct"/>
            <w:vAlign w:val="center"/>
          </w:tcPr>
          <w:p>
            <w:pPr>
              <w:pStyle w:val="11"/>
            </w:pPr>
            <w:r>
              <w:t>29.18</w:t>
            </w:r>
          </w:p>
        </w:tc>
        <w:tc>
          <w:tcPr>
            <w:tcW w:w="340" w:type="pct"/>
            <w:vAlign w:val="center"/>
          </w:tcPr>
          <w:p>
            <w:pPr>
              <w:pStyle w:val="11"/>
            </w:pPr>
            <w:r>
              <w:t>29.18</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11</w:t>
            </w:r>
          </w:p>
        </w:tc>
        <w:tc>
          <w:tcPr>
            <w:tcW w:w="248" w:type="pct"/>
            <w:vAlign w:val="center"/>
          </w:tcPr>
          <w:p>
            <w:pPr>
              <w:pStyle w:val="12"/>
            </w:pPr>
            <w:r>
              <w:t>2080501</w:t>
            </w:r>
          </w:p>
        </w:tc>
        <w:tc>
          <w:tcPr>
            <w:tcW w:w="1135" w:type="pct"/>
            <w:vAlign w:val="center"/>
          </w:tcPr>
          <w:p>
            <w:pPr>
              <w:pStyle w:val="12"/>
            </w:pPr>
            <w:r>
              <w:t>行政</w:t>
            </w:r>
            <w:r>
              <w:rPr>
                <w:rFonts w:hint="eastAsia"/>
                <w:lang w:eastAsia="zh-CN"/>
              </w:rPr>
              <w:t>部门</w:t>
            </w:r>
            <w:r>
              <w:t>离退休</w:t>
            </w:r>
          </w:p>
        </w:tc>
        <w:tc>
          <w:tcPr>
            <w:tcW w:w="340" w:type="pct"/>
            <w:vAlign w:val="center"/>
          </w:tcPr>
          <w:p>
            <w:pPr>
              <w:pStyle w:val="11"/>
            </w:pPr>
            <w:r>
              <w:t>7.93</w:t>
            </w:r>
          </w:p>
        </w:tc>
        <w:tc>
          <w:tcPr>
            <w:tcW w:w="340" w:type="pct"/>
            <w:vAlign w:val="center"/>
          </w:tcPr>
          <w:p>
            <w:pPr>
              <w:pStyle w:val="11"/>
            </w:pPr>
            <w:r>
              <w:t>7.93</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12</w:t>
            </w:r>
          </w:p>
        </w:tc>
        <w:tc>
          <w:tcPr>
            <w:tcW w:w="248" w:type="pct"/>
            <w:vAlign w:val="center"/>
          </w:tcPr>
          <w:p>
            <w:pPr>
              <w:pStyle w:val="12"/>
            </w:pPr>
            <w:r>
              <w:t>2080505</w:t>
            </w:r>
          </w:p>
        </w:tc>
        <w:tc>
          <w:tcPr>
            <w:tcW w:w="1135" w:type="pct"/>
            <w:vAlign w:val="center"/>
          </w:tcPr>
          <w:p>
            <w:pPr>
              <w:pStyle w:val="12"/>
            </w:pPr>
            <w:r>
              <w:t>机关事业</w:t>
            </w:r>
            <w:r>
              <w:rPr>
                <w:rFonts w:hint="eastAsia"/>
                <w:lang w:eastAsia="zh-CN"/>
              </w:rPr>
              <w:t>部门</w:t>
            </w:r>
            <w:r>
              <w:t>基本养老保险缴费支出</w:t>
            </w:r>
          </w:p>
        </w:tc>
        <w:tc>
          <w:tcPr>
            <w:tcW w:w="340" w:type="pct"/>
            <w:vAlign w:val="center"/>
          </w:tcPr>
          <w:p>
            <w:pPr>
              <w:pStyle w:val="11"/>
            </w:pPr>
            <w:r>
              <w:t>21.25</w:t>
            </w:r>
          </w:p>
        </w:tc>
        <w:tc>
          <w:tcPr>
            <w:tcW w:w="340" w:type="pct"/>
            <w:vAlign w:val="center"/>
          </w:tcPr>
          <w:p>
            <w:pPr>
              <w:pStyle w:val="11"/>
            </w:pPr>
            <w:r>
              <w:t>21.25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13</w:t>
            </w:r>
          </w:p>
        </w:tc>
        <w:tc>
          <w:tcPr>
            <w:tcW w:w="248" w:type="pct"/>
            <w:vAlign w:val="center"/>
          </w:tcPr>
          <w:p>
            <w:pPr>
              <w:pStyle w:val="12"/>
            </w:pPr>
            <w:r>
              <w:t>20808</w:t>
            </w:r>
          </w:p>
        </w:tc>
        <w:tc>
          <w:tcPr>
            <w:tcW w:w="1135" w:type="pct"/>
            <w:vAlign w:val="center"/>
          </w:tcPr>
          <w:p>
            <w:pPr>
              <w:pStyle w:val="12"/>
            </w:pPr>
            <w:r>
              <w:t>抚恤</w:t>
            </w:r>
          </w:p>
        </w:tc>
        <w:tc>
          <w:tcPr>
            <w:tcW w:w="340" w:type="pct"/>
            <w:vAlign w:val="center"/>
          </w:tcPr>
          <w:p>
            <w:pPr>
              <w:pStyle w:val="11"/>
            </w:pPr>
            <w:r>
              <w:t>2.79</w:t>
            </w:r>
          </w:p>
        </w:tc>
        <w:tc>
          <w:tcPr>
            <w:tcW w:w="340" w:type="pct"/>
            <w:vAlign w:val="center"/>
          </w:tcPr>
          <w:p>
            <w:pPr>
              <w:pStyle w:val="11"/>
            </w:pPr>
            <w:r>
              <w:t>2.79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14</w:t>
            </w:r>
          </w:p>
        </w:tc>
        <w:tc>
          <w:tcPr>
            <w:tcW w:w="248" w:type="pct"/>
            <w:vAlign w:val="center"/>
          </w:tcPr>
          <w:p>
            <w:pPr>
              <w:pStyle w:val="12"/>
            </w:pPr>
            <w:r>
              <w:t>2080899</w:t>
            </w:r>
          </w:p>
        </w:tc>
        <w:tc>
          <w:tcPr>
            <w:tcW w:w="1135" w:type="pct"/>
            <w:vAlign w:val="center"/>
          </w:tcPr>
          <w:p>
            <w:pPr>
              <w:pStyle w:val="12"/>
            </w:pPr>
            <w:r>
              <w:t>其他优抚支出</w:t>
            </w:r>
          </w:p>
        </w:tc>
        <w:tc>
          <w:tcPr>
            <w:tcW w:w="340" w:type="pct"/>
            <w:vAlign w:val="center"/>
          </w:tcPr>
          <w:p>
            <w:pPr>
              <w:pStyle w:val="11"/>
            </w:pPr>
            <w:r>
              <w:t>2.79</w:t>
            </w:r>
          </w:p>
        </w:tc>
        <w:tc>
          <w:tcPr>
            <w:tcW w:w="340" w:type="pct"/>
            <w:vAlign w:val="center"/>
          </w:tcPr>
          <w:p>
            <w:pPr>
              <w:pStyle w:val="11"/>
            </w:pPr>
            <w:r>
              <w:t>2.79</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15</w:t>
            </w:r>
          </w:p>
        </w:tc>
        <w:tc>
          <w:tcPr>
            <w:tcW w:w="248" w:type="pct"/>
            <w:vAlign w:val="center"/>
          </w:tcPr>
          <w:p>
            <w:pPr>
              <w:pStyle w:val="12"/>
            </w:pPr>
            <w:r>
              <w:t>210</w:t>
            </w:r>
          </w:p>
        </w:tc>
        <w:tc>
          <w:tcPr>
            <w:tcW w:w="1135" w:type="pct"/>
            <w:vAlign w:val="center"/>
          </w:tcPr>
          <w:p>
            <w:pPr>
              <w:pStyle w:val="12"/>
            </w:pPr>
            <w:r>
              <w:t>卫生健康支出</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16</w:t>
            </w:r>
          </w:p>
        </w:tc>
        <w:tc>
          <w:tcPr>
            <w:tcW w:w="248" w:type="pct"/>
            <w:vAlign w:val="center"/>
          </w:tcPr>
          <w:p>
            <w:pPr>
              <w:pStyle w:val="12"/>
            </w:pPr>
            <w:r>
              <w:t>21011</w:t>
            </w:r>
          </w:p>
        </w:tc>
        <w:tc>
          <w:tcPr>
            <w:tcW w:w="1135" w:type="pct"/>
            <w:vAlign w:val="center"/>
          </w:tcPr>
          <w:p>
            <w:pPr>
              <w:pStyle w:val="12"/>
            </w:pPr>
            <w:r>
              <w:t>行政事业</w:t>
            </w:r>
            <w:r>
              <w:rPr>
                <w:rFonts w:hint="eastAsia"/>
                <w:lang w:eastAsia="zh-CN"/>
              </w:rPr>
              <w:t>部门</w:t>
            </w:r>
            <w:r>
              <w:t>医疗</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17</w:t>
            </w:r>
          </w:p>
        </w:tc>
        <w:tc>
          <w:tcPr>
            <w:tcW w:w="248" w:type="pct"/>
            <w:vAlign w:val="center"/>
          </w:tcPr>
          <w:p>
            <w:pPr>
              <w:pStyle w:val="12"/>
            </w:pPr>
            <w:r>
              <w:t>2101101</w:t>
            </w:r>
          </w:p>
        </w:tc>
        <w:tc>
          <w:tcPr>
            <w:tcW w:w="1135" w:type="pct"/>
            <w:vAlign w:val="center"/>
          </w:tcPr>
          <w:p>
            <w:pPr>
              <w:pStyle w:val="12"/>
            </w:pPr>
            <w:r>
              <w:t>行政</w:t>
            </w:r>
            <w:r>
              <w:rPr>
                <w:rFonts w:hint="eastAsia"/>
                <w:lang w:eastAsia="zh-CN"/>
              </w:rPr>
              <w:t>部门</w:t>
            </w:r>
            <w:r>
              <w:t>医疗</w:t>
            </w:r>
          </w:p>
        </w:tc>
        <w:tc>
          <w:tcPr>
            <w:tcW w:w="340" w:type="pct"/>
            <w:vAlign w:val="center"/>
          </w:tcPr>
          <w:p>
            <w:pPr>
              <w:pStyle w:val="11"/>
            </w:pPr>
            <w:r>
              <w:t>11.35</w:t>
            </w:r>
          </w:p>
        </w:tc>
        <w:tc>
          <w:tcPr>
            <w:tcW w:w="340" w:type="pct"/>
            <w:vAlign w:val="center"/>
          </w:tcPr>
          <w:p>
            <w:pPr>
              <w:pStyle w:val="11"/>
            </w:pPr>
            <w:r>
              <w:t>11.35</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18</w:t>
            </w:r>
          </w:p>
        </w:tc>
        <w:tc>
          <w:tcPr>
            <w:tcW w:w="248" w:type="pct"/>
            <w:vAlign w:val="center"/>
          </w:tcPr>
          <w:p>
            <w:pPr>
              <w:pStyle w:val="12"/>
            </w:pPr>
            <w:r>
              <w:t>212</w:t>
            </w:r>
          </w:p>
        </w:tc>
        <w:tc>
          <w:tcPr>
            <w:tcW w:w="1135" w:type="pct"/>
            <w:vAlign w:val="center"/>
          </w:tcPr>
          <w:p>
            <w:pPr>
              <w:pStyle w:val="12"/>
            </w:pPr>
            <w:r>
              <w:t>城乡社区支出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19</w:t>
            </w:r>
          </w:p>
        </w:tc>
        <w:tc>
          <w:tcPr>
            <w:tcW w:w="248" w:type="pct"/>
            <w:vAlign w:val="center"/>
          </w:tcPr>
          <w:p>
            <w:pPr>
              <w:pStyle w:val="12"/>
            </w:pPr>
            <w:r>
              <w:t>21208</w:t>
            </w:r>
          </w:p>
        </w:tc>
        <w:tc>
          <w:tcPr>
            <w:tcW w:w="1135" w:type="pct"/>
            <w:vAlign w:val="center"/>
          </w:tcPr>
          <w:p>
            <w:pPr>
              <w:pStyle w:val="12"/>
            </w:pPr>
            <w:r>
              <w:t>国有土地使用权出让收入安排的支出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20</w:t>
            </w:r>
          </w:p>
        </w:tc>
        <w:tc>
          <w:tcPr>
            <w:tcW w:w="248" w:type="pct"/>
            <w:vAlign w:val="center"/>
          </w:tcPr>
          <w:p>
            <w:pPr>
              <w:pStyle w:val="12"/>
            </w:pPr>
            <w:r>
              <w:t>2120899</w:t>
            </w:r>
          </w:p>
        </w:tc>
        <w:tc>
          <w:tcPr>
            <w:tcW w:w="1135" w:type="pct"/>
            <w:vAlign w:val="center"/>
          </w:tcPr>
          <w:p>
            <w:pPr>
              <w:pStyle w:val="12"/>
            </w:pPr>
            <w:r>
              <w:t>其他国有土地使用权出让收入安排的支出</w:t>
            </w: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r>
              <w:t>22.00</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21</w:t>
            </w:r>
          </w:p>
        </w:tc>
        <w:tc>
          <w:tcPr>
            <w:tcW w:w="248" w:type="pct"/>
            <w:vAlign w:val="center"/>
          </w:tcPr>
          <w:p>
            <w:pPr>
              <w:pStyle w:val="12"/>
            </w:pPr>
            <w:r>
              <w:t>221</w:t>
            </w:r>
          </w:p>
        </w:tc>
        <w:tc>
          <w:tcPr>
            <w:tcW w:w="1135" w:type="pct"/>
            <w:vAlign w:val="center"/>
          </w:tcPr>
          <w:p>
            <w:pPr>
              <w:pStyle w:val="12"/>
            </w:pPr>
            <w:r>
              <w:t>住房保障支出</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22</w:t>
            </w:r>
          </w:p>
        </w:tc>
        <w:tc>
          <w:tcPr>
            <w:tcW w:w="248" w:type="pct"/>
            <w:vAlign w:val="center"/>
          </w:tcPr>
          <w:p>
            <w:pPr>
              <w:pStyle w:val="12"/>
            </w:pPr>
            <w:r>
              <w:t>22102</w:t>
            </w:r>
          </w:p>
        </w:tc>
        <w:tc>
          <w:tcPr>
            <w:tcW w:w="1135" w:type="pct"/>
            <w:vAlign w:val="center"/>
          </w:tcPr>
          <w:p>
            <w:pPr>
              <w:pStyle w:val="12"/>
            </w:pPr>
            <w:r>
              <w:t>住房改革支出</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 w:type="pct"/>
            <w:vAlign w:val="center"/>
          </w:tcPr>
          <w:p>
            <w:pPr>
              <w:pStyle w:val="13"/>
            </w:pPr>
            <w:r>
              <w:t>23</w:t>
            </w:r>
          </w:p>
        </w:tc>
        <w:tc>
          <w:tcPr>
            <w:tcW w:w="248" w:type="pct"/>
            <w:vAlign w:val="center"/>
          </w:tcPr>
          <w:p>
            <w:pPr>
              <w:pStyle w:val="12"/>
            </w:pPr>
            <w:r>
              <w:t>2210201</w:t>
            </w:r>
          </w:p>
        </w:tc>
        <w:tc>
          <w:tcPr>
            <w:tcW w:w="1135" w:type="pct"/>
            <w:vAlign w:val="center"/>
          </w:tcPr>
          <w:p>
            <w:pPr>
              <w:pStyle w:val="12"/>
            </w:pPr>
            <w:r>
              <w:t>住房公积金</w:t>
            </w:r>
          </w:p>
        </w:tc>
        <w:tc>
          <w:tcPr>
            <w:tcW w:w="340" w:type="pct"/>
            <w:vAlign w:val="center"/>
          </w:tcPr>
          <w:p>
            <w:pPr>
              <w:pStyle w:val="11"/>
            </w:pPr>
            <w:r>
              <w:t>10.62</w:t>
            </w:r>
          </w:p>
        </w:tc>
        <w:tc>
          <w:tcPr>
            <w:tcW w:w="340" w:type="pct"/>
            <w:vAlign w:val="center"/>
          </w:tcPr>
          <w:p>
            <w:pPr>
              <w:pStyle w:val="11"/>
            </w:pPr>
            <w:r>
              <w:t>10.62</w:t>
            </w: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340" w:type="pct"/>
            <w:vAlign w:val="center"/>
          </w:tcPr>
          <w:p>
            <w:pPr>
              <w:pStyle w:val="11"/>
            </w:pPr>
          </w:p>
        </w:tc>
        <w:tc>
          <w:tcPr>
            <w:tcW w:w="1361" w:type="pct"/>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261.78</w:t>
            </w:r>
          </w:p>
        </w:tc>
        <w:tc>
          <w:tcPr>
            <w:tcW w:w="3402" w:type="dxa"/>
            <w:vAlign w:val="center"/>
          </w:tcPr>
          <w:p>
            <w:pPr>
              <w:pStyle w:val="12"/>
            </w:pPr>
            <w:r>
              <w:t>一、一般公共服务支出</w:t>
            </w:r>
          </w:p>
        </w:tc>
        <w:tc>
          <w:tcPr>
            <w:tcW w:w="1474" w:type="dxa"/>
            <w:vAlign w:val="center"/>
          </w:tcPr>
          <w:p>
            <w:pPr>
              <w:pStyle w:val="11"/>
            </w:pPr>
            <w:r>
              <w:t>249.45</w:t>
            </w:r>
          </w:p>
        </w:tc>
        <w:tc>
          <w:tcPr>
            <w:tcW w:w="1474" w:type="dxa"/>
            <w:vAlign w:val="center"/>
          </w:tcPr>
          <w:p>
            <w:pPr>
              <w:pStyle w:val="11"/>
            </w:pPr>
            <w:r>
              <w:t>249.45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31.97</w:t>
            </w:r>
          </w:p>
        </w:tc>
        <w:tc>
          <w:tcPr>
            <w:tcW w:w="1474" w:type="dxa"/>
            <w:vAlign w:val="center"/>
          </w:tcPr>
          <w:p>
            <w:pPr>
              <w:pStyle w:val="11"/>
            </w:pPr>
            <w:r>
              <w:t>31.97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11.35</w:t>
            </w:r>
          </w:p>
        </w:tc>
        <w:tc>
          <w:tcPr>
            <w:tcW w:w="1474" w:type="dxa"/>
            <w:vAlign w:val="center"/>
          </w:tcPr>
          <w:p>
            <w:pPr>
              <w:pStyle w:val="11"/>
            </w:pPr>
            <w:r>
              <w:t>11.35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22.00</w:t>
            </w:r>
          </w:p>
        </w:tc>
        <w:tc>
          <w:tcPr>
            <w:tcW w:w="1474" w:type="dxa"/>
            <w:vAlign w:val="center"/>
          </w:tcPr>
          <w:p>
            <w:pPr>
              <w:pStyle w:val="11"/>
            </w:pPr>
          </w:p>
        </w:tc>
        <w:tc>
          <w:tcPr>
            <w:tcW w:w="1474" w:type="dxa"/>
            <w:vAlign w:val="center"/>
          </w:tcPr>
          <w:p>
            <w:pPr>
              <w:pStyle w:val="11"/>
            </w:pPr>
            <w:r>
              <w:t>22.00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10.62</w:t>
            </w:r>
          </w:p>
        </w:tc>
        <w:tc>
          <w:tcPr>
            <w:tcW w:w="1474" w:type="dxa"/>
            <w:vAlign w:val="center"/>
          </w:tcPr>
          <w:p>
            <w:pPr>
              <w:pStyle w:val="11"/>
            </w:pPr>
            <w:r>
              <w:t>10.62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283.78</w:t>
            </w:r>
          </w:p>
        </w:tc>
        <w:tc>
          <w:tcPr>
            <w:tcW w:w="3402" w:type="dxa"/>
            <w:vAlign w:val="center"/>
          </w:tcPr>
          <w:p>
            <w:pPr>
              <w:pStyle w:val="14"/>
            </w:pPr>
            <w:r>
              <w:t>本年支出合计</w:t>
            </w:r>
          </w:p>
        </w:tc>
        <w:tc>
          <w:tcPr>
            <w:tcW w:w="1474" w:type="dxa"/>
            <w:vAlign w:val="center"/>
          </w:tcPr>
          <w:p>
            <w:pPr>
              <w:pStyle w:val="15"/>
            </w:pPr>
            <w:r>
              <w:t>325.40</w:t>
            </w:r>
          </w:p>
        </w:tc>
        <w:tc>
          <w:tcPr>
            <w:tcW w:w="1474" w:type="dxa"/>
            <w:vAlign w:val="center"/>
          </w:tcPr>
          <w:p>
            <w:pPr>
              <w:pStyle w:val="15"/>
            </w:pPr>
            <w:r>
              <w:t>303.40</w:t>
            </w:r>
          </w:p>
        </w:tc>
        <w:tc>
          <w:tcPr>
            <w:tcW w:w="1474" w:type="dxa"/>
            <w:vAlign w:val="center"/>
          </w:tcPr>
          <w:p>
            <w:pPr>
              <w:pStyle w:val="15"/>
            </w:pPr>
            <w:r>
              <w:t>22.00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41.61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41.61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325.40</w:t>
            </w:r>
          </w:p>
        </w:tc>
        <w:tc>
          <w:tcPr>
            <w:tcW w:w="3402" w:type="dxa"/>
            <w:vAlign w:val="center"/>
          </w:tcPr>
          <w:p>
            <w:pPr>
              <w:pStyle w:val="14"/>
            </w:pPr>
            <w:r>
              <w:t>支出总计</w:t>
            </w:r>
          </w:p>
        </w:tc>
        <w:tc>
          <w:tcPr>
            <w:tcW w:w="1474" w:type="dxa"/>
            <w:vAlign w:val="center"/>
          </w:tcPr>
          <w:p>
            <w:pPr>
              <w:pStyle w:val="15"/>
            </w:pPr>
            <w:r>
              <w:t>325.40</w:t>
            </w:r>
          </w:p>
        </w:tc>
        <w:tc>
          <w:tcPr>
            <w:tcW w:w="1474" w:type="dxa"/>
            <w:vAlign w:val="center"/>
          </w:tcPr>
          <w:p>
            <w:pPr>
              <w:pStyle w:val="15"/>
            </w:pPr>
            <w:r>
              <w:t>303.40</w:t>
            </w:r>
          </w:p>
        </w:tc>
        <w:tc>
          <w:tcPr>
            <w:tcW w:w="1474" w:type="dxa"/>
            <w:vAlign w:val="center"/>
          </w:tcPr>
          <w:p>
            <w:pPr>
              <w:pStyle w:val="15"/>
            </w:pPr>
            <w:r>
              <w:t>22.00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303.40</w:t>
            </w:r>
          </w:p>
        </w:tc>
        <w:tc>
          <w:tcPr>
            <w:tcW w:w="2551" w:type="dxa"/>
            <w:vAlign w:val="center"/>
          </w:tcPr>
          <w:p>
            <w:pPr>
              <w:pStyle w:val="15"/>
            </w:pPr>
            <w:r>
              <w:t>254.44</w:t>
            </w:r>
          </w:p>
        </w:tc>
        <w:tc>
          <w:tcPr>
            <w:tcW w:w="2551" w:type="dxa"/>
            <w:vAlign w:val="center"/>
          </w:tcPr>
          <w:p>
            <w:pPr>
              <w:pStyle w:val="15"/>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249.45</w:t>
            </w:r>
          </w:p>
        </w:tc>
        <w:tc>
          <w:tcPr>
            <w:tcW w:w="2551" w:type="dxa"/>
            <w:vAlign w:val="center"/>
          </w:tcPr>
          <w:p>
            <w:pPr>
              <w:pStyle w:val="11"/>
            </w:pPr>
            <w:r>
              <w:t>200.49</w:t>
            </w:r>
          </w:p>
        </w:tc>
        <w:tc>
          <w:tcPr>
            <w:tcW w:w="2551" w:type="dxa"/>
            <w:vAlign w:val="center"/>
          </w:tcPr>
          <w:p>
            <w:pPr>
              <w:pStyle w:val="11"/>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249.45</w:t>
            </w:r>
          </w:p>
        </w:tc>
        <w:tc>
          <w:tcPr>
            <w:tcW w:w="2551" w:type="dxa"/>
            <w:vAlign w:val="center"/>
          </w:tcPr>
          <w:p>
            <w:pPr>
              <w:pStyle w:val="11"/>
            </w:pPr>
            <w:r>
              <w:t>200.49</w:t>
            </w:r>
          </w:p>
        </w:tc>
        <w:tc>
          <w:tcPr>
            <w:tcW w:w="2551" w:type="dxa"/>
            <w:vAlign w:val="center"/>
          </w:tcPr>
          <w:p>
            <w:pPr>
              <w:pStyle w:val="11"/>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200.49</w:t>
            </w:r>
          </w:p>
        </w:tc>
        <w:tc>
          <w:tcPr>
            <w:tcW w:w="2551" w:type="dxa"/>
            <w:vAlign w:val="center"/>
          </w:tcPr>
          <w:p>
            <w:pPr>
              <w:pStyle w:val="11"/>
            </w:pPr>
            <w:r>
              <w:t>200.49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32.98</w:t>
            </w:r>
          </w:p>
        </w:tc>
        <w:tc>
          <w:tcPr>
            <w:tcW w:w="2551" w:type="dxa"/>
            <w:vAlign w:val="center"/>
          </w:tcPr>
          <w:p>
            <w:pPr>
              <w:pStyle w:val="11"/>
            </w:pPr>
          </w:p>
        </w:tc>
        <w:tc>
          <w:tcPr>
            <w:tcW w:w="2551" w:type="dxa"/>
            <w:vAlign w:val="center"/>
          </w:tcPr>
          <w:p>
            <w:pPr>
              <w:pStyle w:val="11"/>
            </w:pPr>
            <w:r>
              <w:t>32.98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6.98</w:t>
            </w:r>
          </w:p>
        </w:tc>
        <w:tc>
          <w:tcPr>
            <w:tcW w:w="2551" w:type="dxa"/>
            <w:vAlign w:val="center"/>
          </w:tcPr>
          <w:p>
            <w:pPr>
              <w:pStyle w:val="11"/>
            </w:pPr>
          </w:p>
        </w:tc>
        <w:tc>
          <w:tcPr>
            <w:tcW w:w="2551" w:type="dxa"/>
            <w:vAlign w:val="center"/>
          </w:tcPr>
          <w:p>
            <w:pPr>
              <w:pStyle w:val="11"/>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31.97</w:t>
            </w:r>
          </w:p>
        </w:tc>
        <w:tc>
          <w:tcPr>
            <w:tcW w:w="2551" w:type="dxa"/>
            <w:vAlign w:val="center"/>
          </w:tcPr>
          <w:p>
            <w:pPr>
              <w:pStyle w:val="11"/>
            </w:pPr>
            <w:r>
              <w:t>31.97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2551" w:type="dxa"/>
            <w:vAlign w:val="center"/>
          </w:tcPr>
          <w:p>
            <w:pPr>
              <w:pStyle w:val="11"/>
            </w:pPr>
            <w:r>
              <w:t>29.18</w:t>
            </w:r>
          </w:p>
        </w:tc>
        <w:tc>
          <w:tcPr>
            <w:tcW w:w="2551" w:type="dxa"/>
            <w:vAlign w:val="center"/>
          </w:tcPr>
          <w:p>
            <w:pPr>
              <w:pStyle w:val="11"/>
            </w:pPr>
            <w:r>
              <w:t>29.18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w:t>
            </w:r>
            <w:r>
              <w:rPr>
                <w:rFonts w:hint="eastAsia"/>
                <w:lang w:eastAsia="zh-CN"/>
              </w:rPr>
              <w:t>部门</w:t>
            </w:r>
            <w:r>
              <w:t>基本养老保险缴费支出</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254.44</w:t>
            </w:r>
          </w:p>
        </w:tc>
        <w:tc>
          <w:tcPr>
            <w:tcW w:w="2551" w:type="dxa"/>
            <w:vAlign w:val="center"/>
          </w:tcPr>
          <w:p>
            <w:pPr>
              <w:pStyle w:val="15"/>
            </w:pPr>
            <w:r>
              <w:t>190.05</w:t>
            </w:r>
          </w:p>
        </w:tc>
        <w:tc>
          <w:tcPr>
            <w:tcW w:w="2551" w:type="dxa"/>
            <w:vAlign w:val="center"/>
          </w:tcPr>
          <w:p>
            <w:pPr>
              <w:pStyle w:val="15"/>
            </w:pPr>
            <w:r>
              <w:t>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179.33</w:t>
            </w:r>
          </w:p>
        </w:tc>
        <w:tc>
          <w:tcPr>
            <w:tcW w:w="2551" w:type="dxa"/>
            <w:vAlign w:val="center"/>
          </w:tcPr>
          <w:p>
            <w:pPr>
              <w:pStyle w:val="11"/>
            </w:pPr>
            <w:r>
              <w:t>179.33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87.50</w:t>
            </w:r>
          </w:p>
        </w:tc>
        <w:tc>
          <w:tcPr>
            <w:tcW w:w="2551" w:type="dxa"/>
            <w:vAlign w:val="center"/>
          </w:tcPr>
          <w:p>
            <w:pPr>
              <w:pStyle w:val="11"/>
            </w:pPr>
            <w:r>
              <w:t>87.50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40.65</w:t>
            </w:r>
          </w:p>
        </w:tc>
        <w:tc>
          <w:tcPr>
            <w:tcW w:w="2551" w:type="dxa"/>
            <w:vAlign w:val="center"/>
          </w:tcPr>
          <w:p>
            <w:pPr>
              <w:pStyle w:val="11"/>
            </w:pPr>
            <w:r>
              <w:t>40.65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7.29</w:t>
            </w:r>
          </w:p>
        </w:tc>
        <w:tc>
          <w:tcPr>
            <w:tcW w:w="2551" w:type="dxa"/>
            <w:vAlign w:val="center"/>
          </w:tcPr>
          <w:p>
            <w:pPr>
              <w:pStyle w:val="11"/>
            </w:pPr>
            <w:r>
              <w:t>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部门</w:t>
            </w:r>
            <w:r>
              <w:t>基本养老保险缴费</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10.62</w:t>
            </w:r>
          </w:p>
        </w:tc>
        <w:tc>
          <w:tcPr>
            <w:tcW w:w="2551" w:type="dxa"/>
            <w:vAlign w:val="center"/>
          </w:tcPr>
          <w:p>
            <w:pPr>
              <w:pStyle w:val="11"/>
            </w:pPr>
            <w:r>
              <w:t>10.62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63.39</w:t>
            </w:r>
          </w:p>
        </w:tc>
        <w:tc>
          <w:tcPr>
            <w:tcW w:w="2551" w:type="dxa"/>
            <w:vAlign w:val="center"/>
          </w:tcPr>
          <w:p>
            <w:pPr>
              <w:pStyle w:val="11"/>
            </w:pPr>
          </w:p>
        </w:tc>
        <w:tc>
          <w:tcPr>
            <w:tcW w:w="2551" w:type="dxa"/>
            <w:vAlign w:val="center"/>
          </w:tcPr>
          <w:p>
            <w:pPr>
              <w:pStyle w:val="11"/>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2.33</w:t>
            </w:r>
          </w:p>
        </w:tc>
        <w:tc>
          <w:tcPr>
            <w:tcW w:w="2551" w:type="dxa"/>
            <w:vAlign w:val="center"/>
          </w:tcPr>
          <w:p>
            <w:pPr>
              <w:pStyle w:val="11"/>
            </w:pPr>
          </w:p>
        </w:tc>
        <w:tc>
          <w:tcPr>
            <w:tcW w:w="2551" w:type="dxa"/>
            <w:vAlign w:val="center"/>
          </w:tcPr>
          <w:p>
            <w:pPr>
              <w:pStyle w:val="11"/>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3.48</w:t>
            </w:r>
          </w:p>
        </w:tc>
        <w:tc>
          <w:tcPr>
            <w:tcW w:w="2551" w:type="dxa"/>
            <w:vAlign w:val="center"/>
          </w:tcPr>
          <w:p>
            <w:pPr>
              <w:pStyle w:val="11"/>
            </w:pPr>
          </w:p>
        </w:tc>
        <w:tc>
          <w:tcPr>
            <w:tcW w:w="2551"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12.44</w:t>
            </w:r>
          </w:p>
        </w:tc>
        <w:tc>
          <w:tcPr>
            <w:tcW w:w="2551" w:type="dxa"/>
            <w:vAlign w:val="center"/>
          </w:tcPr>
          <w:p>
            <w:pPr>
              <w:pStyle w:val="11"/>
            </w:pPr>
          </w:p>
        </w:tc>
        <w:tc>
          <w:tcPr>
            <w:tcW w:w="2551" w:type="dxa"/>
            <w:vAlign w:val="center"/>
          </w:tcPr>
          <w:p>
            <w:pPr>
              <w:pStyle w:val="11"/>
            </w:pPr>
            <w:r>
              <w:t>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28.09</w:t>
            </w:r>
          </w:p>
        </w:tc>
        <w:tc>
          <w:tcPr>
            <w:tcW w:w="2551" w:type="dxa"/>
            <w:vAlign w:val="center"/>
          </w:tcPr>
          <w:p>
            <w:pPr>
              <w:pStyle w:val="11"/>
            </w:pPr>
          </w:p>
        </w:tc>
        <w:tc>
          <w:tcPr>
            <w:tcW w:w="2551" w:type="dxa"/>
            <w:vAlign w:val="center"/>
          </w:tcPr>
          <w:p>
            <w:pPr>
              <w:pStyle w:val="11"/>
            </w:pPr>
            <w:r>
              <w:t>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7.93</w:t>
            </w:r>
          </w:p>
        </w:tc>
        <w:tc>
          <w:tcPr>
            <w:tcW w:w="2551" w:type="dxa"/>
            <w:vAlign w:val="center"/>
          </w:tcPr>
          <w:p>
            <w:pPr>
              <w:pStyle w:val="11"/>
            </w:pPr>
            <w:r>
              <w:t>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1"/>
              <w:rPr>
                <w:rFonts w:hint="default" w:eastAsia="方正书宋_GBK"/>
                <w:lang w:val="en-US" w:eastAsia="zh-CN"/>
              </w:rPr>
            </w:pPr>
            <w:r>
              <w:rPr>
                <w:rFonts w:hint="eastAsia"/>
                <w:lang w:val="en-US" w:eastAsia="zh-CN"/>
              </w:rPr>
              <w:t>13.94</w:t>
            </w:r>
          </w:p>
        </w:tc>
        <w:tc>
          <w:tcPr>
            <w:tcW w:w="2381" w:type="dxa"/>
            <w:vAlign w:val="center"/>
          </w:tcPr>
          <w:p>
            <w:pPr>
              <w:pStyle w:val="11"/>
              <w:rPr>
                <w:rFonts w:hint="default" w:eastAsia="方正书宋_GBK"/>
                <w:lang w:val="en-US" w:eastAsia="zh-CN"/>
              </w:rPr>
            </w:pPr>
            <w:r>
              <w:rPr>
                <w:rFonts w:hint="eastAsia"/>
                <w:lang w:val="en-US" w:eastAsia="zh-CN"/>
              </w:rPr>
              <w:t>12.44</w:t>
            </w:r>
          </w:p>
        </w:tc>
        <w:tc>
          <w:tcPr>
            <w:tcW w:w="2381" w:type="dxa"/>
            <w:vAlign w:val="center"/>
          </w:tcPr>
          <w:p>
            <w:pPr>
              <w:pStyle w:val="11"/>
              <w:rPr>
                <w:rFonts w:hint="default" w:eastAsia="方正书宋_GBK"/>
                <w:lang w:val="en-US" w:eastAsia="zh-CN"/>
              </w:rPr>
            </w:pPr>
            <w:r>
              <w:rPr>
                <w:rFonts w:hint="eastAsia"/>
                <w:lang w:val="en-US" w:eastAsia="zh-CN"/>
              </w:rPr>
              <w:t>1.5</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rPr>
                <w:rFonts w:hint="default" w:eastAsia="方正书宋_GBK"/>
                <w:lang w:val="en-US" w:eastAsia="zh-CN"/>
              </w:rPr>
            </w:pPr>
            <w:r>
              <w:rPr>
                <w:rFonts w:hint="eastAsia"/>
                <w:lang w:val="en-US" w:eastAsia="zh-CN"/>
              </w:rPr>
              <w:t>13.94</w:t>
            </w:r>
          </w:p>
        </w:tc>
        <w:tc>
          <w:tcPr>
            <w:tcW w:w="2381" w:type="dxa"/>
            <w:vAlign w:val="center"/>
          </w:tcPr>
          <w:p>
            <w:pPr>
              <w:pStyle w:val="11"/>
              <w:rPr>
                <w:rFonts w:hint="default" w:eastAsia="方正书宋_GBK"/>
                <w:lang w:val="en-US" w:eastAsia="zh-CN"/>
              </w:rPr>
            </w:pPr>
            <w:r>
              <w:rPr>
                <w:rFonts w:hint="eastAsia"/>
                <w:lang w:val="en-US" w:eastAsia="zh-CN"/>
              </w:rPr>
              <w:t>12.44</w:t>
            </w:r>
          </w:p>
        </w:tc>
        <w:tc>
          <w:tcPr>
            <w:tcW w:w="2381" w:type="dxa"/>
            <w:vAlign w:val="center"/>
          </w:tcPr>
          <w:p>
            <w:pPr>
              <w:pStyle w:val="11"/>
              <w:rPr>
                <w:rFonts w:hint="default" w:eastAsia="方正书宋_GBK"/>
                <w:lang w:val="en-US" w:eastAsia="zh-CN"/>
              </w:rPr>
            </w:pPr>
            <w:r>
              <w:rPr>
                <w:rFonts w:hint="eastAsia"/>
                <w:lang w:val="en-US" w:eastAsia="zh-CN"/>
              </w:rPr>
              <w:t>1.5</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rPr>
                <w:rFonts w:hint="eastAsia"/>
                <w:lang w:eastAsia="zh-CN"/>
              </w:rPr>
            </w:pPr>
            <w:r>
              <w:rPr>
                <w:rFonts w:hint="eastAsia"/>
                <w:lang w:eastAsia="zh-CN"/>
              </w:rPr>
              <w:t>12.44</w:t>
            </w:r>
          </w:p>
        </w:tc>
        <w:tc>
          <w:tcPr>
            <w:tcW w:w="2381" w:type="dxa"/>
            <w:vAlign w:val="center"/>
          </w:tcPr>
          <w:p>
            <w:pPr>
              <w:pStyle w:val="11"/>
              <w:rPr>
                <w:rFonts w:hint="eastAsia"/>
                <w:lang w:eastAsia="zh-CN"/>
              </w:rPr>
            </w:pPr>
            <w:r>
              <w:rPr>
                <w:rFonts w:hint="eastAsia"/>
                <w:lang w:eastAsia="zh-CN"/>
              </w:rPr>
              <w:t>12.44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1.50</w:t>
            </w:r>
          </w:p>
        </w:tc>
        <w:tc>
          <w:tcPr>
            <w:tcW w:w="2381" w:type="dxa"/>
            <w:vAlign w:val="center"/>
          </w:tcPr>
          <w:p>
            <w:pPr>
              <w:pStyle w:val="11"/>
            </w:pPr>
          </w:p>
        </w:tc>
        <w:tc>
          <w:tcPr>
            <w:tcW w:w="2381" w:type="dxa"/>
            <w:vAlign w:val="center"/>
          </w:tcPr>
          <w:p>
            <w:pPr>
              <w:pStyle w:val="11"/>
            </w:pPr>
            <w:r>
              <w:t>1.50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青龙满族自治县人民代表大会常务委员会办公室2022年部门预算信息公开情况说明</w:t>
      </w:r>
    </w:p>
    <w:p>
      <w:pPr>
        <w:jc w:val="center"/>
      </w:pPr>
      <w:r>
        <w:rPr>
          <w:rFonts w:ascii="方正小标宋_GBK" w:hAnsi="方正小标宋_GBK" w:eastAsia="方正小标宋_GBK" w:cs="方正小标宋_GBK"/>
          <w:color w:val="000000"/>
          <w:sz w:val="44"/>
        </w:rPr>
        <w:t>青龙满族自治县人民代表大会常务委员会办公室2022年部门预算信息公开情况说明</w:t>
      </w:r>
    </w:p>
    <w:p>
      <w:pPr>
        <w:spacing w:line="500" w:lineRule="exact"/>
        <w:ind w:firstLine="560"/>
      </w:pPr>
      <w:r>
        <w:rPr>
          <w:rFonts w:eastAsia="方正仿宋_GBK"/>
          <w:color w:val="000000"/>
          <w:sz w:val="28"/>
        </w:rPr>
        <w:t>按照《</w:t>
      </w:r>
      <w:bookmarkStart w:id="18" w:name="_GoBack"/>
      <w:r>
        <w:rPr>
          <w:rFonts w:hint="eastAsia" w:eastAsia="方正仿宋_GBK"/>
          <w:color w:val="000000"/>
          <w:sz w:val="28"/>
          <w:lang w:val="en-US" w:eastAsia="zh-CN"/>
        </w:rPr>
        <w:t>中华人民共和国</w:t>
      </w:r>
      <w:r>
        <w:rPr>
          <w:rFonts w:eastAsia="方正仿宋_GBK"/>
          <w:color w:val="000000"/>
          <w:sz w:val="28"/>
        </w:rPr>
        <w:t>预算法</w:t>
      </w:r>
      <w:bookmarkEnd w:id="18"/>
      <w:r>
        <w:rPr>
          <w:rFonts w:eastAsia="方正仿宋_GBK"/>
          <w:color w:val="000000"/>
          <w:sz w:val="28"/>
        </w:rPr>
        <w:t>》、《地方预决算公开操作规程》和《关于进一步推进预算公开工作的实施意见》规定，现将青龙满族自治县人民代表大会常务委员会办公室2022年部门预算公开如下：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17"/>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17"/>
      </w:pPr>
      <w:r>
        <w:t>3、确保县乡人大换届选举工作顺利完成，提高组织换届选举工作水平；高质量完成机关领导人选举和常委会人事任免服务工作；高效督办有关部门负责人的目标责任书和述职报告。</w:t>
      </w:r>
    </w:p>
    <w:p>
      <w:pPr>
        <w:pStyle w:val="17"/>
      </w:pPr>
      <w:r>
        <w:t>4、进行立法调研；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17"/>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17"/>
      </w:pPr>
      <w:r>
        <w:t>6、机关文书档案印信管理和保密，机关人事、离退休人员服务，财务、后勤服务；领导交办的其他工作。确保机关工作有效运转。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lang w:eastAsia="zh-CN"/>
              </w:rPr>
              <w:t>部门</w:t>
            </w:r>
            <w:r>
              <w:t>名称</w:t>
            </w:r>
          </w:p>
        </w:tc>
        <w:tc>
          <w:tcPr>
            <w:tcW w:w="1843" w:type="dxa"/>
            <w:vAlign w:val="center"/>
          </w:tcPr>
          <w:p>
            <w:pPr>
              <w:pStyle w:val="10"/>
            </w:pPr>
            <w:r>
              <w:rPr>
                <w:rFonts w:hint="eastAsia"/>
                <w:lang w:eastAsia="zh-CN"/>
              </w:rPr>
              <w:t>部门</w:t>
            </w:r>
            <w:r>
              <w:t>性质</w:t>
            </w:r>
          </w:p>
        </w:tc>
        <w:tc>
          <w:tcPr>
            <w:tcW w:w="2126" w:type="dxa"/>
            <w:vAlign w:val="center"/>
          </w:tcPr>
          <w:p>
            <w:pPr>
              <w:pStyle w:val="10"/>
            </w:pPr>
            <w:r>
              <w:rPr>
                <w:rFonts w:hint="eastAsia"/>
                <w:lang w:eastAsia="zh-CN"/>
              </w:rPr>
              <w:t>部门</w:t>
            </w:r>
            <w:r>
              <w:t>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青龙满族自治县人民代表大会常务委员会办公室本级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按照预算管理有关规定，目前我县部门预算的编制实行综合预算制度，即全部收入和支出都反映在预算中。人大部门机关及所属</w:t>
      </w:r>
      <w:r>
        <w:rPr>
          <w:rFonts w:hint="eastAsia"/>
          <w:lang w:eastAsia="zh-CN"/>
        </w:rPr>
        <w:t>单位</w:t>
      </w:r>
      <w:r>
        <w:t>的收支包含在部门预算中。</w:t>
      </w:r>
    </w:p>
    <w:p>
      <w:pPr>
        <w:pStyle w:val="18"/>
      </w:pPr>
      <w:r>
        <w:t>1、收入说明</w:t>
      </w:r>
    </w:p>
    <w:p>
      <w:pPr>
        <w:pStyle w:val="18"/>
      </w:pPr>
      <w:r>
        <w:t>反映本部门当年全部收入。2022年预算收入325.46万元，其中：一般公共预算收入</w:t>
      </w:r>
      <w:r>
        <w:rPr>
          <w:rFonts w:hint="eastAsia"/>
          <w:lang w:val="en-US" w:eastAsia="zh-CN"/>
        </w:rPr>
        <w:t>261.78</w:t>
      </w:r>
      <w:r>
        <w:t>万元，基金预算收入22万元，财政专户核拨收入0万元，国有资本经营收入0万元，其他来源收入0万元</w:t>
      </w:r>
      <w:r>
        <w:rPr>
          <w:rFonts w:hint="eastAsia"/>
          <w:lang w:eastAsia="zh-CN"/>
        </w:rPr>
        <w:t>，</w:t>
      </w:r>
      <w:r>
        <w:rPr>
          <w:rFonts w:hint="eastAsia" w:eastAsia="方正仿宋_GBK"/>
          <w:color w:val="000000"/>
          <w:sz w:val="28"/>
        </w:rPr>
        <w:t>202</w:t>
      </w:r>
      <w:r>
        <w:rPr>
          <w:rFonts w:hint="eastAsia"/>
          <w:color w:val="000000"/>
          <w:sz w:val="28"/>
          <w:lang w:val="en-US" w:eastAsia="zh-CN"/>
        </w:rPr>
        <w:t>2</w:t>
      </w:r>
      <w:r>
        <w:rPr>
          <w:rFonts w:hint="eastAsia" w:eastAsia="方正仿宋_GBK"/>
          <w:color w:val="000000"/>
          <w:sz w:val="28"/>
        </w:rPr>
        <w:t>年初财政拨款结转和结余</w:t>
      </w:r>
      <w:r>
        <w:rPr>
          <w:rFonts w:hint="eastAsia"/>
          <w:lang w:val="en-US" w:eastAsia="zh-CN"/>
        </w:rPr>
        <w:t>41.61</w:t>
      </w:r>
      <w:r>
        <w:rPr>
          <w:rFonts w:hint="eastAsia"/>
        </w:rPr>
        <w:t>万元。</w:t>
      </w:r>
    </w:p>
    <w:p>
      <w:pPr>
        <w:pStyle w:val="18"/>
      </w:pPr>
      <w:r>
        <w:rPr>
          <w:rFonts w:hint="eastAsia"/>
          <w:lang w:val="en-US" w:eastAsia="zh-CN"/>
        </w:rPr>
        <w:t>41.61</w:t>
      </w:r>
      <w:r>
        <w:rPr>
          <w:rFonts w:hint="eastAsia"/>
        </w:rPr>
        <w:t>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人大年度部门预算中支出预算的总体情况。2022年支出预算325.46万元，其中基本支出254.5万元，包括人员经费190.05万元和日常公用经费64.45万元；项目支出70.96万元。</w:t>
      </w:r>
      <w:r>
        <w:rPr>
          <w:rFonts w:hint="eastAsia"/>
          <w:lang w:eastAsia="zh-CN"/>
        </w:rPr>
        <w:t>主要为 人大综合事务管理经费</w:t>
      </w:r>
      <w:r>
        <w:rPr>
          <w:rFonts w:hint="eastAsia"/>
          <w:lang w:val="en-US" w:eastAsia="zh-CN"/>
        </w:rPr>
        <w:t>20万元</w:t>
      </w:r>
      <w:r>
        <w:rPr>
          <w:rFonts w:hint="eastAsia"/>
          <w:lang w:eastAsia="zh-CN"/>
        </w:rPr>
        <w:t xml:space="preserve"> 、 八届人大五次会议经费</w:t>
      </w:r>
      <w:r>
        <w:rPr>
          <w:rFonts w:hint="eastAsia"/>
          <w:lang w:val="en-US" w:eastAsia="zh-CN"/>
        </w:rPr>
        <w:t>12.98万元</w:t>
      </w:r>
      <w:r>
        <w:rPr>
          <w:rFonts w:hint="eastAsia"/>
          <w:lang w:eastAsia="zh-CN"/>
        </w:rPr>
        <w:t xml:space="preserve"> 、九届人大二次会议经费</w:t>
      </w:r>
      <w:r>
        <w:rPr>
          <w:rFonts w:hint="eastAsia"/>
          <w:lang w:val="en-US" w:eastAsia="zh-CN"/>
        </w:rPr>
        <w:t>20万元</w:t>
      </w:r>
      <w:r>
        <w:rPr>
          <w:rFonts w:hint="eastAsia"/>
          <w:lang w:eastAsia="zh-CN"/>
        </w:rPr>
        <w:t>、人大代表活动经费</w:t>
      </w:r>
      <w:r>
        <w:rPr>
          <w:rFonts w:hint="eastAsia"/>
          <w:lang w:val="en-US" w:eastAsia="zh-CN"/>
        </w:rPr>
        <w:t>15.88万元及上级专项支出2.1万元</w:t>
      </w:r>
      <w:r>
        <w:rPr>
          <w:rFonts w:hint="eastAsia"/>
          <w:lang w:eastAsia="zh-CN"/>
        </w:rPr>
        <w:t>。</w:t>
      </w:r>
    </w:p>
    <w:p>
      <w:pPr>
        <w:pStyle w:val="18"/>
        <w:rPr>
          <w:rFonts w:hint="eastAsia"/>
        </w:rPr>
      </w:pPr>
      <w:bookmarkStart w:id="11" w:name="_Toc_3_3_0000000012"/>
      <w:r>
        <w:rPr>
          <w:rFonts w:hint="eastAsia"/>
        </w:rPr>
        <w:t>3、比上年增减情况</w:t>
      </w:r>
    </w:p>
    <w:p>
      <w:pPr>
        <w:pStyle w:val="18"/>
      </w:pPr>
      <w:r>
        <w:rPr>
          <w:rFonts w:hint="eastAsia"/>
        </w:rPr>
        <w:t>2022年预算收支安排</w:t>
      </w:r>
      <w:r>
        <w:rPr>
          <w:rFonts w:hint="eastAsia"/>
          <w:lang w:val="en-US" w:eastAsia="zh-CN"/>
        </w:rPr>
        <w:t>325.46</w:t>
      </w:r>
      <w:r>
        <w:rPr>
          <w:rFonts w:hint="eastAsia"/>
        </w:rPr>
        <w:t>万元，较2021年预算增加</w:t>
      </w:r>
      <w:r>
        <w:rPr>
          <w:rFonts w:hint="eastAsia" w:ascii="方正书宋_GBK" w:eastAsia="方正书宋_GBK"/>
          <w:lang w:val="en-US" w:eastAsia="zh-CN"/>
        </w:rPr>
        <w:t>99.25</w:t>
      </w:r>
      <w:r>
        <w:rPr>
          <w:rFonts w:hint="eastAsia"/>
        </w:rPr>
        <w:t>万元，其中：基本支出增加</w:t>
      </w:r>
      <w:r>
        <w:rPr>
          <w:rFonts w:hint="eastAsia"/>
          <w:lang w:val="en-US" w:eastAsia="zh-CN"/>
        </w:rPr>
        <w:t>79.19</w:t>
      </w:r>
      <w:r>
        <w:rPr>
          <w:rFonts w:hint="eastAsia"/>
        </w:rPr>
        <w:t>万元，主要为增加人员经费支出</w:t>
      </w:r>
      <w:r>
        <w:rPr>
          <w:rFonts w:hint="eastAsia"/>
          <w:lang w:val="en-US" w:eastAsia="zh-CN"/>
        </w:rPr>
        <w:t>64.2</w:t>
      </w:r>
      <w:r>
        <w:rPr>
          <w:rFonts w:hint="eastAsia"/>
        </w:rPr>
        <w:t>万元和增加日常公用经费</w:t>
      </w:r>
      <w:r>
        <w:rPr>
          <w:rFonts w:hint="eastAsia"/>
          <w:lang w:val="en-US" w:eastAsia="zh-CN"/>
        </w:rPr>
        <w:t>14.99</w:t>
      </w:r>
      <w:r>
        <w:rPr>
          <w:rFonts w:hint="eastAsia"/>
        </w:rPr>
        <w:t>万元；项目支出增加</w:t>
      </w:r>
      <w:r>
        <w:rPr>
          <w:rFonts w:hint="eastAsia"/>
          <w:lang w:val="en-US" w:eastAsia="zh-CN"/>
        </w:rPr>
        <w:t>6.96</w:t>
      </w:r>
      <w:r>
        <w:rPr>
          <w:rFonts w:hint="eastAsia"/>
        </w:rPr>
        <w:t>万元，主要</w:t>
      </w:r>
      <w:r>
        <w:rPr>
          <w:rFonts w:hint="eastAsia"/>
          <w:lang w:val="en-US" w:eastAsia="zh-CN"/>
        </w:rPr>
        <w:t>原因</w:t>
      </w:r>
      <w:r>
        <w:rPr>
          <w:rFonts w:hint="eastAsia"/>
        </w:rPr>
        <w:t>是</w:t>
      </w:r>
      <w:r>
        <w:t>上年部分款项未能形成支出，需在本年列预算支出</w:t>
      </w:r>
      <w:r>
        <w:rPr>
          <w:rFonts w:hint="eastAsia"/>
          <w:lang w:eastAsia="zh-CN"/>
        </w:rPr>
        <w:t>。</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rPr>
          <w:rFonts w:hint="eastAsia"/>
          <w:lang w:eastAsia="zh-CN"/>
        </w:rPr>
      </w:pPr>
      <w:r>
        <w:t>2022年，我部门机关运行经费共计安排64.45万元，主要用于办公费2.33万元、邮电费2.07万元、差旅费3.48万元、会议费14万元、办公设备购置费1万元、劳务费0.98万元，公务用车运行维护12.44万元、其他交通费28.09万元，其他商品和服务支出0.066万元等日常运行支出。</w:t>
      </w:r>
      <w:r>
        <w:rPr>
          <w:rFonts w:hint="eastAsia"/>
          <w:lang w:eastAsia="zh-CN"/>
        </w:rPr>
        <w:t>2021年年初部门预算33.97万元，比上年增长30.48万元。增加</w:t>
      </w:r>
      <w:r>
        <w:rPr>
          <w:rFonts w:hint="eastAsia"/>
          <w:lang w:val="en-US" w:eastAsia="zh-CN"/>
        </w:rPr>
        <w:t>89.73%，</w:t>
      </w:r>
      <w:r>
        <w:t>主要</w:t>
      </w:r>
      <w:r>
        <w:rPr>
          <w:rFonts w:hint="eastAsia"/>
          <w:lang w:val="en-US" w:eastAsia="zh-CN"/>
        </w:rPr>
        <w:t>原因</w:t>
      </w:r>
      <w:r>
        <w:rPr>
          <w:rFonts w:hint="eastAsia"/>
          <w:lang w:eastAsia="zh-CN"/>
        </w:rPr>
        <w:t>是</w:t>
      </w:r>
      <w:r>
        <w:t>上年部分款项未能形成支出，需在本年列预算支出</w:t>
      </w:r>
      <w:r>
        <w:rPr>
          <w:rFonts w:hint="eastAsia"/>
          <w:lang w:eastAsia="zh-CN"/>
        </w:rPr>
        <w:t>。</w:t>
      </w:r>
    </w:p>
    <w:p>
      <w:pPr>
        <w:pStyle w:val="19"/>
        <w:rPr>
          <w:rFonts w:hint="eastAsia"/>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bookmarkStart w:id="13" w:name="_Toc_3_3_0000000014"/>
      <w:r>
        <w:t>2022年，我部门财政拨款“三公”经费预算安排</w:t>
      </w:r>
      <w:r>
        <w:rPr>
          <w:rFonts w:hint="eastAsia"/>
          <w:lang w:val="en-US" w:eastAsia="zh-CN"/>
        </w:rPr>
        <w:t>73.05</w:t>
      </w:r>
      <w:r>
        <w:t>万元，其中因公出国（境）费0万元，同比无变化，原因是无因公出国（境）安排；公务用车购置及运维费</w:t>
      </w:r>
      <w:r>
        <w:rPr>
          <w:rFonts w:hint="eastAsia"/>
          <w:lang w:val="en-US" w:eastAsia="zh-CN"/>
        </w:rPr>
        <w:t>12.44</w:t>
      </w:r>
      <w:r>
        <w:t>万元（其中：公务用车购置费为0万元，公务用车运维费</w:t>
      </w:r>
      <w:r>
        <w:rPr>
          <w:rFonts w:hint="eastAsia"/>
          <w:lang w:val="en-US" w:eastAsia="zh-CN"/>
        </w:rPr>
        <w:t>12.44</w:t>
      </w:r>
      <w:r>
        <w:t>万元)，比上年增加</w:t>
      </w:r>
      <w:r>
        <w:rPr>
          <w:rFonts w:hint="eastAsia"/>
          <w:lang w:val="en-US" w:eastAsia="zh-CN"/>
        </w:rPr>
        <w:t>0.84</w:t>
      </w:r>
      <w:r>
        <w:t>万元，</w:t>
      </w:r>
      <w:r>
        <w:rPr>
          <w:rFonts w:hint="eastAsia"/>
          <w:lang w:eastAsia="zh-CN"/>
        </w:rPr>
        <w:t>增加</w:t>
      </w:r>
      <w:r>
        <w:rPr>
          <w:rFonts w:hint="eastAsia"/>
          <w:lang w:val="en-US" w:eastAsia="zh-CN"/>
        </w:rPr>
        <w:t>7.2%，</w:t>
      </w:r>
      <w:r>
        <w:t>主要</w:t>
      </w:r>
      <w:r>
        <w:rPr>
          <w:rFonts w:hint="eastAsia"/>
          <w:lang w:val="en-US" w:eastAsia="zh-CN"/>
        </w:rPr>
        <w:t>原因</w:t>
      </w:r>
      <w:r>
        <w:t>是上年部分款项未能形成支出，</w:t>
      </w:r>
      <w:r>
        <w:rPr>
          <w:rFonts w:hint="eastAsia" w:ascii="Times New Roman" w:hAnsi="Times New Roman" w:eastAsia="方正仿宋_GBK" w:cs="Times New Roman"/>
          <w:color w:val="000000"/>
          <w:sz w:val="28"/>
          <w:szCs w:val="24"/>
          <w:lang w:val="en-US" w:eastAsia="zh-CN" w:bidi="ar-SA"/>
        </w:rPr>
        <w:t>我单位严格执行中央八项规定文件要求，严格公务用车使用管理，做到定点加油、定点维修</w:t>
      </w:r>
      <w:r>
        <w:rPr>
          <w:rFonts w:hint="eastAsia" w:cs="Times New Roman"/>
          <w:color w:val="000000"/>
          <w:sz w:val="28"/>
          <w:szCs w:val="24"/>
          <w:lang w:val="en-US" w:eastAsia="zh-CN" w:bidi="ar-SA"/>
        </w:rPr>
        <w:t>，节约的开支</w:t>
      </w:r>
      <w:r>
        <w:rPr>
          <w:rFonts w:hint="eastAsia" w:ascii="Times New Roman" w:hAnsi="Times New Roman" w:eastAsia="方正仿宋_GBK" w:cs="Times New Roman"/>
          <w:color w:val="000000"/>
          <w:sz w:val="28"/>
          <w:szCs w:val="24"/>
          <w:lang w:val="en-US" w:eastAsia="zh-CN" w:bidi="ar-SA"/>
        </w:rPr>
        <w:t>；</w:t>
      </w:r>
      <w:r>
        <w:t>公务接待费1.5万元，比上年增加0.5万元，</w:t>
      </w:r>
      <w:r>
        <w:rPr>
          <w:rFonts w:hint="eastAsia"/>
          <w:lang w:eastAsia="zh-CN"/>
        </w:rPr>
        <w:t>增加</w:t>
      </w:r>
      <w:r>
        <w:rPr>
          <w:rFonts w:hint="eastAsia"/>
          <w:lang w:val="en-US" w:eastAsia="zh-CN"/>
        </w:rPr>
        <w:t>50%，</w:t>
      </w:r>
      <w:r>
        <w:rPr>
          <w:rFonts w:hint="eastAsia" w:ascii="Times New Roman" w:hAnsi="Times New Roman" w:eastAsia="方正仿宋_GBK" w:cs="Times New Roman"/>
          <w:color w:val="000000"/>
          <w:sz w:val="28"/>
          <w:szCs w:val="24"/>
          <w:lang w:val="en-US" w:eastAsia="zh-CN" w:bidi="ar-SA"/>
        </w:rPr>
        <w:t>主要原因是上年结转指标</w:t>
      </w:r>
      <w:r>
        <w:rPr>
          <w:rFonts w:hint="eastAsia" w:cs="Times New Roman"/>
          <w:color w:val="000000"/>
          <w:sz w:val="28"/>
          <w:szCs w:val="24"/>
          <w:lang w:val="en-US" w:eastAsia="zh-CN" w:bidi="ar-SA"/>
        </w:rPr>
        <w:t>在本年列支，</w:t>
      </w:r>
      <w:r>
        <w:rPr>
          <w:rFonts w:hint="eastAsia" w:ascii="Times New Roman" w:hAnsi="Times New Roman" w:eastAsia="方正仿宋_GBK" w:cs="Times New Roman"/>
          <w:color w:val="000000"/>
          <w:sz w:val="28"/>
          <w:szCs w:val="24"/>
          <w:lang w:val="en-US" w:eastAsia="zh-CN" w:bidi="ar-SA"/>
        </w:rPr>
        <w:t>我单位严格执行中央八项规定文件要求，公务接待费一直保持平稳运行。</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认真学习贯彻党的十九大和十九届五中全会精神，加强调查研究，持续加强理论武装，深入推进人大制度理论研究，增强运用法治思维和法治方式解决问题的能力。持之以恒抓好作风建设和党风廉政建设，抓好干部管理监督。用好重大事项决定权，加大监督力度，推动解决重点难点问题，力促重大任务和举措有效落实。聚焦经济平稳运行和民生热点，就营商环境、企业生产、生态保护、农村人居环境整治、乡村卫生一体化建设、食品安全等开展监督。就乡镇执法改革、村委换届、打击破坏环境违法行为和网络安全等开展监督。聚焦法律法规的贯彻执行，开展备案审查和执法检查，推进依法行政，切实维护宪法和法律的权威。完善人大“三联系”制度，完善代表联系选民、代表接待选民、代表述职评议等工作制度。着力完善人大代表工作机制，不断提高代表的政治理论水平和法律素养。畅通代表履职渠道，依法行使立法权、决定权、监督权、任免权。加强对乡镇、街道人大工作的指导，着力构建上下联动、充满活力的县乡人大工作新格局。</w:t>
      </w:r>
    </w:p>
    <w:p>
      <w:pPr>
        <w:spacing w:line="500" w:lineRule="exact"/>
        <w:ind w:firstLine="560"/>
      </w:pPr>
      <w:r>
        <w:rPr>
          <w:rFonts w:eastAsia="方正仿宋_GBK"/>
          <w:color w:val="000000"/>
          <w:sz w:val="28"/>
        </w:rPr>
        <w:t>（二）分项绩效目标</w:t>
      </w:r>
    </w:p>
    <w:p>
      <w:pPr>
        <w:pStyle w:val="22"/>
      </w:pPr>
      <w:r>
        <w:t>1、监督检查方面</w:t>
      </w:r>
    </w:p>
    <w:p>
      <w:pPr>
        <w:pStyle w:val="22"/>
      </w:pPr>
      <w:r>
        <w:t>绩效目标：组织常委会委员对法律实施情况进行检查；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22"/>
      </w:pPr>
      <w:r>
        <w:t>绩效指标：组织各级代表培训、调研、监督检查≤18次，促进代表工作水平和代表履职能力的提高，促进政府部门更好行履职功能。</w:t>
      </w:r>
    </w:p>
    <w:p>
      <w:pPr>
        <w:pStyle w:val="22"/>
      </w:pPr>
      <w:r>
        <w:t>2、人大会议方面</w:t>
      </w:r>
    </w:p>
    <w:p>
      <w:pPr>
        <w:pStyle w:val="22"/>
      </w:pPr>
      <w:r>
        <w:t>绩效目标：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22"/>
      </w:pPr>
      <w:r>
        <w:t>绩效指标：定期召开人大代表会议常务委员会各种会议，完善各项会议制度，规范会议程序，确保会议按照议程顺利进行，达到预期目的。圆满完成各项任务。</w:t>
      </w:r>
    </w:p>
    <w:p>
      <w:pPr>
        <w:pStyle w:val="22"/>
      </w:pPr>
      <w:r>
        <w:t>3、人事任免方面</w:t>
      </w:r>
    </w:p>
    <w:p>
      <w:pPr>
        <w:pStyle w:val="22"/>
      </w:pPr>
      <w:r>
        <w:t>绩效目标：高质量完成机关领导人选举和常委会人事任免服务工作；高效督办有关部门负责人的目标责任书和述职报告。</w:t>
      </w:r>
    </w:p>
    <w:p>
      <w:pPr>
        <w:pStyle w:val="22"/>
      </w:pPr>
      <w:r>
        <w:t>绩效指标：按照有关规定，高质量完成督办职责和人事任免工作。</w:t>
      </w:r>
    </w:p>
    <w:p>
      <w:pPr>
        <w:pStyle w:val="22"/>
      </w:pPr>
      <w:r>
        <w:t>4、立法调研方面</w:t>
      </w:r>
    </w:p>
    <w:p>
      <w:pPr>
        <w:pStyle w:val="22"/>
      </w:pPr>
      <w:r>
        <w:t>绩效目标：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22"/>
      </w:pPr>
      <w:r>
        <w:t>绩效指标：加大《青龙满族自治县城市管理条例》立法工作进度，力争2022年全部完成《青龙满族自治县城市管理条例》立法工作。</w:t>
      </w:r>
    </w:p>
    <w:p>
      <w:pPr>
        <w:pStyle w:val="22"/>
      </w:pPr>
      <w:r>
        <w:t>5、综合事务方面</w:t>
      </w:r>
    </w:p>
    <w:p>
      <w:pPr>
        <w:pStyle w:val="22"/>
      </w:pPr>
      <w:r>
        <w:t>绩效目标：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22"/>
      </w:pPr>
      <w:r>
        <w:t>绩效指标：</w:t>
      </w:r>
    </w:p>
    <w:p>
      <w:pPr>
        <w:pStyle w:val="22"/>
      </w:pPr>
      <w:r>
        <w:t>（1）备案审查信息平台和预算联网监督及网络运行工作正常运行。</w:t>
      </w:r>
    </w:p>
    <w:p>
      <w:pPr>
        <w:pStyle w:val="22"/>
      </w:pPr>
      <w:r>
        <w:t>（2）机关文书档案印信管理和保密，机关人事、离退休人员服务，财务、后勤服务；领导交办的其他工作。确保机关工作有效运转。</w:t>
      </w:r>
    </w:p>
    <w:p>
      <w:pPr>
        <w:spacing w:line="500" w:lineRule="exact"/>
        <w:ind w:firstLine="560"/>
      </w:pPr>
      <w:r>
        <w:rPr>
          <w:rFonts w:eastAsia="方正仿宋_GBK"/>
          <w:color w:val="000000"/>
          <w:sz w:val="28"/>
        </w:rPr>
        <w:t>（三）工作保障措施</w:t>
      </w:r>
    </w:p>
    <w:p>
      <w:pPr>
        <w:pStyle w:val="23"/>
      </w:pPr>
      <w:r>
        <w:t>1、加强思想建设，强化大局意识、责任意识，形成工作合力；营造想事、干事的浓厚氛围，为常委会依法履职提供坚强的政治保障。</w:t>
      </w:r>
    </w:p>
    <w:p>
      <w:pPr>
        <w:pStyle w:val="23"/>
      </w:pPr>
      <w:r>
        <w:t>2、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pStyle w:val="23"/>
      </w:pPr>
      <w:r>
        <w:t>3、加强立法建设。坚持科学立法、民主立法。认真开展立法调研，不断完善立法工作机制。坚持和完善草案公布机制，扩大群众对立法的有序参与。在坚持提高立法质量的前提下，你够贱符合青龙县情的民族法规体系。</w:t>
      </w:r>
    </w:p>
    <w:p>
      <w:pPr>
        <w:pStyle w:val="23"/>
      </w:pPr>
      <w:r>
        <w:t>4、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1、八届人大五次会议经费绩效目标表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1.通过组织召开人大会完善会议制度，规范会议程序，提高会议质量。</w:t>
            </w:r>
          </w:p>
          <w:p>
            <w:pPr>
              <w:pStyle w:val="26"/>
            </w:pPr>
            <w:r>
              <w:t>2.通过组织召开人大会，提高人大代表及常委会审议水平及代表履职水平。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组织八届人大五次会议</w:t>
            </w:r>
          </w:p>
        </w:tc>
        <w:tc>
          <w:tcPr>
            <w:tcW w:w="2835" w:type="dxa"/>
            <w:vAlign w:val="center"/>
          </w:tcPr>
          <w:p>
            <w:pPr>
              <w:pStyle w:val="26"/>
            </w:pPr>
            <w:r>
              <w:t>组织八届人大五次会议次数</w:t>
            </w:r>
          </w:p>
        </w:tc>
        <w:tc>
          <w:tcPr>
            <w:tcW w:w="2551" w:type="dxa"/>
            <w:vAlign w:val="center"/>
          </w:tcPr>
          <w:p>
            <w:pPr>
              <w:pStyle w:val="26"/>
            </w:pPr>
            <w:r>
              <w:t>1次</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参加会议人数</w:t>
            </w:r>
          </w:p>
        </w:tc>
        <w:tc>
          <w:tcPr>
            <w:tcW w:w="2835" w:type="dxa"/>
            <w:vAlign w:val="center"/>
          </w:tcPr>
          <w:p>
            <w:pPr>
              <w:pStyle w:val="26"/>
            </w:pPr>
            <w:r>
              <w:t>参加及列席会议人员数量</w:t>
            </w:r>
          </w:p>
        </w:tc>
        <w:tc>
          <w:tcPr>
            <w:tcW w:w="2551" w:type="dxa"/>
            <w:vAlign w:val="center"/>
          </w:tcPr>
          <w:p>
            <w:pPr>
              <w:pStyle w:val="26"/>
            </w:pPr>
            <w:r>
              <w:t>≥200人</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会议召开天数</w:t>
            </w:r>
          </w:p>
        </w:tc>
        <w:tc>
          <w:tcPr>
            <w:tcW w:w="2835" w:type="dxa"/>
            <w:vAlign w:val="center"/>
          </w:tcPr>
          <w:p>
            <w:pPr>
              <w:pStyle w:val="26"/>
            </w:pPr>
            <w:r>
              <w:t>完成人大会议议程的天数</w:t>
            </w:r>
          </w:p>
        </w:tc>
        <w:tc>
          <w:tcPr>
            <w:tcW w:w="2551" w:type="dxa"/>
            <w:vAlign w:val="center"/>
          </w:tcPr>
          <w:p>
            <w:pPr>
              <w:pStyle w:val="26"/>
            </w:pPr>
            <w:r>
              <w:t>3天</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会议活动组织完成率</w:t>
            </w:r>
          </w:p>
        </w:tc>
        <w:tc>
          <w:tcPr>
            <w:tcW w:w="2835" w:type="dxa"/>
            <w:vAlign w:val="center"/>
          </w:tcPr>
          <w:p>
            <w:pPr>
              <w:pStyle w:val="26"/>
            </w:pPr>
            <w:r>
              <w:t>完成会议各项议程</w:t>
            </w:r>
          </w:p>
        </w:tc>
        <w:tc>
          <w:tcPr>
            <w:tcW w:w="2551" w:type="dxa"/>
            <w:vAlign w:val="center"/>
          </w:tcPr>
          <w:p>
            <w:pPr>
              <w:pStyle w:val="26"/>
            </w:pPr>
            <w:r>
              <w:t>100%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会议完成时间</w:t>
            </w:r>
          </w:p>
        </w:tc>
        <w:tc>
          <w:tcPr>
            <w:tcW w:w="2835" w:type="dxa"/>
            <w:vAlign w:val="center"/>
          </w:tcPr>
          <w:p>
            <w:pPr>
              <w:pStyle w:val="26"/>
            </w:pPr>
            <w:r>
              <w:t>八届人大五次会议完成时间</w:t>
            </w:r>
          </w:p>
        </w:tc>
        <w:tc>
          <w:tcPr>
            <w:tcW w:w="2551" w:type="dxa"/>
            <w:vAlign w:val="center"/>
          </w:tcPr>
          <w:p>
            <w:pPr>
              <w:pStyle w:val="26"/>
            </w:pPr>
            <w:r>
              <w:t>2021年1月底前</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会议用品采购费用</w:t>
            </w:r>
          </w:p>
        </w:tc>
        <w:tc>
          <w:tcPr>
            <w:tcW w:w="2835" w:type="dxa"/>
            <w:vAlign w:val="center"/>
          </w:tcPr>
          <w:p>
            <w:pPr>
              <w:pStyle w:val="26"/>
            </w:pPr>
            <w:r>
              <w:t>采购各种证件、文件包、笔、本等会议用品</w:t>
            </w:r>
          </w:p>
        </w:tc>
        <w:tc>
          <w:tcPr>
            <w:tcW w:w="2551" w:type="dxa"/>
            <w:vAlign w:val="center"/>
          </w:tcPr>
          <w:p>
            <w:pPr>
              <w:pStyle w:val="26"/>
            </w:pPr>
            <w:r>
              <w:t>≤4万元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印刷费</w:t>
            </w:r>
          </w:p>
        </w:tc>
        <w:tc>
          <w:tcPr>
            <w:tcW w:w="2835" w:type="dxa"/>
            <w:vAlign w:val="center"/>
          </w:tcPr>
          <w:p>
            <w:pPr>
              <w:pStyle w:val="26"/>
            </w:pPr>
            <w:r>
              <w:t>各种报告及文件印刷费</w:t>
            </w:r>
          </w:p>
        </w:tc>
        <w:tc>
          <w:tcPr>
            <w:tcW w:w="2551" w:type="dxa"/>
            <w:vAlign w:val="center"/>
          </w:tcPr>
          <w:p>
            <w:pPr>
              <w:pStyle w:val="26"/>
            </w:pPr>
            <w:r>
              <w:t>≤6万元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代表食宿费用</w:t>
            </w:r>
          </w:p>
        </w:tc>
        <w:tc>
          <w:tcPr>
            <w:tcW w:w="2835" w:type="dxa"/>
            <w:vAlign w:val="center"/>
          </w:tcPr>
          <w:p>
            <w:pPr>
              <w:pStyle w:val="26"/>
            </w:pPr>
            <w:r>
              <w:t>参会代表食宿费用</w:t>
            </w:r>
          </w:p>
        </w:tc>
        <w:tc>
          <w:tcPr>
            <w:tcW w:w="2551" w:type="dxa"/>
            <w:vAlign w:val="center"/>
          </w:tcPr>
          <w:p>
            <w:pPr>
              <w:pStyle w:val="26"/>
            </w:pPr>
            <w:r>
              <w:t>≤2万元</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发挥人大代表监督作用</w:t>
            </w:r>
          </w:p>
        </w:tc>
        <w:tc>
          <w:tcPr>
            <w:tcW w:w="2835" w:type="dxa"/>
            <w:vAlign w:val="center"/>
          </w:tcPr>
          <w:p>
            <w:pPr>
              <w:pStyle w:val="26"/>
            </w:pPr>
            <w:r>
              <w:t>行使人代会权利，听取汇报，审议，和批准相关事项，发挥监督作用。</w:t>
            </w:r>
          </w:p>
        </w:tc>
        <w:tc>
          <w:tcPr>
            <w:tcW w:w="2551" w:type="dxa"/>
            <w:vAlign w:val="center"/>
          </w:tcPr>
          <w:p>
            <w:pPr>
              <w:pStyle w:val="26"/>
            </w:pPr>
            <w:r>
              <w:t>1次</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代表对会议议程及结果满意度</w:t>
            </w:r>
          </w:p>
        </w:tc>
        <w:tc>
          <w:tcPr>
            <w:tcW w:w="2835" w:type="dxa"/>
            <w:vAlign w:val="center"/>
          </w:tcPr>
          <w:p>
            <w:pPr>
              <w:pStyle w:val="26"/>
            </w:pPr>
            <w:r>
              <w:t>人大代表对八届人大五次会议议程及结果安排满意程度</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参会人员对会务服务工作满意度</w:t>
            </w:r>
          </w:p>
        </w:tc>
        <w:tc>
          <w:tcPr>
            <w:tcW w:w="2835" w:type="dxa"/>
            <w:vAlign w:val="center"/>
          </w:tcPr>
          <w:p>
            <w:pPr>
              <w:pStyle w:val="26"/>
            </w:pPr>
            <w:r>
              <w:t>组织召开的人代会等服务工作的满意度</w:t>
            </w:r>
          </w:p>
        </w:tc>
        <w:tc>
          <w:tcPr>
            <w:tcW w:w="2551" w:type="dxa"/>
            <w:vAlign w:val="center"/>
          </w:tcPr>
          <w:p>
            <w:pPr>
              <w:pStyle w:val="26"/>
            </w:pPr>
            <w:r>
              <w:t>≥95%</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2、人大代表活动经费绩效目标表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1.通过组织代表日常开展职务活动、学习培训、参加调研视察和执法检查，发挥常委及代表的桥梁纽带作用，集中反映民意，促进依法履职。</w:t>
            </w:r>
          </w:p>
          <w:p>
            <w:pPr>
              <w:pStyle w:val="26"/>
            </w:pPr>
            <w:r>
              <w:t>2.通过组织调研培训等活动，提高代表们的履职能力，保障各项工作的持续有序推进。</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调研视察次数</w:t>
            </w:r>
          </w:p>
        </w:tc>
        <w:tc>
          <w:tcPr>
            <w:tcW w:w="2835" w:type="dxa"/>
            <w:vAlign w:val="center"/>
          </w:tcPr>
          <w:p>
            <w:pPr>
              <w:pStyle w:val="26"/>
            </w:pPr>
            <w:r>
              <w:t>组织开展调研视察活动的次数</w:t>
            </w:r>
          </w:p>
        </w:tc>
        <w:tc>
          <w:tcPr>
            <w:tcW w:w="2551" w:type="dxa"/>
            <w:vAlign w:val="center"/>
          </w:tcPr>
          <w:p>
            <w:pPr>
              <w:pStyle w:val="26"/>
            </w:pPr>
            <w:r>
              <w:t>≥4次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职务活动及学习培训次数</w:t>
            </w:r>
          </w:p>
        </w:tc>
        <w:tc>
          <w:tcPr>
            <w:tcW w:w="2835" w:type="dxa"/>
            <w:vAlign w:val="center"/>
          </w:tcPr>
          <w:p>
            <w:pPr>
              <w:pStyle w:val="26"/>
            </w:pPr>
            <w:r>
              <w:t>组织开展职务活动、学习培训的次数</w:t>
            </w:r>
          </w:p>
        </w:tc>
        <w:tc>
          <w:tcPr>
            <w:tcW w:w="2551" w:type="dxa"/>
            <w:vAlign w:val="center"/>
          </w:tcPr>
          <w:p>
            <w:pPr>
              <w:pStyle w:val="26"/>
            </w:pPr>
            <w:r>
              <w:t>≥2次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组织开展执法检查次数</w:t>
            </w:r>
          </w:p>
        </w:tc>
        <w:tc>
          <w:tcPr>
            <w:tcW w:w="2551" w:type="dxa"/>
            <w:vAlign w:val="center"/>
          </w:tcPr>
          <w:p>
            <w:pPr>
              <w:pStyle w:val="26"/>
            </w:pPr>
            <w:r>
              <w:t>≥4次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调研视察完成率</w:t>
            </w:r>
          </w:p>
        </w:tc>
        <w:tc>
          <w:tcPr>
            <w:tcW w:w="2835" w:type="dxa"/>
            <w:vAlign w:val="center"/>
          </w:tcPr>
          <w:p>
            <w:pPr>
              <w:pStyle w:val="26"/>
            </w:pPr>
            <w:r>
              <w:t>实际调研视察数量占计划总数量的比率</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职务活动、培训完成率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培训合格人数占培训总人数的比例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反映调研、培训工作、执法检查完成时间</w:t>
            </w:r>
          </w:p>
        </w:tc>
        <w:tc>
          <w:tcPr>
            <w:tcW w:w="2551" w:type="dxa"/>
            <w:vAlign w:val="center"/>
          </w:tcPr>
          <w:p>
            <w:pPr>
              <w:pStyle w:val="26"/>
            </w:pPr>
            <w:r>
              <w:t>12月</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开展调研视察经费</w:t>
            </w:r>
          </w:p>
        </w:tc>
        <w:tc>
          <w:tcPr>
            <w:tcW w:w="2835" w:type="dxa"/>
            <w:vAlign w:val="center"/>
          </w:tcPr>
          <w:p>
            <w:pPr>
              <w:pStyle w:val="26"/>
            </w:pPr>
            <w:r>
              <w:t>用于开展调研视察的经费支出</w:t>
            </w:r>
          </w:p>
        </w:tc>
        <w:tc>
          <w:tcPr>
            <w:tcW w:w="2551" w:type="dxa"/>
            <w:vAlign w:val="center"/>
          </w:tcPr>
          <w:p>
            <w:pPr>
              <w:pStyle w:val="26"/>
            </w:pPr>
            <w:r>
              <w:t>≤1.3万元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开展职务活动、学习培训经费</w:t>
            </w:r>
          </w:p>
        </w:tc>
        <w:tc>
          <w:tcPr>
            <w:tcW w:w="2835" w:type="dxa"/>
            <w:vAlign w:val="center"/>
          </w:tcPr>
          <w:p>
            <w:pPr>
              <w:pStyle w:val="26"/>
            </w:pPr>
            <w:r>
              <w:t>用于开展职务活动、学习培训的经费支出</w:t>
            </w:r>
          </w:p>
        </w:tc>
        <w:tc>
          <w:tcPr>
            <w:tcW w:w="2551" w:type="dxa"/>
            <w:vAlign w:val="center"/>
          </w:tcPr>
          <w:p>
            <w:pPr>
              <w:pStyle w:val="26"/>
            </w:pPr>
            <w:r>
              <w:t>≤1.5万元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开展执法检查经费</w:t>
            </w:r>
          </w:p>
        </w:tc>
        <w:tc>
          <w:tcPr>
            <w:tcW w:w="2835" w:type="dxa"/>
            <w:vAlign w:val="center"/>
          </w:tcPr>
          <w:p>
            <w:pPr>
              <w:pStyle w:val="26"/>
            </w:pPr>
            <w:r>
              <w:t>用于开展执法检查的经费支出</w:t>
            </w:r>
          </w:p>
        </w:tc>
        <w:tc>
          <w:tcPr>
            <w:tcW w:w="2551" w:type="dxa"/>
            <w:vAlign w:val="center"/>
          </w:tcPr>
          <w:p>
            <w:pPr>
              <w:pStyle w:val="26"/>
            </w:pPr>
            <w:r>
              <w:t>≤2万元</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≥10次</w:t>
            </w:r>
          </w:p>
        </w:tc>
        <w:tc>
          <w:tcPr>
            <w:tcW w:w="2268" w:type="dxa"/>
            <w:vAlign w:val="center"/>
          </w:tcPr>
          <w:p>
            <w:pPr>
              <w:pStyle w:val="26"/>
            </w:pPr>
            <w:r>
              <w:t>2021工作安排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通过问卷调查人大代表对工作的满意度</w:t>
            </w:r>
          </w:p>
        </w:tc>
        <w:tc>
          <w:tcPr>
            <w:tcW w:w="2551" w:type="dxa"/>
            <w:vAlign w:val="center"/>
          </w:tcPr>
          <w:p>
            <w:pPr>
              <w:pStyle w:val="26"/>
            </w:pPr>
            <w:r>
              <w:t>≥95%</w:t>
            </w:r>
          </w:p>
        </w:tc>
        <w:tc>
          <w:tcPr>
            <w:tcW w:w="2268" w:type="dxa"/>
            <w:vAlign w:val="center"/>
          </w:tcPr>
          <w:p>
            <w:pPr>
              <w:pStyle w:val="26"/>
            </w:pPr>
            <w:r>
              <w:t>2021工作安排</w:t>
            </w:r>
          </w:p>
        </w:tc>
      </w:tr>
    </w:tbl>
    <w:p>
      <w:pPr>
        <w:pStyle w:val="24"/>
      </w:pPr>
    </w:p>
    <w:p>
      <w:pPr>
        <w:pStyle w:val="24"/>
        <w:ind w:firstLine="560"/>
      </w:pPr>
      <w:r>
        <w:rPr>
          <w:rFonts w:ascii="方正仿宋_GBK" w:hAnsi="方正仿宋_GBK" w:eastAsia="方正仿宋_GBK" w:cs="方正仿宋_GBK"/>
          <w:b/>
          <w:color w:val="000000"/>
          <w:sz w:val="28"/>
        </w:rPr>
        <w:t>3、人大代表活动经费绩效目标表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1.通过组织代表日常开展职务活动、学习培训、参加调研视察和执法检查，发挥常委及代表的桥梁纽带作用，集中反映民意，促进依法履职。</w:t>
            </w:r>
          </w:p>
          <w:p>
            <w:pPr>
              <w:pStyle w:val="26"/>
            </w:pPr>
            <w:r>
              <w:t>2.通过组织调研培训等活动，提高代表们的履职能力，保障各项工作的持续有序推进</w:t>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调研视察次数</w:t>
            </w:r>
          </w:p>
        </w:tc>
        <w:tc>
          <w:tcPr>
            <w:tcW w:w="2835" w:type="dxa"/>
            <w:vAlign w:val="center"/>
          </w:tcPr>
          <w:p>
            <w:pPr>
              <w:pStyle w:val="26"/>
            </w:pPr>
            <w:r>
              <w:t>组织开展调研视察活动的次数</w:t>
            </w:r>
          </w:p>
        </w:tc>
        <w:tc>
          <w:tcPr>
            <w:tcW w:w="2551" w:type="dxa"/>
            <w:vAlign w:val="center"/>
          </w:tcPr>
          <w:p>
            <w:pPr>
              <w:pStyle w:val="26"/>
            </w:pPr>
            <w:r>
              <w:t>≥4次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职务活动及学习培训次数</w:t>
            </w:r>
          </w:p>
        </w:tc>
        <w:tc>
          <w:tcPr>
            <w:tcW w:w="2835" w:type="dxa"/>
            <w:vAlign w:val="center"/>
          </w:tcPr>
          <w:p>
            <w:pPr>
              <w:pStyle w:val="26"/>
            </w:pPr>
            <w:r>
              <w:t>组织开展职务活动、学习培训的次数</w:t>
            </w:r>
          </w:p>
        </w:tc>
        <w:tc>
          <w:tcPr>
            <w:tcW w:w="2551" w:type="dxa"/>
            <w:vAlign w:val="center"/>
          </w:tcPr>
          <w:p>
            <w:pPr>
              <w:pStyle w:val="26"/>
            </w:pPr>
            <w:r>
              <w:t>≥2次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组织开展执法检查次数</w:t>
            </w:r>
          </w:p>
        </w:tc>
        <w:tc>
          <w:tcPr>
            <w:tcW w:w="2551" w:type="dxa"/>
            <w:vAlign w:val="center"/>
          </w:tcPr>
          <w:p>
            <w:pPr>
              <w:pStyle w:val="26"/>
            </w:pPr>
            <w:r>
              <w:t>≥4次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调研视察完成率</w:t>
            </w:r>
          </w:p>
        </w:tc>
        <w:tc>
          <w:tcPr>
            <w:tcW w:w="2835" w:type="dxa"/>
            <w:vAlign w:val="center"/>
          </w:tcPr>
          <w:p>
            <w:pPr>
              <w:pStyle w:val="26"/>
            </w:pPr>
            <w:r>
              <w:t>实际调研视察数量占计划总数量的比率</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职务活动、培训完成率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2022工作安排</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培训合格率</w:t>
            </w:r>
          </w:p>
        </w:tc>
        <w:tc>
          <w:tcPr>
            <w:tcW w:w="2835" w:type="dxa"/>
            <w:vAlign w:val="center"/>
          </w:tcPr>
          <w:p>
            <w:pPr>
              <w:pStyle w:val="26"/>
            </w:pPr>
            <w:r>
              <w:t>培训合格人数占培训总人数的比例</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反映调研、培训工作、执法检查完成时间</w:t>
            </w:r>
          </w:p>
        </w:tc>
        <w:tc>
          <w:tcPr>
            <w:tcW w:w="2551" w:type="dxa"/>
            <w:vAlign w:val="center"/>
          </w:tcPr>
          <w:p>
            <w:pPr>
              <w:pStyle w:val="26"/>
            </w:pPr>
            <w:r>
              <w:t>12月</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开展调研视察经费</w:t>
            </w:r>
          </w:p>
        </w:tc>
        <w:tc>
          <w:tcPr>
            <w:tcW w:w="2835" w:type="dxa"/>
            <w:vAlign w:val="center"/>
          </w:tcPr>
          <w:p>
            <w:pPr>
              <w:pStyle w:val="26"/>
            </w:pPr>
            <w:r>
              <w:t>用于开展调研视察的经费支出</w:t>
            </w:r>
          </w:p>
        </w:tc>
        <w:tc>
          <w:tcPr>
            <w:tcW w:w="2551" w:type="dxa"/>
            <w:vAlign w:val="center"/>
          </w:tcPr>
          <w:p>
            <w:pPr>
              <w:pStyle w:val="26"/>
            </w:pPr>
            <w:r>
              <w:t>≤7万元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开展职务活动、学习培训经费</w:t>
            </w:r>
          </w:p>
        </w:tc>
        <w:tc>
          <w:tcPr>
            <w:tcW w:w="2835" w:type="dxa"/>
            <w:vAlign w:val="center"/>
          </w:tcPr>
          <w:p>
            <w:pPr>
              <w:pStyle w:val="26"/>
            </w:pPr>
            <w:r>
              <w:t>用于开展职务活动、学习培训的经费支出</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开展执法检查经费</w:t>
            </w:r>
          </w:p>
        </w:tc>
        <w:tc>
          <w:tcPr>
            <w:tcW w:w="2835" w:type="dxa"/>
            <w:vAlign w:val="center"/>
          </w:tcPr>
          <w:p>
            <w:pPr>
              <w:pStyle w:val="26"/>
            </w:pPr>
            <w:r>
              <w:t>用于开展执法检查的经费支出</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≥10次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通过问卷调查人大代表对工作的满意度</w:t>
            </w: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4、人大综合事务管理经费绩效目标表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1.通过信息化推动备案审查工作不断发展，完成统一的备案审查信息平台建设，为建立健全宪法法律监督制度打好基础。</w:t>
            </w:r>
            <w:r>
              <w:tab/>
            </w:r>
            <w:r>
              <w:tab/>
            </w:r>
            <w:r>
              <w:tab/>
            </w:r>
            <w:r>
              <w:tab/>
            </w:r>
            <w:r>
              <w:tab/>
            </w:r>
            <w:r>
              <w:tab/>
            </w:r>
            <w:r>
              <w:tab/>
            </w:r>
          </w:p>
          <w:p>
            <w:pPr>
              <w:pStyle w:val="26"/>
            </w:pPr>
          </w:p>
          <w:p>
            <w:pPr>
              <w:pStyle w:val="26"/>
            </w:pPr>
            <w:r>
              <w:t>2.通过强化“人大代表之家”的服务功能，保证县人大常委会代表之家运转正常，进一步加强代表与选民的联系，让群众的意见能够直接反映给各级人大代表。</w:t>
            </w:r>
            <w:r>
              <w:tab/>
            </w:r>
            <w:r>
              <w:tab/>
            </w:r>
            <w:r>
              <w:tab/>
            </w:r>
            <w:r>
              <w:tab/>
            </w:r>
            <w:r>
              <w:tab/>
            </w:r>
            <w:r>
              <w:tab/>
            </w:r>
            <w:r>
              <w:tab/>
            </w:r>
          </w:p>
          <w:p>
            <w:pPr>
              <w:pStyle w:val="26"/>
            </w:pP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组织代表参加活动次数</w:t>
            </w:r>
          </w:p>
        </w:tc>
        <w:tc>
          <w:tcPr>
            <w:tcW w:w="2835" w:type="dxa"/>
            <w:vAlign w:val="center"/>
          </w:tcPr>
          <w:p>
            <w:pPr>
              <w:pStyle w:val="26"/>
            </w:pPr>
            <w:r>
              <w:t>计划召开学习、视察、调查研究活动次数</w:t>
            </w:r>
            <w:r>
              <w:tab/>
            </w:r>
          </w:p>
          <w:p>
            <w:pPr>
              <w:pStyle w:val="26"/>
            </w:pPr>
          </w:p>
        </w:tc>
        <w:tc>
          <w:tcPr>
            <w:tcW w:w="2551" w:type="dxa"/>
            <w:vAlign w:val="center"/>
          </w:tcPr>
          <w:p>
            <w:pPr>
              <w:pStyle w:val="26"/>
            </w:pPr>
            <w:r>
              <w:t>≥3次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支付软件维护费用</w:t>
            </w:r>
          </w:p>
        </w:tc>
        <w:tc>
          <w:tcPr>
            <w:tcW w:w="2835" w:type="dxa"/>
            <w:vAlign w:val="center"/>
          </w:tcPr>
          <w:p>
            <w:pPr>
              <w:pStyle w:val="26"/>
            </w:pPr>
            <w:r>
              <w:t>足额支付网络运行维护费用</w:t>
            </w:r>
            <w:r>
              <w:tab/>
            </w:r>
          </w:p>
          <w:p>
            <w:pPr>
              <w:pStyle w:val="26"/>
            </w:pPr>
          </w:p>
        </w:tc>
        <w:tc>
          <w:tcPr>
            <w:tcW w:w="2551" w:type="dxa"/>
            <w:vAlign w:val="center"/>
          </w:tcPr>
          <w:p>
            <w:pPr>
              <w:pStyle w:val="26"/>
            </w:pPr>
            <w:r>
              <w:t>2家</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数据安全性</w:t>
            </w:r>
          </w:p>
        </w:tc>
        <w:tc>
          <w:tcPr>
            <w:tcW w:w="2835" w:type="dxa"/>
            <w:vAlign w:val="center"/>
          </w:tcPr>
          <w:p>
            <w:pPr>
              <w:pStyle w:val="26"/>
            </w:pPr>
            <w:r>
              <w:t>降低系统数据差错率、保证数据安全</w:t>
            </w:r>
            <w:r>
              <w:tab/>
            </w:r>
          </w:p>
          <w:p>
            <w:pPr>
              <w:pStyle w:val="26"/>
            </w:pP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数据维护及时性</w:t>
            </w:r>
          </w:p>
        </w:tc>
        <w:tc>
          <w:tcPr>
            <w:tcW w:w="2835" w:type="dxa"/>
            <w:vAlign w:val="center"/>
          </w:tcPr>
          <w:p>
            <w:pPr>
              <w:pStyle w:val="26"/>
            </w:pPr>
            <w:r>
              <w:t>系统维护及更新及时，稳定运行，保障预算监督工作正常运行</w:t>
            </w:r>
            <w:r>
              <w:tab/>
            </w:r>
          </w:p>
          <w:p>
            <w:pPr>
              <w:pStyle w:val="26"/>
            </w:pP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代表活动完成率</w:t>
            </w:r>
          </w:p>
        </w:tc>
        <w:tc>
          <w:tcPr>
            <w:tcW w:w="2835" w:type="dxa"/>
            <w:vAlign w:val="center"/>
          </w:tcPr>
          <w:p>
            <w:pPr>
              <w:pStyle w:val="26"/>
            </w:pPr>
            <w:r>
              <w:t>做好协调组织工作，为代表依法履职提供服务。</w:t>
            </w: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备案审查及代表之家工作完成时间</w:t>
            </w:r>
            <w:r>
              <w:tab/>
            </w:r>
          </w:p>
          <w:p>
            <w:pPr>
              <w:pStyle w:val="26"/>
            </w:pPr>
          </w:p>
        </w:tc>
        <w:tc>
          <w:tcPr>
            <w:tcW w:w="2551" w:type="dxa"/>
            <w:vAlign w:val="center"/>
          </w:tcPr>
          <w:p>
            <w:pPr>
              <w:pStyle w:val="26"/>
            </w:pPr>
            <w:r>
              <w:t>12月</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代表之家运行费</w:t>
            </w:r>
          </w:p>
        </w:tc>
        <w:tc>
          <w:tcPr>
            <w:tcW w:w="2835" w:type="dxa"/>
            <w:vAlign w:val="center"/>
          </w:tcPr>
          <w:p>
            <w:pPr>
              <w:pStyle w:val="26"/>
            </w:pPr>
            <w:r>
              <w:t>人大代表之家运行经费控制数</w:t>
            </w:r>
          </w:p>
        </w:tc>
        <w:tc>
          <w:tcPr>
            <w:tcW w:w="2551" w:type="dxa"/>
            <w:vAlign w:val="center"/>
          </w:tcPr>
          <w:p>
            <w:pPr>
              <w:pStyle w:val="26"/>
            </w:pPr>
            <w:r>
              <w:t>≤2万元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预算联网监督费</w:t>
            </w:r>
          </w:p>
        </w:tc>
        <w:tc>
          <w:tcPr>
            <w:tcW w:w="2835" w:type="dxa"/>
            <w:vAlign w:val="center"/>
          </w:tcPr>
          <w:p>
            <w:pPr>
              <w:pStyle w:val="26"/>
            </w:pPr>
            <w:r>
              <w:t>预算联网监督工作成本费用</w:t>
            </w:r>
          </w:p>
        </w:tc>
        <w:tc>
          <w:tcPr>
            <w:tcW w:w="2551" w:type="dxa"/>
            <w:vAlign w:val="center"/>
          </w:tcPr>
          <w:p>
            <w:pPr>
              <w:pStyle w:val="26"/>
            </w:pPr>
            <w:r>
              <w:t>≤3.2万元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专门委员会活动经费</w:t>
            </w:r>
          </w:p>
        </w:tc>
        <w:tc>
          <w:tcPr>
            <w:tcW w:w="2835" w:type="dxa"/>
            <w:vAlign w:val="center"/>
          </w:tcPr>
          <w:p>
            <w:pPr>
              <w:pStyle w:val="26"/>
            </w:pPr>
            <w:r>
              <w:t>专门委员会活动及培训的经费支出</w:t>
            </w:r>
          </w:p>
        </w:tc>
        <w:tc>
          <w:tcPr>
            <w:tcW w:w="2551" w:type="dxa"/>
            <w:vAlign w:val="center"/>
          </w:tcPr>
          <w:p>
            <w:pPr>
              <w:pStyle w:val="26"/>
            </w:pPr>
            <w:r>
              <w:t>≤5.8万元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预算联网监督工作圆满完成</w:t>
            </w:r>
          </w:p>
        </w:tc>
        <w:tc>
          <w:tcPr>
            <w:tcW w:w="2835" w:type="dxa"/>
            <w:vAlign w:val="center"/>
          </w:tcPr>
          <w:p>
            <w:pPr>
              <w:pStyle w:val="26"/>
            </w:pPr>
            <w:r>
              <w:t>对政府预算检查和监督工作全面规范，实现预算制度公开透明</w:t>
            </w:r>
          </w:p>
        </w:tc>
        <w:tc>
          <w:tcPr>
            <w:tcW w:w="2551" w:type="dxa"/>
            <w:vAlign w:val="center"/>
          </w:tcPr>
          <w:p>
            <w:pPr>
              <w:pStyle w:val="26"/>
            </w:pPr>
            <w:r>
              <w:t>≥98%</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会议服务满意率</w:t>
            </w:r>
          </w:p>
        </w:tc>
        <w:tc>
          <w:tcPr>
            <w:tcW w:w="2835" w:type="dxa"/>
            <w:vAlign w:val="center"/>
          </w:tcPr>
          <w:p>
            <w:pPr>
              <w:pStyle w:val="26"/>
            </w:pPr>
            <w:r>
              <w:t>县人大代表和常委对代表工作的满意度</w:t>
            </w:r>
            <w:r>
              <w:tab/>
            </w:r>
          </w:p>
          <w:p>
            <w:pPr>
              <w:pStyle w:val="26"/>
            </w:pP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5、人大综合事务管理经费绩效目标表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1.通过信息化推动备案审查工作不断发展，完成统一的备案审查信息平台建设，为建立健全宪法法律监督制度打好基础。</w:t>
            </w:r>
          </w:p>
          <w:p>
            <w:pPr>
              <w:pStyle w:val="26"/>
            </w:pPr>
            <w:r>
              <w:t>2.通过强化“人大代表之家”的服务功能，保证县人大常委会代表之家运转正常，进一步加强代表与选民的联系，让群众的意见能够直接反映给各级人大代表。</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组织代表参加活动次数</w:t>
            </w:r>
          </w:p>
        </w:tc>
        <w:tc>
          <w:tcPr>
            <w:tcW w:w="2835" w:type="dxa"/>
            <w:vAlign w:val="center"/>
          </w:tcPr>
          <w:p>
            <w:pPr>
              <w:pStyle w:val="26"/>
            </w:pPr>
            <w:r>
              <w:t>计划召开学习、视察、调查研究活动次数</w:t>
            </w:r>
          </w:p>
        </w:tc>
        <w:tc>
          <w:tcPr>
            <w:tcW w:w="2551" w:type="dxa"/>
            <w:vAlign w:val="center"/>
          </w:tcPr>
          <w:p>
            <w:pPr>
              <w:pStyle w:val="26"/>
            </w:pPr>
            <w:r>
              <w:t>≥3次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支付软件维护费用</w:t>
            </w:r>
          </w:p>
        </w:tc>
        <w:tc>
          <w:tcPr>
            <w:tcW w:w="2835" w:type="dxa"/>
            <w:vAlign w:val="center"/>
          </w:tcPr>
          <w:p>
            <w:pPr>
              <w:pStyle w:val="26"/>
            </w:pPr>
            <w:r>
              <w:t>足额支付网络运行维护费用</w:t>
            </w:r>
          </w:p>
        </w:tc>
        <w:tc>
          <w:tcPr>
            <w:tcW w:w="2551" w:type="dxa"/>
            <w:vAlign w:val="center"/>
          </w:tcPr>
          <w:p>
            <w:pPr>
              <w:pStyle w:val="26"/>
            </w:pPr>
            <w:r>
              <w:t>2家</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数据安全性</w:t>
            </w:r>
          </w:p>
        </w:tc>
        <w:tc>
          <w:tcPr>
            <w:tcW w:w="2835" w:type="dxa"/>
            <w:vAlign w:val="center"/>
          </w:tcPr>
          <w:p>
            <w:pPr>
              <w:pStyle w:val="26"/>
            </w:pPr>
            <w:r>
              <w:t>降低系统数据差错率、保证数据安全</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数据维护及时性</w:t>
            </w:r>
          </w:p>
        </w:tc>
        <w:tc>
          <w:tcPr>
            <w:tcW w:w="2835" w:type="dxa"/>
            <w:vAlign w:val="center"/>
          </w:tcPr>
          <w:p>
            <w:pPr>
              <w:pStyle w:val="26"/>
            </w:pPr>
            <w:r>
              <w:t>系统维护及更新及时，稳定运行，保障预算监督工作正常运行</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代表活动完成率</w:t>
            </w:r>
          </w:p>
        </w:tc>
        <w:tc>
          <w:tcPr>
            <w:tcW w:w="2835" w:type="dxa"/>
            <w:vAlign w:val="center"/>
          </w:tcPr>
          <w:p>
            <w:pPr>
              <w:pStyle w:val="26"/>
            </w:pPr>
            <w:r>
              <w:t>做好协调组织工作，为代表依法履职提供服务。</w:t>
            </w: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工作完成时效性</w:t>
            </w:r>
          </w:p>
        </w:tc>
        <w:tc>
          <w:tcPr>
            <w:tcW w:w="2835" w:type="dxa"/>
            <w:vAlign w:val="center"/>
          </w:tcPr>
          <w:p>
            <w:pPr>
              <w:pStyle w:val="26"/>
            </w:pPr>
            <w:r>
              <w:t>备案审查及代表之家工作完成时间</w:t>
            </w:r>
          </w:p>
        </w:tc>
        <w:tc>
          <w:tcPr>
            <w:tcW w:w="2551" w:type="dxa"/>
            <w:vAlign w:val="center"/>
          </w:tcPr>
          <w:p>
            <w:pPr>
              <w:pStyle w:val="26"/>
            </w:pPr>
            <w:r>
              <w:t>12月</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预算联网监督费</w:t>
            </w:r>
          </w:p>
        </w:tc>
        <w:tc>
          <w:tcPr>
            <w:tcW w:w="2835" w:type="dxa"/>
            <w:vAlign w:val="center"/>
          </w:tcPr>
          <w:p>
            <w:pPr>
              <w:pStyle w:val="26"/>
            </w:pPr>
            <w:r>
              <w:t>预算联网监督工作成本费用</w:t>
            </w:r>
          </w:p>
        </w:tc>
        <w:tc>
          <w:tcPr>
            <w:tcW w:w="2551" w:type="dxa"/>
            <w:vAlign w:val="center"/>
          </w:tcPr>
          <w:p>
            <w:pPr>
              <w:pStyle w:val="26"/>
            </w:pPr>
            <w:r>
              <w:t>≤4万元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代表之家运行费</w:t>
            </w:r>
          </w:p>
        </w:tc>
        <w:tc>
          <w:tcPr>
            <w:tcW w:w="2835" w:type="dxa"/>
            <w:vAlign w:val="center"/>
          </w:tcPr>
          <w:p>
            <w:pPr>
              <w:pStyle w:val="26"/>
            </w:pPr>
            <w:r>
              <w:t>人大代表之家运行经费控制数</w:t>
            </w:r>
          </w:p>
        </w:tc>
        <w:tc>
          <w:tcPr>
            <w:tcW w:w="2551" w:type="dxa"/>
            <w:vAlign w:val="center"/>
          </w:tcPr>
          <w:p>
            <w:pPr>
              <w:pStyle w:val="26"/>
            </w:pPr>
            <w:r>
              <w:t>≤2万元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专门委员会活动经费控制数</w:t>
            </w:r>
          </w:p>
        </w:tc>
        <w:tc>
          <w:tcPr>
            <w:tcW w:w="2835" w:type="dxa"/>
            <w:vAlign w:val="center"/>
          </w:tcPr>
          <w:p>
            <w:pPr>
              <w:pStyle w:val="26"/>
            </w:pPr>
            <w:r>
              <w:t>专门委员会培训及活动经费</w:t>
            </w:r>
          </w:p>
        </w:tc>
        <w:tc>
          <w:tcPr>
            <w:tcW w:w="2551" w:type="dxa"/>
            <w:vAlign w:val="center"/>
          </w:tcPr>
          <w:p>
            <w:pPr>
              <w:pStyle w:val="26"/>
            </w:pPr>
            <w:r>
              <w:t>≤3万元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预算联网监督工作圆满完成</w:t>
            </w:r>
          </w:p>
        </w:tc>
        <w:tc>
          <w:tcPr>
            <w:tcW w:w="2835" w:type="dxa"/>
            <w:vAlign w:val="center"/>
          </w:tcPr>
          <w:p>
            <w:pPr>
              <w:pStyle w:val="26"/>
            </w:pPr>
            <w:r>
              <w:t>对政府预算检查和监督工作全面规范，实现预算制度公开透明</w:t>
            </w:r>
          </w:p>
          <w:p>
            <w:pPr>
              <w:pStyle w:val="26"/>
            </w:pPr>
          </w:p>
        </w:tc>
        <w:tc>
          <w:tcPr>
            <w:tcW w:w="2551" w:type="dxa"/>
            <w:vAlign w:val="center"/>
          </w:tcPr>
          <w:p>
            <w:pPr>
              <w:pStyle w:val="26"/>
            </w:pPr>
            <w:r>
              <w:t>≥98%</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会议服务满意率</w:t>
            </w:r>
          </w:p>
        </w:tc>
        <w:tc>
          <w:tcPr>
            <w:tcW w:w="2835" w:type="dxa"/>
            <w:vAlign w:val="center"/>
          </w:tcPr>
          <w:p>
            <w:pPr>
              <w:pStyle w:val="26"/>
            </w:pPr>
            <w:r>
              <w:t>县人大代表和常委对代表工作的满意度</w:t>
            </w:r>
          </w:p>
        </w:tc>
        <w:tc>
          <w:tcPr>
            <w:tcW w:w="2551" w:type="dxa"/>
            <w:vAlign w:val="center"/>
          </w:tcPr>
          <w:p>
            <w:pPr>
              <w:pStyle w:val="26"/>
            </w:pPr>
            <w:r>
              <w:t>≥95%</w:t>
            </w:r>
          </w:p>
        </w:tc>
        <w:tc>
          <w:tcPr>
            <w:tcW w:w="2268" w:type="dxa"/>
            <w:vAlign w:val="center"/>
          </w:tcPr>
          <w:p>
            <w:pPr>
              <w:pStyle w:val="26"/>
            </w:pPr>
            <w:r>
              <w:t>2021年工作安排</w:t>
            </w:r>
          </w:p>
        </w:tc>
      </w:tr>
    </w:tbl>
    <w:p>
      <w:pPr>
        <w:pStyle w:val="24"/>
      </w:pPr>
    </w:p>
    <w:p>
      <w:pPr>
        <w:pStyle w:val="24"/>
        <w:ind w:firstLine="560"/>
      </w:pPr>
      <w:r>
        <w:rPr>
          <w:rFonts w:ascii="方正仿宋_GBK" w:hAnsi="方正仿宋_GBK" w:eastAsia="方正仿宋_GBK" w:cs="方正仿宋_GBK"/>
          <w:b/>
          <w:color w:val="000000"/>
          <w:sz w:val="28"/>
        </w:rPr>
        <w:t>6、九届人大二次会议经费绩效目标表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1.通过组织召开人大会完善各项会议制度，规范会议程序，提高会议质量</w:t>
            </w:r>
            <w:r>
              <w:tab/>
            </w:r>
            <w:r>
              <w:tab/>
            </w:r>
            <w:r>
              <w:tab/>
            </w:r>
            <w:r>
              <w:tab/>
            </w:r>
            <w:r>
              <w:tab/>
            </w:r>
            <w:r>
              <w:tab/>
            </w:r>
            <w:r>
              <w:tab/>
            </w:r>
          </w:p>
          <w:p>
            <w:pPr>
              <w:pStyle w:val="26"/>
            </w:pPr>
            <w:r>
              <w:t>。</w:t>
            </w:r>
          </w:p>
          <w:p>
            <w:pPr>
              <w:pStyle w:val="26"/>
            </w:pPr>
            <w:r>
              <w:t>2.通过组织召开人代会，提高人大代表及常委会审议水平及代表履职水平。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会议次数</w:t>
            </w:r>
          </w:p>
        </w:tc>
        <w:tc>
          <w:tcPr>
            <w:tcW w:w="2835" w:type="dxa"/>
            <w:vAlign w:val="center"/>
          </w:tcPr>
          <w:p>
            <w:pPr>
              <w:pStyle w:val="26"/>
            </w:pPr>
            <w:r>
              <w:t>组织召开九届人大二次会议的次数</w:t>
            </w:r>
          </w:p>
        </w:tc>
        <w:tc>
          <w:tcPr>
            <w:tcW w:w="2551" w:type="dxa"/>
            <w:vAlign w:val="center"/>
          </w:tcPr>
          <w:p>
            <w:pPr>
              <w:pStyle w:val="26"/>
            </w:pPr>
            <w:r>
              <w:t>1次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参加会议人数</w:t>
            </w:r>
          </w:p>
        </w:tc>
        <w:tc>
          <w:tcPr>
            <w:tcW w:w="2835" w:type="dxa"/>
            <w:vAlign w:val="center"/>
          </w:tcPr>
          <w:p>
            <w:pPr>
              <w:pStyle w:val="26"/>
            </w:pPr>
            <w:r>
              <w:t>参加及列席会议人员数量</w:t>
            </w:r>
          </w:p>
        </w:tc>
        <w:tc>
          <w:tcPr>
            <w:tcW w:w="2551" w:type="dxa"/>
            <w:vAlign w:val="center"/>
          </w:tcPr>
          <w:p>
            <w:pPr>
              <w:pStyle w:val="26"/>
            </w:pPr>
            <w:r>
              <w:t>≥200人</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会议召开天数</w:t>
            </w:r>
          </w:p>
        </w:tc>
        <w:tc>
          <w:tcPr>
            <w:tcW w:w="2835" w:type="dxa"/>
            <w:vAlign w:val="center"/>
          </w:tcPr>
          <w:p>
            <w:pPr>
              <w:pStyle w:val="26"/>
            </w:pPr>
            <w:r>
              <w:t>完成人大会议议程的天数</w:t>
            </w:r>
          </w:p>
        </w:tc>
        <w:tc>
          <w:tcPr>
            <w:tcW w:w="2551" w:type="dxa"/>
            <w:vAlign w:val="center"/>
          </w:tcPr>
          <w:p>
            <w:pPr>
              <w:pStyle w:val="26"/>
            </w:pPr>
            <w:r>
              <w:t>3天</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会议活动组织完成率</w:t>
            </w:r>
          </w:p>
        </w:tc>
        <w:tc>
          <w:tcPr>
            <w:tcW w:w="2835" w:type="dxa"/>
            <w:vAlign w:val="center"/>
          </w:tcPr>
          <w:p>
            <w:pPr>
              <w:pStyle w:val="26"/>
            </w:pPr>
            <w:r>
              <w:t>完成会议各项议程的情况</w:t>
            </w:r>
          </w:p>
        </w:tc>
        <w:tc>
          <w:tcPr>
            <w:tcW w:w="2551" w:type="dxa"/>
            <w:vAlign w:val="center"/>
          </w:tcPr>
          <w:p>
            <w:pPr>
              <w:pStyle w:val="26"/>
            </w:pPr>
            <w:r>
              <w:t>100%</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会议用品采购费用</w:t>
            </w:r>
          </w:p>
        </w:tc>
        <w:tc>
          <w:tcPr>
            <w:tcW w:w="2835" w:type="dxa"/>
            <w:vAlign w:val="center"/>
          </w:tcPr>
          <w:p>
            <w:pPr>
              <w:pStyle w:val="26"/>
            </w:pPr>
            <w:r>
              <w:t>采购各种证件、文件包、笔、本等会议用品</w:t>
            </w:r>
          </w:p>
        </w:tc>
        <w:tc>
          <w:tcPr>
            <w:tcW w:w="2551" w:type="dxa"/>
            <w:vAlign w:val="center"/>
          </w:tcPr>
          <w:p>
            <w:pPr>
              <w:pStyle w:val="26"/>
            </w:pPr>
            <w:r>
              <w:t>≤3万元</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印刷费</w:t>
            </w:r>
          </w:p>
        </w:tc>
        <w:tc>
          <w:tcPr>
            <w:tcW w:w="2835" w:type="dxa"/>
            <w:vAlign w:val="center"/>
          </w:tcPr>
          <w:p>
            <w:pPr>
              <w:pStyle w:val="26"/>
            </w:pPr>
            <w:r>
              <w:t>各种报告的印刷费用情况</w:t>
            </w:r>
          </w:p>
        </w:tc>
        <w:tc>
          <w:tcPr>
            <w:tcW w:w="2551" w:type="dxa"/>
            <w:vAlign w:val="center"/>
          </w:tcPr>
          <w:p>
            <w:pPr>
              <w:pStyle w:val="26"/>
            </w:pPr>
            <w:r>
              <w:t>≤3.5万元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代表食宿费用</w:t>
            </w:r>
          </w:p>
        </w:tc>
        <w:tc>
          <w:tcPr>
            <w:tcW w:w="2835" w:type="dxa"/>
            <w:vAlign w:val="center"/>
          </w:tcPr>
          <w:p>
            <w:pPr>
              <w:pStyle w:val="26"/>
            </w:pPr>
            <w:r>
              <w:t>参会代表食宿费用</w:t>
            </w:r>
          </w:p>
        </w:tc>
        <w:tc>
          <w:tcPr>
            <w:tcW w:w="2551" w:type="dxa"/>
            <w:vAlign w:val="center"/>
          </w:tcPr>
          <w:p>
            <w:pPr>
              <w:pStyle w:val="26"/>
            </w:pPr>
            <w:r>
              <w:t>≤12万元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选票</w:t>
            </w:r>
          </w:p>
        </w:tc>
        <w:tc>
          <w:tcPr>
            <w:tcW w:w="2835" w:type="dxa"/>
            <w:vAlign w:val="center"/>
          </w:tcPr>
          <w:p>
            <w:pPr>
              <w:pStyle w:val="26"/>
            </w:pPr>
            <w:r>
              <w:t>会议所需选票费用</w:t>
            </w:r>
          </w:p>
        </w:tc>
        <w:tc>
          <w:tcPr>
            <w:tcW w:w="2551" w:type="dxa"/>
            <w:vAlign w:val="center"/>
          </w:tcPr>
          <w:p>
            <w:pPr>
              <w:pStyle w:val="26"/>
            </w:pPr>
            <w:r>
              <w:t>≤1.5万元</w:t>
            </w:r>
          </w:p>
          <w:p>
            <w:pPr>
              <w:pStyle w:val="26"/>
            </w:pP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会议完成时间</w:t>
            </w:r>
          </w:p>
        </w:tc>
        <w:tc>
          <w:tcPr>
            <w:tcW w:w="2835" w:type="dxa"/>
            <w:vAlign w:val="center"/>
          </w:tcPr>
          <w:p>
            <w:pPr>
              <w:pStyle w:val="26"/>
            </w:pPr>
            <w:r>
              <w:t>九届人大二次会议完成时间</w:t>
            </w:r>
          </w:p>
        </w:tc>
        <w:tc>
          <w:tcPr>
            <w:tcW w:w="2551" w:type="dxa"/>
            <w:vAlign w:val="center"/>
          </w:tcPr>
          <w:p>
            <w:pPr>
              <w:pStyle w:val="26"/>
            </w:pPr>
            <w:r>
              <w:t>2022年1月底前</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发挥人大代表监督作用</w:t>
            </w:r>
          </w:p>
        </w:tc>
        <w:tc>
          <w:tcPr>
            <w:tcW w:w="2835" w:type="dxa"/>
            <w:vAlign w:val="center"/>
          </w:tcPr>
          <w:p>
            <w:pPr>
              <w:pStyle w:val="26"/>
            </w:pPr>
            <w:r>
              <w:t>行使人代会权利，听取汇报，审议，和批准相关事项，发挥监督作用。</w:t>
            </w:r>
          </w:p>
        </w:tc>
        <w:tc>
          <w:tcPr>
            <w:tcW w:w="2551" w:type="dxa"/>
            <w:vAlign w:val="center"/>
          </w:tcPr>
          <w:p>
            <w:pPr>
              <w:pStyle w:val="26"/>
            </w:pPr>
            <w:r>
              <w:t>1次</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代表对会议议程及结果满意度</w:t>
            </w:r>
          </w:p>
        </w:tc>
        <w:tc>
          <w:tcPr>
            <w:tcW w:w="2835" w:type="dxa"/>
            <w:vAlign w:val="center"/>
          </w:tcPr>
          <w:p>
            <w:pPr>
              <w:pStyle w:val="26"/>
            </w:pPr>
            <w:r>
              <w:t>人大代表对九届人大二次会议议程及结果安排满意程度</w:t>
            </w:r>
          </w:p>
        </w:tc>
        <w:tc>
          <w:tcPr>
            <w:tcW w:w="2551" w:type="dxa"/>
            <w:vAlign w:val="center"/>
          </w:tcPr>
          <w:p>
            <w:pPr>
              <w:pStyle w:val="26"/>
            </w:pPr>
            <w:r>
              <w:t>≥95%</w:t>
            </w:r>
          </w:p>
        </w:tc>
        <w:tc>
          <w:tcPr>
            <w:tcW w:w="2268" w:type="dxa"/>
            <w:vAlign w:val="center"/>
          </w:tcPr>
          <w:p>
            <w:pPr>
              <w:pStyle w:val="26"/>
            </w:pPr>
            <w:r>
              <w:t>2022工作安排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会议服务工作满意率</w:t>
            </w:r>
          </w:p>
        </w:tc>
        <w:tc>
          <w:tcPr>
            <w:tcW w:w="2835" w:type="dxa"/>
            <w:vAlign w:val="center"/>
          </w:tcPr>
          <w:p>
            <w:pPr>
              <w:pStyle w:val="26"/>
            </w:pPr>
            <w:r>
              <w:t>组织召开的人代会等服务工作的满意度</w:t>
            </w:r>
          </w:p>
        </w:tc>
        <w:tc>
          <w:tcPr>
            <w:tcW w:w="2551" w:type="dxa"/>
            <w:vAlign w:val="center"/>
          </w:tcPr>
          <w:p>
            <w:pPr>
              <w:pStyle w:val="26"/>
            </w:pPr>
            <w:r>
              <w:t>≥95%</w:t>
            </w:r>
          </w:p>
        </w:tc>
        <w:tc>
          <w:tcPr>
            <w:tcW w:w="2268" w:type="dxa"/>
            <w:vAlign w:val="center"/>
          </w:tcPr>
          <w:p>
            <w:pPr>
              <w:pStyle w:val="26"/>
            </w:pPr>
            <w:r>
              <w:t>2022工作安排</w:t>
            </w:r>
          </w:p>
        </w:tc>
      </w:tr>
    </w:tbl>
    <w:p>
      <w:pPr>
        <w:pStyle w:val="24"/>
      </w:pPr>
    </w:p>
    <w:p>
      <w:pPr>
        <w:pStyle w:val="24"/>
        <w:ind w:firstLine="560"/>
      </w:pPr>
      <w:r>
        <w:rPr>
          <w:rFonts w:ascii="方正仿宋_GBK" w:hAnsi="方正仿宋_GBK" w:eastAsia="方正仿宋_GBK" w:cs="方正仿宋_GBK"/>
          <w:b/>
          <w:color w:val="000000"/>
          <w:sz w:val="28"/>
        </w:rPr>
        <w:t>7、秦皇岛市财政局关于下达2021年人大代表经费的通知(秦财行[2021]192号）绩效目标表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1.组织代表日常开展职务活动、学习培训、参加调研视察和执法检查。</w:t>
            </w:r>
          </w:p>
          <w:p>
            <w:pPr>
              <w:pStyle w:val="26"/>
            </w:pPr>
            <w:r>
              <w:t>2.发挥代表的桥梁纽带作用，集中反映民意，促进依法履职。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开展调研视察次数</w:t>
            </w:r>
          </w:p>
        </w:tc>
        <w:tc>
          <w:tcPr>
            <w:tcW w:w="2835" w:type="dxa"/>
            <w:vAlign w:val="center"/>
          </w:tcPr>
          <w:p>
            <w:pPr>
              <w:pStyle w:val="26"/>
            </w:pPr>
            <w:r>
              <w:t>组织开展调研视察活动的次数</w:t>
            </w:r>
          </w:p>
        </w:tc>
        <w:tc>
          <w:tcPr>
            <w:tcW w:w="2551" w:type="dxa"/>
            <w:vAlign w:val="center"/>
          </w:tcPr>
          <w:p>
            <w:pPr>
              <w:pStyle w:val="26"/>
            </w:pPr>
            <w:r>
              <w:t>5次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开展职务活动、学习培训次数</w:t>
            </w:r>
          </w:p>
        </w:tc>
        <w:tc>
          <w:tcPr>
            <w:tcW w:w="2835" w:type="dxa"/>
            <w:vAlign w:val="center"/>
          </w:tcPr>
          <w:p>
            <w:pPr>
              <w:pStyle w:val="26"/>
            </w:pPr>
            <w:r>
              <w:t>开展职务活动、学习培训的次数</w:t>
            </w:r>
          </w:p>
        </w:tc>
        <w:tc>
          <w:tcPr>
            <w:tcW w:w="2551" w:type="dxa"/>
            <w:vAlign w:val="center"/>
          </w:tcPr>
          <w:p>
            <w:pPr>
              <w:pStyle w:val="26"/>
            </w:pPr>
            <w:r>
              <w:t>2次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执法检查次数</w:t>
            </w:r>
          </w:p>
        </w:tc>
        <w:tc>
          <w:tcPr>
            <w:tcW w:w="2835" w:type="dxa"/>
            <w:vAlign w:val="center"/>
          </w:tcPr>
          <w:p>
            <w:pPr>
              <w:pStyle w:val="26"/>
            </w:pPr>
            <w:r>
              <w:t>开展执法检查的次数</w:t>
            </w:r>
          </w:p>
        </w:tc>
        <w:tc>
          <w:tcPr>
            <w:tcW w:w="2551" w:type="dxa"/>
            <w:vAlign w:val="center"/>
          </w:tcPr>
          <w:p>
            <w:pPr>
              <w:pStyle w:val="26"/>
            </w:pPr>
            <w:r>
              <w:t>4次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开展调研视察完成率</w:t>
            </w:r>
          </w:p>
        </w:tc>
        <w:tc>
          <w:tcPr>
            <w:tcW w:w="2835" w:type="dxa"/>
            <w:vAlign w:val="center"/>
          </w:tcPr>
          <w:p>
            <w:pPr>
              <w:pStyle w:val="26"/>
            </w:pPr>
            <w:r>
              <w:t>实际调研视察数量占计划数的比例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开展职务活动、学习培训完成率</w:t>
            </w:r>
          </w:p>
        </w:tc>
        <w:tc>
          <w:tcPr>
            <w:tcW w:w="2835" w:type="dxa"/>
            <w:vAlign w:val="center"/>
          </w:tcPr>
          <w:p>
            <w:pPr>
              <w:pStyle w:val="26"/>
            </w:pPr>
            <w:r>
              <w:t>实际培训数量占计划数的比例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开展执法检查完成率</w:t>
            </w:r>
          </w:p>
        </w:tc>
        <w:tc>
          <w:tcPr>
            <w:tcW w:w="2835" w:type="dxa"/>
            <w:vAlign w:val="center"/>
          </w:tcPr>
          <w:p>
            <w:pPr>
              <w:pStyle w:val="26"/>
            </w:pPr>
            <w:r>
              <w:t>实际执法检查数量占计划数的比例</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支出控制数</w:t>
            </w:r>
          </w:p>
        </w:tc>
        <w:tc>
          <w:tcPr>
            <w:tcW w:w="2835" w:type="dxa"/>
            <w:vAlign w:val="center"/>
          </w:tcPr>
          <w:p>
            <w:pPr>
              <w:pStyle w:val="26"/>
            </w:pPr>
            <w:r>
              <w:t>总体控制在预算额度内</w:t>
            </w:r>
          </w:p>
        </w:tc>
        <w:tc>
          <w:tcPr>
            <w:tcW w:w="2551" w:type="dxa"/>
            <w:vAlign w:val="center"/>
          </w:tcPr>
          <w:p>
            <w:pPr>
              <w:pStyle w:val="26"/>
            </w:pPr>
            <w:r>
              <w:t>≤2.1万元</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调研、培训工作、执法检查完成时间</w:t>
            </w:r>
          </w:p>
        </w:tc>
        <w:tc>
          <w:tcPr>
            <w:tcW w:w="2835" w:type="dxa"/>
            <w:vAlign w:val="center"/>
          </w:tcPr>
          <w:p>
            <w:pPr>
              <w:pStyle w:val="26"/>
            </w:pPr>
            <w:r>
              <w:t>反映调研、培训工作、执法检查完成时间</w:t>
            </w:r>
          </w:p>
        </w:tc>
        <w:tc>
          <w:tcPr>
            <w:tcW w:w="2551" w:type="dxa"/>
            <w:vAlign w:val="center"/>
          </w:tcPr>
          <w:p>
            <w:pPr>
              <w:pStyle w:val="26"/>
            </w:pPr>
            <w:r>
              <w:t>100%按计划完成</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代表履职水平</w:t>
            </w:r>
          </w:p>
        </w:tc>
        <w:tc>
          <w:tcPr>
            <w:tcW w:w="2835" w:type="dxa"/>
            <w:vAlign w:val="center"/>
          </w:tcPr>
          <w:p>
            <w:pPr>
              <w:pStyle w:val="26"/>
            </w:pPr>
            <w:r>
              <w:t>通过组织开展代表学习培训、视察、调研等活动，促进代表工作水平和代表履职能力的提高</w:t>
            </w:r>
          </w:p>
        </w:tc>
        <w:tc>
          <w:tcPr>
            <w:tcW w:w="2551" w:type="dxa"/>
            <w:vAlign w:val="center"/>
          </w:tcPr>
          <w:p>
            <w:pPr>
              <w:pStyle w:val="26"/>
            </w:pPr>
            <w:r>
              <w:t>≥11次</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监督指导作用</w:t>
            </w:r>
          </w:p>
        </w:tc>
        <w:tc>
          <w:tcPr>
            <w:tcW w:w="2835" w:type="dxa"/>
            <w:vAlign w:val="center"/>
          </w:tcPr>
          <w:p>
            <w:pPr>
              <w:pStyle w:val="26"/>
            </w:pPr>
            <w:r>
              <w:t>各项工作正常运转，促进监督指导作用的进一步发挥</w:t>
            </w:r>
          </w:p>
        </w:tc>
        <w:tc>
          <w:tcPr>
            <w:tcW w:w="2551" w:type="dxa"/>
            <w:vAlign w:val="center"/>
          </w:tcPr>
          <w:p>
            <w:pPr>
              <w:pStyle w:val="26"/>
            </w:pPr>
            <w:r>
              <w:t>≥95%</w:t>
            </w:r>
          </w:p>
        </w:tc>
        <w:tc>
          <w:tcPr>
            <w:tcW w:w="2268" w:type="dxa"/>
            <w:vAlign w:val="center"/>
          </w:tcPr>
          <w:p>
            <w:pPr>
              <w:pStyle w:val="26"/>
            </w:pPr>
            <w:r>
              <w:t>2021年工作安排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各级人大代表满意度</w:t>
            </w:r>
          </w:p>
        </w:tc>
        <w:tc>
          <w:tcPr>
            <w:tcW w:w="2835" w:type="dxa"/>
            <w:vAlign w:val="center"/>
          </w:tcPr>
          <w:p>
            <w:pPr>
              <w:pStyle w:val="26"/>
            </w:pPr>
            <w:r>
              <w:t>各级人大代表满意度</w:t>
            </w:r>
          </w:p>
        </w:tc>
        <w:tc>
          <w:tcPr>
            <w:tcW w:w="2551" w:type="dxa"/>
            <w:vAlign w:val="center"/>
          </w:tcPr>
          <w:p>
            <w:pPr>
              <w:pStyle w:val="26"/>
            </w:pPr>
            <w:r>
              <w:t>≥95</w:t>
            </w:r>
          </w:p>
        </w:tc>
        <w:tc>
          <w:tcPr>
            <w:tcW w:w="2268" w:type="dxa"/>
            <w:vAlign w:val="center"/>
          </w:tcPr>
          <w:p>
            <w:pPr>
              <w:pStyle w:val="26"/>
            </w:pPr>
            <w:r>
              <w:t>2021年工作安排</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2022年，青龙满族自治县人民代表大会常务委员会办公室安排政府采购预算0.00万元。具体内容见下表。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rPr>
                <w:rFonts w:hint="eastAsia"/>
                <w:lang w:eastAsia="zh-CN"/>
              </w:rPr>
              <w:t>部门</w:t>
            </w:r>
            <w:r>
              <w:t xml:space="preserve">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青龙满族自治县人民代表大会常务委员会办公室（含所属</w:t>
      </w:r>
      <w:r>
        <w:rPr>
          <w:rFonts w:hint="eastAsia" w:eastAsia="方正仿宋_GBK"/>
          <w:color w:val="000000"/>
          <w:sz w:val="28"/>
          <w:lang w:eastAsia="zh-CN"/>
        </w:rPr>
        <w:t>部门</w:t>
      </w:r>
      <w:r>
        <w:rPr>
          <w:rFonts w:eastAsia="方正仿宋_GBK"/>
          <w:color w:val="000000"/>
          <w:sz w:val="28"/>
        </w:rPr>
        <w:t>）上年末固定资产金额为114.39万元（详见下表）。本年度拟购置固定资产总额为0.00万元。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101青龙满族自治县人民代表大会常务委员会办公室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28.53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1209" w:firstLineChars="432"/>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TNmZjhmNjBhZjUxNjZkMWIyMjg1OWMxMjIyYmIifQ=="/>
  </w:docVars>
  <w:rsids>
    <w:rsidRoot w:val="00680706"/>
    <w:rsid w:val="00007195"/>
    <w:rsid w:val="00070D61"/>
    <w:rsid w:val="00171F0F"/>
    <w:rsid w:val="002D2B0B"/>
    <w:rsid w:val="003A5150"/>
    <w:rsid w:val="00577504"/>
    <w:rsid w:val="00606F16"/>
    <w:rsid w:val="00614551"/>
    <w:rsid w:val="00680706"/>
    <w:rsid w:val="00B07F1C"/>
    <w:rsid w:val="00C94733"/>
    <w:rsid w:val="077E1A2E"/>
    <w:rsid w:val="0BFE55C4"/>
    <w:rsid w:val="0CAF663C"/>
    <w:rsid w:val="18237836"/>
    <w:rsid w:val="1B3E5305"/>
    <w:rsid w:val="1F09345F"/>
    <w:rsid w:val="2C2E3173"/>
    <w:rsid w:val="2FBE23E3"/>
    <w:rsid w:val="33FB7DDF"/>
    <w:rsid w:val="393B2A2C"/>
    <w:rsid w:val="404C6BA7"/>
    <w:rsid w:val="40802F5B"/>
    <w:rsid w:val="41BC425A"/>
    <w:rsid w:val="435C589D"/>
    <w:rsid w:val="45013B88"/>
    <w:rsid w:val="4538379F"/>
    <w:rsid w:val="46AA2F9F"/>
    <w:rsid w:val="4A471230"/>
    <w:rsid w:val="4B6C4CC7"/>
    <w:rsid w:val="51DA5080"/>
    <w:rsid w:val="5532583C"/>
    <w:rsid w:val="59B970CF"/>
    <w:rsid w:val="5A683600"/>
    <w:rsid w:val="5ACC3048"/>
    <w:rsid w:val="5B94004E"/>
    <w:rsid w:val="5BBB5C0D"/>
    <w:rsid w:val="5F24169B"/>
    <w:rsid w:val="5F5D4BFA"/>
    <w:rsid w:val="62C51434"/>
    <w:rsid w:val="642F3132"/>
    <w:rsid w:val="64E55D1C"/>
    <w:rsid w:val="67FB3E7A"/>
    <w:rsid w:val="688558EE"/>
    <w:rsid w:val="6E9B5221"/>
    <w:rsid w:val="70191136"/>
    <w:rsid w:val="707D334E"/>
    <w:rsid w:val="709661BE"/>
    <w:rsid w:val="75215851"/>
    <w:rsid w:val="779D4034"/>
    <w:rsid w:val="77CD4BBB"/>
    <w:rsid w:val="7E77229F"/>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4ef171fc-5f38-43e5-b474-60f89735c1e0"/>
    <w:qFormat/>
    <w:uiPriority w:val="0"/>
    <w:rPr>
      <w:rFonts w:ascii="Times New Roman" w:hAnsi="Times New Roman" w:eastAsia="Times New Roman" w:cs="Times New Roman"/>
      <w:sz w:val="24"/>
      <w:szCs w:val="24"/>
      <w:lang w:val="en-US" w:eastAsia="uk-UA" w:bidi="ar-SA"/>
    </w:rPr>
  </w:style>
  <w:style w:type="paragraph" w:customStyle="1" w:styleId="25">
    <w:name w:val="单元格样式1_bd01a525-21a0-426d-8cca-8429361c282c"/>
    <w:basedOn w:val="1"/>
    <w:qFormat/>
    <w:uiPriority w:val="0"/>
    <w:pPr>
      <w:jc w:val="center"/>
    </w:pPr>
    <w:rPr>
      <w:rFonts w:ascii="方正书宋_GBK" w:hAnsi="方正书宋_GBK" w:eastAsia="方正书宋_GBK" w:cs="方正书宋_GBK"/>
      <w:b/>
      <w:sz w:val="21"/>
    </w:rPr>
  </w:style>
  <w:style w:type="paragraph" w:customStyle="1" w:styleId="26">
    <w:name w:val="单元格样式2_efca2c3b-653f-4a36-b5b6-546928104cc7"/>
    <w:basedOn w:val="1"/>
    <w:qFormat/>
    <w:uiPriority w:val="0"/>
    <w:rPr>
      <w:rFonts w:ascii="方正书宋_GBK" w:hAnsi="方正书宋_GBK" w:eastAsia="方正书宋_GBK" w:cs="方正书宋_GBK"/>
      <w:sz w:val="21"/>
    </w:rPr>
  </w:style>
  <w:style w:type="paragraph" w:customStyle="1" w:styleId="27">
    <w:name w:val="单元格样式3_006338eb-06dd-4f6f-a2d5-8843b401c6d2"/>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2022-02-10T16:53:21Z</dcterms:created>
  <dcterms:modified xsi:type="dcterms:W3CDTF">2022-02-10T08:53:21Z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2022-02-10T16:53:19Z</dcterms:created>
  <dcterms:modified xsi:type="dcterms:W3CDTF">2022-02-10T08:53:19Z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2022-02-10T16:53:17Z</dcterms:created>
  <dcterms:modified xsi:type="dcterms:W3CDTF">2022-02-10T08:53:17Z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2022-02-10T16:53:23Z</dcterms:created>
  <dcterms:modified xsi:type="dcterms:W3CDTF">2022-02-10T08:53:23Z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4473FE-F99E-4F6B-9D10-4B70CD146522}">
  <ds:schemaRefs/>
</ds:datastoreItem>
</file>

<file path=customXml/itemProps2.xml><?xml version="1.0" encoding="utf-8"?>
<ds:datastoreItem xmlns:ds="http://schemas.openxmlformats.org/officeDocument/2006/customXml" ds:itemID="{DA83DB7C-DC78-4198-896C-9FF7812E42D4}">
  <ds:schemaRefs/>
</ds:datastoreItem>
</file>

<file path=customXml/itemProps3.xml><?xml version="1.0" encoding="utf-8"?>
<ds:datastoreItem xmlns:ds="http://schemas.openxmlformats.org/officeDocument/2006/customXml" ds:itemID="{FE97B620-C0D4-47BC-A879-D99DB2EB4239}">
  <ds:schemaRefs/>
</ds:datastoreItem>
</file>

<file path=customXml/itemProps4.xml><?xml version="1.0" encoding="utf-8"?>
<ds:datastoreItem xmlns:ds="http://schemas.openxmlformats.org/officeDocument/2006/customXml" ds:itemID="{78FB3BE8-A9A3-414F-9620-560F6FBFA9DF}">
  <ds:schemaRefs/>
</ds:datastoreItem>
</file>

<file path=customXml/itemProps5.xml><?xml version="1.0" encoding="utf-8"?>
<ds:datastoreItem xmlns:ds="http://schemas.openxmlformats.org/officeDocument/2006/customXml" ds:itemID="{B9373238-AA71-405E-861D-32EC53581032}">
  <ds:schemaRefs/>
</ds:datastoreItem>
</file>

<file path=customXml/itemProps6.xml><?xml version="1.0" encoding="utf-8"?>
<ds:datastoreItem xmlns:ds="http://schemas.openxmlformats.org/officeDocument/2006/customXml" ds:itemID="{A354118E-E966-4655-9BD6-B88CAB9757AB}">
  <ds:schemaRefs/>
</ds:datastoreItem>
</file>

<file path=customXml/itemProps7.xml><?xml version="1.0" encoding="utf-8"?>
<ds:datastoreItem xmlns:ds="http://schemas.openxmlformats.org/officeDocument/2006/customXml" ds:itemID="{4C1B6212-CC1D-4355-A89E-8B3711EE48E2}">
  <ds:schemaRefs/>
</ds:datastoreItem>
</file>

<file path=customXml/itemProps8.xml><?xml version="1.0" encoding="utf-8"?>
<ds:datastoreItem xmlns:ds="http://schemas.openxmlformats.org/officeDocument/2006/customXml" ds:itemID="{26176BB4-F905-42C4-8EF1-7493BB6A49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12168</Words>
  <Characters>14305</Characters>
  <Lines>93</Lines>
  <Paragraphs>66</Paragraphs>
  <TotalTime>0</TotalTime>
  <ScaleCrop>false</ScaleCrop>
  <LinksUpToDate>false</LinksUpToDate>
  <CharactersWithSpaces>14510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2022-02-10T09:03:00Z</dcterms:created>
  <dc:creator>Administrator</dc:creator>
  <cp:lastModifiedBy>靖晓晓</cp:lastModifiedBy>
  <cp:lastPrinted>2023-08-08T08:23:00Z</cp:lastPrinted>
  <dcterms:modified xsi:type="dcterms:W3CDTF">2024-03-17T01:58:56Z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9A3D9C2ACE7246AF90807D11261E4097_13</vt:lpwstr>
  </property>
</Properties>
</file>