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p>
    <w:p>
      <w:pPr>
        <w:jc w:val="center"/>
      </w:pPr>
      <w:r>
        <w:rPr>
          <w:rFonts w:ascii="黑体" w:hAnsi="黑体" w:eastAsia="黑体" w:cs="黑体"/>
          <w:b/>
          <w:color w:val="000000"/>
          <w:sz w:val="30"/>
        </w:rPr>
        <w:t xml:space="preserve">第一部分  </w:t>
      </w:r>
      <w:r>
        <w:rPr>
          <w:rFonts w:hint="eastAsia" w:ascii="黑体" w:hAnsi="黑体" w:eastAsia="黑体" w:cs="黑体"/>
          <w:b/>
          <w:color w:val="000000"/>
          <w:sz w:val="30"/>
          <w:lang w:eastAsia="zh-CN"/>
        </w:rPr>
        <w:t>单位</w:t>
      </w:r>
      <w:r>
        <w:rPr>
          <w:rFonts w:ascii="黑体" w:hAnsi="黑体" w:eastAsia="黑体" w:cs="黑体"/>
          <w:b/>
          <w:color w:val="000000"/>
          <w:sz w:val="30"/>
        </w:rPr>
        <w:t>预算</w:t>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6"/>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eastAsiaTheme="minorEastAsia"/>
          <w:lang w:eastAsia="zh-CN"/>
        </w:rPr>
        <w:t>单位</w:t>
      </w:r>
      <w:r>
        <w:t>预算收支总表</w:t>
      </w:r>
      <w:r>
        <w:tab/>
      </w:r>
      <w:r>
        <w:fldChar w:fldCharType="begin"/>
      </w:r>
      <w:r>
        <w:instrText xml:space="preserve">PAGEREF _Toc_2_2_0000000001 \h</w:instrText>
      </w:r>
      <w:r>
        <w:fldChar w:fldCharType="separate"/>
      </w:r>
      <w:r>
        <w:t>4</w:t>
      </w:r>
      <w:r>
        <w:fldChar w:fldCharType="end"/>
      </w:r>
      <w:r>
        <w:fldChar w:fldCharType="end"/>
      </w:r>
    </w:p>
    <w:p>
      <w:pPr>
        <w:pStyle w:val="36"/>
        <w:tabs>
          <w:tab w:val="right" w:leader="dot" w:pos="14562"/>
        </w:tabs>
      </w:pPr>
      <w:r>
        <w:fldChar w:fldCharType="begin"/>
      </w:r>
      <w:r>
        <w:instrText xml:space="preserve"> HYPERLINK \l "_Toc_2_2_0000000002" </w:instrText>
      </w:r>
      <w:r>
        <w:fldChar w:fldCharType="separate"/>
      </w:r>
      <w:r>
        <w:rPr>
          <w:rFonts w:hint="eastAsia" w:eastAsiaTheme="minorEastAsia"/>
          <w:lang w:eastAsia="zh-CN"/>
        </w:rPr>
        <w:t>单位</w:t>
      </w:r>
      <w:r>
        <w:t>预算收入总表</w:t>
      </w:r>
      <w:r>
        <w:tab/>
      </w:r>
      <w:r>
        <w:fldChar w:fldCharType="begin"/>
      </w:r>
      <w:r>
        <w:instrText xml:space="preserve">PAGEREF _Toc_2_2_0000000002 \h</w:instrText>
      </w:r>
      <w:r>
        <w:fldChar w:fldCharType="separate"/>
      </w:r>
      <w:r>
        <w:t>6</w:t>
      </w:r>
      <w:r>
        <w:fldChar w:fldCharType="end"/>
      </w:r>
      <w:r>
        <w:fldChar w:fldCharType="end"/>
      </w:r>
    </w:p>
    <w:p>
      <w:pPr>
        <w:pStyle w:val="36"/>
        <w:tabs>
          <w:tab w:val="right" w:leader="dot" w:pos="14562"/>
        </w:tabs>
      </w:pPr>
      <w:r>
        <w:fldChar w:fldCharType="begin"/>
      </w:r>
      <w:r>
        <w:instrText xml:space="preserve"> HYPERLINK \l "_Toc_2_2_0000000003" </w:instrText>
      </w:r>
      <w:r>
        <w:fldChar w:fldCharType="separate"/>
      </w:r>
      <w:r>
        <w:rPr>
          <w:rFonts w:hint="eastAsia" w:eastAsiaTheme="minorEastAsia"/>
          <w:lang w:eastAsia="zh-CN"/>
        </w:rPr>
        <w:t>单位</w:t>
      </w:r>
      <w:r>
        <w:t>预算支出总表</w:t>
      </w:r>
      <w:r>
        <w:tab/>
      </w:r>
      <w:r>
        <w:fldChar w:fldCharType="begin"/>
      </w:r>
      <w:r>
        <w:instrText xml:space="preserve">PAGEREF _Toc_2_2_0000000003 \h</w:instrText>
      </w:r>
      <w:r>
        <w:fldChar w:fldCharType="separate"/>
      </w:r>
      <w:r>
        <w:t>8</w:t>
      </w:r>
      <w:r>
        <w:fldChar w:fldCharType="end"/>
      </w:r>
      <w:r>
        <w:fldChar w:fldCharType="end"/>
      </w:r>
    </w:p>
    <w:p>
      <w:pPr>
        <w:pStyle w:val="36"/>
        <w:tabs>
          <w:tab w:val="right" w:leader="dot" w:pos="14562"/>
        </w:tabs>
      </w:pPr>
      <w:r>
        <w:fldChar w:fldCharType="begin"/>
      </w:r>
      <w:r>
        <w:instrText xml:space="preserve"> HYPERLINK \l "_Toc_2_2_0000000004" </w:instrText>
      </w:r>
      <w:r>
        <w:fldChar w:fldCharType="separate"/>
      </w:r>
      <w:r>
        <w:rPr>
          <w:rFonts w:hint="eastAsia" w:eastAsiaTheme="minorEastAsia"/>
          <w:lang w:eastAsia="zh-CN"/>
        </w:rPr>
        <w:t>单位</w:t>
      </w:r>
      <w:r>
        <w:t>预算财政拨款收支总表</w:t>
      </w:r>
      <w:r>
        <w:tab/>
      </w:r>
      <w:r>
        <w:fldChar w:fldCharType="begin"/>
      </w:r>
      <w:r>
        <w:instrText xml:space="preserve">PAGEREF _Toc_2_2_0000000004 \h</w:instrText>
      </w:r>
      <w:r>
        <w:fldChar w:fldCharType="separate"/>
      </w:r>
      <w:r>
        <w:t>10</w:t>
      </w:r>
      <w:r>
        <w:fldChar w:fldCharType="end"/>
      </w:r>
      <w:r>
        <w:fldChar w:fldCharType="end"/>
      </w:r>
    </w:p>
    <w:p>
      <w:pPr>
        <w:pStyle w:val="36"/>
        <w:tabs>
          <w:tab w:val="right" w:leader="dot" w:pos="14562"/>
        </w:tabs>
      </w:pPr>
      <w:r>
        <w:fldChar w:fldCharType="begin"/>
      </w:r>
      <w:r>
        <w:instrText xml:space="preserve"> HYPERLINK \l "_Toc_2_2_0000000005" </w:instrText>
      </w:r>
      <w:r>
        <w:fldChar w:fldCharType="separate"/>
      </w:r>
      <w:r>
        <w:rPr>
          <w:rFonts w:hint="eastAsia" w:eastAsiaTheme="minorEastAsia"/>
          <w:lang w:eastAsia="zh-CN"/>
        </w:rPr>
        <w:t>单位</w:t>
      </w:r>
      <w:r>
        <w:t>预算一般公共预算财政拨款支出表</w:t>
      </w:r>
      <w:r>
        <w:tab/>
      </w:r>
      <w:r>
        <w:fldChar w:fldCharType="begin"/>
      </w:r>
      <w:r>
        <w:instrText xml:space="preserve">PAGEREF _Toc_2_2_0000000005 \h</w:instrText>
      </w:r>
      <w:r>
        <w:fldChar w:fldCharType="separate"/>
      </w:r>
      <w:r>
        <w:t>13</w:t>
      </w:r>
      <w:r>
        <w:fldChar w:fldCharType="end"/>
      </w:r>
      <w:r>
        <w:fldChar w:fldCharType="end"/>
      </w:r>
    </w:p>
    <w:p>
      <w:pPr>
        <w:pStyle w:val="36"/>
        <w:tabs>
          <w:tab w:val="right" w:leader="dot" w:pos="14562"/>
        </w:tabs>
      </w:pPr>
      <w:r>
        <w:fldChar w:fldCharType="begin"/>
      </w:r>
      <w:r>
        <w:instrText xml:space="preserve"> HYPERLINK \l "_Toc_2_2_0000000006" </w:instrText>
      </w:r>
      <w:r>
        <w:fldChar w:fldCharType="separate"/>
      </w:r>
      <w:r>
        <w:rPr>
          <w:rFonts w:hint="eastAsia" w:eastAsiaTheme="minorEastAsia"/>
          <w:lang w:eastAsia="zh-CN"/>
        </w:rPr>
        <w:t>单位</w:t>
      </w:r>
      <w:r>
        <w:t>预算一般公共预算财政拨款基本支出表</w:t>
      </w:r>
      <w:r>
        <w:tab/>
      </w:r>
      <w:r>
        <w:fldChar w:fldCharType="begin"/>
      </w:r>
      <w:r>
        <w:instrText xml:space="preserve">PAGEREF _Toc_2_2_0000000006 \h</w:instrText>
      </w:r>
      <w:r>
        <w:fldChar w:fldCharType="separate"/>
      </w:r>
      <w:r>
        <w:t>15</w:t>
      </w:r>
      <w:r>
        <w:fldChar w:fldCharType="end"/>
      </w:r>
      <w:r>
        <w:fldChar w:fldCharType="end"/>
      </w:r>
    </w:p>
    <w:p>
      <w:pPr>
        <w:pStyle w:val="36"/>
        <w:tabs>
          <w:tab w:val="right" w:leader="dot" w:pos="14562"/>
        </w:tabs>
      </w:pPr>
      <w:r>
        <w:fldChar w:fldCharType="begin"/>
      </w:r>
      <w:r>
        <w:instrText xml:space="preserve"> HYPERLINK \l "_Toc_2_2_0000000007" </w:instrText>
      </w:r>
      <w:r>
        <w:fldChar w:fldCharType="separate"/>
      </w:r>
      <w:r>
        <w:rPr>
          <w:rFonts w:hint="eastAsia" w:eastAsiaTheme="minorEastAsia"/>
          <w:lang w:eastAsia="zh-CN"/>
        </w:rPr>
        <w:t>单位</w:t>
      </w:r>
      <w:r>
        <w:t>预算政府基金预算财政拨款支出表</w:t>
      </w:r>
      <w:r>
        <w:tab/>
      </w:r>
      <w:r>
        <w:fldChar w:fldCharType="begin"/>
      </w:r>
      <w:r>
        <w:instrText xml:space="preserve">PAGEREF _Toc_2_2_0000000007 \h</w:instrText>
      </w:r>
      <w:r>
        <w:fldChar w:fldCharType="separate"/>
      </w:r>
      <w:r>
        <w:t>17</w:t>
      </w:r>
      <w:r>
        <w:fldChar w:fldCharType="end"/>
      </w:r>
      <w:r>
        <w:fldChar w:fldCharType="end"/>
      </w:r>
    </w:p>
    <w:p>
      <w:pPr>
        <w:pStyle w:val="36"/>
        <w:tabs>
          <w:tab w:val="right" w:leader="dot" w:pos="14562"/>
        </w:tabs>
      </w:pPr>
      <w:r>
        <w:fldChar w:fldCharType="begin"/>
      </w:r>
      <w:r>
        <w:instrText xml:space="preserve"> HYPERLINK \l "_Toc_2_2_0000000008" </w:instrText>
      </w:r>
      <w:r>
        <w:fldChar w:fldCharType="separate"/>
      </w:r>
      <w:r>
        <w:rPr>
          <w:rFonts w:hint="eastAsia" w:eastAsiaTheme="minorEastAsia"/>
          <w:lang w:eastAsia="zh-CN"/>
        </w:rPr>
        <w:t>单位</w:t>
      </w:r>
      <w:r>
        <w:t>预算国有资本经营预算财政拨款支出表</w:t>
      </w:r>
      <w:r>
        <w:tab/>
      </w:r>
      <w:r>
        <w:fldChar w:fldCharType="begin"/>
      </w:r>
      <w:r>
        <w:instrText xml:space="preserve">PAGEREF _Toc_2_2_0000000008 \h</w:instrText>
      </w:r>
      <w:r>
        <w:fldChar w:fldCharType="separate"/>
      </w:r>
      <w:r>
        <w:t>18</w:t>
      </w:r>
      <w:r>
        <w:fldChar w:fldCharType="end"/>
      </w:r>
      <w:r>
        <w:fldChar w:fldCharType="end"/>
      </w:r>
    </w:p>
    <w:p>
      <w:pPr>
        <w:pStyle w:val="36"/>
        <w:tabs>
          <w:tab w:val="right" w:leader="dot" w:pos="14562"/>
        </w:tabs>
      </w:pPr>
      <w:r>
        <w:fldChar w:fldCharType="begin"/>
      </w:r>
      <w:r>
        <w:instrText xml:space="preserve"> HYPERLINK \l "_Toc_2_2_0000000009" </w:instrText>
      </w:r>
      <w:r>
        <w:fldChar w:fldCharType="separate"/>
      </w:r>
      <w:r>
        <w:rPr>
          <w:rFonts w:hint="eastAsia" w:eastAsiaTheme="minorEastAsia"/>
          <w:lang w:eastAsia="zh-CN"/>
        </w:rPr>
        <w:t>单位</w:t>
      </w:r>
      <w:r>
        <w:t>预算财政拨款“三公”经费支出表</w:t>
      </w:r>
      <w:r>
        <w:tab/>
      </w:r>
      <w:r>
        <w:fldChar w:fldCharType="begin"/>
      </w:r>
      <w:r>
        <w:instrText xml:space="preserve">PAGEREF _Toc_2_2_0000000009 \h</w:instrText>
      </w:r>
      <w:r>
        <w:fldChar w:fldCharType="separate"/>
      </w:r>
      <w:r>
        <w:t>19</w:t>
      </w:r>
      <w:r>
        <w:fldChar w:fldCharType="end"/>
      </w:r>
      <w:r>
        <w:fldChar w:fldCharType="end"/>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6"/>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20</w:t>
      </w:r>
      <w:r>
        <w:fldChar w:fldCharType="end"/>
      </w:r>
      <w:r>
        <w:fldChar w:fldCharType="end"/>
      </w:r>
    </w:p>
    <w:p>
      <w:pPr>
        <w:pStyle w:val="36"/>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21</w:t>
      </w:r>
      <w:r>
        <w:fldChar w:fldCharType="end"/>
      </w:r>
      <w:r>
        <w:fldChar w:fldCharType="end"/>
      </w:r>
    </w:p>
    <w:p>
      <w:pPr>
        <w:pStyle w:val="36"/>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22</w:t>
      </w:r>
      <w:r>
        <w:fldChar w:fldCharType="end"/>
      </w:r>
      <w:r>
        <w:fldChar w:fldCharType="end"/>
      </w:r>
    </w:p>
    <w:p>
      <w:pPr>
        <w:pStyle w:val="36"/>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23</w:t>
      </w:r>
      <w:r>
        <w:fldChar w:fldCharType="end"/>
      </w:r>
      <w:r>
        <w:fldChar w:fldCharType="end"/>
      </w:r>
    </w:p>
    <w:p>
      <w:pPr>
        <w:pStyle w:val="36"/>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23</w:t>
      </w:r>
      <w:r>
        <w:fldChar w:fldCharType="end"/>
      </w:r>
      <w:r>
        <w:fldChar w:fldCharType="end"/>
      </w:r>
    </w:p>
    <w:p>
      <w:pPr>
        <w:pStyle w:val="36"/>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34</w:t>
      </w:r>
      <w:r>
        <w:fldChar w:fldCharType="end"/>
      </w:r>
      <w:r>
        <w:fldChar w:fldCharType="end"/>
      </w:r>
    </w:p>
    <w:p>
      <w:pPr>
        <w:pStyle w:val="36"/>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34</w:t>
      </w:r>
      <w:r>
        <w:fldChar w:fldCharType="end"/>
      </w:r>
      <w:r>
        <w:fldChar w:fldCharType="end"/>
      </w:r>
    </w:p>
    <w:p>
      <w:pPr>
        <w:pStyle w:val="36"/>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35</w:t>
      </w:r>
      <w:r>
        <w:fldChar w:fldCharType="end"/>
      </w:r>
      <w:r>
        <w:fldChar w:fldCharType="end"/>
      </w:r>
    </w:p>
    <w:p>
      <w:pPr>
        <w:pStyle w:val="36"/>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35</w:t>
      </w:r>
      <w:r>
        <w:fldChar w:fldCharType="end"/>
      </w:r>
      <w:r>
        <w:fldChar w:fldCharType="end"/>
      </w:r>
    </w:p>
    <w:p>
      <w:r>
        <w:fldChar w:fldCharType="end"/>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 xml:space="preserve">第一部分  </w:t>
      </w:r>
      <w:r>
        <w:rPr>
          <w:rFonts w:hint="eastAsia" w:ascii="方正小标宋_GBK" w:hAnsi="方正小标宋_GBK" w:eastAsia="方正小标宋_GBK" w:cs="方正小标宋_GBK"/>
          <w:color w:val="000000"/>
          <w:sz w:val="72"/>
          <w:lang w:eastAsia="zh-CN"/>
        </w:rPr>
        <w:t>单位</w:t>
      </w:r>
      <w:r>
        <w:rPr>
          <w:rFonts w:ascii="方正小标宋_GBK" w:hAnsi="方正小标宋_GBK" w:eastAsia="方正小标宋_GBK" w:cs="方正小标宋_GBK"/>
          <w:color w:val="000000"/>
          <w:sz w:val="72"/>
        </w:rPr>
        <w:t>预算</w:t>
      </w:r>
    </w:p>
    <w:p>
      <w:pPr>
        <w:jc w:val="center"/>
        <w:outlineLvl w:val="1"/>
      </w:pPr>
      <w:bookmarkStart w:id="0"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rPr>
                <w:rFonts w:hint="eastAsia"/>
                <w:lang w:eastAsia="zh-CN"/>
              </w:rPr>
              <w:t>101001青龙满族自治县人民代表大会常务委员会办公室本级</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261.78</w:t>
            </w:r>
          </w:p>
        </w:tc>
        <w:tc>
          <w:tcPr>
            <w:tcW w:w="4535" w:type="dxa"/>
            <w:vAlign w:val="center"/>
          </w:tcPr>
          <w:p>
            <w:pPr>
              <w:pStyle w:val="12"/>
            </w:pPr>
            <w:r>
              <w:t>一、一般公共服务支出</w:t>
            </w:r>
          </w:p>
        </w:tc>
        <w:tc>
          <w:tcPr>
            <w:tcW w:w="2126" w:type="dxa"/>
            <w:vAlign w:val="center"/>
          </w:tcPr>
          <w:p>
            <w:pPr>
              <w:pStyle w:val="11"/>
            </w:pPr>
            <w:r>
              <w:t>249.45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22.00</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31.97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10.62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283.78</w:t>
            </w:r>
          </w:p>
        </w:tc>
        <w:tc>
          <w:tcPr>
            <w:tcW w:w="4535" w:type="dxa"/>
            <w:vAlign w:val="center"/>
          </w:tcPr>
          <w:p>
            <w:pPr>
              <w:pStyle w:val="14"/>
            </w:pPr>
            <w:r>
              <w:t>本年支出合计</w:t>
            </w:r>
          </w:p>
        </w:tc>
        <w:tc>
          <w:tcPr>
            <w:tcW w:w="2126" w:type="dxa"/>
            <w:vAlign w:val="center"/>
          </w:tcPr>
          <w:p>
            <w:pPr>
              <w:pStyle w:val="15"/>
            </w:pPr>
            <w:r>
              <w:t>325.40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r>
              <w:t>41.61</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325.40</w:t>
            </w:r>
          </w:p>
        </w:tc>
        <w:tc>
          <w:tcPr>
            <w:tcW w:w="4535" w:type="dxa"/>
            <w:vAlign w:val="center"/>
          </w:tcPr>
          <w:p>
            <w:pPr>
              <w:pStyle w:val="14"/>
            </w:pPr>
            <w:r>
              <w:t>支出总计</w:t>
            </w:r>
          </w:p>
        </w:tc>
        <w:tc>
          <w:tcPr>
            <w:tcW w:w="2126" w:type="dxa"/>
            <w:vAlign w:val="center"/>
          </w:tcPr>
          <w:p>
            <w:pPr>
              <w:pStyle w:val="15"/>
            </w:pPr>
            <w:r>
              <w:t>325.40</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rPr>
                <w:rFonts w:hint="eastAsia"/>
                <w:lang w:eastAsia="zh-CN"/>
              </w:rPr>
              <w:t>101001青龙满族自治县人民代表大会常务委员会办公室本级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325.40</w:t>
            </w:r>
          </w:p>
        </w:tc>
        <w:tc>
          <w:tcPr>
            <w:tcW w:w="1134" w:type="dxa"/>
            <w:vAlign w:val="center"/>
          </w:tcPr>
          <w:p>
            <w:pPr>
              <w:pStyle w:val="15"/>
            </w:pPr>
            <w:r>
              <w:t>283.78</w:t>
            </w:r>
          </w:p>
        </w:tc>
        <w:tc>
          <w:tcPr>
            <w:tcW w:w="1134" w:type="dxa"/>
            <w:vAlign w:val="center"/>
          </w:tcPr>
          <w:p>
            <w:pPr>
              <w:pStyle w:val="15"/>
            </w:pPr>
            <w:r>
              <w:t>283.78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41.61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249.45</w:t>
            </w:r>
          </w:p>
        </w:tc>
        <w:tc>
          <w:tcPr>
            <w:tcW w:w="1134" w:type="dxa"/>
            <w:vAlign w:val="center"/>
          </w:tcPr>
          <w:p>
            <w:pPr>
              <w:pStyle w:val="11"/>
            </w:pPr>
            <w:r>
              <w:t>207.88</w:t>
            </w:r>
          </w:p>
        </w:tc>
        <w:tc>
          <w:tcPr>
            <w:tcW w:w="1134" w:type="dxa"/>
            <w:vAlign w:val="center"/>
          </w:tcPr>
          <w:p>
            <w:pPr>
              <w:pStyle w:val="11"/>
            </w:pPr>
            <w:r>
              <w:t>207.88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41.58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20101</w:t>
            </w:r>
          </w:p>
        </w:tc>
        <w:tc>
          <w:tcPr>
            <w:tcW w:w="1559" w:type="dxa"/>
            <w:vAlign w:val="center"/>
          </w:tcPr>
          <w:p>
            <w:pPr>
              <w:pStyle w:val="12"/>
            </w:pPr>
            <w:r>
              <w:t>人大事务</w:t>
            </w:r>
          </w:p>
        </w:tc>
        <w:tc>
          <w:tcPr>
            <w:tcW w:w="1134" w:type="dxa"/>
            <w:vAlign w:val="center"/>
          </w:tcPr>
          <w:p>
            <w:pPr>
              <w:pStyle w:val="11"/>
            </w:pPr>
            <w:r>
              <w:t>249.45</w:t>
            </w:r>
          </w:p>
        </w:tc>
        <w:tc>
          <w:tcPr>
            <w:tcW w:w="1134" w:type="dxa"/>
            <w:vAlign w:val="center"/>
          </w:tcPr>
          <w:p>
            <w:pPr>
              <w:pStyle w:val="11"/>
            </w:pPr>
            <w:r>
              <w:t>207.88</w:t>
            </w:r>
          </w:p>
        </w:tc>
        <w:tc>
          <w:tcPr>
            <w:tcW w:w="1134" w:type="dxa"/>
            <w:vAlign w:val="center"/>
          </w:tcPr>
          <w:p>
            <w:pPr>
              <w:pStyle w:val="11"/>
            </w:pPr>
            <w:r>
              <w:t>207.88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41.58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2010101</w:t>
            </w:r>
          </w:p>
        </w:tc>
        <w:tc>
          <w:tcPr>
            <w:tcW w:w="1559" w:type="dxa"/>
            <w:vAlign w:val="center"/>
          </w:tcPr>
          <w:p>
            <w:pPr>
              <w:pStyle w:val="12"/>
            </w:pPr>
            <w:r>
              <w:t>行政运行</w:t>
            </w:r>
          </w:p>
        </w:tc>
        <w:tc>
          <w:tcPr>
            <w:tcW w:w="1134" w:type="dxa"/>
            <w:vAlign w:val="center"/>
          </w:tcPr>
          <w:p>
            <w:pPr>
              <w:pStyle w:val="11"/>
            </w:pPr>
            <w:r>
              <w:t>200.49</w:t>
            </w:r>
          </w:p>
        </w:tc>
        <w:tc>
          <w:tcPr>
            <w:tcW w:w="1134" w:type="dxa"/>
            <w:vAlign w:val="center"/>
          </w:tcPr>
          <w:p>
            <w:pPr>
              <w:pStyle w:val="11"/>
            </w:pPr>
            <w:r>
              <w:t>187.88</w:t>
            </w:r>
          </w:p>
        </w:tc>
        <w:tc>
          <w:tcPr>
            <w:tcW w:w="1134" w:type="dxa"/>
            <w:vAlign w:val="center"/>
          </w:tcPr>
          <w:p>
            <w:pPr>
              <w:pStyle w:val="11"/>
            </w:pPr>
            <w:r>
              <w:t>187.88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2010102</w:t>
            </w:r>
          </w:p>
        </w:tc>
        <w:tc>
          <w:tcPr>
            <w:tcW w:w="1559" w:type="dxa"/>
            <w:vAlign w:val="center"/>
          </w:tcPr>
          <w:p>
            <w:pPr>
              <w:pStyle w:val="12"/>
            </w:pPr>
            <w:r>
              <w:t>一般行政管理事务</w:t>
            </w:r>
          </w:p>
        </w:tc>
        <w:tc>
          <w:tcPr>
            <w:tcW w:w="1134" w:type="dxa"/>
            <w:vAlign w:val="center"/>
          </w:tcPr>
          <w:p>
            <w:pPr>
              <w:pStyle w:val="11"/>
            </w:pPr>
            <w:r>
              <w:t>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2010104</w:t>
            </w:r>
          </w:p>
        </w:tc>
        <w:tc>
          <w:tcPr>
            <w:tcW w:w="1559" w:type="dxa"/>
            <w:vAlign w:val="center"/>
          </w:tcPr>
          <w:p>
            <w:pPr>
              <w:pStyle w:val="12"/>
            </w:pPr>
            <w:r>
              <w:t>人大会议</w:t>
            </w:r>
          </w:p>
        </w:tc>
        <w:tc>
          <w:tcPr>
            <w:tcW w:w="1134" w:type="dxa"/>
            <w:vAlign w:val="center"/>
          </w:tcPr>
          <w:p>
            <w:pPr>
              <w:pStyle w:val="11"/>
            </w:pPr>
            <w:r>
              <w:t>32.98</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12.98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2010106</w:t>
            </w:r>
          </w:p>
        </w:tc>
        <w:tc>
          <w:tcPr>
            <w:tcW w:w="1559" w:type="dxa"/>
            <w:vAlign w:val="center"/>
          </w:tcPr>
          <w:p>
            <w:pPr>
              <w:pStyle w:val="12"/>
            </w:pPr>
            <w:r>
              <w:t>人大监督</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2010108</w:t>
            </w:r>
          </w:p>
        </w:tc>
        <w:tc>
          <w:tcPr>
            <w:tcW w:w="1559" w:type="dxa"/>
            <w:vAlign w:val="center"/>
          </w:tcPr>
          <w:p>
            <w:pPr>
              <w:pStyle w:val="12"/>
            </w:pPr>
            <w:r>
              <w:t>代表工作</w:t>
            </w:r>
          </w:p>
        </w:tc>
        <w:tc>
          <w:tcPr>
            <w:tcW w:w="1134" w:type="dxa"/>
            <w:vAlign w:val="center"/>
          </w:tcPr>
          <w:p>
            <w:pPr>
              <w:pStyle w:val="11"/>
            </w:pPr>
            <w:r>
              <w:t>6.98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31.97</w:t>
            </w:r>
          </w:p>
        </w:tc>
        <w:tc>
          <w:tcPr>
            <w:tcW w:w="1134" w:type="dxa"/>
            <w:vAlign w:val="center"/>
          </w:tcPr>
          <w:p>
            <w:pPr>
              <w:pStyle w:val="11"/>
            </w:pPr>
            <w:r>
              <w:t>31.97</w:t>
            </w:r>
          </w:p>
        </w:tc>
        <w:tc>
          <w:tcPr>
            <w:tcW w:w="1134" w:type="dxa"/>
            <w:vAlign w:val="center"/>
          </w:tcPr>
          <w:p>
            <w:pPr>
              <w:pStyle w:val="11"/>
            </w:pPr>
            <w:r>
              <w:t>31.97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29.18</w:t>
            </w:r>
          </w:p>
        </w:tc>
        <w:tc>
          <w:tcPr>
            <w:tcW w:w="1134" w:type="dxa"/>
            <w:vAlign w:val="center"/>
          </w:tcPr>
          <w:p>
            <w:pPr>
              <w:pStyle w:val="11"/>
            </w:pPr>
            <w:r>
              <w:t>29.18</w:t>
            </w:r>
          </w:p>
        </w:tc>
        <w:tc>
          <w:tcPr>
            <w:tcW w:w="1134" w:type="dxa"/>
            <w:vAlign w:val="center"/>
          </w:tcPr>
          <w:p>
            <w:pPr>
              <w:pStyle w:val="11"/>
            </w:pPr>
            <w:r>
              <w:t>29.18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7.93</w:t>
            </w:r>
          </w:p>
        </w:tc>
        <w:tc>
          <w:tcPr>
            <w:tcW w:w="1134" w:type="dxa"/>
            <w:vAlign w:val="center"/>
          </w:tcPr>
          <w:p>
            <w:pPr>
              <w:pStyle w:val="11"/>
            </w:pPr>
            <w:r>
              <w:t>7.93</w:t>
            </w:r>
          </w:p>
        </w:tc>
        <w:tc>
          <w:tcPr>
            <w:tcW w:w="1134" w:type="dxa"/>
            <w:vAlign w:val="center"/>
          </w:tcPr>
          <w:p>
            <w:pPr>
              <w:pStyle w:val="11"/>
            </w:pPr>
            <w:r>
              <w:t>7.93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21.25</w:t>
            </w:r>
          </w:p>
        </w:tc>
        <w:tc>
          <w:tcPr>
            <w:tcW w:w="1134" w:type="dxa"/>
            <w:vAlign w:val="center"/>
          </w:tcPr>
          <w:p>
            <w:pPr>
              <w:pStyle w:val="11"/>
            </w:pPr>
            <w:r>
              <w:t>21.25</w:t>
            </w:r>
          </w:p>
        </w:tc>
        <w:tc>
          <w:tcPr>
            <w:tcW w:w="1134" w:type="dxa"/>
            <w:vAlign w:val="center"/>
          </w:tcPr>
          <w:p>
            <w:pPr>
              <w:pStyle w:val="11"/>
            </w:pPr>
            <w:r>
              <w:t>21.25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20808</w:t>
            </w:r>
          </w:p>
        </w:tc>
        <w:tc>
          <w:tcPr>
            <w:tcW w:w="1559" w:type="dxa"/>
            <w:vAlign w:val="center"/>
          </w:tcPr>
          <w:p>
            <w:pPr>
              <w:pStyle w:val="12"/>
            </w:pPr>
            <w:r>
              <w:t>抚恤</w:t>
            </w:r>
          </w:p>
        </w:tc>
        <w:tc>
          <w:tcPr>
            <w:tcW w:w="1134" w:type="dxa"/>
            <w:vAlign w:val="center"/>
          </w:tcPr>
          <w:p>
            <w:pPr>
              <w:pStyle w:val="11"/>
            </w:pPr>
            <w:r>
              <w:t>2.79</w:t>
            </w:r>
          </w:p>
        </w:tc>
        <w:tc>
          <w:tcPr>
            <w:tcW w:w="1134" w:type="dxa"/>
            <w:vAlign w:val="center"/>
          </w:tcPr>
          <w:p>
            <w:pPr>
              <w:pStyle w:val="11"/>
            </w:pPr>
            <w:r>
              <w:t>2.79</w:t>
            </w:r>
          </w:p>
        </w:tc>
        <w:tc>
          <w:tcPr>
            <w:tcW w:w="1134" w:type="dxa"/>
            <w:vAlign w:val="center"/>
          </w:tcPr>
          <w:p>
            <w:pPr>
              <w:pStyle w:val="11"/>
            </w:pPr>
            <w:r>
              <w:t>2.79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2080899</w:t>
            </w:r>
          </w:p>
        </w:tc>
        <w:tc>
          <w:tcPr>
            <w:tcW w:w="1559" w:type="dxa"/>
            <w:vAlign w:val="center"/>
          </w:tcPr>
          <w:p>
            <w:pPr>
              <w:pStyle w:val="12"/>
            </w:pPr>
            <w:r>
              <w:t>其他优抚支出</w:t>
            </w:r>
          </w:p>
        </w:tc>
        <w:tc>
          <w:tcPr>
            <w:tcW w:w="1134" w:type="dxa"/>
            <w:vAlign w:val="center"/>
          </w:tcPr>
          <w:p>
            <w:pPr>
              <w:pStyle w:val="11"/>
            </w:pPr>
            <w:r>
              <w:t>2.79</w:t>
            </w:r>
          </w:p>
        </w:tc>
        <w:tc>
          <w:tcPr>
            <w:tcW w:w="1134" w:type="dxa"/>
            <w:vAlign w:val="center"/>
          </w:tcPr>
          <w:p>
            <w:pPr>
              <w:pStyle w:val="11"/>
            </w:pPr>
            <w:r>
              <w:t>2.79</w:t>
            </w:r>
          </w:p>
        </w:tc>
        <w:tc>
          <w:tcPr>
            <w:tcW w:w="1134" w:type="dxa"/>
            <w:vAlign w:val="center"/>
          </w:tcPr>
          <w:p>
            <w:pPr>
              <w:pStyle w:val="11"/>
            </w:pPr>
            <w:r>
              <w:t>2.79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11.35</w:t>
            </w:r>
          </w:p>
        </w:tc>
        <w:tc>
          <w:tcPr>
            <w:tcW w:w="1134" w:type="dxa"/>
            <w:vAlign w:val="center"/>
          </w:tcPr>
          <w:p>
            <w:pPr>
              <w:pStyle w:val="11"/>
            </w:pPr>
            <w:r>
              <w:t>11.32</w:t>
            </w:r>
          </w:p>
        </w:tc>
        <w:tc>
          <w:tcPr>
            <w:tcW w:w="1134" w:type="dxa"/>
            <w:vAlign w:val="center"/>
          </w:tcPr>
          <w:p>
            <w:pPr>
              <w:pStyle w:val="11"/>
            </w:pPr>
            <w:r>
              <w:t>11.32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11.35</w:t>
            </w:r>
          </w:p>
        </w:tc>
        <w:tc>
          <w:tcPr>
            <w:tcW w:w="1134" w:type="dxa"/>
            <w:vAlign w:val="center"/>
          </w:tcPr>
          <w:p>
            <w:pPr>
              <w:pStyle w:val="11"/>
            </w:pPr>
            <w:r>
              <w:t>11.32</w:t>
            </w:r>
          </w:p>
        </w:tc>
        <w:tc>
          <w:tcPr>
            <w:tcW w:w="1134" w:type="dxa"/>
            <w:vAlign w:val="center"/>
          </w:tcPr>
          <w:p>
            <w:pPr>
              <w:pStyle w:val="11"/>
            </w:pPr>
            <w:r>
              <w:t>11.32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11.35</w:t>
            </w:r>
          </w:p>
        </w:tc>
        <w:tc>
          <w:tcPr>
            <w:tcW w:w="1134" w:type="dxa"/>
            <w:vAlign w:val="center"/>
          </w:tcPr>
          <w:p>
            <w:pPr>
              <w:pStyle w:val="11"/>
            </w:pPr>
            <w:r>
              <w:t>11.32</w:t>
            </w:r>
          </w:p>
        </w:tc>
        <w:tc>
          <w:tcPr>
            <w:tcW w:w="1134" w:type="dxa"/>
            <w:vAlign w:val="center"/>
          </w:tcPr>
          <w:p>
            <w:pPr>
              <w:pStyle w:val="11"/>
            </w:pPr>
            <w:r>
              <w:t>11.32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22.00</w:t>
            </w:r>
          </w:p>
        </w:tc>
        <w:tc>
          <w:tcPr>
            <w:tcW w:w="1134" w:type="dxa"/>
            <w:vAlign w:val="center"/>
          </w:tcPr>
          <w:p>
            <w:pPr>
              <w:pStyle w:val="11"/>
            </w:pPr>
            <w:r>
              <w:t>22.00</w:t>
            </w:r>
          </w:p>
        </w:tc>
        <w:tc>
          <w:tcPr>
            <w:tcW w:w="1134" w:type="dxa"/>
            <w:vAlign w:val="center"/>
          </w:tcPr>
          <w:p>
            <w:pPr>
              <w:pStyle w:val="11"/>
            </w:pPr>
            <w:r>
              <w:t>22.00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22.00</w:t>
            </w:r>
          </w:p>
        </w:tc>
        <w:tc>
          <w:tcPr>
            <w:tcW w:w="1134" w:type="dxa"/>
            <w:vAlign w:val="center"/>
          </w:tcPr>
          <w:p>
            <w:pPr>
              <w:pStyle w:val="11"/>
            </w:pPr>
            <w:r>
              <w:t>22.00</w:t>
            </w:r>
          </w:p>
        </w:tc>
        <w:tc>
          <w:tcPr>
            <w:tcW w:w="1134" w:type="dxa"/>
            <w:vAlign w:val="center"/>
          </w:tcPr>
          <w:p>
            <w:pPr>
              <w:pStyle w:val="11"/>
            </w:pPr>
            <w:r>
              <w:t>22.00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2120899</w:t>
            </w:r>
          </w:p>
        </w:tc>
        <w:tc>
          <w:tcPr>
            <w:tcW w:w="1559" w:type="dxa"/>
            <w:vAlign w:val="center"/>
          </w:tcPr>
          <w:p>
            <w:pPr>
              <w:pStyle w:val="12"/>
            </w:pPr>
            <w:r>
              <w:t>其他国有土地使用权出让收入安排的支出</w:t>
            </w:r>
          </w:p>
        </w:tc>
        <w:tc>
          <w:tcPr>
            <w:tcW w:w="1134" w:type="dxa"/>
            <w:vAlign w:val="center"/>
          </w:tcPr>
          <w:p>
            <w:pPr>
              <w:pStyle w:val="11"/>
            </w:pPr>
            <w:r>
              <w:t>22.00</w:t>
            </w:r>
          </w:p>
        </w:tc>
        <w:tc>
          <w:tcPr>
            <w:tcW w:w="1134" w:type="dxa"/>
            <w:vAlign w:val="center"/>
          </w:tcPr>
          <w:p>
            <w:pPr>
              <w:pStyle w:val="11"/>
            </w:pPr>
            <w:r>
              <w:t>22.00</w:t>
            </w:r>
          </w:p>
        </w:tc>
        <w:tc>
          <w:tcPr>
            <w:tcW w:w="1134" w:type="dxa"/>
            <w:vAlign w:val="center"/>
          </w:tcPr>
          <w:p>
            <w:pPr>
              <w:pStyle w:val="11"/>
            </w:pPr>
            <w:r>
              <w:t>22.00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10.62</w:t>
            </w:r>
          </w:p>
        </w:tc>
        <w:tc>
          <w:tcPr>
            <w:tcW w:w="1134" w:type="dxa"/>
            <w:vAlign w:val="center"/>
          </w:tcPr>
          <w:p>
            <w:pPr>
              <w:pStyle w:val="11"/>
            </w:pPr>
            <w:r>
              <w:t>10.62</w:t>
            </w:r>
          </w:p>
        </w:tc>
        <w:tc>
          <w:tcPr>
            <w:tcW w:w="1134" w:type="dxa"/>
            <w:vAlign w:val="center"/>
          </w:tcPr>
          <w:p>
            <w:pPr>
              <w:pStyle w:val="11"/>
            </w:pPr>
            <w:r>
              <w:t>10.62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10.62</w:t>
            </w:r>
          </w:p>
        </w:tc>
        <w:tc>
          <w:tcPr>
            <w:tcW w:w="1134" w:type="dxa"/>
            <w:vAlign w:val="center"/>
          </w:tcPr>
          <w:p>
            <w:pPr>
              <w:pStyle w:val="11"/>
            </w:pPr>
            <w:r>
              <w:t>10.62</w:t>
            </w:r>
          </w:p>
        </w:tc>
        <w:tc>
          <w:tcPr>
            <w:tcW w:w="1134" w:type="dxa"/>
            <w:vAlign w:val="center"/>
          </w:tcPr>
          <w:p>
            <w:pPr>
              <w:pStyle w:val="11"/>
            </w:pPr>
            <w:r>
              <w:t>10.62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10.62</w:t>
            </w:r>
          </w:p>
        </w:tc>
        <w:tc>
          <w:tcPr>
            <w:tcW w:w="1134" w:type="dxa"/>
            <w:vAlign w:val="center"/>
          </w:tcPr>
          <w:p>
            <w:pPr>
              <w:pStyle w:val="11"/>
            </w:pPr>
            <w:r>
              <w:t>10.62</w:t>
            </w:r>
          </w:p>
        </w:tc>
        <w:tc>
          <w:tcPr>
            <w:tcW w:w="1134" w:type="dxa"/>
            <w:vAlign w:val="center"/>
          </w:tcPr>
          <w:p>
            <w:pPr>
              <w:pStyle w:val="11"/>
            </w:pPr>
            <w:r>
              <w:t>10.62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14"/>
        <w:gridCol w:w="951"/>
        <w:gridCol w:w="3387"/>
        <w:gridCol w:w="998"/>
        <w:gridCol w:w="998"/>
        <w:gridCol w:w="998"/>
        <w:gridCol w:w="998"/>
        <w:gridCol w:w="999"/>
        <w:gridCol w:w="1003"/>
        <w:gridCol w:w="40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95" w:type="pct"/>
            <w:gridSpan w:val="3"/>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rPr>
                <w:rFonts w:hint="eastAsia"/>
                <w:lang w:eastAsia="zh-CN"/>
              </w:rPr>
              <w:t>101001青龙满族自治县人民代表大会常务委员会办公室本级</w:t>
            </w:r>
          </w:p>
        </w:tc>
        <w:tc>
          <w:tcPr>
            <w:tcW w:w="680" w:type="pct"/>
            <w:gridSpan w:val="2"/>
            <w:tcBorders>
              <w:top w:val="single" w:color="FFFFFF" w:sz="6" w:space="0"/>
              <w:left w:val="single" w:color="FFFFFF" w:sz="6" w:space="0"/>
              <w:right w:val="single" w:color="FFFFFF" w:sz="6" w:space="0"/>
            </w:tcBorders>
            <w:vAlign w:val="center"/>
          </w:tcPr>
          <w:p>
            <w:pPr>
              <w:pStyle w:val="8"/>
            </w:pPr>
            <w:r>
              <w:t>预算年度：2022</w:t>
            </w:r>
          </w:p>
        </w:tc>
        <w:tc>
          <w:tcPr>
            <w:tcW w:w="1361" w:type="pct"/>
            <w:gridSpan w:val="4"/>
            <w:tcBorders>
              <w:top w:val="single" w:color="FFFFFF" w:sz="6" w:space="0"/>
              <w:left w:val="single" w:color="FFFFFF" w:sz="6" w:space="0"/>
              <w:right w:val="single" w:color="FFFFFF" w:sz="6" w:space="0"/>
            </w:tcBorders>
            <w:vAlign w:val="center"/>
          </w:tcPr>
          <w:p>
            <w:pPr>
              <w:pStyle w:val="7"/>
            </w:pPr>
            <w:r>
              <w:t>单位：万元</w:t>
            </w:r>
          </w:p>
        </w:tc>
        <w:tc>
          <w:tcPr>
            <w:tcW w:w="1361" w:type="pct"/>
            <w:tcBorders>
              <w:top w:val="single" w:color="FFFFFF" w:sz="6" w:space="0"/>
              <w:left w:val="single" w:color="FFFFFF" w:sz="6" w:space="0"/>
              <w:right w:val="single" w:color="FFFFFF" w:sz="6" w:space="0"/>
            </w:tcBorders>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2" w:type="pct"/>
            <w:vMerge w:val="restart"/>
            <w:vAlign w:val="center"/>
          </w:tcPr>
          <w:p>
            <w:pPr>
              <w:pStyle w:val="10"/>
            </w:pPr>
            <w:r>
              <w:t>序号</w:t>
            </w:r>
          </w:p>
        </w:tc>
        <w:tc>
          <w:tcPr>
            <w:tcW w:w="1383" w:type="pct"/>
            <w:gridSpan w:val="2"/>
            <w:vAlign w:val="center"/>
          </w:tcPr>
          <w:p>
            <w:pPr>
              <w:pStyle w:val="10"/>
            </w:pPr>
            <w:r>
              <w:t>功能分类科目</w:t>
            </w:r>
          </w:p>
        </w:tc>
        <w:tc>
          <w:tcPr>
            <w:tcW w:w="340" w:type="pct"/>
            <w:vMerge w:val="restart"/>
            <w:vAlign w:val="center"/>
          </w:tcPr>
          <w:p>
            <w:pPr>
              <w:pStyle w:val="10"/>
            </w:pPr>
            <w:r>
              <w:t>合计</w:t>
            </w:r>
          </w:p>
        </w:tc>
        <w:tc>
          <w:tcPr>
            <w:tcW w:w="340" w:type="pct"/>
            <w:vMerge w:val="restart"/>
            <w:vAlign w:val="center"/>
          </w:tcPr>
          <w:p>
            <w:pPr>
              <w:pStyle w:val="10"/>
            </w:pPr>
            <w:r>
              <w:t>基本支出</w:t>
            </w:r>
          </w:p>
        </w:tc>
        <w:tc>
          <w:tcPr>
            <w:tcW w:w="340" w:type="pct"/>
            <w:vMerge w:val="restart"/>
            <w:vAlign w:val="center"/>
          </w:tcPr>
          <w:p>
            <w:pPr>
              <w:pStyle w:val="10"/>
            </w:pPr>
            <w:r>
              <w:t>项目支出</w:t>
            </w:r>
          </w:p>
        </w:tc>
        <w:tc>
          <w:tcPr>
            <w:tcW w:w="340" w:type="pct"/>
            <w:vMerge w:val="restart"/>
            <w:vAlign w:val="center"/>
          </w:tcPr>
          <w:p>
            <w:pPr>
              <w:pStyle w:val="10"/>
            </w:pPr>
            <w:r>
              <w:t>经营支出</w:t>
            </w:r>
          </w:p>
        </w:tc>
        <w:tc>
          <w:tcPr>
            <w:tcW w:w="340" w:type="pct"/>
            <w:vMerge w:val="restart"/>
            <w:vAlign w:val="center"/>
          </w:tcPr>
          <w:p>
            <w:pPr>
              <w:pStyle w:val="10"/>
            </w:pPr>
            <w:r>
              <w:t>上解上级     支出</w:t>
            </w:r>
          </w:p>
        </w:tc>
        <w:tc>
          <w:tcPr>
            <w:tcW w:w="340" w:type="pct"/>
            <w:vMerge w:val="restart"/>
            <w:vAlign w:val="center"/>
          </w:tcPr>
          <w:p>
            <w:pPr>
              <w:pStyle w:val="10"/>
            </w:pPr>
            <w:r>
              <w:t>对附属单位补助支出</w:t>
            </w:r>
          </w:p>
        </w:tc>
        <w:tc>
          <w:tcPr>
            <w:tcW w:w="1361" w:type="pct"/>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2" w:type="pct"/>
            <w:vMerge w:val="continue"/>
          </w:tcPr>
          <w:p/>
        </w:tc>
        <w:tc>
          <w:tcPr>
            <w:tcW w:w="248" w:type="pct"/>
            <w:vAlign w:val="center"/>
          </w:tcPr>
          <w:p>
            <w:pPr>
              <w:pStyle w:val="10"/>
            </w:pPr>
            <w:r>
              <w:t>科目    编码</w:t>
            </w:r>
          </w:p>
        </w:tc>
        <w:tc>
          <w:tcPr>
            <w:tcW w:w="1135" w:type="pct"/>
            <w:vAlign w:val="center"/>
          </w:tcPr>
          <w:p>
            <w:pPr>
              <w:pStyle w:val="10"/>
            </w:pPr>
            <w:r>
              <w:t>科目名称</w:t>
            </w:r>
          </w:p>
        </w:tc>
        <w:tc>
          <w:tcPr>
            <w:tcW w:w="340" w:type="pct"/>
            <w:vMerge w:val="continue"/>
          </w:tcPr>
          <w:p/>
        </w:tc>
        <w:tc>
          <w:tcPr>
            <w:tcW w:w="340" w:type="pct"/>
            <w:vMerge w:val="continue"/>
          </w:tcPr>
          <w:p/>
        </w:tc>
        <w:tc>
          <w:tcPr>
            <w:tcW w:w="340" w:type="pct"/>
            <w:vMerge w:val="continue"/>
          </w:tcPr>
          <w:p/>
        </w:tc>
        <w:tc>
          <w:tcPr>
            <w:tcW w:w="340" w:type="pct"/>
            <w:vMerge w:val="continue"/>
          </w:tcPr>
          <w:p/>
        </w:tc>
        <w:tc>
          <w:tcPr>
            <w:tcW w:w="340" w:type="pct"/>
            <w:vMerge w:val="continue"/>
          </w:tcPr>
          <w:p/>
        </w:tc>
        <w:tc>
          <w:tcPr>
            <w:tcW w:w="340" w:type="pct"/>
            <w:vMerge w:val="continue"/>
          </w:tcPr>
          <w:p/>
        </w:tc>
        <w:tc>
          <w:tcPr>
            <w:tcW w:w="1361" w:type="pct"/>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2" w:type="pct"/>
            <w:vAlign w:val="center"/>
          </w:tcPr>
          <w:p>
            <w:pPr>
              <w:pStyle w:val="10"/>
            </w:pPr>
            <w:r>
              <w:t>栏次</w:t>
            </w:r>
          </w:p>
        </w:tc>
        <w:tc>
          <w:tcPr>
            <w:tcW w:w="248" w:type="pct"/>
            <w:vAlign w:val="center"/>
          </w:tcPr>
          <w:p>
            <w:pPr>
              <w:pStyle w:val="10"/>
            </w:pPr>
            <w:r>
              <w:t>1</w:t>
            </w:r>
          </w:p>
        </w:tc>
        <w:tc>
          <w:tcPr>
            <w:tcW w:w="1135" w:type="pct"/>
            <w:vAlign w:val="center"/>
          </w:tcPr>
          <w:p>
            <w:pPr>
              <w:pStyle w:val="10"/>
            </w:pPr>
            <w:r>
              <w:t>2</w:t>
            </w:r>
          </w:p>
        </w:tc>
        <w:tc>
          <w:tcPr>
            <w:tcW w:w="340" w:type="pct"/>
            <w:vAlign w:val="center"/>
          </w:tcPr>
          <w:p>
            <w:pPr>
              <w:pStyle w:val="10"/>
            </w:pPr>
            <w:r>
              <w:t>3</w:t>
            </w:r>
          </w:p>
        </w:tc>
        <w:tc>
          <w:tcPr>
            <w:tcW w:w="340" w:type="pct"/>
            <w:vAlign w:val="center"/>
          </w:tcPr>
          <w:p>
            <w:pPr>
              <w:pStyle w:val="10"/>
            </w:pPr>
            <w:r>
              <w:t>4</w:t>
            </w:r>
          </w:p>
        </w:tc>
        <w:tc>
          <w:tcPr>
            <w:tcW w:w="340" w:type="pct"/>
            <w:vAlign w:val="center"/>
          </w:tcPr>
          <w:p>
            <w:pPr>
              <w:pStyle w:val="10"/>
            </w:pPr>
            <w:r>
              <w:t>5</w:t>
            </w:r>
          </w:p>
        </w:tc>
        <w:tc>
          <w:tcPr>
            <w:tcW w:w="340" w:type="pct"/>
            <w:vAlign w:val="center"/>
          </w:tcPr>
          <w:p>
            <w:pPr>
              <w:pStyle w:val="10"/>
            </w:pPr>
            <w:r>
              <w:t>6</w:t>
            </w:r>
          </w:p>
        </w:tc>
        <w:tc>
          <w:tcPr>
            <w:tcW w:w="340" w:type="pct"/>
            <w:vAlign w:val="center"/>
          </w:tcPr>
          <w:p>
            <w:pPr>
              <w:pStyle w:val="10"/>
            </w:pPr>
            <w:r>
              <w:t>7</w:t>
            </w:r>
          </w:p>
        </w:tc>
        <w:tc>
          <w:tcPr>
            <w:tcW w:w="340" w:type="pct"/>
            <w:vAlign w:val="center"/>
          </w:tcPr>
          <w:p>
            <w:pPr>
              <w:pStyle w:val="10"/>
            </w:pPr>
            <w:r>
              <w:t>8</w:t>
            </w:r>
          </w:p>
        </w:tc>
        <w:tc>
          <w:tcPr>
            <w:tcW w:w="1361" w:type="pct"/>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 w:type="pct"/>
            <w:vAlign w:val="center"/>
          </w:tcPr>
          <w:p>
            <w:pPr>
              <w:pStyle w:val="13"/>
            </w:pPr>
            <w:r>
              <w:t>1</w:t>
            </w:r>
          </w:p>
        </w:tc>
        <w:tc>
          <w:tcPr>
            <w:tcW w:w="248" w:type="pct"/>
            <w:vAlign w:val="center"/>
          </w:tcPr>
          <w:p>
            <w:pPr>
              <w:pStyle w:val="16"/>
            </w:pPr>
          </w:p>
        </w:tc>
        <w:tc>
          <w:tcPr>
            <w:tcW w:w="1135" w:type="pct"/>
            <w:vAlign w:val="center"/>
          </w:tcPr>
          <w:p>
            <w:pPr>
              <w:pStyle w:val="14"/>
            </w:pPr>
            <w:r>
              <w:t>合计</w:t>
            </w:r>
          </w:p>
        </w:tc>
        <w:tc>
          <w:tcPr>
            <w:tcW w:w="340" w:type="pct"/>
            <w:vAlign w:val="center"/>
          </w:tcPr>
          <w:p>
            <w:pPr>
              <w:pStyle w:val="15"/>
            </w:pPr>
            <w:r>
              <w:t>325.40</w:t>
            </w:r>
          </w:p>
        </w:tc>
        <w:tc>
          <w:tcPr>
            <w:tcW w:w="340" w:type="pct"/>
            <w:vAlign w:val="center"/>
          </w:tcPr>
          <w:p>
            <w:pPr>
              <w:pStyle w:val="15"/>
            </w:pPr>
            <w:r>
              <w:t>254.44</w:t>
            </w:r>
          </w:p>
        </w:tc>
        <w:tc>
          <w:tcPr>
            <w:tcW w:w="340" w:type="pct"/>
            <w:vAlign w:val="center"/>
          </w:tcPr>
          <w:p>
            <w:pPr>
              <w:pStyle w:val="15"/>
            </w:pPr>
            <w:r>
              <w:t>70.96</w:t>
            </w:r>
          </w:p>
        </w:tc>
        <w:tc>
          <w:tcPr>
            <w:tcW w:w="340" w:type="pct"/>
            <w:vAlign w:val="center"/>
          </w:tcPr>
          <w:p>
            <w:pPr>
              <w:pStyle w:val="15"/>
            </w:pPr>
          </w:p>
        </w:tc>
        <w:tc>
          <w:tcPr>
            <w:tcW w:w="340" w:type="pct"/>
            <w:vAlign w:val="center"/>
          </w:tcPr>
          <w:p>
            <w:pPr>
              <w:pStyle w:val="15"/>
            </w:pPr>
          </w:p>
        </w:tc>
        <w:tc>
          <w:tcPr>
            <w:tcW w:w="340" w:type="pct"/>
            <w:vAlign w:val="center"/>
          </w:tcPr>
          <w:p>
            <w:pPr>
              <w:pStyle w:val="15"/>
            </w:pPr>
          </w:p>
        </w:tc>
        <w:tc>
          <w:tcPr>
            <w:tcW w:w="1361"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 w:type="pct"/>
            <w:vAlign w:val="center"/>
          </w:tcPr>
          <w:p>
            <w:pPr>
              <w:pStyle w:val="13"/>
            </w:pPr>
            <w:r>
              <w:t>2</w:t>
            </w:r>
          </w:p>
        </w:tc>
        <w:tc>
          <w:tcPr>
            <w:tcW w:w="248" w:type="pct"/>
            <w:vAlign w:val="center"/>
          </w:tcPr>
          <w:p>
            <w:pPr>
              <w:pStyle w:val="12"/>
            </w:pPr>
            <w:r>
              <w:t>201</w:t>
            </w:r>
          </w:p>
        </w:tc>
        <w:tc>
          <w:tcPr>
            <w:tcW w:w="1135" w:type="pct"/>
            <w:vAlign w:val="center"/>
          </w:tcPr>
          <w:p>
            <w:pPr>
              <w:pStyle w:val="12"/>
            </w:pPr>
            <w:r>
              <w:t>一般公共服务支出</w:t>
            </w:r>
          </w:p>
        </w:tc>
        <w:tc>
          <w:tcPr>
            <w:tcW w:w="340" w:type="pct"/>
            <w:vAlign w:val="center"/>
          </w:tcPr>
          <w:p>
            <w:pPr>
              <w:pStyle w:val="11"/>
            </w:pPr>
            <w:r>
              <w:t>249.45</w:t>
            </w:r>
          </w:p>
        </w:tc>
        <w:tc>
          <w:tcPr>
            <w:tcW w:w="340" w:type="pct"/>
            <w:vAlign w:val="center"/>
          </w:tcPr>
          <w:p>
            <w:pPr>
              <w:pStyle w:val="11"/>
            </w:pPr>
            <w:r>
              <w:t>200.49</w:t>
            </w:r>
          </w:p>
        </w:tc>
        <w:tc>
          <w:tcPr>
            <w:tcW w:w="340" w:type="pct"/>
            <w:vAlign w:val="center"/>
          </w:tcPr>
          <w:p>
            <w:pPr>
              <w:pStyle w:val="11"/>
            </w:pPr>
            <w:r>
              <w:t>48.96</w:t>
            </w:r>
          </w:p>
        </w:tc>
        <w:tc>
          <w:tcPr>
            <w:tcW w:w="340" w:type="pct"/>
            <w:vAlign w:val="center"/>
          </w:tcPr>
          <w:p>
            <w:pPr>
              <w:pStyle w:val="11"/>
            </w:pPr>
          </w:p>
        </w:tc>
        <w:tc>
          <w:tcPr>
            <w:tcW w:w="340" w:type="pct"/>
            <w:vAlign w:val="center"/>
          </w:tcPr>
          <w:p>
            <w:pPr>
              <w:pStyle w:val="11"/>
            </w:pPr>
          </w:p>
        </w:tc>
        <w:tc>
          <w:tcPr>
            <w:tcW w:w="340" w:type="pct"/>
            <w:vAlign w:val="center"/>
          </w:tcPr>
          <w:p>
            <w:pPr>
              <w:pStyle w:val="11"/>
            </w:pPr>
          </w:p>
        </w:tc>
        <w:tc>
          <w:tcPr>
            <w:tcW w:w="136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 w:type="pct"/>
            <w:vAlign w:val="center"/>
          </w:tcPr>
          <w:p>
            <w:pPr>
              <w:pStyle w:val="13"/>
            </w:pPr>
            <w:r>
              <w:t>3</w:t>
            </w:r>
          </w:p>
        </w:tc>
        <w:tc>
          <w:tcPr>
            <w:tcW w:w="248" w:type="pct"/>
            <w:vAlign w:val="center"/>
          </w:tcPr>
          <w:p>
            <w:pPr>
              <w:pStyle w:val="12"/>
            </w:pPr>
            <w:r>
              <w:t>20101</w:t>
            </w:r>
          </w:p>
        </w:tc>
        <w:tc>
          <w:tcPr>
            <w:tcW w:w="1135" w:type="pct"/>
            <w:vAlign w:val="center"/>
          </w:tcPr>
          <w:p>
            <w:pPr>
              <w:pStyle w:val="12"/>
            </w:pPr>
            <w:r>
              <w:t>人大事务</w:t>
            </w:r>
          </w:p>
        </w:tc>
        <w:tc>
          <w:tcPr>
            <w:tcW w:w="340" w:type="pct"/>
            <w:vAlign w:val="center"/>
          </w:tcPr>
          <w:p>
            <w:pPr>
              <w:pStyle w:val="11"/>
            </w:pPr>
            <w:r>
              <w:t>249.45</w:t>
            </w:r>
          </w:p>
        </w:tc>
        <w:tc>
          <w:tcPr>
            <w:tcW w:w="340" w:type="pct"/>
            <w:vAlign w:val="center"/>
          </w:tcPr>
          <w:p>
            <w:pPr>
              <w:pStyle w:val="11"/>
            </w:pPr>
            <w:r>
              <w:t>200.49</w:t>
            </w:r>
          </w:p>
        </w:tc>
        <w:tc>
          <w:tcPr>
            <w:tcW w:w="340" w:type="pct"/>
            <w:vAlign w:val="center"/>
          </w:tcPr>
          <w:p>
            <w:pPr>
              <w:pStyle w:val="11"/>
            </w:pPr>
            <w:r>
              <w:t>48.96</w:t>
            </w:r>
          </w:p>
        </w:tc>
        <w:tc>
          <w:tcPr>
            <w:tcW w:w="340" w:type="pct"/>
            <w:vAlign w:val="center"/>
          </w:tcPr>
          <w:p>
            <w:pPr>
              <w:pStyle w:val="11"/>
            </w:pPr>
          </w:p>
        </w:tc>
        <w:tc>
          <w:tcPr>
            <w:tcW w:w="340" w:type="pct"/>
            <w:vAlign w:val="center"/>
          </w:tcPr>
          <w:p>
            <w:pPr>
              <w:pStyle w:val="11"/>
            </w:pPr>
          </w:p>
        </w:tc>
        <w:tc>
          <w:tcPr>
            <w:tcW w:w="340" w:type="pct"/>
            <w:vAlign w:val="center"/>
          </w:tcPr>
          <w:p>
            <w:pPr>
              <w:pStyle w:val="11"/>
            </w:pPr>
          </w:p>
        </w:tc>
        <w:tc>
          <w:tcPr>
            <w:tcW w:w="136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 w:type="pct"/>
            <w:vAlign w:val="center"/>
          </w:tcPr>
          <w:p>
            <w:pPr>
              <w:pStyle w:val="13"/>
            </w:pPr>
            <w:r>
              <w:t>4</w:t>
            </w:r>
          </w:p>
        </w:tc>
        <w:tc>
          <w:tcPr>
            <w:tcW w:w="248" w:type="pct"/>
            <w:vAlign w:val="center"/>
          </w:tcPr>
          <w:p>
            <w:pPr>
              <w:pStyle w:val="12"/>
            </w:pPr>
            <w:r>
              <w:t>2010101</w:t>
            </w:r>
          </w:p>
        </w:tc>
        <w:tc>
          <w:tcPr>
            <w:tcW w:w="1135" w:type="pct"/>
            <w:vAlign w:val="center"/>
          </w:tcPr>
          <w:p>
            <w:pPr>
              <w:pStyle w:val="12"/>
            </w:pPr>
            <w:r>
              <w:t>行政运行</w:t>
            </w:r>
          </w:p>
        </w:tc>
        <w:tc>
          <w:tcPr>
            <w:tcW w:w="340" w:type="pct"/>
            <w:vAlign w:val="center"/>
          </w:tcPr>
          <w:p>
            <w:pPr>
              <w:pStyle w:val="11"/>
            </w:pPr>
            <w:r>
              <w:t>200.49</w:t>
            </w:r>
          </w:p>
        </w:tc>
        <w:tc>
          <w:tcPr>
            <w:tcW w:w="340" w:type="pct"/>
            <w:vAlign w:val="center"/>
          </w:tcPr>
          <w:p>
            <w:pPr>
              <w:pStyle w:val="11"/>
            </w:pPr>
            <w:r>
              <w:t>200.49</w:t>
            </w:r>
          </w:p>
        </w:tc>
        <w:tc>
          <w:tcPr>
            <w:tcW w:w="340" w:type="pct"/>
            <w:vAlign w:val="center"/>
          </w:tcPr>
          <w:p>
            <w:pPr>
              <w:pStyle w:val="11"/>
            </w:pPr>
          </w:p>
        </w:tc>
        <w:tc>
          <w:tcPr>
            <w:tcW w:w="340" w:type="pct"/>
            <w:vAlign w:val="center"/>
          </w:tcPr>
          <w:p>
            <w:pPr>
              <w:pStyle w:val="11"/>
            </w:pPr>
          </w:p>
        </w:tc>
        <w:tc>
          <w:tcPr>
            <w:tcW w:w="340" w:type="pct"/>
            <w:vAlign w:val="center"/>
          </w:tcPr>
          <w:p>
            <w:pPr>
              <w:pStyle w:val="11"/>
            </w:pPr>
          </w:p>
        </w:tc>
        <w:tc>
          <w:tcPr>
            <w:tcW w:w="340" w:type="pct"/>
            <w:vAlign w:val="center"/>
          </w:tcPr>
          <w:p>
            <w:pPr>
              <w:pStyle w:val="11"/>
            </w:pPr>
          </w:p>
        </w:tc>
        <w:tc>
          <w:tcPr>
            <w:tcW w:w="136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 w:type="pct"/>
            <w:vAlign w:val="center"/>
          </w:tcPr>
          <w:p>
            <w:pPr>
              <w:pStyle w:val="13"/>
            </w:pPr>
            <w:r>
              <w:t>5</w:t>
            </w:r>
          </w:p>
        </w:tc>
        <w:tc>
          <w:tcPr>
            <w:tcW w:w="248" w:type="pct"/>
            <w:vAlign w:val="center"/>
          </w:tcPr>
          <w:p>
            <w:pPr>
              <w:pStyle w:val="12"/>
            </w:pPr>
            <w:r>
              <w:t>2010102</w:t>
            </w:r>
          </w:p>
        </w:tc>
        <w:tc>
          <w:tcPr>
            <w:tcW w:w="1135" w:type="pct"/>
            <w:vAlign w:val="center"/>
          </w:tcPr>
          <w:p>
            <w:pPr>
              <w:pStyle w:val="12"/>
            </w:pPr>
            <w:r>
              <w:t>一般行政管理事务</w:t>
            </w:r>
          </w:p>
        </w:tc>
        <w:tc>
          <w:tcPr>
            <w:tcW w:w="340" w:type="pct"/>
            <w:vAlign w:val="center"/>
          </w:tcPr>
          <w:p>
            <w:pPr>
              <w:pStyle w:val="11"/>
            </w:pPr>
            <w:r>
              <w:t>4.00</w:t>
            </w:r>
          </w:p>
        </w:tc>
        <w:tc>
          <w:tcPr>
            <w:tcW w:w="340" w:type="pct"/>
            <w:vAlign w:val="center"/>
          </w:tcPr>
          <w:p>
            <w:pPr>
              <w:pStyle w:val="11"/>
            </w:pPr>
          </w:p>
        </w:tc>
        <w:tc>
          <w:tcPr>
            <w:tcW w:w="340" w:type="pct"/>
            <w:vAlign w:val="center"/>
          </w:tcPr>
          <w:p>
            <w:pPr>
              <w:pStyle w:val="11"/>
            </w:pPr>
            <w:r>
              <w:t>4.00</w:t>
            </w:r>
          </w:p>
        </w:tc>
        <w:tc>
          <w:tcPr>
            <w:tcW w:w="340" w:type="pct"/>
            <w:vAlign w:val="center"/>
          </w:tcPr>
          <w:p>
            <w:pPr>
              <w:pStyle w:val="11"/>
            </w:pPr>
          </w:p>
        </w:tc>
        <w:tc>
          <w:tcPr>
            <w:tcW w:w="340" w:type="pct"/>
            <w:vAlign w:val="center"/>
          </w:tcPr>
          <w:p>
            <w:pPr>
              <w:pStyle w:val="11"/>
            </w:pPr>
          </w:p>
        </w:tc>
        <w:tc>
          <w:tcPr>
            <w:tcW w:w="340" w:type="pct"/>
            <w:vAlign w:val="center"/>
          </w:tcPr>
          <w:p>
            <w:pPr>
              <w:pStyle w:val="11"/>
            </w:pPr>
          </w:p>
        </w:tc>
        <w:tc>
          <w:tcPr>
            <w:tcW w:w="136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 w:type="pct"/>
            <w:vAlign w:val="center"/>
          </w:tcPr>
          <w:p>
            <w:pPr>
              <w:pStyle w:val="13"/>
            </w:pPr>
            <w:r>
              <w:t>6</w:t>
            </w:r>
          </w:p>
        </w:tc>
        <w:tc>
          <w:tcPr>
            <w:tcW w:w="248" w:type="pct"/>
            <w:vAlign w:val="center"/>
          </w:tcPr>
          <w:p>
            <w:pPr>
              <w:pStyle w:val="12"/>
            </w:pPr>
            <w:r>
              <w:t>2010104</w:t>
            </w:r>
          </w:p>
        </w:tc>
        <w:tc>
          <w:tcPr>
            <w:tcW w:w="1135" w:type="pct"/>
            <w:vAlign w:val="center"/>
          </w:tcPr>
          <w:p>
            <w:pPr>
              <w:pStyle w:val="12"/>
            </w:pPr>
            <w:r>
              <w:t>人大会议</w:t>
            </w:r>
          </w:p>
        </w:tc>
        <w:tc>
          <w:tcPr>
            <w:tcW w:w="340" w:type="pct"/>
            <w:vAlign w:val="center"/>
          </w:tcPr>
          <w:p>
            <w:pPr>
              <w:pStyle w:val="11"/>
            </w:pPr>
            <w:r>
              <w:t>32.98</w:t>
            </w:r>
          </w:p>
        </w:tc>
        <w:tc>
          <w:tcPr>
            <w:tcW w:w="340" w:type="pct"/>
            <w:vAlign w:val="center"/>
          </w:tcPr>
          <w:p>
            <w:pPr>
              <w:pStyle w:val="11"/>
            </w:pPr>
          </w:p>
        </w:tc>
        <w:tc>
          <w:tcPr>
            <w:tcW w:w="340" w:type="pct"/>
            <w:vAlign w:val="center"/>
          </w:tcPr>
          <w:p>
            <w:pPr>
              <w:pStyle w:val="11"/>
            </w:pPr>
            <w:r>
              <w:t>32.98</w:t>
            </w:r>
          </w:p>
        </w:tc>
        <w:tc>
          <w:tcPr>
            <w:tcW w:w="340" w:type="pct"/>
            <w:vAlign w:val="center"/>
          </w:tcPr>
          <w:p>
            <w:pPr>
              <w:pStyle w:val="11"/>
            </w:pPr>
          </w:p>
        </w:tc>
        <w:tc>
          <w:tcPr>
            <w:tcW w:w="340" w:type="pct"/>
            <w:vAlign w:val="center"/>
          </w:tcPr>
          <w:p>
            <w:pPr>
              <w:pStyle w:val="11"/>
            </w:pPr>
          </w:p>
        </w:tc>
        <w:tc>
          <w:tcPr>
            <w:tcW w:w="340" w:type="pct"/>
            <w:vAlign w:val="center"/>
          </w:tcPr>
          <w:p>
            <w:pPr>
              <w:pStyle w:val="11"/>
            </w:pPr>
          </w:p>
        </w:tc>
        <w:tc>
          <w:tcPr>
            <w:tcW w:w="136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 w:type="pct"/>
            <w:vAlign w:val="center"/>
          </w:tcPr>
          <w:p>
            <w:pPr>
              <w:pStyle w:val="13"/>
            </w:pPr>
            <w:r>
              <w:t>7</w:t>
            </w:r>
          </w:p>
        </w:tc>
        <w:tc>
          <w:tcPr>
            <w:tcW w:w="248" w:type="pct"/>
            <w:vAlign w:val="center"/>
          </w:tcPr>
          <w:p>
            <w:pPr>
              <w:pStyle w:val="12"/>
            </w:pPr>
            <w:r>
              <w:t>2010106</w:t>
            </w:r>
          </w:p>
        </w:tc>
        <w:tc>
          <w:tcPr>
            <w:tcW w:w="1135" w:type="pct"/>
            <w:vAlign w:val="center"/>
          </w:tcPr>
          <w:p>
            <w:pPr>
              <w:pStyle w:val="12"/>
            </w:pPr>
            <w:r>
              <w:t>人大监督</w:t>
            </w:r>
          </w:p>
        </w:tc>
        <w:tc>
          <w:tcPr>
            <w:tcW w:w="340" w:type="pct"/>
            <w:vAlign w:val="center"/>
          </w:tcPr>
          <w:p>
            <w:pPr>
              <w:pStyle w:val="11"/>
            </w:pPr>
            <w:r>
              <w:t>5.00</w:t>
            </w:r>
          </w:p>
        </w:tc>
        <w:tc>
          <w:tcPr>
            <w:tcW w:w="340" w:type="pct"/>
            <w:vAlign w:val="center"/>
          </w:tcPr>
          <w:p>
            <w:pPr>
              <w:pStyle w:val="11"/>
            </w:pPr>
          </w:p>
        </w:tc>
        <w:tc>
          <w:tcPr>
            <w:tcW w:w="340" w:type="pct"/>
            <w:vAlign w:val="center"/>
          </w:tcPr>
          <w:p>
            <w:pPr>
              <w:pStyle w:val="11"/>
            </w:pPr>
            <w:r>
              <w:t>5.00</w:t>
            </w:r>
          </w:p>
        </w:tc>
        <w:tc>
          <w:tcPr>
            <w:tcW w:w="340" w:type="pct"/>
            <w:vAlign w:val="center"/>
          </w:tcPr>
          <w:p>
            <w:pPr>
              <w:pStyle w:val="11"/>
            </w:pPr>
          </w:p>
        </w:tc>
        <w:tc>
          <w:tcPr>
            <w:tcW w:w="340" w:type="pct"/>
            <w:vAlign w:val="center"/>
          </w:tcPr>
          <w:p>
            <w:pPr>
              <w:pStyle w:val="11"/>
            </w:pPr>
          </w:p>
        </w:tc>
        <w:tc>
          <w:tcPr>
            <w:tcW w:w="340" w:type="pct"/>
            <w:vAlign w:val="center"/>
          </w:tcPr>
          <w:p>
            <w:pPr>
              <w:pStyle w:val="11"/>
            </w:pPr>
          </w:p>
        </w:tc>
        <w:tc>
          <w:tcPr>
            <w:tcW w:w="136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 w:type="pct"/>
            <w:vAlign w:val="center"/>
          </w:tcPr>
          <w:p>
            <w:pPr>
              <w:pStyle w:val="13"/>
            </w:pPr>
            <w:r>
              <w:t>8</w:t>
            </w:r>
          </w:p>
        </w:tc>
        <w:tc>
          <w:tcPr>
            <w:tcW w:w="248" w:type="pct"/>
            <w:vAlign w:val="center"/>
          </w:tcPr>
          <w:p>
            <w:pPr>
              <w:pStyle w:val="12"/>
            </w:pPr>
            <w:r>
              <w:t>2010108</w:t>
            </w:r>
          </w:p>
        </w:tc>
        <w:tc>
          <w:tcPr>
            <w:tcW w:w="1135" w:type="pct"/>
            <w:vAlign w:val="center"/>
          </w:tcPr>
          <w:p>
            <w:pPr>
              <w:pStyle w:val="12"/>
            </w:pPr>
            <w:r>
              <w:t>代表工作</w:t>
            </w:r>
          </w:p>
        </w:tc>
        <w:tc>
          <w:tcPr>
            <w:tcW w:w="340" w:type="pct"/>
            <w:vAlign w:val="center"/>
          </w:tcPr>
          <w:p>
            <w:pPr>
              <w:pStyle w:val="11"/>
            </w:pPr>
            <w:r>
              <w:t>6.98</w:t>
            </w:r>
          </w:p>
        </w:tc>
        <w:tc>
          <w:tcPr>
            <w:tcW w:w="340" w:type="pct"/>
            <w:vAlign w:val="center"/>
          </w:tcPr>
          <w:p>
            <w:pPr>
              <w:pStyle w:val="11"/>
            </w:pPr>
          </w:p>
        </w:tc>
        <w:tc>
          <w:tcPr>
            <w:tcW w:w="340" w:type="pct"/>
            <w:vAlign w:val="center"/>
          </w:tcPr>
          <w:p>
            <w:pPr>
              <w:pStyle w:val="11"/>
            </w:pPr>
            <w:r>
              <w:t>6.98</w:t>
            </w:r>
          </w:p>
        </w:tc>
        <w:tc>
          <w:tcPr>
            <w:tcW w:w="340" w:type="pct"/>
            <w:vAlign w:val="center"/>
          </w:tcPr>
          <w:p>
            <w:pPr>
              <w:pStyle w:val="11"/>
            </w:pPr>
          </w:p>
        </w:tc>
        <w:tc>
          <w:tcPr>
            <w:tcW w:w="340" w:type="pct"/>
            <w:vAlign w:val="center"/>
          </w:tcPr>
          <w:p>
            <w:pPr>
              <w:pStyle w:val="11"/>
            </w:pPr>
          </w:p>
        </w:tc>
        <w:tc>
          <w:tcPr>
            <w:tcW w:w="340" w:type="pct"/>
            <w:vAlign w:val="center"/>
          </w:tcPr>
          <w:p>
            <w:pPr>
              <w:pStyle w:val="11"/>
            </w:pPr>
          </w:p>
        </w:tc>
        <w:tc>
          <w:tcPr>
            <w:tcW w:w="136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 w:type="pct"/>
            <w:vAlign w:val="center"/>
          </w:tcPr>
          <w:p>
            <w:pPr>
              <w:pStyle w:val="13"/>
            </w:pPr>
            <w:r>
              <w:t>9</w:t>
            </w:r>
          </w:p>
        </w:tc>
        <w:tc>
          <w:tcPr>
            <w:tcW w:w="248" w:type="pct"/>
            <w:vAlign w:val="center"/>
          </w:tcPr>
          <w:p>
            <w:pPr>
              <w:pStyle w:val="12"/>
            </w:pPr>
            <w:r>
              <w:t>208</w:t>
            </w:r>
          </w:p>
        </w:tc>
        <w:tc>
          <w:tcPr>
            <w:tcW w:w="1135" w:type="pct"/>
            <w:vAlign w:val="center"/>
          </w:tcPr>
          <w:p>
            <w:pPr>
              <w:pStyle w:val="12"/>
            </w:pPr>
            <w:r>
              <w:t>社会保障和就业支出</w:t>
            </w:r>
          </w:p>
        </w:tc>
        <w:tc>
          <w:tcPr>
            <w:tcW w:w="340" w:type="pct"/>
            <w:vAlign w:val="center"/>
          </w:tcPr>
          <w:p>
            <w:pPr>
              <w:pStyle w:val="11"/>
            </w:pPr>
            <w:r>
              <w:t>31.97</w:t>
            </w:r>
          </w:p>
        </w:tc>
        <w:tc>
          <w:tcPr>
            <w:tcW w:w="340" w:type="pct"/>
            <w:vAlign w:val="center"/>
          </w:tcPr>
          <w:p>
            <w:pPr>
              <w:pStyle w:val="11"/>
            </w:pPr>
            <w:r>
              <w:t>31.97</w:t>
            </w:r>
          </w:p>
        </w:tc>
        <w:tc>
          <w:tcPr>
            <w:tcW w:w="340" w:type="pct"/>
            <w:vAlign w:val="center"/>
          </w:tcPr>
          <w:p>
            <w:pPr>
              <w:pStyle w:val="11"/>
            </w:pPr>
          </w:p>
        </w:tc>
        <w:tc>
          <w:tcPr>
            <w:tcW w:w="340" w:type="pct"/>
            <w:vAlign w:val="center"/>
          </w:tcPr>
          <w:p>
            <w:pPr>
              <w:pStyle w:val="11"/>
            </w:pPr>
          </w:p>
        </w:tc>
        <w:tc>
          <w:tcPr>
            <w:tcW w:w="340" w:type="pct"/>
            <w:vAlign w:val="center"/>
          </w:tcPr>
          <w:p>
            <w:pPr>
              <w:pStyle w:val="11"/>
            </w:pPr>
          </w:p>
        </w:tc>
        <w:tc>
          <w:tcPr>
            <w:tcW w:w="340" w:type="pct"/>
            <w:vAlign w:val="center"/>
          </w:tcPr>
          <w:p>
            <w:pPr>
              <w:pStyle w:val="11"/>
            </w:pPr>
          </w:p>
        </w:tc>
        <w:tc>
          <w:tcPr>
            <w:tcW w:w="136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 w:type="pct"/>
            <w:vAlign w:val="center"/>
          </w:tcPr>
          <w:p>
            <w:pPr>
              <w:pStyle w:val="13"/>
            </w:pPr>
            <w:r>
              <w:t>10</w:t>
            </w:r>
          </w:p>
        </w:tc>
        <w:tc>
          <w:tcPr>
            <w:tcW w:w="248" w:type="pct"/>
            <w:vAlign w:val="center"/>
          </w:tcPr>
          <w:p>
            <w:pPr>
              <w:pStyle w:val="12"/>
            </w:pPr>
            <w:r>
              <w:t>20805</w:t>
            </w:r>
          </w:p>
        </w:tc>
        <w:tc>
          <w:tcPr>
            <w:tcW w:w="1135" w:type="pct"/>
            <w:vAlign w:val="center"/>
          </w:tcPr>
          <w:p>
            <w:pPr>
              <w:pStyle w:val="12"/>
            </w:pPr>
            <w:r>
              <w:t>行政事业单位养老支出</w:t>
            </w:r>
          </w:p>
        </w:tc>
        <w:tc>
          <w:tcPr>
            <w:tcW w:w="340" w:type="pct"/>
            <w:vAlign w:val="center"/>
          </w:tcPr>
          <w:p>
            <w:pPr>
              <w:pStyle w:val="11"/>
            </w:pPr>
            <w:r>
              <w:t>29.18</w:t>
            </w:r>
          </w:p>
        </w:tc>
        <w:tc>
          <w:tcPr>
            <w:tcW w:w="340" w:type="pct"/>
            <w:vAlign w:val="center"/>
          </w:tcPr>
          <w:p>
            <w:pPr>
              <w:pStyle w:val="11"/>
            </w:pPr>
            <w:r>
              <w:t>29.18</w:t>
            </w:r>
          </w:p>
        </w:tc>
        <w:tc>
          <w:tcPr>
            <w:tcW w:w="340" w:type="pct"/>
            <w:vAlign w:val="center"/>
          </w:tcPr>
          <w:p>
            <w:pPr>
              <w:pStyle w:val="11"/>
            </w:pPr>
          </w:p>
        </w:tc>
        <w:tc>
          <w:tcPr>
            <w:tcW w:w="340" w:type="pct"/>
            <w:vAlign w:val="center"/>
          </w:tcPr>
          <w:p>
            <w:pPr>
              <w:pStyle w:val="11"/>
            </w:pPr>
          </w:p>
        </w:tc>
        <w:tc>
          <w:tcPr>
            <w:tcW w:w="340" w:type="pct"/>
            <w:vAlign w:val="center"/>
          </w:tcPr>
          <w:p>
            <w:pPr>
              <w:pStyle w:val="11"/>
            </w:pPr>
          </w:p>
        </w:tc>
        <w:tc>
          <w:tcPr>
            <w:tcW w:w="340" w:type="pct"/>
            <w:vAlign w:val="center"/>
          </w:tcPr>
          <w:p>
            <w:pPr>
              <w:pStyle w:val="11"/>
            </w:pPr>
          </w:p>
        </w:tc>
        <w:tc>
          <w:tcPr>
            <w:tcW w:w="136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 w:type="pct"/>
            <w:vAlign w:val="center"/>
          </w:tcPr>
          <w:p>
            <w:pPr>
              <w:pStyle w:val="13"/>
            </w:pPr>
            <w:r>
              <w:t>11</w:t>
            </w:r>
          </w:p>
        </w:tc>
        <w:tc>
          <w:tcPr>
            <w:tcW w:w="248" w:type="pct"/>
            <w:vAlign w:val="center"/>
          </w:tcPr>
          <w:p>
            <w:pPr>
              <w:pStyle w:val="12"/>
            </w:pPr>
            <w:r>
              <w:t>2080501</w:t>
            </w:r>
          </w:p>
        </w:tc>
        <w:tc>
          <w:tcPr>
            <w:tcW w:w="1135" w:type="pct"/>
            <w:vAlign w:val="center"/>
          </w:tcPr>
          <w:p>
            <w:pPr>
              <w:pStyle w:val="12"/>
            </w:pPr>
            <w:r>
              <w:t>行政单位离退休</w:t>
            </w:r>
          </w:p>
        </w:tc>
        <w:tc>
          <w:tcPr>
            <w:tcW w:w="340" w:type="pct"/>
            <w:vAlign w:val="center"/>
          </w:tcPr>
          <w:p>
            <w:pPr>
              <w:pStyle w:val="11"/>
            </w:pPr>
            <w:r>
              <w:t>7.93</w:t>
            </w:r>
          </w:p>
        </w:tc>
        <w:tc>
          <w:tcPr>
            <w:tcW w:w="340" w:type="pct"/>
            <w:vAlign w:val="center"/>
          </w:tcPr>
          <w:p>
            <w:pPr>
              <w:pStyle w:val="11"/>
            </w:pPr>
            <w:r>
              <w:t>7.93</w:t>
            </w:r>
          </w:p>
        </w:tc>
        <w:tc>
          <w:tcPr>
            <w:tcW w:w="340" w:type="pct"/>
            <w:vAlign w:val="center"/>
          </w:tcPr>
          <w:p>
            <w:pPr>
              <w:pStyle w:val="11"/>
            </w:pPr>
          </w:p>
        </w:tc>
        <w:tc>
          <w:tcPr>
            <w:tcW w:w="340" w:type="pct"/>
            <w:vAlign w:val="center"/>
          </w:tcPr>
          <w:p>
            <w:pPr>
              <w:pStyle w:val="11"/>
            </w:pPr>
          </w:p>
        </w:tc>
        <w:tc>
          <w:tcPr>
            <w:tcW w:w="340" w:type="pct"/>
            <w:vAlign w:val="center"/>
          </w:tcPr>
          <w:p>
            <w:pPr>
              <w:pStyle w:val="11"/>
            </w:pPr>
          </w:p>
        </w:tc>
        <w:tc>
          <w:tcPr>
            <w:tcW w:w="340" w:type="pct"/>
            <w:vAlign w:val="center"/>
          </w:tcPr>
          <w:p>
            <w:pPr>
              <w:pStyle w:val="11"/>
            </w:pPr>
          </w:p>
        </w:tc>
        <w:tc>
          <w:tcPr>
            <w:tcW w:w="136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 w:type="pct"/>
            <w:vAlign w:val="center"/>
          </w:tcPr>
          <w:p>
            <w:pPr>
              <w:pStyle w:val="13"/>
            </w:pPr>
            <w:r>
              <w:t>12</w:t>
            </w:r>
          </w:p>
        </w:tc>
        <w:tc>
          <w:tcPr>
            <w:tcW w:w="248" w:type="pct"/>
            <w:vAlign w:val="center"/>
          </w:tcPr>
          <w:p>
            <w:pPr>
              <w:pStyle w:val="12"/>
            </w:pPr>
            <w:r>
              <w:t>2080505</w:t>
            </w:r>
          </w:p>
        </w:tc>
        <w:tc>
          <w:tcPr>
            <w:tcW w:w="1135" w:type="pct"/>
            <w:vAlign w:val="center"/>
          </w:tcPr>
          <w:p>
            <w:pPr>
              <w:pStyle w:val="12"/>
            </w:pPr>
            <w:r>
              <w:t>机关事业单位基本养老保险缴费支出</w:t>
            </w:r>
          </w:p>
        </w:tc>
        <w:tc>
          <w:tcPr>
            <w:tcW w:w="340" w:type="pct"/>
            <w:vAlign w:val="center"/>
          </w:tcPr>
          <w:p>
            <w:pPr>
              <w:pStyle w:val="11"/>
            </w:pPr>
            <w:r>
              <w:t>21.25</w:t>
            </w:r>
          </w:p>
        </w:tc>
        <w:tc>
          <w:tcPr>
            <w:tcW w:w="340" w:type="pct"/>
            <w:vAlign w:val="center"/>
          </w:tcPr>
          <w:p>
            <w:pPr>
              <w:pStyle w:val="11"/>
            </w:pPr>
            <w:r>
              <w:t>21.25</w:t>
            </w:r>
          </w:p>
        </w:tc>
        <w:tc>
          <w:tcPr>
            <w:tcW w:w="340" w:type="pct"/>
            <w:vAlign w:val="center"/>
          </w:tcPr>
          <w:p>
            <w:pPr>
              <w:pStyle w:val="11"/>
            </w:pPr>
          </w:p>
        </w:tc>
        <w:tc>
          <w:tcPr>
            <w:tcW w:w="340" w:type="pct"/>
            <w:vAlign w:val="center"/>
          </w:tcPr>
          <w:p>
            <w:pPr>
              <w:pStyle w:val="11"/>
            </w:pPr>
          </w:p>
        </w:tc>
        <w:tc>
          <w:tcPr>
            <w:tcW w:w="340" w:type="pct"/>
            <w:vAlign w:val="center"/>
          </w:tcPr>
          <w:p>
            <w:pPr>
              <w:pStyle w:val="11"/>
            </w:pPr>
          </w:p>
        </w:tc>
        <w:tc>
          <w:tcPr>
            <w:tcW w:w="340" w:type="pct"/>
            <w:vAlign w:val="center"/>
          </w:tcPr>
          <w:p>
            <w:pPr>
              <w:pStyle w:val="11"/>
            </w:pPr>
          </w:p>
        </w:tc>
        <w:tc>
          <w:tcPr>
            <w:tcW w:w="136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 w:type="pct"/>
            <w:vAlign w:val="center"/>
          </w:tcPr>
          <w:p>
            <w:pPr>
              <w:pStyle w:val="13"/>
            </w:pPr>
            <w:r>
              <w:t>13</w:t>
            </w:r>
          </w:p>
        </w:tc>
        <w:tc>
          <w:tcPr>
            <w:tcW w:w="248" w:type="pct"/>
            <w:vAlign w:val="center"/>
          </w:tcPr>
          <w:p>
            <w:pPr>
              <w:pStyle w:val="12"/>
            </w:pPr>
            <w:r>
              <w:t>20808</w:t>
            </w:r>
          </w:p>
        </w:tc>
        <w:tc>
          <w:tcPr>
            <w:tcW w:w="1135" w:type="pct"/>
            <w:vAlign w:val="center"/>
          </w:tcPr>
          <w:p>
            <w:pPr>
              <w:pStyle w:val="12"/>
            </w:pPr>
            <w:r>
              <w:t>抚恤</w:t>
            </w:r>
          </w:p>
        </w:tc>
        <w:tc>
          <w:tcPr>
            <w:tcW w:w="340" w:type="pct"/>
            <w:vAlign w:val="center"/>
          </w:tcPr>
          <w:p>
            <w:pPr>
              <w:pStyle w:val="11"/>
            </w:pPr>
            <w:r>
              <w:t>2.79</w:t>
            </w:r>
          </w:p>
        </w:tc>
        <w:tc>
          <w:tcPr>
            <w:tcW w:w="340" w:type="pct"/>
            <w:vAlign w:val="center"/>
          </w:tcPr>
          <w:p>
            <w:pPr>
              <w:pStyle w:val="11"/>
            </w:pPr>
            <w:r>
              <w:t>2.79</w:t>
            </w:r>
          </w:p>
        </w:tc>
        <w:tc>
          <w:tcPr>
            <w:tcW w:w="340" w:type="pct"/>
            <w:vAlign w:val="center"/>
          </w:tcPr>
          <w:p>
            <w:pPr>
              <w:pStyle w:val="11"/>
            </w:pPr>
          </w:p>
        </w:tc>
        <w:tc>
          <w:tcPr>
            <w:tcW w:w="340" w:type="pct"/>
            <w:vAlign w:val="center"/>
          </w:tcPr>
          <w:p>
            <w:pPr>
              <w:pStyle w:val="11"/>
            </w:pPr>
          </w:p>
        </w:tc>
        <w:tc>
          <w:tcPr>
            <w:tcW w:w="340" w:type="pct"/>
            <w:vAlign w:val="center"/>
          </w:tcPr>
          <w:p>
            <w:pPr>
              <w:pStyle w:val="11"/>
            </w:pPr>
          </w:p>
        </w:tc>
        <w:tc>
          <w:tcPr>
            <w:tcW w:w="340" w:type="pct"/>
            <w:vAlign w:val="center"/>
          </w:tcPr>
          <w:p>
            <w:pPr>
              <w:pStyle w:val="11"/>
            </w:pPr>
          </w:p>
        </w:tc>
        <w:tc>
          <w:tcPr>
            <w:tcW w:w="136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 w:type="pct"/>
            <w:vAlign w:val="center"/>
          </w:tcPr>
          <w:p>
            <w:pPr>
              <w:pStyle w:val="13"/>
            </w:pPr>
            <w:r>
              <w:t>14</w:t>
            </w:r>
          </w:p>
        </w:tc>
        <w:tc>
          <w:tcPr>
            <w:tcW w:w="248" w:type="pct"/>
            <w:vAlign w:val="center"/>
          </w:tcPr>
          <w:p>
            <w:pPr>
              <w:pStyle w:val="12"/>
            </w:pPr>
            <w:r>
              <w:t>2080899</w:t>
            </w:r>
          </w:p>
        </w:tc>
        <w:tc>
          <w:tcPr>
            <w:tcW w:w="1135" w:type="pct"/>
            <w:vAlign w:val="center"/>
          </w:tcPr>
          <w:p>
            <w:pPr>
              <w:pStyle w:val="12"/>
            </w:pPr>
            <w:r>
              <w:t>其他优抚支出</w:t>
            </w:r>
          </w:p>
        </w:tc>
        <w:tc>
          <w:tcPr>
            <w:tcW w:w="340" w:type="pct"/>
            <w:vAlign w:val="center"/>
          </w:tcPr>
          <w:p>
            <w:pPr>
              <w:pStyle w:val="11"/>
            </w:pPr>
            <w:r>
              <w:t>2.79</w:t>
            </w:r>
          </w:p>
        </w:tc>
        <w:tc>
          <w:tcPr>
            <w:tcW w:w="340" w:type="pct"/>
            <w:vAlign w:val="center"/>
          </w:tcPr>
          <w:p>
            <w:pPr>
              <w:pStyle w:val="11"/>
            </w:pPr>
            <w:r>
              <w:t>2.79</w:t>
            </w:r>
          </w:p>
        </w:tc>
        <w:tc>
          <w:tcPr>
            <w:tcW w:w="340" w:type="pct"/>
            <w:vAlign w:val="center"/>
          </w:tcPr>
          <w:p>
            <w:pPr>
              <w:pStyle w:val="11"/>
            </w:pPr>
          </w:p>
        </w:tc>
        <w:tc>
          <w:tcPr>
            <w:tcW w:w="340" w:type="pct"/>
            <w:vAlign w:val="center"/>
          </w:tcPr>
          <w:p>
            <w:pPr>
              <w:pStyle w:val="11"/>
            </w:pPr>
          </w:p>
        </w:tc>
        <w:tc>
          <w:tcPr>
            <w:tcW w:w="340" w:type="pct"/>
            <w:vAlign w:val="center"/>
          </w:tcPr>
          <w:p>
            <w:pPr>
              <w:pStyle w:val="11"/>
            </w:pPr>
          </w:p>
        </w:tc>
        <w:tc>
          <w:tcPr>
            <w:tcW w:w="340" w:type="pct"/>
            <w:vAlign w:val="center"/>
          </w:tcPr>
          <w:p>
            <w:pPr>
              <w:pStyle w:val="11"/>
            </w:pPr>
          </w:p>
        </w:tc>
        <w:tc>
          <w:tcPr>
            <w:tcW w:w="136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 w:type="pct"/>
            <w:vAlign w:val="center"/>
          </w:tcPr>
          <w:p>
            <w:pPr>
              <w:pStyle w:val="13"/>
            </w:pPr>
            <w:r>
              <w:t>15</w:t>
            </w:r>
          </w:p>
        </w:tc>
        <w:tc>
          <w:tcPr>
            <w:tcW w:w="248" w:type="pct"/>
            <w:vAlign w:val="center"/>
          </w:tcPr>
          <w:p>
            <w:pPr>
              <w:pStyle w:val="12"/>
            </w:pPr>
            <w:r>
              <w:t>210</w:t>
            </w:r>
          </w:p>
        </w:tc>
        <w:tc>
          <w:tcPr>
            <w:tcW w:w="1135" w:type="pct"/>
            <w:vAlign w:val="center"/>
          </w:tcPr>
          <w:p>
            <w:pPr>
              <w:pStyle w:val="12"/>
            </w:pPr>
            <w:r>
              <w:t>卫生健康支出</w:t>
            </w:r>
          </w:p>
        </w:tc>
        <w:tc>
          <w:tcPr>
            <w:tcW w:w="340" w:type="pct"/>
            <w:vAlign w:val="center"/>
          </w:tcPr>
          <w:p>
            <w:pPr>
              <w:pStyle w:val="11"/>
            </w:pPr>
            <w:r>
              <w:t>11.35</w:t>
            </w:r>
          </w:p>
        </w:tc>
        <w:tc>
          <w:tcPr>
            <w:tcW w:w="340" w:type="pct"/>
            <w:vAlign w:val="center"/>
          </w:tcPr>
          <w:p>
            <w:pPr>
              <w:pStyle w:val="11"/>
            </w:pPr>
            <w:r>
              <w:t>11.35</w:t>
            </w:r>
          </w:p>
        </w:tc>
        <w:tc>
          <w:tcPr>
            <w:tcW w:w="340" w:type="pct"/>
            <w:vAlign w:val="center"/>
          </w:tcPr>
          <w:p>
            <w:pPr>
              <w:pStyle w:val="11"/>
            </w:pPr>
          </w:p>
        </w:tc>
        <w:tc>
          <w:tcPr>
            <w:tcW w:w="340" w:type="pct"/>
            <w:vAlign w:val="center"/>
          </w:tcPr>
          <w:p>
            <w:pPr>
              <w:pStyle w:val="11"/>
            </w:pPr>
          </w:p>
        </w:tc>
        <w:tc>
          <w:tcPr>
            <w:tcW w:w="340" w:type="pct"/>
            <w:vAlign w:val="center"/>
          </w:tcPr>
          <w:p>
            <w:pPr>
              <w:pStyle w:val="11"/>
            </w:pPr>
          </w:p>
        </w:tc>
        <w:tc>
          <w:tcPr>
            <w:tcW w:w="340" w:type="pct"/>
            <w:vAlign w:val="center"/>
          </w:tcPr>
          <w:p>
            <w:pPr>
              <w:pStyle w:val="11"/>
            </w:pPr>
          </w:p>
        </w:tc>
        <w:tc>
          <w:tcPr>
            <w:tcW w:w="136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 w:type="pct"/>
            <w:vAlign w:val="center"/>
          </w:tcPr>
          <w:p>
            <w:pPr>
              <w:pStyle w:val="13"/>
            </w:pPr>
            <w:r>
              <w:t>16</w:t>
            </w:r>
          </w:p>
        </w:tc>
        <w:tc>
          <w:tcPr>
            <w:tcW w:w="248" w:type="pct"/>
            <w:vAlign w:val="center"/>
          </w:tcPr>
          <w:p>
            <w:pPr>
              <w:pStyle w:val="12"/>
            </w:pPr>
            <w:r>
              <w:t>21011</w:t>
            </w:r>
          </w:p>
        </w:tc>
        <w:tc>
          <w:tcPr>
            <w:tcW w:w="1135" w:type="pct"/>
            <w:vAlign w:val="center"/>
          </w:tcPr>
          <w:p>
            <w:pPr>
              <w:pStyle w:val="12"/>
            </w:pPr>
            <w:r>
              <w:t>行政事业单位医疗</w:t>
            </w:r>
          </w:p>
        </w:tc>
        <w:tc>
          <w:tcPr>
            <w:tcW w:w="340" w:type="pct"/>
            <w:vAlign w:val="center"/>
          </w:tcPr>
          <w:p>
            <w:pPr>
              <w:pStyle w:val="11"/>
            </w:pPr>
            <w:r>
              <w:t>11.35</w:t>
            </w:r>
          </w:p>
        </w:tc>
        <w:tc>
          <w:tcPr>
            <w:tcW w:w="340" w:type="pct"/>
            <w:vAlign w:val="center"/>
          </w:tcPr>
          <w:p>
            <w:pPr>
              <w:pStyle w:val="11"/>
            </w:pPr>
            <w:r>
              <w:t>11.35</w:t>
            </w:r>
          </w:p>
        </w:tc>
        <w:tc>
          <w:tcPr>
            <w:tcW w:w="340" w:type="pct"/>
            <w:vAlign w:val="center"/>
          </w:tcPr>
          <w:p>
            <w:pPr>
              <w:pStyle w:val="11"/>
            </w:pPr>
          </w:p>
        </w:tc>
        <w:tc>
          <w:tcPr>
            <w:tcW w:w="340" w:type="pct"/>
            <w:vAlign w:val="center"/>
          </w:tcPr>
          <w:p>
            <w:pPr>
              <w:pStyle w:val="11"/>
            </w:pPr>
          </w:p>
        </w:tc>
        <w:tc>
          <w:tcPr>
            <w:tcW w:w="340" w:type="pct"/>
            <w:vAlign w:val="center"/>
          </w:tcPr>
          <w:p>
            <w:pPr>
              <w:pStyle w:val="11"/>
            </w:pPr>
          </w:p>
        </w:tc>
        <w:tc>
          <w:tcPr>
            <w:tcW w:w="340" w:type="pct"/>
            <w:vAlign w:val="center"/>
          </w:tcPr>
          <w:p>
            <w:pPr>
              <w:pStyle w:val="11"/>
            </w:pPr>
          </w:p>
        </w:tc>
        <w:tc>
          <w:tcPr>
            <w:tcW w:w="136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 w:type="pct"/>
            <w:vAlign w:val="center"/>
          </w:tcPr>
          <w:p>
            <w:pPr>
              <w:pStyle w:val="13"/>
            </w:pPr>
            <w:r>
              <w:t>17</w:t>
            </w:r>
          </w:p>
        </w:tc>
        <w:tc>
          <w:tcPr>
            <w:tcW w:w="248" w:type="pct"/>
            <w:vAlign w:val="center"/>
          </w:tcPr>
          <w:p>
            <w:pPr>
              <w:pStyle w:val="12"/>
            </w:pPr>
            <w:r>
              <w:t>2101101</w:t>
            </w:r>
          </w:p>
        </w:tc>
        <w:tc>
          <w:tcPr>
            <w:tcW w:w="1135" w:type="pct"/>
            <w:vAlign w:val="center"/>
          </w:tcPr>
          <w:p>
            <w:pPr>
              <w:pStyle w:val="12"/>
            </w:pPr>
            <w:r>
              <w:t>行政单位医疗</w:t>
            </w:r>
          </w:p>
        </w:tc>
        <w:tc>
          <w:tcPr>
            <w:tcW w:w="340" w:type="pct"/>
            <w:vAlign w:val="center"/>
          </w:tcPr>
          <w:p>
            <w:pPr>
              <w:pStyle w:val="11"/>
            </w:pPr>
            <w:r>
              <w:t>11.35</w:t>
            </w:r>
          </w:p>
        </w:tc>
        <w:tc>
          <w:tcPr>
            <w:tcW w:w="340" w:type="pct"/>
            <w:vAlign w:val="center"/>
          </w:tcPr>
          <w:p>
            <w:pPr>
              <w:pStyle w:val="11"/>
            </w:pPr>
            <w:r>
              <w:t>11.35</w:t>
            </w:r>
          </w:p>
        </w:tc>
        <w:tc>
          <w:tcPr>
            <w:tcW w:w="340" w:type="pct"/>
            <w:vAlign w:val="center"/>
          </w:tcPr>
          <w:p>
            <w:pPr>
              <w:pStyle w:val="11"/>
            </w:pPr>
          </w:p>
        </w:tc>
        <w:tc>
          <w:tcPr>
            <w:tcW w:w="340" w:type="pct"/>
            <w:vAlign w:val="center"/>
          </w:tcPr>
          <w:p>
            <w:pPr>
              <w:pStyle w:val="11"/>
            </w:pPr>
          </w:p>
        </w:tc>
        <w:tc>
          <w:tcPr>
            <w:tcW w:w="340" w:type="pct"/>
            <w:vAlign w:val="center"/>
          </w:tcPr>
          <w:p>
            <w:pPr>
              <w:pStyle w:val="11"/>
            </w:pPr>
          </w:p>
        </w:tc>
        <w:tc>
          <w:tcPr>
            <w:tcW w:w="340" w:type="pct"/>
            <w:vAlign w:val="center"/>
          </w:tcPr>
          <w:p>
            <w:pPr>
              <w:pStyle w:val="11"/>
            </w:pPr>
          </w:p>
        </w:tc>
        <w:tc>
          <w:tcPr>
            <w:tcW w:w="136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 w:type="pct"/>
            <w:vAlign w:val="center"/>
          </w:tcPr>
          <w:p>
            <w:pPr>
              <w:pStyle w:val="13"/>
            </w:pPr>
            <w:r>
              <w:t>18</w:t>
            </w:r>
          </w:p>
        </w:tc>
        <w:tc>
          <w:tcPr>
            <w:tcW w:w="248" w:type="pct"/>
            <w:vAlign w:val="center"/>
          </w:tcPr>
          <w:p>
            <w:pPr>
              <w:pStyle w:val="12"/>
            </w:pPr>
            <w:r>
              <w:t>212</w:t>
            </w:r>
          </w:p>
        </w:tc>
        <w:tc>
          <w:tcPr>
            <w:tcW w:w="1135" w:type="pct"/>
            <w:vAlign w:val="center"/>
          </w:tcPr>
          <w:p>
            <w:pPr>
              <w:pStyle w:val="12"/>
            </w:pPr>
            <w:r>
              <w:t>城乡社区支出</w:t>
            </w:r>
          </w:p>
        </w:tc>
        <w:tc>
          <w:tcPr>
            <w:tcW w:w="340" w:type="pct"/>
            <w:vAlign w:val="center"/>
          </w:tcPr>
          <w:p>
            <w:pPr>
              <w:pStyle w:val="11"/>
            </w:pPr>
            <w:r>
              <w:t>22.00</w:t>
            </w:r>
          </w:p>
        </w:tc>
        <w:tc>
          <w:tcPr>
            <w:tcW w:w="340" w:type="pct"/>
            <w:vAlign w:val="center"/>
          </w:tcPr>
          <w:p>
            <w:pPr>
              <w:pStyle w:val="11"/>
            </w:pPr>
          </w:p>
        </w:tc>
        <w:tc>
          <w:tcPr>
            <w:tcW w:w="340" w:type="pct"/>
            <w:vAlign w:val="center"/>
          </w:tcPr>
          <w:p>
            <w:pPr>
              <w:pStyle w:val="11"/>
            </w:pPr>
            <w:r>
              <w:t>22.00</w:t>
            </w:r>
          </w:p>
        </w:tc>
        <w:tc>
          <w:tcPr>
            <w:tcW w:w="340" w:type="pct"/>
            <w:vAlign w:val="center"/>
          </w:tcPr>
          <w:p>
            <w:pPr>
              <w:pStyle w:val="11"/>
            </w:pPr>
          </w:p>
        </w:tc>
        <w:tc>
          <w:tcPr>
            <w:tcW w:w="340" w:type="pct"/>
            <w:vAlign w:val="center"/>
          </w:tcPr>
          <w:p>
            <w:pPr>
              <w:pStyle w:val="11"/>
            </w:pPr>
          </w:p>
        </w:tc>
        <w:tc>
          <w:tcPr>
            <w:tcW w:w="340" w:type="pct"/>
            <w:vAlign w:val="center"/>
          </w:tcPr>
          <w:p>
            <w:pPr>
              <w:pStyle w:val="11"/>
            </w:pPr>
          </w:p>
        </w:tc>
        <w:tc>
          <w:tcPr>
            <w:tcW w:w="136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 w:type="pct"/>
            <w:vAlign w:val="center"/>
          </w:tcPr>
          <w:p>
            <w:pPr>
              <w:pStyle w:val="13"/>
            </w:pPr>
            <w:r>
              <w:t>19</w:t>
            </w:r>
          </w:p>
        </w:tc>
        <w:tc>
          <w:tcPr>
            <w:tcW w:w="248" w:type="pct"/>
            <w:vAlign w:val="center"/>
          </w:tcPr>
          <w:p>
            <w:pPr>
              <w:pStyle w:val="12"/>
            </w:pPr>
            <w:r>
              <w:t>21208</w:t>
            </w:r>
          </w:p>
        </w:tc>
        <w:tc>
          <w:tcPr>
            <w:tcW w:w="1135" w:type="pct"/>
            <w:vAlign w:val="center"/>
          </w:tcPr>
          <w:p>
            <w:pPr>
              <w:pStyle w:val="12"/>
            </w:pPr>
            <w:r>
              <w:t>国有土地使用权出让收入安排的支出</w:t>
            </w:r>
          </w:p>
        </w:tc>
        <w:tc>
          <w:tcPr>
            <w:tcW w:w="340" w:type="pct"/>
            <w:vAlign w:val="center"/>
          </w:tcPr>
          <w:p>
            <w:pPr>
              <w:pStyle w:val="11"/>
            </w:pPr>
            <w:r>
              <w:t>22.00</w:t>
            </w:r>
          </w:p>
        </w:tc>
        <w:tc>
          <w:tcPr>
            <w:tcW w:w="340" w:type="pct"/>
            <w:vAlign w:val="center"/>
          </w:tcPr>
          <w:p>
            <w:pPr>
              <w:pStyle w:val="11"/>
            </w:pPr>
          </w:p>
        </w:tc>
        <w:tc>
          <w:tcPr>
            <w:tcW w:w="340" w:type="pct"/>
            <w:vAlign w:val="center"/>
          </w:tcPr>
          <w:p>
            <w:pPr>
              <w:pStyle w:val="11"/>
            </w:pPr>
            <w:r>
              <w:t>22.00</w:t>
            </w:r>
          </w:p>
        </w:tc>
        <w:tc>
          <w:tcPr>
            <w:tcW w:w="340" w:type="pct"/>
            <w:vAlign w:val="center"/>
          </w:tcPr>
          <w:p>
            <w:pPr>
              <w:pStyle w:val="11"/>
            </w:pPr>
          </w:p>
        </w:tc>
        <w:tc>
          <w:tcPr>
            <w:tcW w:w="340" w:type="pct"/>
            <w:vAlign w:val="center"/>
          </w:tcPr>
          <w:p>
            <w:pPr>
              <w:pStyle w:val="11"/>
            </w:pPr>
          </w:p>
        </w:tc>
        <w:tc>
          <w:tcPr>
            <w:tcW w:w="340" w:type="pct"/>
            <w:vAlign w:val="center"/>
          </w:tcPr>
          <w:p>
            <w:pPr>
              <w:pStyle w:val="11"/>
            </w:pPr>
          </w:p>
        </w:tc>
        <w:tc>
          <w:tcPr>
            <w:tcW w:w="136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 w:type="pct"/>
            <w:vAlign w:val="center"/>
          </w:tcPr>
          <w:p>
            <w:pPr>
              <w:pStyle w:val="13"/>
            </w:pPr>
            <w:r>
              <w:t>20</w:t>
            </w:r>
          </w:p>
        </w:tc>
        <w:tc>
          <w:tcPr>
            <w:tcW w:w="248" w:type="pct"/>
            <w:vAlign w:val="center"/>
          </w:tcPr>
          <w:p>
            <w:pPr>
              <w:pStyle w:val="12"/>
            </w:pPr>
            <w:r>
              <w:t>2120899</w:t>
            </w:r>
          </w:p>
        </w:tc>
        <w:tc>
          <w:tcPr>
            <w:tcW w:w="1135" w:type="pct"/>
            <w:vAlign w:val="center"/>
          </w:tcPr>
          <w:p>
            <w:pPr>
              <w:pStyle w:val="12"/>
            </w:pPr>
            <w:r>
              <w:t>其他国有土地使用权出让收入安排的支出</w:t>
            </w:r>
          </w:p>
        </w:tc>
        <w:tc>
          <w:tcPr>
            <w:tcW w:w="340" w:type="pct"/>
            <w:vAlign w:val="center"/>
          </w:tcPr>
          <w:p>
            <w:pPr>
              <w:pStyle w:val="11"/>
            </w:pPr>
            <w:r>
              <w:t>22.00</w:t>
            </w:r>
          </w:p>
        </w:tc>
        <w:tc>
          <w:tcPr>
            <w:tcW w:w="340" w:type="pct"/>
            <w:vAlign w:val="center"/>
          </w:tcPr>
          <w:p>
            <w:pPr>
              <w:pStyle w:val="11"/>
            </w:pPr>
          </w:p>
        </w:tc>
        <w:tc>
          <w:tcPr>
            <w:tcW w:w="340" w:type="pct"/>
            <w:vAlign w:val="center"/>
          </w:tcPr>
          <w:p>
            <w:pPr>
              <w:pStyle w:val="11"/>
            </w:pPr>
            <w:r>
              <w:t>22.00</w:t>
            </w:r>
          </w:p>
        </w:tc>
        <w:tc>
          <w:tcPr>
            <w:tcW w:w="340" w:type="pct"/>
            <w:vAlign w:val="center"/>
          </w:tcPr>
          <w:p>
            <w:pPr>
              <w:pStyle w:val="11"/>
            </w:pPr>
          </w:p>
        </w:tc>
        <w:tc>
          <w:tcPr>
            <w:tcW w:w="340" w:type="pct"/>
            <w:vAlign w:val="center"/>
          </w:tcPr>
          <w:p>
            <w:pPr>
              <w:pStyle w:val="11"/>
            </w:pPr>
          </w:p>
        </w:tc>
        <w:tc>
          <w:tcPr>
            <w:tcW w:w="340" w:type="pct"/>
            <w:vAlign w:val="center"/>
          </w:tcPr>
          <w:p>
            <w:pPr>
              <w:pStyle w:val="11"/>
            </w:pPr>
          </w:p>
        </w:tc>
        <w:tc>
          <w:tcPr>
            <w:tcW w:w="136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 w:type="pct"/>
            <w:vAlign w:val="center"/>
          </w:tcPr>
          <w:p>
            <w:pPr>
              <w:pStyle w:val="13"/>
            </w:pPr>
            <w:r>
              <w:t>21</w:t>
            </w:r>
          </w:p>
        </w:tc>
        <w:tc>
          <w:tcPr>
            <w:tcW w:w="248" w:type="pct"/>
            <w:vAlign w:val="center"/>
          </w:tcPr>
          <w:p>
            <w:pPr>
              <w:pStyle w:val="12"/>
            </w:pPr>
            <w:r>
              <w:t>221</w:t>
            </w:r>
          </w:p>
        </w:tc>
        <w:tc>
          <w:tcPr>
            <w:tcW w:w="1135" w:type="pct"/>
            <w:vAlign w:val="center"/>
          </w:tcPr>
          <w:p>
            <w:pPr>
              <w:pStyle w:val="12"/>
            </w:pPr>
            <w:r>
              <w:t>住房保障支出</w:t>
            </w:r>
          </w:p>
        </w:tc>
        <w:tc>
          <w:tcPr>
            <w:tcW w:w="340" w:type="pct"/>
            <w:vAlign w:val="center"/>
          </w:tcPr>
          <w:p>
            <w:pPr>
              <w:pStyle w:val="11"/>
            </w:pPr>
            <w:r>
              <w:t>10.62</w:t>
            </w:r>
          </w:p>
        </w:tc>
        <w:tc>
          <w:tcPr>
            <w:tcW w:w="340" w:type="pct"/>
            <w:vAlign w:val="center"/>
          </w:tcPr>
          <w:p>
            <w:pPr>
              <w:pStyle w:val="11"/>
            </w:pPr>
            <w:r>
              <w:t>10.62</w:t>
            </w:r>
          </w:p>
        </w:tc>
        <w:tc>
          <w:tcPr>
            <w:tcW w:w="340" w:type="pct"/>
            <w:vAlign w:val="center"/>
          </w:tcPr>
          <w:p>
            <w:pPr>
              <w:pStyle w:val="11"/>
            </w:pPr>
          </w:p>
        </w:tc>
        <w:tc>
          <w:tcPr>
            <w:tcW w:w="340" w:type="pct"/>
            <w:vAlign w:val="center"/>
          </w:tcPr>
          <w:p>
            <w:pPr>
              <w:pStyle w:val="11"/>
            </w:pPr>
          </w:p>
        </w:tc>
        <w:tc>
          <w:tcPr>
            <w:tcW w:w="340" w:type="pct"/>
            <w:vAlign w:val="center"/>
          </w:tcPr>
          <w:p>
            <w:pPr>
              <w:pStyle w:val="11"/>
            </w:pPr>
          </w:p>
        </w:tc>
        <w:tc>
          <w:tcPr>
            <w:tcW w:w="340" w:type="pct"/>
            <w:vAlign w:val="center"/>
          </w:tcPr>
          <w:p>
            <w:pPr>
              <w:pStyle w:val="11"/>
            </w:pPr>
          </w:p>
        </w:tc>
        <w:tc>
          <w:tcPr>
            <w:tcW w:w="136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 w:type="pct"/>
            <w:vAlign w:val="center"/>
          </w:tcPr>
          <w:p>
            <w:pPr>
              <w:pStyle w:val="13"/>
            </w:pPr>
            <w:r>
              <w:t>22</w:t>
            </w:r>
          </w:p>
        </w:tc>
        <w:tc>
          <w:tcPr>
            <w:tcW w:w="248" w:type="pct"/>
            <w:vAlign w:val="center"/>
          </w:tcPr>
          <w:p>
            <w:pPr>
              <w:pStyle w:val="12"/>
            </w:pPr>
            <w:r>
              <w:t>22102</w:t>
            </w:r>
          </w:p>
        </w:tc>
        <w:tc>
          <w:tcPr>
            <w:tcW w:w="1135" w:type="pct"/>
            <w:vAlign w:val="center"/>
          </w:tcPr>
          <w:p>
            <w:pPr>
              <w:pStyle w:val="12"/>
            </w:pPr>
            <w:r>
              <w:t>住房改革支出</w:t>
            </w:r>
          </w:p>
        </w:tc>
        <w:tc>
          <w:tcPr>
            <w:tcW w:w="340" w:type="pct"/>
            <w:vAlign w:val="center"/>
          </w:tcPr>
          <w:p>
            <w:pPr>
              <w:pStyle w:val="11"/>
            </w:pPr>
            <w:r>
              <w:t>10.62</w:t>
            </w:r>
          </w:p>
        </w:tc>
        <w:tc>
          <w:tcPr>
            <w:tcW w:w="340" w:type="pct"/>
            <w:vAlign w:val="center"/>
          </w:tcPr>
          <w:p>
            <w:pPr>
              <w:pStyle w:val="11"/>
            </w:pPr>
            <w:r>
              <w:t>10.62</w:t>
            </w:r>
          </w:p>
        </w:tc>
        <w:tc>
          <w:tcPr>
            <w:tcW w:w="340" w:type="pct"/>
            <w:vAlign w:val="center"/>
          </w:tcPr>
          <w:p>
            <w:pPr>
              <w:pStyle w:val="11"/>
            </w:pPr>
          </w:p>
        </w:tc>
        <w:tc>
          <w:tcPr>
            <w:tcW w:w="340" w:type="pct"/>
            <w:vAlign w:val="center"/>
          </w:tcPr>
          <w:p>
            <w:pPr>
              <w:pStyle w:val="11"/>
            </w:pPr>
          </w:p>
        </w:tc>
        <w:tc>
          <w:tcPr>
            <w:tcW w:w="340" w:type="pct"/>
            <w:vAlign w:val="center"/>
          </w:tcPr>
          <w:p>
            <w:pPr>
              <w:pStyle w:val="11"/>
            </w:pPr>
          </w:p>
        </w:tc>
        <w:tc>
          <w:tcPr>
            <w:tcW w:w="340" w:type="pct"/>
            <w:vAlign w:val="center"/>
          </w:tcPr>
          <w:p>
            <w:pPr>
              <w:pStyle w:val="11"/>
            </w:pPr>
          </w:p>
        </w:tc>
        <w:tc>
          <w:tcPr>
            <w:tcW w:w="136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 w:type="pct"/>
            <w:vAlign w:val="center"/>
          </w:tcPr>
          <w:p>
            <w:pPr>
              <w:pStyle w:val="13"/>
            </w:pPr>
            <w:r>
              <w:t>23</w:t>
            </w:r>
          </w:p>
        </w:tc>
        <w:tc>
          <w:tcPr>
            <w:tcW w:w="248" w:type="pct"/>
            <w:vAlign w:val="center"/>
          </w:tcPr>
          <w:p>
            <w:pPr>
              <w:pStyle w:val="12"/>
            </w:pPr>
            <w:r>
              <w:t>2210201</w:t>
            </w:r>
          </w:p>
        </w:tc>
        <w:tc>
          <w:tcPr>
            <w:tcW w:w="1135" w:type="pct"/>
            <w:vAlign w:val="center"/>
          </w:tcPr>
          <w:p>
            <w:pPr>
              <w:pStyle w:val="12"/>
            </w:pPr>
            <w:r>
              <w:t>住房公积金</w:t>
            </w:r>
          </w:p>
        </w:tc>
        <w:tc>
          <w:tcPr>
            <w:tcW w:w="340" w:type="pct"/>
            <w:vAlign w:val="center"/>
          </w:tcPr>
          <w:p>
            <w:pPr>
              <w:pStyle w:val="11"/>
            </w:pPr>
            <w:r>
              <w:t>10.62</w:t>
            </w:r>
          </w:p>
        </w:tc>
        <w:tc>
          <w:tcPr>
            <w:tcW w:w="340" w:type="pct"/>
            <w:vAlign w:val="center"/>
          </w:tcPr>
          <w:p>
            <w:pPr>
              <w:pStyle w:val="11"/>
            </w:pPr>
            <w:r>
              <w:t>10.62</w:t>
            </w:r>
          </w:p>
        </w:tc>
        <w:tc>
          <w:tcPr>
            <w:tcW w:w="340" w:type="pct"/>
            <w:vAlign w:val="center"/>
          </w:tcPr>
          <w:p>
            <w:pPr>
              <w:pStyle w:val="11"/>
            </w:pPr>
          </w:p>
        </w:tc>
        <w:tc>
          <w:tcPr>
            <w:tcW w:w="340" w:type="pct"/>
            <w:vAlign w:val="center"/>
          </w:tcPr>
          <w:p>
            <w:pPr>
              <w:pStyle w:val="11"/>
            </w:pPr>
          </w:p>
        </w:tc>
        <w:tc>
          <w:tcPr>
            <w:tcW w:w="340" w:type="pct"/>
            <w:vAlign w:val="center"/>
          </w:tcPr>
          <w:p>
            <w:pPr>
              <w:pStyle w:val="11"/>
            </w:pPr>
          </w:p>
        </w:tc>
        <w:tc>
          <w:tcPr>
            <w:tcW w:w="340" w:type="pct"/>
            <w:vAlign w:val="center"/>
          </w:tcPr>
          <w:p>
            <w:pPr>
              <w:pStyle w:val="11"/>
            </w:pPr>
          </w:p>
        </w:tc>
        <w:tc>
          <w:tcPr>
            <w:tcW w:w="1361" w:type="pct"/>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rPr>
                <w:rFonts w:hint="eastAsia"/>
                <w:lang w:eastAsia="zh-CN"/>
              </w:rPr>
              <w:t>101001青龙满族自治县人民代表大会常务委员会办公室本级</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261.78</w:t>
            </w:r>
          </w:p>
        </w:tc>
        <w:tc>
          <w:tcPr>
            <w:tcW w:w="3402" w:type="dxa"/>
            <w:vAlign w:val="center"/>
          </w:tcPr>
          <w:p>
            <w:pPr>
              <w:pStyle w:val="12"/>
            </w:pPr>
            <w:r>
              <w:t>一、一般公共服务支出</w:t>
            </w:r>
          </w:p>
        </w:tc>
        <w:tc>
          <w:tcPr>
            <w:tcW w:w="1474" w:type="dxa"/>
            <w:vAlign w:val="center"/>
          </w:tcPr>
          <w:p>
            <w:pPr>
              <w:pStyle w:val="11"/>
            </w:pPr>
            <w:r>
              <w:t>249.45</w:t>
            </w:r>
          </w:p>
        </w:tc>
        <w:tc>
          <w:tcPr>
            <w:tcW w:w="1474" w:type="dxa"/>
            <w:vAlign w:val="center"/>
          </w:tcPr>
          <w:p>
            <w:pPr>
              <w:pStyle w:val="11"/>
            </w:pPr>
            <w:r>
              <w:t>249.45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22.00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31.97</w:t>
            </w:r>
          </w:p>
        </w:tc>
        <w:tc>
          <w:tcPr>
            <w:tcW w:w="1474" w:type="dxa"/>
            <w:vAlign w:val="center"/>
          </w:tcPr>
          <w:p>
            <w:pPr>
              <w:pStyle w:val="11"/>
            </w:pPr>
            <w:r>
              <w:t>31.97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11.35</w:t>
            </w:r>
          </w:p>
        </w:tc>
        <w:tc>
          <w:tcPr>
            <w:tcW w:w="1474" w:type="dxa"/>
            <w:vAlign w:val="center"/>
          </w:tcPr>
          <w:p>
            <w:pPr>
              <w:pStyle w:val="11"/>
            </w:pPr>
            <w:r>
              <w:t>11.35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22.00</w:t>
            </w:r>
          </w:p>
        </w:tc>
        <w:tc>
          <w:tcPr>
            <w:tcW w:w="1474" w:type="dxa"/>
            <w:vAlign w:val="center"/>
          </w:tcPr>
          <w:p>
            <w:pPr>
              <w:pStyle w:val="11"/>
            </w:pPr>
          </w:p>
        </w:tc>
        <w:tc>
          <w:tcPr>
            <w:tcW w:w="1474" w:type="dxa"/>
            <w:vAlign w:val="center"/>
          </w:tcPr>
          <w:p>
            <w:pPr>
              <w:pStyle w:val="11"/>
            </w:pPr>
            <w:r>
              <w:t>22.00</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10.62</w:t>
            </w:r>
          </w:p>
        </w:tc>
        <w:tc>
          <w:tcPr>
            <w:tcW w:w="1474" w:type="dxa"/>
            <w:vAlign w:val="center"/>
          </w:tcPr>
          <w:p>
            <w:pPr>
              <w:pStyle w:val="11"/>
            </w:pPr>
            <w:r>
              <w:t>10.62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283.78</w:t>
            </w:r>
          </w:p>
        </w:tc>
        <w:tc>
          <w:tcPr>
            <w:tcW w:w="3402" w:type="dxa"/>
            <w:vAlign w:val="center"/>
          </w:tcPr>
          <w:p>
            <w:pPr>
              <w:pStyle w:val="14"/>
            </w:pPr>
            <w:r>
              <w:t>本年支出合计</w:t>
            </w:r>
          </w:p>
        </w:tc>
        <w:tc>
          <w:tcPr>
            <w:tcW w:w="1474" w:type="dxa"/>
            <w:vAlign w:val="center"/>
          </w:tcPr>
          <w:p>
            <w:pPr>
              <w:pStyle w:val="15"/>
            </w:pPr>
            <w:r>
              <w:t>325.40</w:t>
            </w:r>
          </w:p>
        </w:tc>
        <w:tc>
          <w:tcPr>
            <w:tcW w:w="1474" w:type="dxa"/>
            <w:vAlign w:val="center"/>
          </w:tcPr>
          <w:p>
            <w:pPr>
              <w:pStyle w:val="15"/>
            </w:pPr>
            <w:r>
              <w:t>303.40</w:t>
            </w:r>
          </w:p>
        </w:tc>
        <w:tc>
          <w:tcPr>
            <w:tcW w:w="1474" w:type="dxa"/>
            <w:vAlign w:val="center"/>
          </w:tcPr>
          <w:p>
            <w:pPr>
              <w:pStyle w:val="15"/>
            </w:pPr>
            <w:r>
              <w:t>22.00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r>
              <w:t>41.61</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r>
              <w:t>41.61</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325.40</w:t>
            </w:r>
          </w:p>
        </w:tc>
        <w:tc>
          <w:tcPr>
            <w:tcW w:w="3402" w:type="dxa"/>
            <w:vAlign w:val="center"/>
          </w:tcPr>
          <w:p>
            <w:pPr>
              <w:pStyle w:val="14"/>
            </w:pPr>
            <w:r>
              <w:t>支出总计</w:t>
            </w:r>
          </w:p>
        </w:tc>
        <w:tc>
          <w:tcPr>
            <w:tcW w:w="1474" w:type="dxa"/>
            <w:vAlign w:val="center"/>
          </w:tcPr>
          <w:p>
            <w:pPr>
              <w:pStyle w:val="15"/>
            </w:pPr>
            <w:r>
              <w:t>325.40</w:t>
            </w:r>
          </w:p>
        </w:tc>
        <w:tc>
          <w:tcPr>
            <w:tcW w:w="1474" w:type="dxa"/>
            <w:vAlign w:val="center"/>
          </w:tcPr>
          <w:p>
            <w:pPr>
              <w:pStyle w:val="15"/>
            </w:pPr>
            <w:r>
              <w:t>303.40</w:t>
            </w:r>
          </w:p>
        </w:tc>
        <w:tc>
          <w:tcPr>
            <w:tcW w:w="1474" w:type="dxa"/>
            <w:vAlign w:val="center"/>
          </w:tcPr>
          <w:p>
            <w:pPr>
              <w:pStyle w:val="15"/>
            </w:pPr>
            <w:r>
              <w:t>22.00</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rPr>
                <w:rFonts w:hint="eastAsia"/>
                <w:lang w:eastAsia="zh-CN"/>
              </w:rPr>
              <w:t>101001青龙满族自治县人民代表大会常务委员会办公室本级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303.40</w:t>
            </w:r>
          </w:p>
        </w:tc>
        <w:tc>
          <w:tcPr>
            <w:tcW w:w="2551" w:type="dxa"/>
            <w:vAlign w:val="center"/>
          </w:tcPr>
          <w:p>
            <w:pPr>
              <w:pStyle w:val="15"/>
            </w:pPr>
            <w:r>
              <w:t>254.44</w:t>
            </w:r>
          </w:p>
        </w:tc>
        <w:tc>
          <w:tcPr>
            <w:tcW w:w="2551" w:type="dxa"/>
            <w:vAlign w:val="center"/>
          </w:tcPr>
          <w:p>
            <w:pPr>
              <w:pStyle w:val="15"/>
            </w:pPr>
            <w:r>
              <w:t>48.96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249.45</w:t>
            </w:r>
          </w:p>
        </w:tc>
        <w:tc>
          <w:tcPr>
            <w:tcW w:w="2551" w:type="dxa"/>
            <w:vAlign w:val="center"/>
          </w:tcPr>
          <w:p>
            <w:pPr>
              <w:pStyle w:val="11"/>
            </w:pPr>
            <w:r>
              <w:t>200.49</w:t>
            </w:r>
          </w:p>
        </w:tc>
        <w:tc>
          <w:tcPr>
            <w:tcW w:w="2551" w:type="dxa"/>
            <w:vAlign w:val="center"/>
          </w:tcPr>
          <w:p>
            <w:pPr>
              <w:pStyle w:val="11"/>
            </w:pPr>
            <w:r>
              <w:t>48.96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20101</w:t>
            </w:r>
          </w:p>
        </w:tc>
        <w:tc>
          <w:tcPr>
            <w:tcW w:w="4535" w:type="dxa"/>
            <w:vAlign w:val="center"/>
          </w:tcPr>
          <w:p>
            <w:pPr>
              <w:pStyle w:val="12"/>
            </w:pPr>
            <w:r>
              <w:t>人大事务</w:t>
            </w:r>
          </w:p>
        </w:tc>
        <w:tc>
          <w:tcPr>
            <w:tcW w:w="2551" w:type="dxa"/>
            <w:vAlign w:val="center"/>
          </w:tcPr>
          <w:p>
            <w:pPr>
              <w:pStyle w:val="11"/>
            </w:pPr>
            <w:r>
              <w:t>249.45</w:t>
            </w:r>
          </w:p>
        </w:tc>
        <w:tc>
          <w:tcPr>
            <w:tcW w:w="2551" w:type="dxa"/>
            <w:vAlign w:val="center"/>
          </w:tcPr>
          <w:p>
            <w:pPr>
              <w:pStyle w:val="11"/>
            </w:pPr>
            <w:r>
              <w:t>200.49</w:t>
            </w:r>
          </w:p>
        </w:tc>
        <w:tc>
          <w:tcPr>
            <w:tcW w:w="2551" w:type="dxa"/>
            <w:vAlign w:val="center"/>
          </w:tcPr>
          <w:p>
            <w:pPr>
              <w:pStyle w:val="11"/>
            </w:pPr>
            <w:r>
              <w:t>48.96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2010101</w:t>
            </w:r>
          </w:p>
        </w:tc>
        <w:tc>
          <w:tcPr>
            <w:tcW w:w="4535" w:type="dxa"/>
            <w:vAlign w:val="center"/>
          </w:tcPr>
          <w:p>
            <w:pPr>
              <w:pStyle w:val="12"/>
            </w:pPr>
            <w:r>
              <w:t>行政运行</w:t>
            </w:r>
          </w:p>
        </w:tc>
        <w:tc>
          <w:tcPr>
            <w:tcW w:w="2551" w:type="dxa"/>
            <w:vAlign w:val="center"/>
          </w:tcPr>
          <w:p>
            <w:pPr>
              <w:pStyle w:val="11"/>
            </w:pPr>
            <w:r>
              <w:t>200.49</w:t>
            </w:r>
          </w:p>
        </w:tc>
        <w:tc>
          <w:tcPr>
            <w:tcW w:w="2551" w:type="dxa"/>
            <w:vAlign w:val="center"/>
          </w:tcPr>
          <w:p>
            <w:pPr>
              <w:pStyle w:val="11"/>
            </w:pPr>
            <w:r>
              <w:t>200.49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2010102</w:t>
            </w:r>
          </w:p>
        </w:tc>
        <w:tc>
          <w:tcPr>
            <w:tcW w:w="4535" w:type="dxa"/>
            <w:vAlign w:val="center"/>
          </w:tcPr>
          <w:p>
            <w:pPr>
              <w:pStyle w:val="12"/>
            </w:pPr>
            <w:r>
              <w:t>一般行政管理事务</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2010104</w:t>
            </w:r>
          </w:p>
        </w:tc>
        <w:tc>
          <w:tcPr>
            <w:tcW w:w="4535" w:type="dxa"/>
            <w:vAlign w:val="center"/>
          </w:tcPr>
          <w:p>
            <w:pPr>
              <w:pStyle w:val="12"/>
            </w:pPr>
            <w:r>
              <w:t>人大会议</w:t>
            </w:r>
          </w:p>
        </w:tc>
        <w:tc>
          <w:tcPr>
            <w:tcW w:w="2551" w:type="dxa"/>
            <w:vAlign w:val="center"/>
          </w:tcPr>
          <w:p>
            <w:pPr>
              <w:pStyle w:val="11"/>
            </w:pPr>
            <w:r>
              <w:t>32.98</w:t>
            </w:r>
          </w:p>
        </w:tc>
        <w:tc>
          <w:tcPr>
            <w:tcW w:w="2551" w:type="dxa"/>
            <w:vAlign w:val="center"/>
          </w:tcPr>
          <w:p>
            <w:pPr>
              <w:pStyle w:val="11"/>
            </w:pPr>
          </w:p>
        </w:tc>
        <w:tc>
          <w:tcPr>
            <w:tcW w:w="2551" w:type="dxa"/>
            <w:vAlign w:val="center"/>
          </w:tcPr>
          <w:p>
            <w:pPr>
              <w:pStyle w:val="11"/>
            </w:pPr>
            <w:r>
              <w:t>32.98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2010106</w:t>
            </w:r>
          </w:p>
        </w:tc>
        <w:tc>
          <w:tcPr>
            <w:tcW w:w="4535" w:type="dxa"/>
            <w:vAlign w:val="center"/>
          </w:tcPr>
          <w:p>
            <w:pPr>
              <w:pStyle w:val="12"/>
            </w:pPr>
            <w:r>
              <w:t>人大监督</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2010108</w:t>
            </w:r>
          </w:p>
        </w:tc>
        <w:tc>
          <w:tcPr>
            <w:tcW w:w="4535" w:type="dxa"/>
            <w:vAlign w:val="center"/>
          </w:tcPr>
          <w:p>
            <w:pPr>
              <w:pStyle w:val="12"/>
            </w:pPr>
            <w:r>
              <w:t>代表工作</w:t>
            </w:r>
          </w:p>
        </w:tc>
        <w:tc>
          <w:tcPr>
            <w:tcW w:w="2551" w:type="dxa"/>
            <w:vAlign w:val="center"/>
          </w:tcPr>
          <w:p>
            <w:pPr>
              <w:pStyle w:val="11"/>
            </w:pPr>
            <w:r>
              <w:t>6.98</w:t>
            </w:r>
          </w:p>
        </w:tc>
        <w:tc>
          <w:tcPr>
            <w:tcW w:w="2551" w:type="dxa"/>
            <w:vAlign w:val="center"/>
          </w:tcPr>
          <w:p>
            <w:pPr>
              <w:pStyle w:val="11"/>
            </w:pPr>
          </w:p>
        </w:tc>
        <w:tc>
          <w:tcPr>
            <w:tcW w:w="2551" w:type="dxa"/>
            <w:vAlign w:val="center"/>
          </w:tcPr>
          <w:p>
            <w:pPr>
              <w:pStyle w:val="11"/>
            </w:pPr>
            <w:r>
              <w:t>6.98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31.97</w:t>
            </w:r>
          </w:p>
        </w:tc>
        <w:tc>
          <w:tcPr>
            <w:tcW w:w="2551" w:type="dxa"/>
            <w:vAlign w:val="center"/>
          </w:tcPr>
          <w:p>
            <w:pPr>
              <w:pStyle w:val="11"/>
            </w:pPr>
            <w:r>
              <w:t>31.97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29.18</w:t>
            </w:r>
          </w:p>
        </w:tc>
        <w:tc>
          <w:tcPr>
            <w:tcW w:w="2551" w:type="dxa"/>
            <w:vAlign w:val="center"/>
          </w:tcPr>
          <w:p>
            <w:pPr>
              <w:pStyle w:val="11"/>
            </w:pPr>
            <w:r>
              <w:t>29.18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7.93</w:t>
            </w:r>
          </w:p>
        </w:tc>
        <w:tc>
          <w:tcPr>
            <w:tcW w:w="2551" w:type="dxa"/>
            <w:vAlign w:val="center"/>
          </w:tcPr>
          <w:p>
            <w:pPr>
              <w:pStyle w:val="11"/>
            </w:pPr>
            <w:r>
              <w:t>7.93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21.25</w:t>
            </w:r>
          </w:p>
        </w:tc>
        <w:tc>
          <w:tcPr>
            <w:tcW w:w="2551" w:type="dxa"/>
            <w:vAlign w:val="center"/>
          </w:tcPr>
          <w:p>
            <w:pPr>
              <w:pStyle w:val="11"/>
            </w:pPr>
            <w:r>
              <w:t>21.25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20808</w:t>
            </w:r>
          </w:p>
        </w:tc>
        <w:tc>
          <w:tcPr>
            <w:tcW w:w="4535" w:type="dxa"/>
            <w:vAlign w:val="center"/>
          </w:tcPr>
          <w:p>
            <w:pPr>
              <w:pStyle w:val="12"/>
            </w:pPr>
            <w:r>
              <w:t>抚恤</w:t>
            </w:r>
          </w:p>
        </w:tc>
        <w:tc>
          <w:tcPr>
            <w:tcW w:w="2551" w:type="dxa"/>
            <w:vAlign w:val="center"/>
          </w:tcPr>
          <w:p>
            <w:pPr>
              <w:pStyle w:val="11"/>
            </w:pPr>
            <w:r>
              <w:t>2.79</w:t>
            </w:r>
          </w:p>
        </w:tc>
        <w:tc>
          <w:tcPr>
            <w:tcW w:w="2551" w:type="dxa"/>
            <w:vAlign w:val="center"/>
          </w:tcPr>
          <w:p>
            <w:pPr>
              <w:pStyle w:val="11"/>
            </w:pPr>
            <w:r>
              <w:t>2.79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2080899</w:t>
            </w:r>
          </w:p>
        </w:tc>
        <w:tc>
          <w:tcPr>
            <w:tcW w:w="4535" w:type="dxa"/>
            <w:vAlign w:val="center"/>
          </w:tcPr>
          <w:p>
            <w:pPr>
              <w:pStyle w:val="12"/>
            </w:pPr>
            <w:r>
              <w:t>其他优抚支出</w:t>
            </w:r>
          </w:p>
        </w:tc>
        <w:tc>
          <w:tcPr>
            <w:tcW w:w="2551" w:type="dxa"/>
            <w:vAlign w:val="center"/>
          </w:tcPr>
          <w:p>
            <w:pPr>
              <w:pStyle w:val="11"/>
            </w:pPr>
            <w:r>
              <w:t>2.79</w:t>
            </w:r>
          </w:p>
        </w:tc>
        <w:tc>
          <w:tcPr>
            <w:tcW w:w="2551" w:type="dxa"/>
            <w:vAlign w:val="center"/>
          </w:tcPr>
          <w:p>
            <w:pPr>
              <w:pStyle w:val="11"/>
            </w:pPr>
            <w:r>
              <w:t>2.79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11.35</w:t>
            </w:r>
          </w:p>
        </w:tc>
        <w:tc>
          <w:tcPr>
            <w:tcW w:w="2551" w:type="dxa"/>
            <w:vAlign w:val="center"/>
          </w:tcPr>
          <w:p>
            <w:pPr>
              <w:pStyle w:val="11"/>
            </w:pPr>
            <w:r>
              <w:t>11.35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11.35</w:t>
            </w:r>
          </w:p>
        </w:tc>
        <w:tc>
          <w:tcPr>
            <w:tcW w:w="2551" w:type="dxa"/>
            <w:vAlign w:val="center"/>
          </w:tcPr>
          <w:p>
            <w:pPr>
              <w:pStyle w:val="11"/>
            </w:pPr>
            <w:r>
              <w:t>11.35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11.35</w:t>
            </w:r>
          </w:p>
        </w:tc>
        <w:tc>
          <w:tcPr>
            <w:tcW w:w="2551" w:type="dxa"/>
            <w:vAlign w:val="center"/>
          </w:tcPr>
          <w:p>
            <w:pPr>
              <w:pStyle w:val="11"/>
            </w:pPr>
            <w:r>
              <w:t>11.35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10.62</w:t>
            </w:r>
          </w:p>
        </w:tc>
        <w:tc>
          <w:tcPr>
            <w:tcW w:w="2551" w:type="dxa"/>
            <w:vAlign w:val="center"/>
          </w:tcPr>
          <w:p>
            <w:pPr>
              <w:pStyle w:val="11"/>
            </w:pPr>
            <w:r>
              <w:t>10.62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10.62</w:t>
            </w:r>
          </w:p>
        </w:tc>
        <w:tc>
          <w:tcPr>
            <w:tcW w:w="2551" w:type="dxa"/>
            <w:vAlign w:val="center"/>
          </w:tcPr>
          <w:p>
            <w:pPr>
              <w:pStyle w:val="11"/>
            </w:pPr>
            <w:r>
              <w:t>10.62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10.62</w:t>
            </w:r>
          </w:p>
        </w:tc>
        <w:tc>
          <w:tcPr>
            <w:tcW w:w="2551" w:type="dxa"/>
            <w:vAlign w:val="center"/>
          </w:tcPr>
          <w:p>
            <w:pPr>
              <w:pStyle w:val="11"/>
            </w:pPr>
            <w:r>
              <w:t>10.62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rPr>
                <w:rFonts w:hint="eastAsia"/>
                <w:lang w:eastAsia="zh-CN"/>
              </w:rPr>
              <w:t>101001青龙满族自治县人民代表大会常务委员会办公室本级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w:t>
            </w:r>
            <w:r>
              <w:rPr>
                <w:rFonts w:hint="eastAsia"/>
                <w:lang w:eastAsia="zh-CN"/>
              </w:rPr>
              <w:t>单位</w:t>
            </w:r>
            <w:r>
              <w:t>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254.44</w:t>
            </w:r>
          </w:p>
        </w:tc>
        <w:tc>
          <w:tcPr>
            <w:tcW w:w="2551" w:type="dxa"/>
            <w:vAlign w:val="center"/>
          </w:tcPr>
          <w:p>
            <w:pPr>
              <w:pStyle w:val="15"/>
            </w:pPr>
            <w:r>
              <w:t>190.05</w:t>
            </w:r>
          </w:p>
        </w:tc>
        <w:tc>
          <w:tcPr>
            <w:tcW w:w="2551" w:type="dxa"/>
            <w:vAlign w:val="center"/>
          </w:tcPr>
          <w:p>
            <w:pPr>
              <w:pStyle w:val="15"/>
            </w:pPr>
            <w:r>
              <w:t>64.39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179.33</w:t>
            </w:r>
          </w:p>
        </w:tc>
        <w:tc>
          <w:tcPr>
            <w:tcW w:w="2551" w:type="dxa"/>
            <w:vAlign w:val="center"/>
          </w:tcPr>
          <w:p>
            <w:pPr>
              <w:pStyle w:val="11"/>
            </w:pPr>
            <w:r>
              <w:t>179.33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87.50</w:t>
            </w:r>
          </w:p>
        </w:tc>
        <w:tc>
          <w:tcPr>
            <w:tcW w:w="2551" w:type="dxa"/>
            <w:vAlign w:val="center"/>
          </w:tcPr>
          <w:p>
            <w:pPr>
              <w:pStyle w:val="11"/>
            </w:pPr>
            <w:r>
              <w:t>87.50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40.65</w:t>
            </w:r>
          </w:p>
        </w:tc>
        <w:tc>
          <w:tcPr>
            <w:tcW w:w="2551" w:type="dxa"/>
            <w:vAlign w:val="center"/>
          </w:tcPr>
          <w:p>
            <w:pPr>
              <w:pStyle w:val="11"/>
            </w:pPr>
            <w:r>
              <w:t>40.65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7.29</w:t>
            </w:r>
          </w:p>
        </w:tc>
        <w:tc>
          <w:tcPr>
            <w:tcW w:w="2551" w:type="dxa"/>
            <w:vAlign w:val="center"/>
          </w:tcPr>
          <w:p>
            <w:pPr>
              <w:pStyle w:val="11"/>
            </w:pPr>
            <w:r>
              <w:t>7.29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21.25</w:t>
            </w:r>
          </w:p>
        </w:tc>
        <w:tc>
          <w:tcPr>
            <w:tcW w:w="2551" w:type="dxa"/>
            <w:vAlign w:val="center"/>
          </w:tcPr>
          <w:p>
            <w:pPr>
              <w:pStyle w:val="11"/>
            </w:pPr>
            <w:r>
              <w:t>21.25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城镇职工基本医疗保险缴费</w:t>
            </w:r>
          </w:p>
        </w:tc>
        <w:tc>
          <w:tcPr>
            <w:tcW w:w="2551" w:type="dxa"/>
            <w:vAlign w:val="center"/>
          </w:tcPr>
          <w:p>
            <w:pPr>
              <w:pStyle w:val="11"/>
            </w:pPr>
            <w:r>
              <w:t>10.55</w:t>
            </w:r>
          </w:p>
        </w:tc>
        <w:tc>
          <w:tcPr>
            <w:tcW w:w="2551" w:type="dxa"/>
            <w:vAlign w:val="center"/>
          </w:tcPr>
          <w:p>
            <w:pPr>
              <w:pStyle w:val="11"/>
            </w:pPr>
            <w:r>
              <w:t>10.55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1.47</w:t>
            </w:r>
          </w:p>
        </w:tc>
        <w:tc>
          <w:tcPr>
            <w:tcW w:w="2551" w:type="dxa"/>
            <w:vAlign w:val="center"/>
          </w:tcPr>
          <w:p>
            <w:pPr>
              <w:pStyle w:val="11"/>
            </w:pPr>
            <w:r>
              <w:t>1.47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10.62</w:t>
            </w:r>
          </w:p>
        </w:tc>
        <w:tc>
          <w:tcPr>
            <w:tcW w:w="2551" w:type="dxa"/>
            <w:vAlign w:val="center"/>
          </w:tcPr>
          <w:p>
            <w:pPr>
              <w:pStyle w:val="11"/>
            </w:pPr>
            <w:r>
              <w:t>10.62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63.39</w:t>
            </w:r>
          </w:p>
        </w:tc>
        <w:tc>
          <w:tcPr>
            <w:tcW w:w="2551" w:type="dxa"/>
            <w:vAlign w:val="center"/>
          </w:tcPr>
          <w:p>
            <w:pPr>
              <w:pStyle w:val="11"/>
            </w:pPr>
          </w:p>
        </w:tc>
        <w:tc>
          <w:tcPr>
            <w:tcW w:w="2551" w:type="dxa"/>
            <w:vAlign w:val="center"/>
          </w:tcPr>
          <w:p>
            <w:pPr>
              <w:pStyle w:val="11"/>
            </w:pPr>
            <w:r>
              <w:t>63.39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2.33</w:t>
            </w:r>
          </w:p>
        </w:tc>
        <w:tc>
          <w:tcPr>
            <w:tcW w:w="2551" w:type="dxa"/>
            <w:vAlign w:val="center"/>
          </w:tcPr>
          <w:p>
            <w:pPr>
              <w:pStyle w:val="11"/>
            </w:pPr>
          </w:p>
        </w:tc>
        <w:tc>
          <w:tcPr>
            <w:tcW w:w="2551" w:type="dxa"/>
            <w:vAlign w:val="center"/>
          </w:tcPr>
          <w:p>
            <w:pPr>
              <w:pStyle w:val="11"/>
            </w:pPr>
            <w:r>
              <w:t>2.33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2.07</w:t>
            </w:r>
          </w:p>
        </w:tc>
        <w:tc>
          <w:tcPr>
            <w:tcW w:w="2551" w:type="dxa"/>
            <w:vAlign w:val="center"/>
          </w:tcPr>
          <w:p>
            <w:pPr>
              <w:pStyle w:val="11"/>
            </w:pPr>
          </w:p>
        </w:tc>
        <w:tc>
          <w:tcPr>
            <w:tcW w:w="2551" w:type="dxa"/>
            <w:vAlign w:val="center"/>
          </w:tcPr>
          <w:p>
            <w:pPr>
              <w:pStyle w:val="11"/>
            </w:pPr>
            <w:r>
              <w:t>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3.48</w:t>
            </w:r>
          </w:p>
        </w:tc>
        <w:tc>
          <w:tcPr>
            <w:tcW w:w="2551" w:type="dxa"/>
            <w:vAlign w:val="center"/>
          </w:tcPr>
          <w:p>
            <w:pPr>
              <w:pStyle w:val="11"/>
            </w:pPr>
          </w:p>
        </w:tc>
        <w:tc>
          <w:tcPr>
            <w:tcW w:w="2551" w:type="dxa"/>
            <w:vAlign w:val="center"/>
          </w:tcPr>
          <w:p>
            <w:pPr>
              <w:pStyle w:val="11"/>
            </w:pPr>
            <w:r>
              <w:t>3.48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30215</w:t>
            </w:r>
          </w:p>
        </w:tc>
        <w:tc>
          <w:tcPr>
            <w:tcW w:w="4535" w:type="dxa"/>
            <w:vAlign w:val="center"/>
          </w:tcPr>
          <w:p>
            <w:pPr>
              <w:pStyle w:val="12"/>
            </w:pPr>
            <w:r>
              <w:t>会议费</w:t>
            </w:r>
          </w:p>
        </w:tc>
        <w:tc>
          <w:tcPr>
            <w:tcW w:w="2551" w:type="dxa"/>
            <w:vAlign w:val="center"/>
          </w:tcPr>
          <w:p>
            <w:pPr>
              <w:pStyle w:val="11"/>
            </w:pPr>
            <w:r>
              <w:t>14.00</w:t>
            </w:r>
          </w:p>
        </w:tc>
        <w:tc>
          <w:tcPr>
            <w:tcW w:w="2551" w:type="dxa"/>
            <w:vAlign w:val="center"/>
          </w:tcPr>
          <w:p>
            <w:pPr>
              <w:pStyle w:val="11"/>
            </w:pPr>
          </w:p>
        </w:tc>
        <w:tc>
          <w:tcPr>
            <w:tcW w:w="2551" w:type="dxa"/>
            <w:vAlign w:val="center"/>
          </w:tcPr>
          <w:p>
            <w:pPr>
              <w:pStyle w:val="11"/>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pPr>
            <w:r>
              <w:t>0.98</w:t>
            </w:r>
          </w:p>
        </w:tc>
        <w:tc>
          <w:tcPr>
            <w:tcW w:w="2551" w:type="dxa"/>
            <w:vAlign w:val="center"/>
          </w:tcPr>
          <w:p>
            <w:pPr>
              <w:pStyle w:val="11"/>
            </w:pPr>
          </w:p>
        </w:tc>
        <w:tc>
          <w:tcPr>
            <w:tcW w:w="2551" w:type="dxa"/>
            <w:vAlign w:val="center"/>
          </w:tcPr>
          <w:p>
            <w:pPr>
              <w:pStyle w:val="11"/>
            </w:pPr>
            <w:r>
              <w:t>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12.44</w:t>
            </w:r>
          </w:p>
        </w:tc>
        <w:tc>
          <w:tcPr>
            <w:tcW w:w="2551" w:type="dxa"/>
            <w:vAlign w:val="center"/>
          </w:tcPr>
          <w:p>
            <w:pPr>
              <w:pStyle w:val="11"/>
            </w:pPr>
          </w:p>
        </w:tc>
        <w:tc>
          <w:tcPr>
            <w:tcW w:w="2551" w:type="dxa"/>
            <w:vAlign w:val="center"/>
          </w:tcPr>
          <w:p>
            <w:pPr>
              <w:pStyle w:val="11"/>
            </w:pPr>
            <w:r>
              <w:t>12.44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28.09</w:t>
            </w:r>
          </w:p>
        </w:tc>
        <w:tc>
          <w:tcPr>
            <w:tcW w:w="2551" w:type="dxa"/>
            <w:vAlign w:val="center"/>
          </w:tcPr>
          <w:p>
            <w:pPr>
              <w:pStyle w:val="11"/>
            </w:pPr>
          </w:p>
        </w:tc>
        <w:tc>
          <w:tcPr>
            <w:tcW w:w="2551" w:type="dxa"/>
            <w:vAlign w:val="center"/>
          </w:tcPr>
          <w:p>
            <w:pPr>
              <w:pStyle w:val="11"/>
            </w:pPr>
            <w:r>
              <w:t>28.09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10.72</w:t>
            </w:r>
          </w:p>
        </w:tc>
        <w:tc>
          <w:tcPr>
            <w:tcW w:w="2551" w:type="dxa"/>
            <w:vAlign w:val="center"/>
          </w:tcPr>
          <w:p>
            <w:pPr>
              <w:pStyle w:val="11"/>
            </w:pPr>
            <w:r>
              <w:t>10.72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7.93</w:t>
            </w:r>
          </w:p>
        </w:tc>
        <w:tc>
          <w:tcPr>
            <w:tcW w:w="2551" w:type="dxa"/>
            <w:vAlign w:val="center"/>
          </w:tcPr>
          <w:p>
            <w:pPr>
              <w:pStyle w:val="11"/>
            </w:pPr>
            <w:r>
              <w:t>7.93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2.79</w:t>
            </w:r>
          </w:p>
        </w:tc>
        <w:tc>
          <w:tcPr>
            <w:tcW w:w="2551" w:type="dxa"/>
            <w:vAlign w:val="center"/>
          </w:tcPr>
          <w:p>
            <w:pPr>
              <w:pStyle w:val="11"/>
            </w:pPr>
            <w:r>
              <w:t>2.79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rPr>
                <w:rFonts w:hint="eastAsia"/>
                <w:lang w:eastAsia="zh-CN"/>
              </w:rPr>
              <w:t>101001青龙满族自治县人民代表大会常务委员会办公室本级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22.00</w:t>
            </w:r>
          </w:p>
        </w:tc>
        <w:tc>
          <w:tcPr>
            <w:tcW w:w="2551" w:type="dxa"/>
            <w:vAlign w:val="center"/>
          </w:tcPr>
          <w:p>
            <w:pPr>
              <w:pStyle w:val="15"/>
            </w:pPr>
          </w:p>
        </w:tc>
        <w:tc>
          <w:tcPr>
            <w:tcW w:w="2551" w:type="dxa"/>
            <w:vAlign w:val="center"/>
          </w:tcPr>
          <w:p>
            <w:pPr>
              <w:pStyle w:val="15"/>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22.00</w:t>
            </w:r>
          </w:p>
        </w:tc>
        <w:tc>
          <w:tcPr>
            <w:tcW w:w="2551" w:type="dxa"/>
            <w:vAlign w:val="center"/>
          </w:tcPr>
          <w:p>
            <w:pPr>
              <w:pStyle w:val="11"/>
            </w:pPr>
          </w:p>
        </w:tc>
        <w:tc>
          <w:tcPr>
            <w:tcW w:w="2551" w:type="dxa"/>
            <w:vAlign w:val="center"/>
          </w:tcPr>
          <w:p>
            <w:pPr>
              <w:pStyle w:val="11"/>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22.00</w:t>
            </w:r>
          </w:p>
        </w:tc>
        <w:tc>
          <w:tcPr>
            <w:tcW w:w="2551" w:type="dxa"/>
            <w:vAlign w:val="center"/>
          </w:tcPr>
          <w:p>
            <w:pPr>
              <w:pStyle w:val="11"/>
            </w:pPr>
          </w:p>
        </w:tc>
        <w:tc>
          <w:tcPr>
            <w:tcW w:w="2551" w:type="dxa"/>
            <w:vAlign w:val="center"/>
          </w:tcPr>
          <w:p>
            <w:pPr>
              <w:pStyle w:val="11"/>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2120899</w:t>
            </w:r>
          </w:p>
        </w:tc>
        <w:tc>
          <w:tcPr>
            <w:tcW w:w="4535" w:type="dxa"/>
            <w:vAlign w:val="center"/>
          </w:tcPr>
          <w:p>
            <w:pPr>
              <w:pStyle w:val="12"/>
            </w:pPr>
            <w:r>
              <w:t>其他国有土地使用权出让收入安排的支出</w:t>
            </w:r>
          </w:p>
        </w:tc>
        <w:tc>
          <w:tcPr>
            <w:tcW w:w="2551" w:type="dxa"/>
            <w:vAlign w:val="center"/>
          </w:tcPr>
          <w:p>
            <w:pPr>
              <w:pStyle w:val="11"/>
            </w:pPr>
            <w:r>
              <w:t>22.00</w:t>
            </w:r>
          </w:p>
        </w:tc>
        <w:tc>
          <w:tcPr>
            <w:tcW w:w="2551" w:type="dxa"/>
            <w:vAlign w:val="center"/>
          </w:tcPr>
          <w:p>
            <w:pPr>
              <w:pStyle w:val="11"/>
            </w:pPr>
          </w:p>
        </w:tc>
        <w:tc>
          <w:tcPr>
            <w:tcW w:w="2551" w:type="dxa"/>
            <w:vAlign w:val="center"/>
          </w:tcPr>
          <w:p>
            <w:pPr>
              <w:pStyle w:val="11"/>
            </w:pPr>
            <w:r>
              <w:t>22.00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rPr>
                <w:rFonts w:hint="eastAsia"/>
                <w:lang w:eastAsia="zh-CN"/>
              </w:rPr>
              <w:t>101001青龙满族自治县人民代表大会常务委员会办公室本级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rPr>
                <w:rFonts w:hint="eastAsia"/>
                <w:lang w:eastAsia="zh-CN"/>
              </w:rPr>
              <w:t>101001青龙满族自治县人民代表大会常务委员会办公室本级</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2" w:type="dxa"/>
            <w:vAlign w:val="center"/>
          </w:tcPr>
          <w:p>
            <w:pPr>
              <w:pStyle w:val="11"/>
              <w:rPr>
                <w:rFonts w:hint="default" w:ascii="方正书宋_GBK" w:hAnsi="方正书宋_GBK" w:eastAsia="方正书宋_GBK" w:cs="方正书宋_GBK"/>
                <w:sz w:val="21"/>
                <w:szCs w:val="24"/>
                <w:lang w:val="en-US" w:eastAsia="zh-CN" w:bidi="ar-SA"/>
              </w:rPr>
            </w:pPr>
            <w:r>
              <w:rPr>
                <w:rFonts w:hint="eastAsia"/>
                <w:lang w:val="en-US" w:eastAsia="zh-CN"/>
              </w:rPr>
              <w:t>13.94</w:t>
            </w:r>
          </w:p>
        </w:tc>
        <w:tc>
          <w:tcPr>
            <w:tcW w:w="2381" w:type="dxa"/>
            <w:vAlign w:val="center"/>
          </w:tcPr>
          <w:p>
            <w:pPr>
              <w:pStyle w:val="11"/>
              <w:rPr>
                <w:rFonts w:hint="default" w:ascii="方正书宋_GBK" w:hAnsi="方正书宋_GBK" w:eastAsia="方正书宋_GBK" w:cs="方正书宋_GBK"/>
                <w:sz w:val="21"/>
                <w:szCs w:val="24"/>
                <w:lang w:val="en-US" w:eastAsia="zh-CN" w:bidi="ar-SA"/>
              </w:rPr>
            </w:pPr>
            <w:r>
              <w:rPr>
                <w:rFonts w:hint="eastAsia"/>
                <w:lang w:val="en-US" w:eastAsia="zh-CN"/>
              </w:rPr>
              <w:t>12.44</w:t>
            </w:r>
          </w:p>
        </w:tc>
        <w:tc>
          <w:tcPr>
            <w:tcW w:w="2381" w:type="dxa"/>
            <w:vAlign w:val="center"/>
          </w:tcPr>
          <w:p>
            <w:pPr>
              <w:pStyle w:val="11"/>
              <w:rPr>
                <w:rFonts w:hint="default" w:ascii="方正书宋_GBK" w:hAnsi="方正书宋_GBK" w:eastAsia="方正书宋_GBK" w:cs="方正书宋_GBK"/>
                <w:sz w:val="21"/>
                <w:szCs w:val="24"/>
                <w:lang w:val="en-US" w:eastAsia="zh-CN" w:bidi="ar-SA"/>
              </w:rPr>
            </w:pPr>
            <w:r>
              <w:rPr>
                <w:rFonts w:hint="eastAsia"/>
                <w:lang w:val="en-US" w:eastAsia="zh-CN"/>
              </w:rPr>
              <w:t>1.5</w:t>
            </w: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w:t>
            </w:r>
          </w:p>
        </w:tc>
        <w:tc>
          <w:tcPr>
            <w:tcW w:w="2382" w:type="dxa"/>
            <w:vAlign w:val="center"/>
          </w:tcPr>
          <w:p>
            <w:pPr>
              <w:pStyle w:val="11"/>
              <w:rPr>
                <w:rFonts w:hint="default" w:eastAsia="方正书宋_GBK"/>
                <w:lang w:val="en-US" w:eastAsia="zh-CN"/>
              </w:rPr>
            </w:pPr>
            <w:r>
              <w:rPr>
                <w:rFonts w:hint="eastAsia"/>
                <w:lang w:val="en-US" w:eastAsia="zh-CN"/>
              </w:rPr>
              <w:t>13.94</w:t>
            </w:r>
          </w:p>
        </w:tc>
        <w:tc>
          <w:tcPr>
            <w:tcW w:w="2381" w:type="dxa"/>
            <w:vAlign w:val="center"/>
          </w:tcPr>
          <w:p>
            <w:pPr>
              <w:pStyle w:val="11"/>
              <w:rPr>
                <w:rFonts w:hint="default" w:eastAsia="方正书宋_GBK"/>
                <w:lang w:val="en-US" w:eastAsia="zh-CN"/>
              </w:rPr>
            </w:pPr>
            <w:r>
              <w:rPr>
                <w:rFonts w:hint="eastAsia"/>
                <w:lang w:val="en-US" w:eastAsia="zh-CN"/>
              </w:rPr>
              <w:t>12.44</w:t>
            </w:r>
          </w:p>
        </w:tc>
        <w:tc>
          <w:tcPr>
            <w:tcW w:w="2381" w:type="dxa"/>
            <w:vAlign w:val="center"/>
          </w:tcPr>
          <w:p>
            <w:pPr>
              <w:pStyle w:val="11"/>
              <w:rPr>
                <w:rFonts w:hint="default" w:eastAsia="方正书宋_GBK"/>
                <w:lang w:val="en-US" w:eastAsia="zh-CN"/>
              </w:rPr>
            </w:pPr>
            <w:r>
              <w:rPr>
                <w:rFonts w:hint="eastAsia"/>
                <w:lang w:val="en-US" w:eastAsia="zh-CN"/>
              </w:rPr>
              <w:t>1.5</w:t>
            </w: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其中：教育科研人员因公出国（境）费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 </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 </w:t>
            </w:r>
          </w:p>
        </w:tc>
        <w:tc>
          <w:tcPr>
            <w:tcW w:w="2382" w:type="dxa"/>
            <w:vAlign w:val="center"/>
          </w:tcPr>
          <w:p>
            <w:pPr>
              <w:pStyle w:val="11"/>
              <w:rPr>
                <w:rFonts w:hint="eastAsia"/>
                <w:lang w:eastAsia="zh-CN"/>
              </w:rPr>
            </w:pPr>
            <w:r>
              <w:rPr>
                <w:rFonts w:hint="eastAsia"/>
                <w:lang w:eastAsia="zh-CN"/>
              </w:rPr>
              <w:t>12.44</w:t>
            </w:r>
          </w:p>
        </w:tc>
        <w:tc>
          <w:tcPr>
            <w:tcW w:w="2381" w:type="dxa"/>
            <w:vAlign w:val="center"/>
          </w:tcPr>
          <w:p>
            <w:pPr>
              <w:pStyle w:val="11"/>
              <w:rPr>
                <w:rFonts w:hint="eastAsia"/>
                <w:lang w:eastAsia="zh-CN"/>
              </w:rPr>
            </w:pPr>
            <w:r>
              <w:rPr>
                <w:rFonts w:hint="eastAsia"/>
                <w:lang w:eastAsia="zh-CN"/>
              </w:rPr>
              <w:t>12.44</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2" w:type="dxa"/>
            <w:vAlign w:val="center"/>
          </w:tcPr>
          <w:p>
            <w:pPr>
              <w:pStyle w:val="11"/>
            </w:pPr>
            <w:r>
              <w:t>1.50</w:t>
            </w:r>
          </w:p>
        </w:tc>
        <w:tc>
          <w:tcPr>
            <w:tcW w:w="2381" w:type="dxa"/>
            <w:vAlign w:val="center"/>
          </w:tcPr>
          <w:p>
            <w:pPr>
              <w:pStyle w:val="11"/>
            </w:pPr>
          </w:p>
        </w:tc>
        <w:tc>
          <w:tcPr>
            <w:tcW w:w="2381" w:type="dxa"/>
            <w:vAlign w:val="center"/>
          </w:tcPr>
          <w:p>
            <w:pPr>
              <w:pStyle w:val="11"/>
            </w:pPr>
            <w:r>
              <w:t>1.50</w:t>
            </w: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青龙满族自治县人民代表大会常务委员会办公室2022年</w:t>
      </w:r>
      <w:r>
        <w:rPr>
          <w:rFonts w:hint="eastAsia" w:ascii="方正书宋_GBK" w:hAnsi="方正书宋_GBK" w:eastAsia="方正书宋_GBK" w:cs="方正书宋_GBK"/>
          <w:color w:val="FFFFFF"/>
          <w:sz w:val="21"/>
          <w:lang w:eastAsia="zh-CN"/>
        </w:rPr>
        <w:t>单位</w:t>
      </w:r>
      <w:r>
        <w:rPr>
          <w:rFonts w:ascii="方正书宋_GBK" w:hAnsi="方正书宋_GBK" w:eastAsia="方正书宋_GBK" w:cs="方正书宋_GBK"/>
          <w:color w:val="FFFFFF"/>
          <w:sz w:val="21"/>
        </w:rPr>
        <w:t>预算信息公开情况说明</w:t>
      </w:r>
    </w:p>
    <w:p>
      <w:pPr>
        <w:jc w:val="center"/>
      </w:pPr>
      <w:r>
        <w:rPr>
          <w:rFonts w:ascii="方正小标宋_GBK" w:hAnsi="方正小标宋_GBK" w:eastAsia="方正小标宋_GBK" w:cs="方正小标宋_GBK"/>
          <w:color w:val="000000"/>
          <w:sz w:val="44"/>
        </w:rPr>
        <w:t>青龙满族自治县人民代表大会常务委员会办公室2022年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pPr>
        <w:spacing w:line="500" w:lineRule="exact"/>
        <w:ind w:firstLine="560"/>
      </w:pPr>
      <w:r>
        <w:rPr>
          <w:rFonts w:eastAsia="方正仿宋_GBK"/>
          <w:color w:val="000000"/>
          <w:sz w:val="28"/>
        </w:rPr>
        <w:t>按照《</w:t>
      </w:r>
      <w:bookmarkStart w:id="18" w:name="_GoBack"/>
      <w:bookmarkEnd w:id="18"/>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》、《地方预决算公开操作规程》和《关于进一步推进预算公开工作的实施意见》规定，现将青龙满族自治县人民代表大会常务委员会办公室2022年</w:t>
      </w:r>
      <w:r>
        <w:rPr>
          <w:rFonts w:hint="eastAsia" w:eastAsia="方正仿宋_GBK"/>
          <w:color w:val="000000"/>
          <w:sz w:val="28"/>
          <w:lang w:eastAsia="zh-CN"/>
        </w:rPr>
        <w:t>单位</w:t>
      </w:r>
      <w:r>
        <w:rPr>
          <w:rFonts w:eastAsia="方正仿宋_GBK"/>
          <w:color w:val="000000"/>
          <w:sz w:val="28"/>
        </w:rPr>
        <w:t>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9"/>
    </w:p>
    <w:p>
      <w:pPr>
        <w:ind w:firstLine="640"/>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pPr>
        <w:pStyle w:val="17"/>
      </w:pPr>
      <w:r>
        <w:t>1、组织常委会委员对法律实施情况进行检查；</w:t>
      </w:r>
      <w:r>
        <w:rPr>
          <w:rFonts w:hint="eastAsia"/>
          <w:lang w:eastAsia="zh-CN"/>
        </w:rPr>
        <w:t>组织县人大常委会委员及县人大代表进行执</w:t>
      </w:r>
      <w:r>
        <w:t>法检查和集中视察；开展代表建议督办；组织对常委及代表培训。进一步提高法规质量，保障其有效实施；着力发挥常委及代表的桥梁纽带作用，集中反映民意，促进依法履职。</w:t>
      </w:r>
    </w:p>
    <w:p>
      <w:pPr>
        <w:pStyle w:val="17"/>
      </w:pPr>
      <w:r>
        <w:t>2、承担县人民代表大会和常务委员会各种会议的筹备、会务工作，负责常委会文件起草、审核把关，常委会会议、主任会议及常委会党组会议决定事项、工作部署、重要文件及领导批示的传达和督办。保障会议顺利召开，完成会议议程。参加全国十一县区人大联席会、省少数民族自治县联席会、县区人大联席会，交流工作经验，推动人大工作开展。保障会议如期参加，完成会议议程。</w:t>
      </w:r>
    </w:p>
    <w:p>
      <w:pPr>
        <w:pStyle w:val="17"/>
      </w:pPr>
      <w:r>
        <w:t>3、确保县乡人大换届选举工作顺利完成，提高组织换届选举工作水平；高质量完成机关领导人选举和常委会人事任免服务工作；高效督办有关</w:t>
      </w:r>
      <w:r>
        <w:rPr>
          <w:rFonts w:hint="eastAsia"/>
          <w:lang w:eastAsia="zh-CN"/>
        </w:rPr>
        <w:t>单位</w:t>
      </w:r>
      <w:r>
        <w:t>负责人的目标责任书和述职报告。</w:t>
      </w:r>
    </w:p>
    <w:p>
      <w:pPr>
        <w:pStyle w:val="17"/>
      </w:pPr>
      <w:r>
        <w:t>4、进行立法调研；负责指导组织人大常委会及有关</w:t>
      </w:r>
      <w:r>
        <w:rPr>
          <w:rFonts w:hint="eastAsia"/>
          <w:lang w:eastAsia="zh-CN"/>
        </w:rPr>
        <w:t>单位</w:t>
      </w:r>
      <w:r>
        <w:t>法律草案征求意见工作；对地方性法规（草案）进行调研论证和修改；开展立法调研，就立法事项进行研讨；对立法人员进行培训；组织专家对法规草案进行论证，必要时组织立法听证会。提升业务水平，促进立法工作的科学化、民主化，不断提高立法质量和水平，督促自治条例和单行条例的贯彻执行。</w:t>
      </w:r>
    </w:p>
    <w:p>
      <w:pPr>
        <w:pStyle w:val="17"/>
      </w:pPr>
      <w:r>
        <w:t>5、办理来信来访，县人大日常活动，内外宾接待，会议表决系统建设与维护，代表大会和常委会会议公报、人大工作年鉴、大事记和组织史的编写印刷；负责与外县市人大常委会联系。保障新闻宣传与新闻发布工作正常开展，提高人大信息透明度和影响力，加强人大对内、对外交流。保障会议表决系统正常运转；网络与办公平台正常运行；促进社会和谐稳定。</w:t>
      </w:r>
    </w:p>
    <w:p>
      <w:pPr>
        <w:pStyle w:val="17"/>
      </w:pPr>
      <w:r>
        <w:t>6、机关文书档案印信管理和保密，机关人事、离退休人员服务，财务、后勤服务；领导交办的其他工作。确保机关工作有效运转。</w:t>
      </w:r>
    </w:p>
    <w:p>
      <w:pPr>
        <w:ind w:firstLine="640"/>
      </w:pPr>
      <w:r>
        <w:rPr>
          <w:rFonts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青龙满族自治县人民代表大会常务委员会办公室本级</w:t>
            </w:r>
          </w:p>
        </w:tc>
        <w:tc>
          <w:tcPr>
            <w:tcW w:w="1843" w:type="dxa"/>
            <w:vAlign w:val="center"/>
          </w:tcPr>
          <w:p>
            <w:pPr>
              <w:pStyle w:val="13"/>
            </w:pPr>
            <w:r>
              <w:t>行政</w:t>
            </w:r>
          </w:p>
        </w:tc>
        <w:tc>
          <w:tcPr>
            <w:tcW w:w="2126" w:type="dxa"/>
            <w:vAlign w:val="center"/>
          </w:tcPr>
          <w:p>
            <w:pPr>
              <w:pStyle w:val="13"/>
            </w:pPr>
            <w:r>
              <w:t>正处（县）级</w:t>
            </w:r>
          </w:p>
        </w:tc>
        <w:tc>
          <w:tcPr>
            <w:tcW w:w="3827" w:type="dxa"/>
            <w:vAlign w:val="center"/>
          </w:tcPr>
          <w:p>
            <w:pPr>
              <w:pStyle w:val="13"/>
            </w:pPr>
            <w:r>
              <w:t>财政拨款</w:t>
            </w:r>
          </w:p>
        </w:tc>
      </w:tr>
    </w:tbl>
    <w:p>
      <w:pPr>
        <w:spacing w:before="10" w:after="10" w:line="360" w:lineRule="auto"/>
        <w:ind w:firstLine="640"/>
        <w:outlineLvl w:val="2"/>
        <w:rPr>
          <w:rFonts w:ascii="黑体" w:hAnsi="黑体" w:eastAsia="黑体" w:cs="黑体"/>
          <w:color w:val="000000"/>
          <w:sz w:val="32"/>
        </w:rPr>
      </w:pPr>
      <w:bookmarkStart w:id="10" w:name="_Toc_3_3_0000000011"/>
    </w:p>
    <w:p>
      <w:pPr>
        <w:spacing w:before="10" w:after="10" w:line="360" w:lineRule="auto"/>
        <w:ind w:firstLine="640"/>
        <w:outlineLvl w:val="2"/>
      </w:pPr>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0"/>
    </w:p>
    <w:p>
      <w:pPr>
        <w:spacing w:line="500" w:lineRule="exact"/>
        <w:ind w:firstLine="560"/>
      </w:pPr>
      <w:r>
        <w:rPr>
          <w:rFonts w:eastAsia="方正仿宋_GBK"/>
          <w:color w:val="000000"/>
          <w:sz w:val="28"/>
        </w:rPr>
        <w:t>按照预算管理有关规定，目前我</w:t>
      </w:r>
      <w:r>
        <w:rPr>
          <w:rFonts w:hint="eastAsia" w:eastAsiaTheme="minorEastAsia"/>
          <w:color w:val="000000"/>
          <w:sz w:val="28"/>
          <w:lang w:eastAsia="zh-CN"/>
        </w:rPr>
        <w:t>县</w:t>
      </w:r>
      <w:r>
        <w:rPr>
          <w:rFonts w:hint="eastAsia" w:eastAsia="方正仿宋_GBK"/>
          <w:color w:val="000000"/>
          <w:sz w:val="28"/>
          <w:lang w:eastAsia="zh-CN"/>
        </w:rPr>
        <w:t>单位</w:t>
      </w:r>
      <w:r>
        <w:rPr>
          <w:rFonts w:eastAsia="方正仿宋_GBK"/>
          <w:color w:val="000000"/>
          <w:sz w:val="28"/>
        </w:rPr>
        <w:t>预算的编制实行综合预算管理，即全部收入和支出都反映在预算中。</w:t>
      </w:r>
    </w:p>
    <w:p>
      <w:pPr>
        <w:pStyle w:val="18"/>
      </w:pPr>
      <w:r>
        <w:t>1、收入说明</w:t>
      </w:r>
    </w:p>
    <w:p>
      <w:pPr>
        <w:pStyle w:val="18"/>
      </w:pPr>
      <w:r>
        <w:t>反映本</w:t>
      </w:r>
      <w:r>
        <w:rPr>
          <w:rFonts w:hint="eastAsia"/>
          <w:lang w:eastAsia="zh-CN"/>
        </w:rPr>
        <w:t>单位</w:t>
      </w:r>
      <w:r>
        <w:t>当年全部收入。2022年预算收入325.46万元，其中：一般公共预算收入</w:t>
      </w:r>
      <w:r>
        <w:rPr>
          <w:rFonts w:hint="eastAsia"/>
          <w:lang w:val="en-US" w:eastAsia="zh-CN"/>
        </w:rPr>
        <w:t>261.78</w:t>
      </w:r>
      <w:r>
        <w:t>万元，基金预算收入22万元，财政专户核拨收入0万元，国有资本经营收入0万元，其他来源收入0万元</w:t>
      </w:r>
      <w:r>
        <w:rPr>
          <w:rFonts w:hint="eastAsia"/>
          <w:lang w:eastAsia="zh-CN"/>
        </w:rPr>
        <w:t>，</w:t>
      </w:r>
      <w:r>
        <w:rPr>
          <w:rFonts w:hint="eastAsia" w:eastAsia="方正仿宋_GBK"/>
          <w:color w:val="000000"/>
          <w:sz w:val="28"/>
        </w:rPr>
        <w:t>202</w:t>
      </w:r>
      <w:r>
        <w:rPr>
          <w:rFonts w:hint="eastAsia"/>
          <w:color w:val="000000"/>
          <w:sz w:val="28"/>
          <w:lang w:val="en-US" w:eastAsia="zh-CN"/>
        </w:rPr>
        <w:t>2</w:t>
      </w:r>
      <w:r>
        <w:rPr>
          <w:rFonts w:hint="eastAsia" w:eastAsia="方正仿宋_GBK"/>
          <w:color w:val="000000"/>
          <w:sz w:val="28"/>
        </w:rPr>
        <w:t>年初财政拨款结转和结余</w:t>
      </w:r>
      <w:r>
        <w:rPr>
          <w:rFonts w:hint="eastAsia"/>
          <w:lang w:val="en-US" w:eastAsia="zh-CN"/>
        </w:rPr>
        <w:t>41.61</w:t>
      </w:r>
      <w:r>
        <w:rPr>
          <w:rFonts w:hint="eastAsia"/>
        </w:rPr>
        <w:t>万元。</w:t>
      </w:r>
    </w:p>
    <w:p>
      <w:pPr>
        <w:pStyle w:val="18"/>
      </w:pPr>
      <w:r>
        <w:t>2、支出说明</w:t>
      </w:r>
    </w:p>
    <w:p>
      <w:pPr>
        <w:pStyle w:val="18"/>
        <w:rPr>
          <w:rFonts w:hint="eastAsia"/>
          <w:lang w:eastAsia="zh-CN"/>
        </w:rPr>
      </w:pPr>
      <w:r>
        <w:t>收支预算总表支出栏、基本支出表、项目支出表按经济分类和支出功能分类科目编制，反映人大年度</w:t>
      </w:r>
      <w:r>
        <w:rPr>
          <w:rFonts w:hint="eastAsia"/>
          <w:lang w:eastAsia="zh-CN"/>
        </w:rPr>
        <w:t>单位</w:t>
      </w:r>
      <w:r>
        <w:t>预算中支出预算的总体情况。2022年支出预算325.46万元，其中基本支出254.5万元，包括人员经费190.05万元和日常公用经费64.45万元；项目支出70.96万元。</w:t>
      </w:r>
      <w:r>
        <w:rPr>
          <w:rFonts w:hint="eastAsia"/>
          <w:lang w:eastAsia="zh-CN"/>
        </w:rPr>
        <w:t>主要为 人大综合事务管理经费</w:t>
      </w:r>
      <w:r>
        <w:rPr>
          <w:rFonts w:hint="eastAsia"/>
          <w:lang w:val="en-US" w:eastAsia="zh-CN"/>
        </w:rPr>
        <w:t>20万元</w:t>
      </w:r>
      <w:r>
        <w:rPr>
          <w:rFonts w:hint="eastAsia"/>
          <w:lang w:eastAsia="zh-CN"/>
        </w:rPr>
        <w:t xml:space="preserve"> 、 八届人大五次会议经费</w:t>
      </w:r>
      <w:r>
        <w:rPr>
          <w:rFonts w:hint="eastAsia"/>
          <w:lang w:val="en-US" w:eastAsia="zh-CN"/>
        </w:rPr>
        <w:t>12.98万元</w:t>
      </w:r>
      <w:r>
        <w:rPr>
          <w:rFonts w:hint="eastAsia"/>
          <w:lang w:eastAsia="zh-CN"/>
        </w:rPr>
        <w:t xml:space="preserve"> 、九届人大二次会议经费</w:t>
      </w:r>
      <w:r>
        <w:rPr>
          <w:rFonts w:hint="eastAsia"/>
          <w:lang w:val="en-US" w:eastAsia="zh-CN"/>
        </w:rPr>
        <w:t>20万元</w:t>
      </w:r>
      <w:r>
        <w:rPr>
          <w:rFonts w:hint="eastAsia"/>
          <w:lang w:eastAsia="zh-CN"/>
        </w:rPr>
        <w:t>、人大代表活动经费</w:t>
      </w:r>
      <w:r>
        <w:rPr>
          <w:rFonts w:hint="eastAsia"/>
          <w:lang w:val="en-US" w:eastAsia="zh-CN"/>
        </w:rPr>
        <w:t>15.88万元及上级专项支出2.1万元</w:t>
      </w:r>
      <w:r>
        <w:rPr>
          <w:rFonts w:hint="eastAsia"/>
          <w:lang w:eastAsia="zh-CN"/>
        </w:rPr>
        <w:t>。</w:t>
      </w:r>
    </w:p>
    <w:p>
      <w:pPr>
        <w:pStyle w:val="18"/>
        <w:rPr>
          <w:rFonts w:hint="eastAsia"/>
          <w:lang w:eastAsia="zh-CN"/>
        </w:rPr>
      </w:pPr>
    </w:p>
    <w:p>
      <w:pPr>
        <w:pStyle w:val="18"/>
        <w:rPr>
          <w:rFonts w:hint="eastAsia"/>
        </w:rPr>
      </w:pPr>
      <w:r>
        <w:rPr>
          <w:rFonts w:hint="eastAsia"/>
        </w:rPr>
        <w:t>3、比上年增减情况</w:t>
      </w:r>
    </w:p>
    <w:p>
      <w:pPr>
        <w:pStyle w:val="18"/>
      </w:pPr>
      <w:r>
        <w:rPr>
          <w:rFonts w:hint="eastAsia"/>
        </w:rPr>
        <w:t>2022年预算收支安排</w:t>
      </w:r>
      <w:r>
        <w:rPr>
          <w:rFonts w:hint="eastAsia"/>
          <w:lang w:val="en-US" w:eastAsia="zh-CN"/>
        </w:rPr>
        <w:t>325.46</w:t>
      </w:r>
      <w:r>
        <w:rPr>
          <w:rFonts w:hint="eastAsia"/>
        </w:rPr>
        <w:t>万元，较2021年预算增加</w:t>
      </w:r>
      <w:r>
        <w:rPr>
          <w:rFonts w:hint="eastAsia" w:ascii="方正书宋_GBK" w:eastAsia="方正书宋_GBK"/>
          <w:lang w:val="en-US" w:eastAsia="zh-CN"/>
        </w:rPr>
        <w:t>99.25</w:t>
      </w:r>
      <w:r>
        <w:rPr>
          <w:rFonts w:hint="eastAsia"/>
        </w:rPr>
        <w:t>万元，其中：基本支出增加</w:t>
      </w:r>
      <w:r>
        <w:rPr>
          <w:rFonts w:hint="eastAsia"/>
          <w:lang w:val="en-US" w:eastAsia="zh-CN"/>
        </w:rPr>
        <w:t>79.19</w:t>
      </w:r>
      <w:r>
        <w:rPr>
          <w:rFonts w:hint="eastAsia"/>
        </w:rPr>
        <w:t>万元，主要为增加人员经费支出</w:t>
      </w:r>
      <w:r>
        <w:rPr>
          <w:rFonts w:hint="eastAsia"/>
          <w:lang w:val="en-US" w:eastAsia="zh-CN"/>
        </w:rPr>
        <w:t>64.2</w:t>
      </w:r>
      <w:r>
        <w:rPr>
          <w:rFonts w:hint="eastAsia"/>
        </w:rPr>
        <w:t>万元和增加日常公用经费</w:t>
      </w:r>
      <w:r>
        <w:rPr>
          <w:rFonts w:hint="eastAsia"/>
          <w:lang w:val="en-US" w:eastAsia="zh-CN"/>
        </w:rPr>
        <w:t>14.99</w:t>
      </w:r>
      <w:r>
        <w:rPr>
          <w:rFonts w:hint="eastAsia"/>
        </w:rPr>
        <w:t>万元；项目支出增加</w:t>
      </w:r>
      <w:r>
        <w:rPr>
          <w:rFonts w:hint="eastAsia"/>
          <w:lang w:val="en-US" w:eastAsia="zh-CN"/>
        </w:rPr>
        <w:t>6.96</w:t>
      </w:r>
      <w:r>
        <w:rPr>
          <w:rFonts w:hint="eastAsia"/>
        </w:rPr>
        <w:t>万元，主要</w:t>
      </w:r>
      <w:r>
        <w:rPr>
          <w:rFonts w:hint="eastAsia"/>
          <w:lang w:val="en-US" w:eastAsia="zh-CN"/>
        </w:rPr>
        <w:t>原因</w:t>
      </w:r>
      <w:r>
        <w:rPr>
          <w:rFonts w:hint="eastAsia"/>
        </w:rPr>
        <w:t>是</w:t>
      </w:r>
      <w:r>
        <w:t>上年部分款项未能形成支出，需在本年列预算支出</w:t>
      </w:r>
      <w:r>
        <w:rPr>
          <w:rFonts w:hint="eastAsia"/>
          <w:lang w:eastAsia="zh-CN"/>
        </w:rPr>
        <w:t>。</w:t>
      </w:r>
    </w:p>
    <w:p>
      <w:pPr>
        <w:spacing w:before="10" w:after="10" w:line="360" w:lineRule="auto"/>
        <w:ind w:firstLine="640"/>
        <w:outlineLvl w:val="2"/>
        <w:rPr>
          <w:rFonts w:ascii="黑体" w:hAnsi="黑体" w:eastAsia="黑体" w:cs="黑体"/>
          <w:color w:val="000000"/>
          <w:sz w:val="32"/>
        </w:rPr>
      </w:pPr>
      <w:bookmarkStart w:id="11" w:name="_Toc_3_3_0000000012"/>
    </w:p>
    <w:p>
      <w:pPr>
        <w:spacing w:before="10" w:after="10" w:line="360" w:lineRule="auto"/>
        <w:ind w:firstLine="640"/>
        <w:outlineLvl w:val="2"/>
      </w:pPr>
      <w:r>
        <w:rPr>
          <w:rFonts w:ascii="黑体" w:hAnsi="黑体" w:eastAsia="黑体" w:cs="黑体"/>
          <w:color w:val="000000"/>
          <w:sz w:val="32"/>
        </w:rPr>
        <w:t>三、机关运行经费安排情况</w:t>
      </w:r>
      <w:bookmarkEnd w:id="11"/>
    </w:p>
    <w:p>
      <w:pPr>
        <w:pStyle w:val="18"/>
        <w:rPr>
          <w:rFonts w:hint="default" w:eastAsia="方正仿宋_GBK"/>
          <w:lang w:val="en-US" w:eastAsia="zh-CN"/>
        </w:rPr>
      </w:pPr>
      <w:r>
        <w:t>2022年，我</w:t>
      </w:r>
      <w:r>
        <w:rPr>
          <w:rFonts w:hint="eastAsia"/>
          <w:lang w:eastAsia="zh-CN"/>
        </w:rPr>
        <w:t>单位</w:t>
      </w:r>
      <w:r>
        <w:t>机关运行经费共计安排64.45万元，主要用于办公费2.33万元、邮电费2.07万元、差旅费3.48万元、会议费14万元、办公设备购置费1万元、劳务费0.98万元，公务用车运行维护12.44万元、其他交通费28.09万元，其他商品和服务支出0.066万元等日常运行支出。</w:t>
      </w:r>
      <w:r>
        <w:rPr>
          <w:rFonts w:hint="eastAsia"/>
          <w:lang w:eastAsia="zh-CN"/>
        </w:rPr>
        <w:t>2021年年初部门预算33.97万元，比上年增长30.48万元。增加</w:t>
      </w:r>
      <w:r>
        <w:rPr>
          <w:rFonts w:hint="eastAsia"/>
          <w:lang w:val="en-US" w:eastAsia="zh-CN"/>
        </w:rPr>
        <w:t>89.73%，</w:t>
      </w:r>
      <w:r>
        <w:t>主要</w:t>
      </w:r>
      <w:r>
        <w:rPr>
          <w:rFonts w:hint="eastAsia"/>
          <w:lang w:val="en-US" w:eastAsia="zh-CN"/>
        </w:rPr>
        <w:t>原因</w:t>
      </w:r>
      <w:r>
        <w:rPr>
          <w:rFonts w:hint="eastAsia"/>
          <w:lang w:eastAsia="zh-CN"/>
        </w:rPr>
        <w:t>是</w:t>
      </w:r>
      <w:r>
        <w:t>上年部分款项未能形成支出，需在本年列预算支出</w:t>
      </w:r>
      <w:r>
        <w:rPr>
          <w:rFonts w:hint="eastAsia"/>
          <w:lang w:eastAsia="zh-CN"/>
        </w:rPr>
        <w:t>。</w:t>
      </w:r>
    </w:p>
    <w:p>
      <w:pPr>
        <w:pStyle w:val="19"/>
        <w:rPr>
          <w:lang w:eastAsia="zh-CN"/>
        </w:rPr>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bookmarkStart w:id="13" w:name="_Toc_3_3_0000000014"/>
      <w:r>
        <w:t>2022年，我</w:t>
      </w:r>
      <w:r>
        <w:rPr>
          <w:rFonts w:hint="eastAsia"/>
          <w:lang w:eastAsia="zh-CN"/>
        </w:rPr>
        <w:t>单位</w:t>
      </w:r>
      <w:r>
        <w:t>财政拨款“三公”经费预算安排</w:t>
      </w:r>
      <w:r>
        <w:rPr>
          <w:rFonts w:hint="eastAsia"/>
          <w:lang w:val="en-US" w:eastAsia="zh-CN"/>
        </w:rPr>
        <w:t>73.05</w:t>
      </w:r>
      <w:r>
        <w:t>万元，其中因公出国（境）费0万元，同比无变化，原因是无因公出国（境）安排；公务用车购置及运维费</w:t>
      </w:r>
      <w:r>
        <w:rPr>
          <w:rFonts w:hint="eastAsia"/>
          <w:lang w:val="en-US" w:eastAsia="zh-CN"/>
        </w:rPr>
        <w:t>12.44</w:t>
      </w:r>
      <w:r>
        <w:t>万元（其中：公务用车购置费为0万元，公务用车运维费</w:t>
      </w:r>
      <w:r>
        <w:rPr>
          <w:rFonts w:hint="eastAsia"/>
          <w:lang w:val="en-US" w:eastAsia="zh-CN"/>
        </w:rPr>
        <w:t>12.44</w:t>
      </w:r>
      <w:r>
        <w:t>万元)，比上年增加</w:t>
      </w:r>
      <w:r>
        <w:rPr>
          <w:rFonts w:hint="eastAsia"/>
          <w:lang w:val="en-US" w:eastAsia="zh-CN"/>
        </w:rPr>
        <w:t>0.84</w:t>
      </w:r>
      <w:r>
        <w:t>万元，</w:t>
      </w:r>
      <w:r>
        <w:rPr>
          <w:rFonts w:hint="eastAsia"/>
          <w:lang w:eastAsia="zh-CN"/>
        </w:rPr>
        <w:t>增加</w:t>
      </w:r>
      <w:r>
        <w:rPr>
          <w:rFonts w:hint="eastAsia"/>
          <w:lang w:val="en-US" w:eastAsia="zh-CN"/>
        </w:rPr>
        <w:t>7.2%，</w:t>
      </w:r>
      <w:r>
        <w:t>主要</w:t>
      </w:r>
      <w:r>
        <w:rPr>
          <w:rFonts w:hint="eastAsia"/>
          <w:lang w:val="en-US" w:eastAsia="zh-CN"/>
        </w:rPr>
        <w:t>原因</w:t>
      </w:r>
      <w:r>
        <w:t>是上年部分款项未能形成支出，</w:t>
      </w:r>
      <w:r>
        <w:rPr>
          <w:rFonts w:hint="eastAsia" w:ascii="Times New Roman" w:hAnsi="Times New Roman" w:eastAsia="方正仿宋_GBK" w:cs="Times New Roman"/>
          <w:color w:val="000000"/>
          <w:sz w:val="28"/>
          <w:szCs w:val="24"/>
          <w:lang w:val="en-US" w:eastAsia="zh-CN" w:bidi="ar-SA"/>
        </w:rPr>
        <w:t>我单位严格执行中央八项规定文件要求，严格公务用车使用管理，做到定点加油、定点维修</w:t>
      </w:r>
      <w:r>
        <w:rPr>
          <w:rFonts w:hint="eastAsia" w:cs="Times New Roman"/>
          <w:color w:val="000000"/>
          <w:sz w:val="28"/>
          <w:szCs w:val="24"/>
          <w:lang w:val="en-US" w:eastAsia="zh-CN" w:bidi="ar-SA"/>
        </w:rPr>
        <w:t>，节约的开支</w:t>
      </w:r>
      <w:r>
        <w:rPr>
          <w:rFonts w:hint="eastAsia" w:ascii="Times New Roman" w:hAnsi="Times New Roman" w:eastAsia="方正仿宋_GBK" w:cs="Times New Roman"/>
          <w:color w:val="000000"/>
          <w:sz w:val="28"/>
          <w:szCs w:val="24"/>
          <w:lang w:val="en-US" w:eastAsia="zh-CN" w:bidi="ar-SA"/>
        </w:rPr>
        <w:t>；</w:t>
      </w:r>
      <w:r>
        <w:t>公务接待费1.5万元，比上年增加0.5万元，</w:t>
      </w:r>
      <w:r>
        <w:rPr>
          <w:rFonts w:hint="eastAsia"/>
          <w:lang w:eastAsia="zh-CN"/>
        </w:rPr>
        <w:t>增加</w:t>
      </w:r>
      <w:r>
        <w:rPr>
          <w:rFonts w:hint="eastAsia"/>
          <w:lang w:val="en-US" w:eastAsia="zh-CN"/>
        </w:rPr>
        <w:t>50%，</w:t>
      </w:r>
      <w:r>
        <w:rPr>
          <w:rFonts w:hint="eastAsia" w:ascii="Times New Roman" w:hAnsi="Times New Roman" w:eastAsia="方正仿宋_GBK" w:cs="Times New Roman"/>
          <w:color w:val="000000"/>
          <w:sz w:val="28"/>
          <w:szCs w:val="24"/>
          <w:lang w:val="en-US" w:eastAsia="zh-CN" w:bidi="ar-SA"/>
        </w:rPr>
        <w:t>主要原因是上年结转指标</w:t>
      </w:r>
      <w:r>
        <w:rPr>
          <w:rFonts w:hint="eastAsia" w:cs="Times New Roman"/>
          <w:color w:val="000000"/>
          <w:sz w:val="28"/>
          <w:szCs w:val="24"/>
          <w:lang w:val="en-US" w:eastAsia="zh-CN" w:bidi="ar-SA"/>
        </w:rPr>
        <w:t>在本年列支，</w:t>
      </w:r>
      <w:r>
        <w:rPr>
          <w:rFonts w:hint="eastAsia" w:ascii="Times New Roman" w:hAnsi="Times New Roman" w:eastAsia="方正仿宋_GBK" w:cs="Times New Roman"/>
          <w:color w:val="000000"/>
          <w:sz w:val="28"/>
          <w:szCs w:val="24"/>
          <w:lang w:val="en-US" w:eastAsia="zh-CN" w:bidi="ar-SA"/>
        </w:rPr>
        <w:t>我单位严格执行中央八项规定文件要求，公务接待费一直保持平稳运行。</w:t>
      </w:r>
    </w:p>
    <w:p>
      <w:pPr>
        <w:pStyle w:val="20"/>
        <w:rPr>
          <w:rFonts w:hint="default" w:eastAsia="方正仿宋_GBK"/>
          <w:lang w:val="en-US" w:eastAsia="zh-CN"/>
        </w:rPr>
      </w:pPr>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pPr>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pPr>
        <w:spacing w:line="500" w:lineRule="exact"/>
        <w:ind w:firstLine="560"/>
      </w:pPr>
      <w:r>
        <w:rPr>
          <w:rFonts w:eastAsia="方正仿宋_GBK"/>
          <w:color w:val="000000"/>
          <w:sz w:val="28"/>
        </w:rPr>
        <w:t>（一）总体绩效目标</w:t>
      </w:r>
    </w:p>
    <w:p>
      <w:pPr>
        <w:pStyle w:val="21"/>
      </w:pPr>
      <w:r>
        <w:t>认真学习贯彻党的十九大和十九届五中全会精神，加强调查研究，持续加强理论武装，深入推进人大制度理论研究，增强运用法治思维和法治方式解决问题的能力。持之以恒抓好作风建设和党风廉政建设，抓好干部管理监督。用好重大事项决定权，加大监督力度，推动解决重点难点问题，力促重大任务和举措有效落实。聚焦经济平稳运行和民生热点，就营商环境、企业生产、生态保护、农村人居环境整治、乡村卫生一体化建设、食品安全等开展监督。就乡镇执法改革、村委换届、打击破坏环境违法行为和网络安全等开展监督。聚焦法律法规的贯彻执行，开展备案审查和执法检查，推进依法行政，切实维护宪法和法律的权威。完善人大“三联系”制度，完善代表联系选民、代表接待选民、代表述职评议等工作制度。着力完善人大代表工作机制，不断提高代表的政治理论水平和法律素养。畅通代表履职渠道，依法行使立法权、决定权、监督权、任免权。加强对乡镇、街道人大工作的指导，着力构建上下联动、充满活力的县乡人大工作新格局。</w:t>
      </w:r>
    </w:p>
    <w:p>
      <w:pPr>
        <w:spacing w:line="500" w:lineRule="exact"/>
        <w:ind w:firstLine="560"/>
      </w:pPr>
      <w:r>
        <w:rPr>
          <w:rFonts w:eastAsia="方正仿宋_GBK"/>
          <w:color w:val="000000"/>
          <w:sz w:val="28"/>
        </w:rPr>
        <w:t>（二）分项绩效目标</w:t>
      </w:r>
    </w:p>
    <w:p>
      <w:pPr>
        <w:pStyle w:val="22"/>
      </w:pPr>
      <w:r>
        <w:t>1、监督检查方面</w:t>
      </w:r>
    </w:p>
    <w:p>
      <w:pPr>
        <w:pStyle w:val="22"/>
      </w:pPr>
      <w:r>
        <w:t>绩效目标：组织常委会委员对法律实施情况进行检查；</w:t>
      </w:r>
      <w:r>
        <w:rPr>
          <w:rFonts w:hint="eastAsia"/>
          <w:lang w:eastAsia="zh-CN"/>
        </w:rPr>
        <w:t>组织县人大常委会委员及县人大代表进行执</w:t>
      </w:r>
      <w:r>
        <w:t>法检查和集中视察；开展代表建议督办；组织对常委及代表培训。进一步提高法规质量，保障其有效实施；着力发挥常委及代表的桥梁纽带作用，集中反映民意，促进依法履职。</w:t>
      </w:r>
    </w:p>
    <w:p>
      <w:pPr>
        <w:pStyle w:val="22"/>
      </w:pPr>
      <w:r>
        <w:t>绩效指标：组织各级代表培训、调研、监督检查≤18次，促进代表工作水平和代表履职能力的提高，促进政府</w:t>
      </w:r>
      <w:r>
        <w:rPr>
          <w:rFonts w:hint="eastAsia"/>
          <w:lang w:eastAsia="zh-CN"/>
        </w:rPr>
        <w:t>单位</w:t>
      </w:r>
      <w:r>
        <w:t>更好行履职功能。</w:t>
      </w:r>
    </w:p>
    <w:p>
      <w:pPr>
        <w:pStyle w:val="22"/>
      </w:pPr>
      <w:r>
        <w:t>2、人大会议方面</w:t>
      </w:r>
    </w:p>
    <w:p>
      <w:pPr>
        <w:pStyle w:val="22"/>
      </w:pPr>
      <w:r>
        <w:t>绩效目标：承担县人民代表大会和常务委员会各种会议的筹备、会务工作，负责常委会文件起草、审核把关，常委会会议、主任会议及常委会党组会议决定事项、工作部署、重要文件及领导批示的传达和督办。保障会议顺利召开，完成会议议程。参加全国十一县区人大联席会、省少数民族自治县联席会、县区人大联席会，交流工作经验，推动人大工作开展。保障会议如期参加，完成会议议程。</w:t>
      </w:r>
    </w:p>
    <w:p>
      <w:pPr>
        <w:pStyle w:val="22"/>
      </w:pPr>
      <w:r>
        <w:t>绩效指标：定期召开人大代表会议常务委员会各种会议，完善各项会议制度，规范会议程序，确保会议按照议程顺利进行，达到预期目的。圆满完成各项任务。</w:t>
      </w:r>
    </w:p>
    <w:p>
      <w:pPr>
        <w:pStyle w:val="22"/>
      </w:pPr>
      <w:r>
        <w:t>3、人事任免方面</w:t>
      </w:r>
    </w:p>
    <w:p>
      <w:pPr>
        <w:pStyle w:val="22"/>
      </w:pPr>
      <w:r>
        <w:t>绩效目标：高质量完成机关领导人选举和常委会人事任免服务工作；高效督办有关</w:t>
      </w:r>
      <w:r>
        <w:rPr>
          <w:rFonts w:hint="eastAsia"/>
          <w:lang w:eastAsia="zh-CN"/>
        </w:rPr>
        <w:t>单位</w:t>
      </w:r>
      <w:r>
        <w:t>负责人的目标责任书和述职报告。</w:t>
      </w:r>
    </w:p>
    <w:p>
      <w:pPr>
        <w:pStyle w:val="22"/>
      </w:pPr>
      <w:r>
        <w:t>绩效指标：按照有关规定，高质量完成督办职责和人事任免工作。</w:t>
      </w:r>
    </w:p>
    <w:p>
      <w:pPr>
        <w:pStyle w:val="22"/>
      </w:pPr>
      <w:r>
        <w:t>4、立法调研方面</w:t>
      </w:r>
    </w:p>
    <w:p>
      <w:pPr>
        <w:pStyle w:val="22"/>
      </w:pPr>
      <w:r>
        <w:t>绩效目标：负责指导组织人大常委会及有关</w:t>
      </w:r>
      <w:r>
        <w:rPr>
          <w:rFonts w:hint="eastAsia"/>
          <w:lang w:eastAsia="zh-CN"/>
        </w:rPr>
        <w:t>单位</w:t>
      </w:r>
      <w:r>
        <w:t>法律草案征求意见工作；对地方性法规（草案）进行调研论证和修改；开展立法调研，就立法事项进行研讨；对立法人员进行培训；组织专家对法规草案进行论证，必要时组织立法听证会。提升业务水平，促进立法工作的科学化、民主化，不断提高立法质量和水平，督促自治条例和单行条例的贯彻执行。</w:t>
      </w:r>
    </w:p>
    <w:p>
      <w:pPr>
        <w:pStyle w:val="22"/>
      </w:pPr>
      <w:r>
        <w:t>绩效指标：加大《青龙满族自治县城市管理条例》立法工作进度，力争2022年全部完成《青龙满族自治县城市管理条例》立法工作。</w:t>
      </w:r>
    </w:p>
    <w:p>
      <w:pPr>
        <w:pStyle w:val="22"/>
      </w:pPr>
      <w:r>
        <w:t>5、综合事务方面</w:t>
      </w:r>
    </w:p>
    <w:p>
      <w:pPr>
        <w:pStyle w:val="22"/>
      </w:pPr>
      <w:r>
        <w:t>绩效目标：办理来信来访，县人大日常活动，内外宾接待，会议表决系统建设与维护，代表大会和常委会会议公报、人大工作年鉴、大事记和组织史的编写印刷；负责与外县市人大常委会联系。保障新闻宣传与新闻发布工作正常开展，提高人大信息透明度和影响力，加强人大对内、对外交流。保障会议表决系统正常运转；网络与办公平台正常运行；促进社会和谐稳定。</w:t>
      </w:r>
    </w:p>
    <w:p>
      <w:pPr>
        <w:pStyle w:val="22"/>
      </w:pPr>
      <w:r>
        <w:t>绩效指标：</w:t>
      </w:r>
    </w:p>
    <w:p>
      <w:pPr>
        <w:pStyle w:val="22"/>
      </w:pPr>
      <w:r>
        <w:t>（1）备案审查信息平台和预算联网监督及网络运行工作正常运行。</w:t>
      </w:r>
    </w:p>
    <w:p>
      <w:pPr>
        <w:pStyle w:val="22"/>
      </w:pPr>
      <w:r>
        <w:t>（2）机关文书档案印信管理和保密，机关人事、离退休人员服务，财务、后勤服务；领导交办的其他工作。确保机关工作有效运转。</w:t>
      </w:r>
    </w:p>
    <w:p>
      <w:pPr>
        <w:spacing w:line="500" w:lineRule="exact"/>
        <w:ind w:firstLine="560"/>
      </w:pPr>
      <w:r>
        <w:rPr>
          <w:rFonts w:eastAsia="方正仿宋_GBK"/>
          <w:color w:val="000000"/>
          <w:sz w:val="28"/>
        </w:rPr>
        <w:t>（三）工作保障措施</w:t>
      </w:r>
    </w:p>
    <w:p>
      <w:pPr>
        <w:pStyle w:val="23"/>
      </w:pPr>
      <w:r>
        <w:t>1、加强思想建设，强化大局意识、责任意识，形成工作合力；营造想事、干事的浓厚氛围，为常委会依法履职提供坚强的政治保障。</w:t>
      </w:r>
    </w:p>
    <w:p>
      <w:pPr>
        <w:pStyle w:val="23"/>
      </w:pPr>
      <w:r>
        <w:t>2、加强作风建设，要坚持求真务实，深入调查研究，紧紧抓住事关改革发展稳定大局和人民群众普遍关注的热点问题，深入基层、深入群众，了解掌握真实情况，为会议审议提供详实情况，使做出的决定、决议符合实际，真正代表广大人民群众的根本利益。</w:t>
      </w:r>
    </w:p>
    <w:p>
      <w:pPr>
        <w:pStyle w:val="23"/>
      </w:pPr>
      <w:r>
        <w:t>3、加强立法建设。坚持科学立法、民主立法。认真开展立法调研，不断完善立法工作机制。坚持和完善草案公布机制，扩大群众对立法的有序参与。在坚持提高立法质量的前提下，你够贱符合青龙县情的民族法规体系。</w:t>
      </w:r>
    </w:p>
    <w:p>
      <w:pPr>
        <w:pStyle w:val="23"/>
      </w:pPr>
      <w:r>
        <w:t>4、加强组织制度建设。进一步完善常委会、各室委工作职责和程序，规范常委会履职的会议制度、决策制度、监督制度、代表工作制度以及机关工作制度，形成常委会及机关工作的制度会、规范化和程序化，为更好履行法定职权提供制度保障。</w:t>
      </w:r>
    </w:p>
    <w:p>
      <w:pPr>
        <w:ind w:firstLine="640"/>
      </w:pPr>
      <w:r>
        <w:rPr>
          <w:rFonts w:ascii="方正楷体_GBK" w:hAnsi="方正楷体_GBK" w:eastAsia="方正楷体_GBK" w:cs="方正楷体_GBK"/>
          <w:b/>
          <w:color w:val="000000"/>
          <w:sz w:val="32"/>
        </w:rPr>
        <w:t>第二部分  专项资金绩效目标</w:t>
      </w:r>
    </w:p>
    <w:p>
      <w:pPr>
        <w:pStyle w:val="24"/>
        <w:ind w:firstLine="640"/>
      </w:pPr>
      <w:r>
        <w:rPr>
          <w:rFonts w:ascii="方正楷体_GBK" w:hAnsi="方正楷体_GBK" w:eastAsia="方正楷体_GBK" w:cs="方正楷体_GBK"/>
          <w:b/>
          <w:color w:val="000000"/>
          <w:sz w:val="32"/>
        </w:rPr>
        <w:t>第三部分  预算项目绩效目标</w:t>
      </w:r>
    </w:p>
    <w:p>
      <w:pPr>
        <w:pStyle w:val="24"/>
        <w:ind w:firstLine="560"/>
      </w:pPr>
      <w:r>
        <w:rPr>
          <w:rFonts w:ascii="方正仿宋_GBK" w:hAnsi="方正仿宋_GBK" w:eastAsia="方正仿宋_GBK" w:cs="方正仿宋_GBK"/>
          <w:b/>
          <w:color w:val="000000"/>
          <w:sz w:val="28"/>
        </w:rPr>
        <w:t>1、八届人大五次会议经费绩效目标表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1.通过组织召开人大会完善会议制度，规范会议程序，提高会议质量。</w:t>
            </w:r>
          </w:p>
          <w:p>
            <w:pPr>
              <w:pStyle w:val="26"/>
            </w:pPr>
            <w:r>
              <w:t>2.通过组织召开人大会，提高人大代表及常委会审议水平及代表履职水平。</w:t>
            </w:r>
          </w:p>
        </w:tc>
      </w:tr>
    </w:tbl>
    <w:p>
      <w:pPr>
        <w:pStyle w:val="24"/>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组织八届人大五次会议</w:t>
            </w:r>
          </w:p>
        </w:tc>
        <w:tc>
          <w:tcPr>
            <w:tcW w:w="2835" w:type="dxa"/>
            <w:vAlign w:val="center"/>
          </w:tcPr>
          <w:p>
            <w:pPr>
              <w:pStyle w:val="26"/>
            </w:pPr>
            <w:r>
              <w:t>组织八届人大五次会议次数</w:t>
            </w:r>
          </w:p>
        </w:tc>
        <w:tc>
          <w:tcPr>
            <w:tcW w:w="2551" w:type="dxa"/>
            <w:vAlign w:val="center"/>
          </w:tcPr>
          <w:p>
            <w:pPr>
              <w:pStyle w:val="26"/>
            </w:pPr>
            <w:r>
              <w:t>1次</w:t>
            </w:r>
          </w:p>
        </w:tc>
        <w:tc>
          <w:tcPr>
            <w:tcW w:w="2268"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数量指标</w:t>
            </w:r>
          </w:p>
        </w:tc>
        <w:tc>
          <w:tcPr>
            <w:tcW w:w="2835" w:type="dxa"/>
            <w:vAlign w:val="center"/>
          </w:tcPr>
          <w:p>
            <w:pPr>
              <w:pStyle w:val="26"/>
            </w:pPr>
            <w:r>
              <w:t>参加会议人数</w:t>
            </w:r>
          </w:p>
        </w:tc>
        <w:tc>
          <w:tcPr>
            <w:tcW w:w="2835" w:type="dxa"/>
            <w:vAlign w:val="center"/>
          </w:tcPr>
          <w:p>
            <w:pPr>
              <w:pStyle w:val="26"/>
            </w:pPr>
            <w:r>
              <w:t>参加及列席会议人员数量</w:t>
            </w:r>
          </w:p>
        </w:tc>
        <w:tc>
          <w:tcPr>
            <w:tcW w:w="2551" w:type="dxa"/>
            <w:vAlign w:val="center"/>
          </w:tcPr>
          <w:p>
            <w:pPr>
              <w:pStyle w:val="26"/>
            </w:pPr>
            <w:r>
              <w:t>≥200人</w:t>
            </w:r>
          </w:p>
        </w:tc>
        <w:tc>
          <w:tcPr>
            <w:tcW w:w="2268"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数量指标</w:t>
            </w:r>
          </w:p>
        </w:tc>
        <w:tc>
          <w:tcPr>
            <w:tcW w:w="2835" w:type="dxa"/>
            <w:vAlign w:val="center"/>
          </w:tcPr>
          <w:p>
            <w:pPr>
              <w:pStyle w:val="26"/>
            </w:pPr>
            <w:r>
              <w:t>会议召开天数</w:t>
            </w:r>
          </w:p>
        </w:tc>
        <w:tc>
          <w:tcPr>
            <w:tcW w:w="2835" w:type="dxa"/>
            <w:vAlign w:val="center"/>
          </w:tcPr>
          <w:p>
            <w:pPr>
              <w:pStyle w:val="26"/>
            </w:pPr>
            <w:r>
              <w:t>完成人大会议议程的天数</w:t>
            </w:r>
          </w:p>
        </w:tc>
        <w:tc>
          <w:tcPr>
            <w:tcW w:w="2551" w:type="dxa"/>
            <w:vAlign w:val="center"/>
          </w:tcPr>
          <w:p>
            <w:pPr>
              <w:pStyle w:val="26"/>
            </w:pPr>
            <w:r>
              <w:t>3天</w:t>
            </w:r>
          </w:p>
        </w:tc>
        <w:tc>
          <w:tcPr>
            <w:tcW w:w="2268"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会议活动组织完成率</w:t>
            </w:r>
          </w:p>
        </w:tc>
        <w:tc>
          <w:tcPr>
            <w:tcW w:w="2835" w:type="dxa"/>
            <w:vAlign w:val="center"/>
          </w:tcPr>
          <w:p>
            <w:pPr>
              <w:pStyle w:val="26"/>
            </w:pPr>
            <w:r>
              <w:t>完成会议各项议程</w:t>
            </w:r>
          </w:p>
        </w:tc>
        <w:tc>
          <w:tcPr>
            <w:tcW w:w="2551" w:type="dxa"/>
            <w:vAlign w:val="center"/>
          </w:tcPr>
          <w:p>
            <w:pPr>
              <w:pStyle w:val="26"/>
            </w:pPr>
            <w:r>
              <w:t>100%</w:t>
            </w:r>
          </w:p>
        </w:tc>
        <w:tc>
          <w:tcPr>
            <w:tcW w:w="2268"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会议完成时间</w:t>
            </w:r>
          </w:p>
        </w:tc>
        <w:tc>
          <w:tcPr>
            <w:tcW w:w="2835" w:type="dxa"/>
            <w:vAlign w:val="center"/>
          </w:tcPr>
          <w:p>
            <w:pPr>
              <w:pStyle w:val="26"/>
            </w:pPr>
            <w:r>
              <w:t>八届人大五次会议完成时间</w:t>
            </w:r>
          </w:p>
        </w:tc>
        <w:tc>
          <w:tcPr>
            <w:tcW w:w="2551" w:type="dxa"/>
            <w:vAlign w:val="center"/>
          </w:tcPr>
          <w:p>
            <w:pPr>
              <w:pStyle w:val="26"/>
            </w:pPr>
            <w:r>
              <w:t>2021年1月底前</w:t>
            </w:r>
          </w:p>
        </w:tc>
        <w:tc>
          <w:tcPr>
            <w:tcW w:w="2268"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会议用品采购费用</w:t>
            </w:r>
          </w:p>
        </w:tc>
        <w:tc>
          <w:tcPr>
            <w:tcW w:w="2835" w:type="dxa"/>
            <w:vAlign w:val="center"/>
          </w:tcPr>
          <w:p>
            <w:pPr>
              <w:pStyle w:val="26"/>
            </w:pPr>
            <w:r>
              <w:t>采购各种证件、文件包、笔、本等会议用品</w:t>
            </w:r>
          </w:p>
        </w:tc>
        <w:tc>
          <w:tcPr>
            <w:tcW w:w="2551" w:type="dxa"/>
            <w:vAlign w:val="center"/>
          </w:tcPr>
          <w:p>
            <w:pPr>
              <w:pStyle w:val="26"/>
            </w:pPr>
            <w:r>
              <w:t>≤4万元</w:t>
            </w:r>
          </w:p>
        </w:tc>
        <w:tc>
          <w:tcPr>
            <w:tcW w:w="2268"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印刷费</w:t>
            </w:r>
          </w:p>
        </w:tc>
        <w:tc>
          <w:tcPr>
            <w:tcW w:w="2835" w:type="dxa"/>
            <w:vAlign w:val="center"/>
          </w:tcPr>
          <w:p>
            <w:pPr>
              <w:pStyle w:val="26"/>
            </w:pPr>
            <w:r>
              <w:t>各种报告及文件印刷费</w:t>
            </w:r>
          </w:p>
        </w:tc>
        <w:tc>
          <w:tcPr>
            <w:tcW w:w="2551" w:type="dxa"/>
            <w:vAlign w:val="center"/>
          </w:tcPr>
          <w:p>
            <w:pPr>
              <w:pStyle w:val="26"/>
            </w:pPr>
            <w:r>
              <w:t>≤6万元</w:t>
            </w:r>
          </w:p>
        </w:tc>
        <w:tc>
          <w:tcPr>
            <w:tcW w:w="2268"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代表食宿费用</w:t>
            </w:r>
          </w:p>
        </w:tc>
        <w:tc>
          <w:tcPr>
            <w:tcW w:w="2835" w:type="dxa"/>
            <w:vAlign w:val="center"/>
          </w:tcPr>
          <w:p>
            <w:pPr>
              <w:pStyle w:val="26"/>
            </w:pPr>
            <w:r>
              <w:t>参会代表食宿费用</w:t>
            </w:r>
          </w:p>
        </w:tc>
        <w:tc>
          <w:tcPr>
            <w:tcW w:w="2551" w:type="dxa"/>
            <w:vAlign w:val="center"/>
          </w:tcPr>
          <w:p>
            <w:pPr>
              <w:pStyle w:val="26"/>
            </w:pPr>
            <w:r>
              <w:t>≤2万元</w:t>
            </w:r>
          </w:p>
        </w:tc>
        <w:tc>
          <w:tcPr>
            <w:tcW w:w="2268"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发挥人大代表监督作用</w:t>
            </w:r>
          </w:p>
        </w:tc>
        <w:tc>
          <w:tcPr>
            <w:tcW w:w="2835" w:type="dxa"/>
            <w:vAlign w:val="center"/>
          </w:tcPr>
          <w:p>
            <w:pPr>
              <w:pStyle w:val="26"/>
            </w:pPr>
            <w:r>
              <w:t>行使人代会权利，听取汇报，审议，和批准相关事项，发挥监督作用。</w:t>
            </w:r>
          </w:p>
        </w:tc>
        <w:tc>
          <w:tcPr>
            <w:tcW w:w="2551" w:type="dxa"/>
            <w:vAlign w:val="center"/>
          </w:tcPr>
          <w:p>
            <w:pPr>
              <w:pStyle w:val="26"/>
            </w:pPr>
            <w:r>
              <w:t>1次</w:t>
            </w:r>
          </w:p>
        </w:tc>
        <w:tc>
          <w:tcPr>
            <w:tcW w:w="2268"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代表对会议议程及结果满意度</w:t>
            </w:r>
          </w:p>
        </w:tc>
        <w:tc>
          <w:tcPr>
            <w:tcW w:w="2835" w:type="dxa"/>
            <w:vAlign w:val="center"/>
          </w:tcPr>
          <w:p>
            <w:pPr>
              <w:pStyle w:val="26"/>
            </w:pPr>
            <w:r>
              <w:t>人大代表对八届人大五次会议议程及结果安排满意程度</w:t>
            </w:r>
          </w:p>
        </w:tc>
        <w:tc>
          <w:tcPr>
            <w:tcW w:w="2551" w:type="dxa"/>
            <w:vAlign w:val="center"/>
          </w:tcPr>
          <w:p>
            <w:pPr>
              <w:pStyle w:val="26"/>
            </w:pPr>
            <w:r>
              <w:t>≥95%</w:t>
            </w:r>
          </w:p>
        </w:tc>
        <w:tc>
          <w:tcPr>
            <w:tcW w:w="2268"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服务对象满意度指标</w:t>
            </w:r>
          </w:p>
        </w:tc>
        <w:tc>
          <w:tcPr>
            <w:tcW w:w="2835" w:type="dxa"/>
            <w:vAlign w:val="center"/>
          </w:tcPr>
          <w:p>
            <w:pPr>
              <w:pStyle w:val="26"/>
            </w:pPr>
            <w:r>
              <w:t>参会人员对会务服务工作满意度</w:t>
            </w:r>
          </w:p>
        </w:tc>
        <w:tc>
          <w:tcPr>
            <w:tcW w:w="2835" w:type="dxa"/>
            <w:vAlign w:val="center"/>
          </w:tcPr>
          <w:p>
            <w:pPr>
              <w:pStyle w:val="26"/>
            </w:pPr>
            <w:r>
              <w:t>组织召开的人代会等服务工作的满意度</w:t>
            </w:r>
          </w:p>
        </w:tc>
        <w:tc>
          <w:tcPr>
            <w:tcW w:w="2551" w:type="dxa"/>
            <w:vAlign w:val="center"/>
          </w:tcPr>
          <w:p>
            <w:pPr>
              <w:pStyle w:val="26"/>
            </w:pPr>
            <w:r>
              <w:t>≥95%</w:t>
            </w:r>
          </w:p>
        </w:tc>
        <w:tc>
          <w:tcPr>
            <w:tcW w:w="2268" w:type="dxa"/>
            <w:vAlign w:val="center"/>
          </w:tcPr>
          <w:p>
            <w:pPr>
              <w:pStyle w:val="26"/>
            </w:pPr>
          </w:p>
        </w:tc>
      </w:tr>
    </w:tbl>
    <w:p>
      <w:pPr>
        <w:pStyle w:val="24"/>
      </w:pPr>
    </w:p>
    <w:p>
      <w:pPr>
        <w:pStyle w:val="24"/>
        <w:ind w:firstLine="560"/>
      </w:pPr>
      <w:r>
        <w:rPr>
          <w:rFonts w:ascii="方正仿宋_GBK" w:hAnsi="方正仿宋_GBK" w:eastAsia="方正仿宋_GBK" w:cs="方正仿宋_GBK"/>
          <w:b/>
          <w:color w:val="000000"/>
          <w:sz w:val="28"/>
        </w:rPr>
        <w:t>2、人大代表活动经费绩效目标表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1.通过组织代表日常开展职务活动、学习培训、参加调研视察和执法检查，发挥常委及代表的桥梁纽带作用，集中反映民意，促进依法履职。</w:t>
            </w:r>
          </w:p>
          <w:p>
            <w:pPr>
              <w:pStyle w:val="26"/>
            </w:pPr>
            <w:r>
              <w:t>2.通过组织调研培训等活动，提高代表们的履职能力，保障各项工作的持续有序推进。</w:t>
            </w:r>
          </w:p>
        </w:tc>
      </w:tr>
    </w:tbl>
    <w:p>
      <w:pPr>
        <w:pStyle w:val="24"/>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调研视察次数</w:t>
            </w:r>
          </w:p>
        </w:tc>
        <w:tc>
          <w:tcPr>
            <w:tcW w:w="2835" w:type="dxa"/>
            <w:vAlign w:val="center"/>
          </w:tcPr>
          <w:p>
            <w:pPr>
              <w:pStyle w:val="26"/>
            </w:pPr>
            <w:r>
              <w:t>组织开展调研视察活动的次数</w:t>
            </w:r>
          </w:p>
        </w:tc>
        <w:tc>
          <w:tcPr>
            <w:tcW w:w="2551" w:type="dxa"/>
            <w:vAlign w:val="center"/>
          </w:tcPr>
          <w:p>
            <w:pPr>
              <w:pStyle w:val="26"/>
            </w:pPr>
            <w:r>
              <w:t>≥4次</w:t>
            </w:r>
          </w:p>
        </w:tc>
        <w:tc>
          <w:tcPr>
            <w:tcW w:w="2268" w:type="dxa"/>
            <w:vAlign w:val="center"/>
          </w:tcPr>
          <w:p>
            <w:pPr>
              <w:pStyle w:val="26"/>
            </w:pPr>
            <w:r>
              <w:t>2021工作安排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数量指标</w:t>
            </w:r>
          </w:p>
        </w:tc>
        <w:tc>
          <w:tcPr>
            <w:tcW w:w="2835" w:type="dxa"/>
            <w:vAlign w:val="center"/>
          </w:tcPr>
          <w:p>
            <w:pPr>
              <w:pStyle w:val="26"/>
            </w:pPr>
            <w:r>
              <w:t>职务活动及学习培训次数</w:t>
            </w:r>
          </w:p>
        </w:tc>
        <w:tc>
          <w:tcPr>
            <w:tcW w:w="2835" w:type="dxa"/>
            <w:vAlign w:val="center"/>
          </w:tcPr>
          <w:p>
            <w:pPr>
              <w:pStyle w:val="26"/>
            </w:pPr>
            <w:r>
              <w:t>组织开展职务活动、学习培训的次数</w:t>
            </w:r>
          </w:p>
        </w:tc>
        <w:tc>
          <w:tcPr>
            <w:tcW w:w="2551" w:type="dxa"/>
            <w:vAlign w:val="center"/>
          </w:tcPr>
          <w:p>
            <w:pPr>
              <w:pStyle w:val="26"/>
            </w:pPr>
            <w:r>
              <w:t>≥2次</w:t>
            </w:r>
          </w:p>
        </w:tc>
        <w:tc>
          <w:tcPr>
            <w:tcW w:w="2268" w:type="dxa"/>
            <w:vAlign w:val="center"/>
          </w:tcPr>
          <w:p>
            <w:pPr>
              <w:pStyle w:val="26"/>
            </w:pPr>
            <w:r>
              <w:t>2021工作安排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数量指标</w:t>
            </w:r>
          </w:p>
        </w:tc>
        <w:tc>
          <w:tcPr>
            <w:tcW w:w="2835" w:type="dxa"/>
            <w:vAlign w:val="center"/>
          </w:tcPr>
          <w:p>
            <w:pPr>
              <w:pStyle w:val="26"/>
            </w:pPr>
            <w:r>
              <w:t>执法检查次数</w:t>
            </w:r>
          </w:p>
        </w:tc>
        <w:tc>
          <w:tcPr>
            <w:tcW w:w="2835" w:type="dxa"/>
            <w:vAlign w:val="center"/>
          </w:tcPr>
          <w:p>
            <w:pPr>
              <w:pStyle w:val="26"/>
            </w:pPr>
            <w:r>
              <w:t>组织开展执法检查次数</w:t>
            </w:r>
          </w:p>
        </w:tc>
        <w:tc>
          <w:tcPr>
            <w:tcW w:w="2551" w:type="dxa"/>
            <w:vAlign w:val="center"/>
          </w:tcPr>
          <w:p>
            <w:pPr>
              <w:pStyle w:val="26"/>
            </w:pPr>
            <w:r>
              <w:t>≥4次</w:t>
            </w:r>
          </w:p>
        </w:tc>
        <w:tc>
          <w:tcPr>
            <w:tcW w:w="2268" w:type="dxa"/>
            <w:vAlign w:val="center"/>
          </w:tcPr>
          <w:p>
            <w:pPr>
              <w:pStyle w:val="26"/>
            </w:pPr>
            <w:r>
              <w:t>2021工作安排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调研视察完成率</w:t>
            </w:r>
          </w:p>
        </w:tc>
        <w:tc>
          <w:tcPr>
            <w:tcW w:w="2835" w:type="dxa"/>
            <w:vAlign w:val="center"/>
          </w:tcPr>
          <w:p>
            <w:pPr>
              <w:pStyle w:val="26"/>
            </w:pPr>
            <w:r>
              <w:t>实际调研视察数量占计划总数量的比率</w:t>
            </w:r>
          </w:p>
        </w:tc>
        <w:tc>
          <w:tcPr>
            <w:tcW w:w="2551" w:type="dxa"/>
            <w:vAlign w:val="center"/>
          </w:tcPr>
          <w:p>
            <w:pPr>
              <w:pStyle w:val="26"/>
            </w:pPr>
            <w:r>
              <w:t>≥95%</w:t>
            </w:r>
          </w:p>
        </w:tc>
        <w:tc>
          <w:tcPr>
            <w:tcW w:w="2268" w:type="dxa"/>
            <w:vAlign w:val="center"/>
          </w:tcPr>
          <w:p>
            <w:pPr>
              <w:pStyle w:val="26"/>
            </w:pPr>
            <w:r>
              <w:t>2021工作安排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职务活动、培训完成率</w:t>
            </w:r>
          </w:p>
        </w:tc>
        <w:tc>
          <w:tcPr>
            <w:tcW w:w="2835" w:type="dxa"/>
            <w:vAlign w:val="center"/>
          </w:tcPr>
          <w:p>
            <w:pPr>
              <w:pStyle w:val="26"/>
            </w:pPr>
            <w:r>
              <w:t>实际培训数量占计划数的比例</w:t>
            </w:r>
          </w:p>
        </w:tc>
        <w:tc>
          <w:tcPr>
            <w:tcW w:w="2551" w:type="dxa"/>
            <w:vAlign w:val="center"/>
          </w:tcPr>
          <w:p>
            <w:pPr>
              <w:pStyle w:val="26"/>
            </w:pPr>
            <w:r>
              <w:t>≥95%</w:t>
            </w:r>
          </w:p>
        </w:tc>
        <w:tc>
          <w:tcPr>
            <w:tcW w:w="2268" w:type="dxa"/>
            <w:vAlign w:val="center"/>
          </w:tcPr>
          <w:p>
            <w:pPr>
              <w:pStyle w:val="26"/>
            </w:pPr>
            <w:r>
              <w:t>2021工作安排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培训合格率</w:t>
            </w:r>
          </w:p>
        </w:tc>
        <w:tc>
          <w:tcPr>
            <w:tcW w:w="2835" w:type="dxa"/>
            <w:vAlign w:val="center"/>
          </w:tcPr>
          <w:p>
            <w:pPr>
              <w:pStyle w:val="26"/>
            </w:pPr>
            <w:r>
              <w:t>培训合格人数占培训总人数的比例</w:t>
            </w:r>
          </w:p>
        </w:tc>
        <w:tc>
          <w:tcPr>
            <w:tcW w:w="2551" w:type="dxa"/>
            <w:vAlign w:val="center"/>
          </w:tcPr>
          <w:p>
            <w:pPr>
              <w:pStyle w:val="26"/>
            </w:pPr>
            <w:r>
              <w:t>≥95%</w:t>
            </w:r>
          </w:p>
        </w:tc>
        <w:tc>
          <w:tcPr>
            <w:tcW w:w="2268" w:type="dxa"/>
            <w:vAlign w:val="center"/>
          </w:tcPr>
          <w:p>
            <w:pPr>
              <w:pStyle w:val="26"/>
            </w:pPr>
            <w:r>
              <w:t>2021工作安排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执法检查完成率</w:t>
            </w:r>
          </w:p>
        </w:tc>
        <w:tc>
          <w:tcPr>
            <w:tcW w:w="2835" w:type="dxa"/>
            <w:vAlign w:val="center"/>
          </w:tcPr>
          <w:p>
            <w:pPr>
              <w:pStyle w:val="26"/>
            </w:pPr>
            <w:r>
              <w:t>实际执法检查数量占计划数的比例</w:t>
            </w:r>
          </w:p>
        </w:tc>
        <w:tc>
          <w:tcPr>
            <w:tcW w:w="2551" w:type="dxa"/>
            <w:vAlign w:val="center"/>
          </w:tcPr>
          <w:p>
            <w:pPr>
              <w:pStyle w:val="26"/>
            </w:pPr>
            <w:r>
              <w:t>≥95%</w:t>
            </w:r>
          </w:p>
        </w:tc>
        <w:tc>
          <w:tcPr>
            <w:tcW w:w="2268" w:type="dxa"/>
            <w:vAlign w:val="center"/>
          </w:tcPr>
          <w:p>
            <w:pPr>
              <w:pStyle w:val="26"/>
            </w:pPr>
            <w:r>
              <w:t>2021工作安排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工作完成时效性</w:t>
            </w:r>
          </w:p>
        </w:tc>
        <w:tc>
          <w:tcPr>
            <w:tcW w:w="2835" w:type="dxa"/>
            <w:vAlign w:val="center"/>
          </w:tcPr>
          <w:p>
            <w:pPr>
              <w:pStyle w:val="26"/>
            </w:pPr>
            <w:r>
              <w:t>反映调研、培训工作、执法检查完成时间</w:t>
            </w:r>
          </w:p>
        </w:tc>
        <w:tc>
          <w:tcPr>
            <w:tcW w:w="2551" w:type="dxa"/>
            <w:vAlign w:val="center"/>
          </w:tcPr>
          <w:p>
            <w:pPr>
              <w:pStyle w:val="26"/>
            </w:pPr>
            <w:r>
              <w:t>12月</w:t>
            </w:r>
          </w:p>
        </w:tc>
        <w:tc>
          <w:tcPr>
            <w:tcW w:w="2268" w:type="dxa"/>
            <w:vAlign w:val="center"/>
          </w:tcPr>
          <w:p>
            <w:pPr>
              <w:pStyle w:val="26"/>
            </w:pPr>
            <w:r>
              <w:t>2021工作安排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开展调研视察经费</w:t>
            </w:r>
          </w:p>
        </w:tc>
        <w:tc>
          <w:tcPr>
            <w:tcW w:w="2835" w:type="dxa"/>
            <w:vAlign w:val="center"/>
          </w:tcPr>
          <w:p>
            <w:pPr>
              <w:pStyle w:val="26"/>
            </w:pPr>
            <w:r>
              <w:t>用于开展调研视察的经费支出</w:t>
            </w:r>
          </w:p>
        </w:tc>
        <w:tc>
          <w:tcPr>
            <w:tcW w:w="2551" w:type="dxa"/>
            <w:vAlign w:val="center"/>
          </w:tcPr>
          <w:p>
            <w:pPr>
              <w:pStyle w:val="26"/>
            </w:pPr>
            <w:r>
              <w:t>≤1.3万元</w:t>
            </w:r>
          </w:p>
        </w:tc>
        <w:tc>
          <w:tcPr>
            <w:tcW w:w="2268" w:type="dxa"/>
            <w:vAlign w:val="center"/>
          </w:tcPr>
          <w:p>
            <w:pPr>
              <w:pStyle w:val="26"/>
            </w:pPr>
            <w:r>
              <w:t>2021工作安排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开展职务活动、学习培训经费</w:t>
            </w:r>
          </w:p>
        </w:tc>
        <w:tc>
          <w:tcPr>
            <w:tcW w:w="2835" w:type="dxa"/>
            <w:vAlign w:val="center"/>
          </w:tcPr>
          <w:p>
            <w:pPr>
              <w:pStyle w:val="26"/>
            </w:pPr>
            <w:r>
              <w:t>用于开展职务活动、学习培训的经费支出</w:t>
            </w:r>
          </w:p>
        </w:tc>
        <w:tc>
          <w:tcPr>
            <w:tcW w:w="2551" w:type="dxa"/>
            <w:vAlign w:val="center"/>
          </w:tcPr>
          <w:p>
            <w:pPr>
              <w:pStyle w:val="26"/>
            </w:pPr>
            <w:r>
              <w:t>≤1.5万元</w:t>
            </w:r>
          </w:p>
        </w:tc>
        <w:tc>
          <w:tcPr>
            <w:tcW w:w="2268" w:type="dxa"/>
            <w:vAlign w:val="center"/>
          </w:tcPr>
          <w:p>
            <w:pPr>
              <w:pStyle w:val="26"/>
            </w:pPr>
            <w:r>
              <w:t>2021工作安排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开展执法检查经费</w:t>
            </w:r>
          </w:p>
        </w:tc>
        <w:tc>
          <w:tcPr>
            <w:tcW w:w="2835" w:type="dxa"/>
            <w:vAlign w:val="center"/>
          </w:tcPr>
          <w:p>
            <w:pPr>
              <w:pStyle w:val="26"/>
            </w:pPr>
            <w:r>
              <w:t>用于开展执法检查的经费支出</w:t>
            </w:r>
          </w:p>
        </w:tc>
        <w:tc>
          <w:tcPr>
            <w:tcW w:w="2551" w:type="dxa"/>
            <w:vAlign w:val="center"/>
          </w:tcPr>
          <w:p>
            <w:pPr>
              <w:pStyle w:val="26"/>
            </w:pPr>
            <w:r>
              <w:t>≤2万元</w:t>
            </w:r>
          </w:p>
        </w:tc>
        <w:tc>
          <w:tcPr>
            <w:tcW w:w="2268" w:type="dxa"/>
            <w:vAlign w:val="center"/>
          </w:tcPr>
          <w:p>
            <w:pPr>
              <w:pStyle w:val="26"/>
            </w:pPr>
            <w:r>
              <w:t>2021工作安排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提高履职水平</w:t>
            </w:r>
          </w:p>
        </w:tc>
        <w:tc>
          <w:tcPr>
            <w:tcW w:w="2835" w:type="dxa"/>
            <w:vAlign w:val="center"/>
          </w:tcPr>
          <w:p>
            <w:pPr>
              <w:pStyle w:val="26"/>
            </w:pPr>
            <w:r>
              <w:t>通过组织开展代表学习培训、视察、调研等活动，促进代表工作水平和代表履职能力的提高</w:t>
            </w:r>
          </w:p>
        </w:tc>
        <w:tc>
          <w:tcPr>
            <w:tcW w:w="2551" w:type="dxa"/>
            <w:vAlign w:val="center"/>
          </w:tcPr>
          <w:p>
            <w:pPr>
              <w:pStyle w:val="26"/>
            </w:pPr>
            <w:r>
              <w:t>≥10次</w:t>
            </w:r>
          </w:p>
        </w:tc>
        <w:tc>
          <w:tcPr>
            <w:tcW w:w="2268" w:type="dxa"/>
            <w:vAlign w:val="center"/>
          </w:tcPr>
          <w:p>
            <w:pPr>
              <w:pStyle w:val="26"/>
            </w:pPr>
            <w:r>
              <w:t>2021工作安排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各级人大代表满意度</w:t>
            </w:r>
          </w:p>
        </w:tc>
        <w:tc>
          <w:tcPr>
            <w:tcW w:w="2835" w:type="dxa"/>
            <w:vAlign w:val="center"/>
          </w:tcPr>
          <w:p>
            <w:pPr>
              <w:pStyle w:val="26"/>
            </w:pPr>
            <w:r>
              <w:t>通过问卷调查人大代表对工作的满意度</w:t>
            </w:r>
          </w:p>
        </w:tc>
        <w:tc>
          <w:tcPr>
            <w:tcW w:w="2551" w:type="dxa"/>
            <w:vAlign w:val="center"/>
          </w:tcPr>
          <w:p>
            <w:pPr>
              <w:pStyle w:val="26"/>
            </w:pPr>
            <w:r>
              <w:t>≥95%</w:t>
            </w:r>
          </w:p>
        </w:tc>
        <w:tc>
          <w:tcPr>
            <w:tcW w:w="2268" w:type="dxa"/>
            <w:vAlign w:val="center"/>
          </w:tcPr>
          <w:p>
            <w:pPr>
              <w:pStyle w:val="26"/>
            </w:pPr>
            <w:r>
              <w:t>2021工作安排</w:t>
            </w:r>
          </w:p>
        </w:tc>
      </w:tr>
    </w:tbl>
    <w:p>
      <w:pPr>
        <w:pStyle w:val="24"/>
      </w:pPr>
    </w:p>
    <w:p>
      <w:pPr>
        <w:pStyle w:val="24"/>
        <w:ind w:firstLine="560"/>
      </w:pPr>
      <w:r>
        <w:rPr>
          <w:rFonts w:ascii="方正仿宋_GBK" w:hAnsi="方正仿宋_GBK" w:eastAsia="方正仿宋_GBK" w:cs="方正仿宋_GBK"/>
          <w:b/>
          <w:color w:val="000000"/>
          <w:sz w:val="28"/>
        </w:rPr>
        <w:t>3、人大代表活动经费绩效目标表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1.通过组织代表日常开展职务活动、学习培训、参加调研视察和执法检查，发挥常委及代表的桥梁纽带作用，集中反映民意，促进依法履职。</w:t>
            </w:r>
          </w:p>
          <w:p>
            <w:pPr>
              <w:pStyle w:val="26"/>
            </w:pPr>
            <w:r>
              <w:t>2.通过组织调研培训等活动，提高代表们的履职能力，保障各项工作的持续有序推进</w:t>
            </w:r>
          </w:p>
          <w:p>
            <w:pPr>
              <w:pStyle w:val="26"/>
            </w:pPr>
          </w:p>
        </w:tc>
      </w:tr>
    </w:tbl>
    <w:p>
      <w:pPr>
        <w:pStyle w:val="24"/>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调研视察次数</w:t>
            </w:r>
          </w:p>
        </w:tc>
        <w:tc>
          <w:tcPr>
            <w:tcW w:w="2835" w:type="dxa"/>
            <w:vAlign w:val="center"/>
          </w:tcPr>
          <w:p>
            <w:pPr>
              <w:pStyle w:val="26"/>
            </w:pPr>
            <w:r>
              <w:t>组织开展调研视察活动的次数</w:t>
            </w:r>
          </w:p>
        </w:tc>
        <w:tc>
          <w:tcPr>
            <w:tcW w:w="2551" w:type="dxa"/>
            <w:vAlign w:val="center"/>
          </w:tcPr>
          <w:p>
            <w:pPr>
              <w:pStyle w:val="26"/>
            </w:pPr>
            <w:r>
              <w:t>≥4次</w:t>
            </w:r>
          </w:p>
        </w:tc>
        <w:tc>
          <w:tcPr>
            <w:tcW w:w="2268" w:type="dxa"/>
            <w:vAlign w:val="center"/>
          </w:tcPr>
          <w:p>
            <w:pPr>
              <w:pStyle w:val="26"/>
            </w:pPr>
            <w:r>
              <w:t>2022工作安排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数量指标</w:t>
            </w:r>
          </w:p>
        </w:tc>
        <w:tc>
          <w:tcPr>
            <w:tcW w:w="2835" w:type="dxa"/>
            <w:vAlign w:val="center"/>
          </w:tcPr>
          <w:p>
            <w:pPr>
              <w:pStyle w:val="26"/>
            </w:pPr>
            <w:r>
              <w:t>职务活动及学习培训次数</w:t>
            </w:r>
          </w:p>
        </w:tc>
        <w:tc>
          <w:tcPr>
            <w:tcW w:w="2835" w:type="dxa"/>
            <w:vAlign w:val="center"/>
          </w:tcPr>
          <w:p>
            <w:pPr>
              <w:pStyle w:val="26"/>
            </w:pPr>
            <w:r>
              <w:t>组织开展职务活动、学习培训的次数</w:t>
            </w:r>
          </w:p>
        </w:tc>
        <w:tc>
          <w:tcPr>
            <w:tcW w:w="2551" w:type="dxa"/>
            <w:vAlign w:val="center"/>
          </w:tcPr>
          <w:p>
            <w:pPr>
              <w:pStyle w:val="26"/>
            </w:pPr>
            <w:r>
              <w:t>≥2次</w:t>
            </w:r>
          </w:p>
        </w:tc>
        <w:tc>
          <w:tcPr>
            <w:tcW w:w="2268" w:type="dxa"/>
            <w:vAlign w:val="center"/>
          </w:tcPr>
          <w:p>
            <w:pPr>
              <w:pStyle w:val="26"/>
            </w:pPr>
            <w:r>
              <w:t>2022工作安排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数量指标</w:t>
            </w:r>
          </w:p>
        </w:tc>
        <w:tc>
          <w:tcPr>
            <w:tcW w:w="2835" w:type="dxa"/>
            <w:vAlign w:val="center"/>
          </w:tcPr>
          <w:p>
            <w:pPr>
              <w:pStyle w:val="26"/>
            </w:pPr>
            <w:r>
              <w:t>执法检查次数</w:t>
            </w:r>
          </w:p>
        </w:tc>
        <w:tc>
          <w:tcPr>
            <w:tcW w:w="2835" w:type="dxa"/>
            <w:vAlign w:val="center"/>
          </w:tcPr>
          <w:p>
            <w:pPr>
              <w:pStyle w:val="26"/>
            </w:pPr>
            <w:r>
              <w:t>组织开展执法检查次数</w:t>
            </w:r>
          </w:p>
        </w:tc>
        <w:tc>
          <w:tcPr>
            <w:tcW w:w="2551" w:type="dxa"/>
            <w:vAlign w:val="center"/>
          </w:tcPr>
          <w:p>
            <w:pPr>
              <w:pStyle w:val="26"/>
            </w:pPr>
            <w:r>
              <w:t>≥4次</w:t>
            </w:r>
          </w:p>
        </w:tc>
        <w:tc>
          <w:tcPr>
            <w:tcW w:w="2268" w:type="dxa"/>
            <w:vAlign w:val="center"/>
          </w:tcPr>
          <w:p>
            <w:pPr>
              <w:pStyle w:val="26"/>
            </w:pPr>
            <w:r>
              <w:t>2022工作安排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调研视察完成率</w:t>
            </w:r>
          </w:p>
        </w:tc>
        <w:tc>
          <w:tcPr>
            <w:tcW w:w="2835" w:type="dxa"/>
            <w:vAlign w:val="center"/>
          </w:tcPr>
          <w:p>
            <w:pPr>
              <w:pStyle w:val="26"/>
            </w:pPr>
            <w:r>
              <w:t>实际调研视察数量占计划总数量的比率</w:t>
            </w:r>
          </w:p>
        </w:tc>
        <w:tc>
          <w:tcPr>
            <w:tcW w:w="2551" w:type="dxa"/>
            <w:vAlign w:val="center"/>
          </w:tcPr>
          <w:p>
            <w:pPr>
              <w:pStyle w:val="26"/>
            </w:pPr>
            <w:r>
              <w:t>≥95%</w:t>
            </w:r>
          </w:p>
        </w:tc>
        <w:tc>
          <w:tcPr>
            <w:tcW w:w="2268" w:type="dxa"/>
            <w:vAlign w:val="center"/>
          </w:tcPr>
          <w:p>
            <w:pPr>
              <w:pStyle w:val="26"/>
            </w:pPr>
            <w:r>
              <w:t>2022工作安排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职务活动、培训完成率</w:t>
            </w:r>
          </w:p>
        </w:tc>
        <w:tc>
          <w:tcPr>
            <w:tcW w:w="2835" w:type="dxa"/>
            <w:vAlign w:val="center"/>
          </w:tcPr>
          <w:p>
            <w:pPr>
              <w:pStyle w:val="26"/>
            </w:pPr>
            <w:r>
              <w:t>实际培训数量占计划数的比例</w:t>
            </w:r>
          </w:p>
        </w:tc>
        <w:tc>
          <w:tcPr>
            <w:tcW w:w="2551" w:type="dxa"/>
            <w:vAlign w:val="center"/>
          </w:tcPr>
          <w:p>
            <w:pPr>
              <w:pStyle w:val="26"/>
            </w:pPr>
            <w:r>
              <w:t>≥95%</w:t>
            </w:r>
          </w:p>
        </w:tc>
        <w:tc>
          <w:tcPr>
            <w:tcW w:w="2268" w:type="dxa"/>
            <w:vAlign w:val="center"/>
          </w:tcPr>
          <w:p>
            <w:pPr>
              <w:pStyle w:val="26"/>
            </w:pPr>
            <w:r>
              <w:t>2022工作安排</w:t>
            </w:r>
          </w:p>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培训合格率</w:t>
            </w:r>
          </w:p>
        </w:tc>
        <w:tc>
          <w:tcPr>
            <w:tcW w:w="2835" w:type="dxa"/>
            <w:vAlign w:val="center"/>
          </w:tcPr>
          <w:p>
            <w:pPr>
              <w:pStyle w:val="26"/>
            </w:pPr>
            <w:r>
              <w:t>培训合格人数占培训总人数的比例</w:t>
            </w:r>
          </w:p>
        </w:tc>
        <w:tc>
          <w:tcPr>
            <w:tcW w:w="2551" w:type="dxa"/>
            <w:vAlign w:val="center"/>
          </w:tcPr>
          <w:p>
            <w:pPr>
              <w:pStyle w:val="26"/>
            </w:pPr>
            <w:r>
              <w:t>≥95%</w:t>
            </w:r>
          </w:p>
        </w:tc>
        <w:tc>
          <w:tcPr>
            <w:tcW w:w="2268" w:type="dxa"/>
            <w:vAlign w:val="center"/>
          </w:tcPr>
          <w:p>
            <w:pPr>
              <w:pStyle w:val="26"/>
            </w:pPr>
            <w:r>
              <w:t>2022工作安排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执法检查完成率</w:t>
            </w:r>
          </w:p>
        </w:tc>
        <w:tc>
          <w:tcPr>
            <w:tcW w:w="2835" w:type="dxa"/>
            <w:vAlign w:val="center"/>
          </w:tcPr>
          <w:p>
            <w:pPr>
              <w:pStyle w:val="26"/>
            </w:pPr>
            <w:r>
              <w:t>实际执法检查数量占计划数的比例</w:t>
            </w:r>
          </w:p>
        </w:tc>
        <w:tc>
          <w:tcPr>
            <w:tcW w:w="2551" w:type="dxa"/>
            <w:vAlign w:val="center"/>
          </w:tcPr>
          <w:p>
            <w:pPr>
              <w:pStyle w:val="26"/>
            </w:pPr>
            <w:r>
              <w:t>≥95%</w:t>
            </w:r>
          </w:p>
        </w:tc>
        <w:tc>
          <w:tcPr>
            <w:tcW w:w="2268" w:type="dxa"/>
            <w:vAlign w:val="center"/>
          </w:tcPr>
          <w:p>
            <w:pPr>
              <w:pStyle w:val="26"/>
            </w:pPr>
            <w:r>
              <w:t>2022工作安排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工作完成时效性</w:t>
            </w:r>
          </w:p>
        </w:tc>
        <w:tc>
          <w:tcPr>
            <w:tcW w:w="2835" w:type="dxa"/>
            <w:vAlign w:val="center"/>
          </w:tcPr>
          <w:p>
            <w:pPr>
              <w:pStyle w:val="26"/>
            </w:pPr>
            <w:r>
              <w:t>反映调研、培训工作、执法检查完成时间</w:t>
            </w:r>
          </w:p>
        </w:tc>
        <w:tc>
          <w:tcPr>
            <w:tcW w:w="2551" w:type="dxa"/>
            <w:vAlign w:val="center"/>
          </w:tcPr>
          <w:p>
            <w:pPr>
              <w:pStyle w:val="26"/>
            </w:pPr>
            <w:r>
              <w:t>12月</w:t>
            </w:r>
          </w:p>
        </w:tc>
        <w:tc>
          <w:tcPr>
            <w:tcW w:w="2268" w:type="dxa"/>
            <w:vAlign w:val="center"/>
          </w:tcPr>
          <w:p>
            <w:pPr>
              <w:pStyle w:val="26"/>
            </w:pPr>
            <w:r>
              <w:t>2022工作安排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开展调研视察经费</w:t>
            </w:r>
          </w:p>
        </w:tc>
        <w:tc>
          <w:tcPr>
            <w:tcW w:w="2835" w:type="dxa"/>
            <w:vAlign w:val="center"/>
          </w:tcPr>
          <w:p>
            <w:pPr>
              <w:pStyle w:val="26"/>
            </w:pPr>
            <w:r>
              <w:t>用于开展调研视察的经费支出</w:t>
            </w:r>
          </w:p>
        </w:tc>
        <w:tc>
          <w:tcPr>
            <w:tcW w:w="2551" w:type="dxa"/>
            <w:vAlign w:val="center"/>
          </w:tcPr>
          <w:p>
            <w:pPr>
              <w:pStyle w:val="26"/>
            </w:pPr>
            <w:r>
              <w:t>≤7万元</w:t>
            </w:r>
          </w:p>
        </w:tc>
        <w:tc>
          <w:tcPr>
            <w:tcW w:w="2268" w:type="dxa"/>
            <w:vAlign w:val="center"/>
          </w:tcPr>
          <w:p>
            <w:pPr>
              <w:pStyle w:val="26"/>
            </w:pPr>
            <w:r>
              <w:t>2022工作安排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开展职务活动、学习培训经费</w:t>
            </w:r>
          </w:p>
        </w:tc>
        <w:tc>
          <w:tcPr>
            <w:tcW w:w="2835" w:type="dxa"/>
            <w:vAlign w:val="center"/>
          </w:tcPr>
          <w:p>
            <w:pPr>
              <w:pStyle w:val="26"/>
            </w:pPr>
            <w:r>
              <w:t>用于开展职务活动、学习培训的经费支出</w:t>
            </w:r>
          </w:p>
        </w:tc>
        <w:tc>
          <w:tcPr>
            <w:tcW w:w="2551" w:type="dxa"/>
            <w:vAlign w:val="center"/>
          </w:tcPr>
          <w:p>
            <w:pPr>
              <w:pStyle w:val="26"/>
            </w:pPr>
            <w:r>
              <w:t>≤2万元</w:t>
            </w:r>
          </w:p>
        </w:tc>
        <w:tc>
          <w:tcPr>
            <w:tcW w:w="2268" w:type="dxa"/>
            <w:vAlign w:val="center"/>
          </w:tcPr>
          <w:p>
            <w:pPr>
              <w:pStyle w:val="26"/>
            </w:pPr>
            <w:r>
              <w:t>2022工作安排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开展执法检查经费</w:t>
            </w:r>
          </w:p>
        </w:tc>
        <w:tc>
          <w:tcPr>
            <w:tcW w:w="2835" w:type="dxa"/>
            <w:vAlign w:val="center"/>
          </w:tcPr>
          <w:p>
            <w:pPr>
              <w:pStyle w:val="26"/>
            </w:pPr>
            <w:r>
              <w:t>用于开展执法检查的经费支出</w:t>
            </w:r>
          </w:p>
        </w:tc>
        <w:tc>
          <w:tcPr>
            <w:tcW w:w="2551" w:type="dxa"/>
            <w:vAlign w:val="center"/>
          </w:tcPr>
          <w:p>
            <w:pPr>
              <w:pStyle w:val="26"/>
            </w:pPr>
            <w:r>
              <w:t>≤2万元</w:t>
            </w:r>
          </w:p>
        </w:tc>
        <w:tc>
          <w:tcPr>
            <w:tcW w:w="2268" w:type="dxa"/>
            <w:vAlign w:val="center"/>
          </w:tcPr>
          <w:p>
            <w:pPr>
              <w:pStyle w:val="26"/>
            </w:pPr>
            <w:r>
              <w:t>2022工作安排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提高履职水平</w:t>
            </w:r>
          </w:p>
        </w:tc>
        <w:tc>
          <w:tcPr>
            <w:tcW w:w="2835" w:type="dxa"/>
            <w:vAlign w:val="center"/>
          </w:tcPr>
          <w:p>
            <w:pPr>
              <w:pStyle w:val="26"/>
            </w:pPr>
            <w:r>
              <w:t>通过组织开展代表学习培训、视察、调研等活动，促进代表工作水平和代表履职能力的提高</w:t>
            </w:r>
          </w:p>
        </w:tc>
        <w:tc>
          <w:tcPr>
            <w:tcW w:w="2551" w:type="dxa"/>
            <w:vAlign w:val="center"/>
          </w:tcPr>
          <w:p>
            <w:pPr>
              <w:pStyle w:val="26"/>
            </w:pPr>
            <w:r>
              <w:t>≥10次</w:t>
            </w:r>
          </w:p>
        </w:tc>
        <w:tc>
          <w:tcPr>
            <w:tcW w:w="2268" w:type="dxa"/>
            <w:vAlign w:val="center"/>
          </w:tcPr>
          <w:p>
            <w:pPr>
              <w:pStyle w:val="26"/>
            </w:pPr>
            <w:r>
              <w:t>2022工作安排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各级人大代表满意度</w:t>
            </w:r>
          </w:p>
        </w:tc>
        <w:tc>
          <w:tcPr>
            <w:tcW w:w="2835" w:type="dxa"/>
            <w:vAlign w:val="center"/>
          </w:tcPr>
          <w:p>
            <w:pPr>
              <w:pStyle w:val="26"/>
            </w:pPr>
            <w:r>
              <w:t>通过问卷调查人大代表对工作的满意度</w:t>
            </w:r>
          </w:p>
        </w:tc>
        <w:tc>
          <w:tcPr>
            <w:tcW w:w="2551" w:type="dxa"/>
            <w:vAlign w:val="center"/>
          </w:tcPr>
          <w:p>
            <w:pPr>
              <w:pStyle w:val="26"/>
            </w:pPr>
            <w:r>
              <w:t>≥95%</w:t>
            </w:r>
          </w:p>
        </w:tc>
        <w:tc>
          <w:tcPr>
            <w:tcW w:w="2268" w:type="dxa"/>
            <w:vAlign w:val="center"/>
          </w:tcPr>
          <w:p>
            <w:pPr>
              <w:pStyle w:val="26"/>
            </w:pPr>
            <w:r>
              <w:t>2022工作安排</w:t>
            </w:r>
          </w:p>
        </w:tc>
      </w:tr>
    </w:tbl>
    <w:p>
      <w:pPr>
        <w:pStyle w:val="24"/>
      </w:pPr>
    </w:p>
    <w:p>
      <w:pPr>
        <w:pStyle w:val="24"/>
        <w:ind w:firstLine="560"/>
      </w:pPr>
      <w:r>
        <w:rPr>
          <w:rFonts w:ascii="方正仿宋_GBK" w:hAnsi="方正仿宋_GBK" w:eastAsia="方正仿宋_GBK" w:cs="方正仿宋_GBK"/>
          <w:b/>
          <w:color w:val="000000"/>
          <w:sz w:val="28"/>
        </w:rPr>
        <w:t>4、人大综合事务管理经费绩效目标表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1.通过信息化推动备案审查工作不断发展，完成统一的备案审查信息平台建设，为建立健全宪法法律监督制度打好基础。</w:t>
            </w:r>
            <w:r>
              <w:tab/>
            </w:r>
            <w:r>
              <w:tab/>
            </w:r>
            <w:r>
              <w:tab/>
            </w:r>
            <w:r>
              <w:tab/>
            </w:r>
            <w:r>
              <w:tab/>
            </w:r>
            <w:r>
              <w:tab/>
            </w:r>
            <w:r>
              <w:tab/>
            </w:r>
          </w:p>
          <w:p>
            <w:pPr>
              <w:pStyle w:val="26"/>
            </w:pPr>
          </w:p>
          <w:p>
            <w:pPr>
              <w:pStyle w:val="26"/>
            </w:pPr>
            <w:r>
              <w:t>2.通过强化“人大代表之家”的服务功能，保证县人大常委会代表之家运转正常，进一步加强代表与选民的联系，让群众的意见能够直接反映给各级人大代表。</w:t>
            </w:r>
            <w:r>
              <w:tab/>
            </w:r>
            <w:r>
              <w:tab/>
            </w:r>
            <w:r>
              <w:tab/>
            </w:r>
            <w:r>
              <w:tab/>
            </w:r>
            <w:r>
              <w:tab/>
            </w:r>
            <w:r>
              <w:tab/>
            </w:r>
            <w:r>
              <w:tab/>
            </w:r>
          </w:p>
          <w:p>
            <w:pPr>
              <w:pStyle w:val="26"/>
            </w:pPr>
          </w:p>
        </w:tc>
      </w:tr>
    </w:tbl>
    <w:p>
      <w:pPr>
        <w:pStyle w:val="24"/>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组织代表参加活动次数</w:t>
            </w:r>
          </w:p>
        </w:tc>
        <w:tc>
          <w:tcPr>
            <w:tcW w:w="2835" w:type="dxa"/>
            <w:vAlign w:val="center"/>
          </w:tcPr>
          <w:p>
            <w:pPr>
              <w:pStyle w:val="26"/>
            </w:pPr>
            <w:r>
              <w:t>计划召开学习、视察、调查研究活动次数</w:t>
            </w:r>
            <w:r>
              <w:tab/>
            </w:r>
          </w:p>
          <w:p>
            <w:pPr>
              <w:pStyle w:val="26"/>
            </w:pPr>
          </w:p>
        </w:tc>
        <w:tc>
          <w:tcPr>
            <w:tcW w:w="2551" w:type="dxa"/>
            <w:vAlign w:val="center"/>
          </w:tcPr>
          <w:p>
            <w:pPr>
              <w:pStyle w:val="26"/>
            </w:pPr>
            <w:r>
              <w:t>≥3次</w:t>
            </w:r>
          </w:p>
        </w:tc>
        <w:tc>
          <w:tcPr>
            <w:tcW w:w="2268" w:type="dxa"/>
            <w:vAlign w:val="center"/>
          </w:tcPr>
          <w:p>
            <w:pPr>
              <w:pStyle w:val="26"/>
            </w:pPr>
            <w:r>
              <w:t>2022工作安排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数量指标</w:t>
            </w:r>
          </w:p>
        </w:tc>
        <w:tc>
          <w:tcPr>
            <w:tcW w:w="2835" w:type="dxa"/>
            <w:vAlign w:val="center"/>
          </w:tcPr>
          <w:p>
            <w:pPr>
              <w:pStyle w:val="26"/>
            </w:pPr>
            <w:r>
              <w:t>支付软件维护费用</w:t>
            </w:r>
          </w:p>
        </w:tc>
        <w:tc>
          <w:tcPr>
            <w:tcW w:w="2835" w:type="dxa"/>
            <w:vAlign w:val="center"/>
          </w:tcPr>
          <w:p>
            <w:pPr>
              <w:pStyle w:val="26"/>
            </w:pPr>
            <w:r>
              <w:t>足额支付网络运行维护费用</w:t>
            </w:r>
            <w:r>
              <w:tab/>
            </w:r>
          </w:p>
          <w:p>
            <w:pPr>
              <w:pStyle w:val="26"/>
            </w:pPr>
          </w:p>
        </w:tc>
        <w:tc>
          <w:tcPr>
            <w:tcW w:w="2551" w:type="dxa"/>
            <w:vAlign w:val="center"/>
          </w:tcPr>
          <w:p>
            <w:pPr>
              <w:pStyle w:val="26"/>
            </w:pPr>
            <w:r>
              <w:t>2家</w:t>
            </w:r>
          </w:p>
        </w:tc>
        <w:tc>
          <w:tcPr>
            <w:tcW w:w="2268" w:type="dxa"/>
            <w:vAlign w:val="center"/>
          </w:tcPr>
          <w:p>
            <w:pPr>
              <w:pStyle w:val="26"/>
            </w:pPr>
            <w:r>
              <w:t>2022工作安排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数据安全性</w:t>
            </w:r>
          </w:p>
        </w:tc>
        <w:tc>
          <w:tcPr>
            <w:tcW w:w="2835" w:type="dxa"/>
            <w:vAlign w:val="center"/>
          </w:tcPr>
          <w:p>
            <w:pPr>
              <w:pStyle w:val="26"/>
            </w:pPr>
            <w:r>
              <w:t>降低系统数据差错率、保证数据安全</w:t>
            </w:r>
            <w:r>
              <w:tab/>
            </w:r>
          </w:p>
          <w:p>
            <w:pPr>
              <w:pStyle w:val="26"/>
            </w:pPr>
          </w:p>
        </w:tc>
        <w:tc>
          <w:tcPr>
            <w:tcW w:w="2551" w:type="dxa"/>
            <w:vAlign w:val="center"/>
          </w:tcPr>
          <w:p>
            <w:pPr>
              <w:pStyle w:val="26"/>
            </w:pPr>
            <w:r>
              <w:t>≥98%</w:t>
            </w:r>
          </w:p>
        </w:tc>
        <w:tc>
          <w:tcPr>
            <w:tcW w:w="2268" w:type="dxa"/>
            <w:vAlign w:val="center"/>
          </w:tcPr>
          <w:p>
            <w:pPr>
              <w:pStyle w:val="26"/>
            </w:pPr>
            <w:r>
              <w:t>2022工作安排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数据维护及时性</w:t>
            </w:r>
          </w:p>
        </w:tc>
        <w:tc>
          <w:tcPr>
            <w:tcW w:w="2835" w:type="dxa"/>
            <w:vAlign w:val="center"/>
          </w:tcPr>
          <w:p>
            <w:pPr>
              <w:pStyle w:val="26"/>
            </w:pPr>
            <w:r>
              <w:t>系统维护及更新及时，稳定运行，保障预算监督工作正常运行</w:t>
            </w:r>
            <w:r>
              <w:tab/>
            </w:r>
          </w:p>
          <w:p>
            <w:pPr>
              <w:pStyle w:val="26"/>
            </w:pPr>
          </w:p>
        </w:tc>
        <w:tc>
          <w:tcPr>
            <w:tcW w:w="2551" w:type="dxa"/>
            <w:vAlign w:val="center"/>
          </w:tcPr>
          <w:p>
            <w:pPr>
              <w:pStyle w:val="26"/>
            </w:pPr>
            <w:r>
              <w:t>≥98%</w:t>
            </w:r>
          </w:p>
        </w:tc>
        <w:tc>
          <w:tcPr>
            <w:tcW w:w="2268" w:type="dxa"/>
            <w:vAlign w:val="center"/>
          </w:tcPr>
          <w:p>
            <w:pPr>
              <w:pStyle w:val="26"/>
            </w:pPr>
            <w:r>
              <w:t>2022工作安排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代表活动完成率</w:t>
            </w:r>
          </w:p>
        </w:tc>
        <w:tc>
          <w:tcPr>
            <w:tcW w:w="2835" w:type="dxa"/>
            <w:vAlign w:val="center"/>
          </w:tcPr>
          <w:p>
            <w:pPr>
              <w:pStyle w:val="26"/>
            </w:pPr>
            <w:r>
              <w:t>做好协调组织工作，为代表依法履职提供服务。</w:t>
            </w:r>
          </w:p>
        </w:tc>
        <w:tc>
          <w:tcPr>
            <w:tcW w:w="2551" w:type="dxa"/>
            <w:vAlign w:val="center"/>
          </w:tcPr>
          <w:p>
            <w:pPr>
              <w:pStyle w:val="26"/>
            </w:pPr>
            <w:r>
              <w:t>≥98%</w:t>
            </w:r>
          </w:p>
        </w:tc>
        <w:tc>
          <w:tcPr>
            <w:tcW w:w="2268" w:type="dxa"/>
            <w:vAlign w:val="center"/>
          </w:tcPr>
          <w:p>
            <w:pPr>
              <w:pStyle w:val="26"/>
            </w:pPr>
            <w:r>
              <w:t>2022工作安排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工作完成时效性</w:t>
            </w:r>
          </w:p>
        </w:tc>
        <w:tc>
          <w:tcPr>
            <w:tcW w:w="2835" w:type="dxa"/>
            <w:vAlign w:val="center"/>
          </w:tcPr>
          <w:p>
            <w:pPr>
              <w:pStyle w:val="26"/>
            </w:pPr>
            <w:r>
              <w:t>备案审查及代表之家工作完成时间</w:t>
            </w:r>
            <w:r>
              <w:tab/>
            </w:r>
          </w:p>
          <w:p>
            <w:pPr>
              <w:pStyle w:val="26"/>
            </w:pPr>
          </w:p>
        </w:tc>
        <w:tc>
          <w:tcPr>
            <w:tcW w:w="2551" w:type="dxa"/>
            <w:vAlign w:val="center"/>
          </w:tcPr>
          <w:p>
            <w:pPr>
              <w:pStyle w:val="26"/>
            </w:pPr>
            <w:r>
              <w:t>12月</w:t>
            </w:r>
          </w:p>
        </w:tc>
        <w:tc>
          <w:tcPr>
            <w:tcW w:w="2268" w:type="dxa"/>
            <w:vAlign w:val="center"/>
          </w:tcPr>
          <w:p>
            <w:pPr>
              <w:pStyle w:val="26"/>
            </w:pPr>
            <w:r>
              <w:t>2022工作安排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代表之家运行费</w:t>
            </w:r>
          </w:p>
        </w:tc>
        <w:tc>
          <w:tcPr>
            <w:tcW w:w="2835" w:type="dxa"/>
            <w:vAlign w:val="center"/>
          </w:tcPr>
          <w:p>
            <w:pPr>
              <w:pStyle w:val="26"/>
            </w:pPr>
            <w:r>
              <w:t>人大代表之家运行经费控制数</w:t>
            </w:r>
          </w:p>
        </w:tc>
        <w:tc>
          <w:tcPr>
            <w:tcW w:w="2551" w:type="dxa"/>
            <w:vAlign w:val="center"/>
          </w:tcPr>
          <w:p>
            <w:pPr>
              <w:pStyle w:val="26"/>
            </w:pPr>
            <w:r>
              <w:t>≤2万元</w:t>
            </w:r>
          </w:p>
        </w:tc>
        <w:tc>
          <w:tcPr>
            <w:tcW w:w="2268" w:type="dxa"/>
            <w:vAlign w:val="center"/>
          </w:tcPr>
          <w:p>
            <w:pPr>
              <w:pStyle w:val="26"/>
            </w:pPr>
            <w:r>
              <w:t>2022工作安排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预算联网监督费</w:t>
            </w:r>
          </w:p>
        </w:tc>
        <w:tc>
          <w:tcPr>
            <w:tcW w:w="2835" w:type="dxa"/>
            <w:vAlign w:val="center"/>
          </w:tcPr>
          <w:p>
            <w:pPr>
              <w:pStyle w:val="26"/>
            </w:pPr>
            <w:r>
              <w:t>预算联网监督工作成本费用</w:t>
            </w:r>
          </w:p>
        </w:tc>
        <w:tc>
          <w:tcPr>
            <w:tcW w:w="2551" w:type="dxa"/>
            <w:vAlign w:val="center"/>
          </w:tcPr>
          <w:p>
            <w:pPr>
              <w:pStyle w:val="26"/>
            </w:pPr>
            <w:r>
              <w:t>≤3.2万元</w:t>
            </w:r>
          </w:p>
        </w:tc>
        <w:tc>
          <w:tcPr>
            <w:tcW w:w="2268" w:type="dxa"/>
            <w:vAlign w:val="center"/>
          </w:tcPr>
          <w:p>
            <w:pPr>
              <w:pStyle w:val="26"/>
            </w:pPr>
            <w:r>
              <w:t>2022工作安排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专门委员会活动经费</w:t>
            </w:r>
          </w:p>
        </w:tc>
        <w:tc>
          <w:tcPr>
            <w:tcW w:w="2835" w:type="dxa"/>
            <w:vAlign w:val="center"/>
          </w:tcPr>
          <w:p>
            <w:pPr>
              <w:pStyle w:val="26"/>
            </w:pPr>
            <w:r>
              <w:t>专门委员会活动及培训的经费支出</w:t>
            </w:r>
          </w:p>
        </w:tc>
        <w:tc>
          <w:tcPr>
            <w:tcW w:w="2551" w:type="dxa"/>
            <w:vAlign w:val="center"/>
          </w:tcPr>
          <w:p>
            <w:pPr>
              <w:pStyle w:val="26"/>
            </w:pPr>
            <w:r>
              <w:t>≤5.8万元</w:t>
            </w:r>
          </w:p>
        </w:tc>
        <w:tc>
          <w:tcPr>
            <w:tcW w:w="2268" w:type="dxa"/>
            <w:vAlign w:val="center"/>
          </w:tcPr>
          <w:p>
            <w:pPr>
              <w:pStyle w:val="26"/>
            </w:pPr>
            <w:r>
              <w:t>2022工作安排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预算联网监督工作圆满完成</w:t>
            </w:r>
          </w:p>
        </w:tc>
        <w:tc>
          <w:tcPr>
            <w:tcW w:w="2835" w:type="dxa"/>
            <w:vAlign w:val="center"/>
          </w:tcPr>
          <w:p>
            <w:pPr>
              <w:pStyle w:val="26"/>
            </w:pPr>
            <w:r>
              <w:t>对政府预算检查和监督工作全面规范，实现预算制度公开透明</w:t>
            </w:r>
          </w:p>
        </w:tc>
        <w:tc>
          <w:tcPr>
            <w:tcW w:w="2551" w:type="dxa"/>
            <w:vAlign w:val="center"/>
          </w:tcPr>
          <w:p>
            <w:pPr>
              <w:pStyle w:val="26"/>
            </w:pPr>
            <w:r>
              <w:t>≥98%</w:t>
            </w:r>
          </w:p>
        </w:tc>
        <w:tc>
          <w:tcPr>
            <w:tcW w:w="2268" w:type="dxa"/>
            <w:vAlign w:val="center"/>
          </w:tcPr>
          <w:p>
            <w:pPr>
              <w:pStyle w:val="26"/>
            </w:pPr>
            <w:r>
              <w:t>2022工作安排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会议服务满意率</w:t>
            </w:r>
          </w:p>
        </w:tc>
        <w:tc>
          <w:tcPr>
            <w:tcW w:w="2835" w:type="dxa"/>
            <w:vAlign w:val="center"/>
          </w:tcPr>
          <w:p>
            <w:pPr>
              <w:pStyle w:val="26"/>
            </w:pPr>
            <w:r>
              <w:t>县人大代表和常委对代表工作的满意度</w:t>
            </w:r>
            <w:r>
              <w:tab/>
            </w:r>
          </w:p>
          <w:p>
            <w:pPr>
              <w:pStyle w:val="26"/>
            </w:pPr>
          </w:p>
        </w:tc>
        <w:tc>
          <w:tcPr>
            <w:tcW w:w="2551" w:type="dxa"/>
            <w:vAlign w:val="center"/>
          </w:tcPr>
          <w:p>
            <w:pPr>
              <w:pStyle w:val="26"/>
            </w:pPr>
            <w:r>
              <w:t>≥95%</w:t>
            </w:r>
          </w:p>
        </w:tc>
        <w:tc>
          <w:tcPr>
            <w:tcW w:w="2268" w:type="dxa"/>
            <w:vAlign w:val="center"/>
          </w:tcPr>
          <w:p>
            <w:pPr>
              <w:pStyle w:val="26"/>
            </w:pPr>
            <w:r>
              <w:t>2022工作安排</w:t>
            </w:r>
          </w:p>
        </w:tc>
      </w:tr>
    </w:tbl>
    <w:p>
      <w:pPr>
        <w:pStyle w:val="24"/>
      </w:pPr>
    </w:p>
    <w:p>
      <w:pPr>
        <w:pStyle w:val="24"/>
        <w:ind w:firstLine="560"/>
      </w:pPr>
      <w:r>
        <w:rPr>
          <w:rFonts w:ascii="方正仿宋_GBK" w:hAnsi="方正仿宋_GBK" w:eastAsia="方正仿宋_GBK" w:cs="方正仿宋_GBK"/>
          <w:b/>
          <w:color w:val="000000"/>
          <w:sz w:val="28"/>
        </w:rPr>
        <w:t>5、人大综合事务管理经费绩效目标表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1.通过信息化推动备案审查工作不断发展，完成统一的备案审查信息平台建设，为建立健全宪法法律监督制度打好基础。</w:t>
            </w:r>
          </w:p>
          <w:p>
            <w:pPr>
              <w:pStyle w:val="26"/>
            </w:pPr>
            <w:r>
              <w:t>2.通过强化“人大代表之家”的服务功能，保证县人大常委会代表之家运转正常，进一步加强代表与选民的联系，让群众的意见能够直接反映给各级人大代表。</w:t>
            </w:r>
          </w:p>
        </w:tc>
      </w:tr>
    </w:tbl>
    <w:p>
      <w:pPr>
        <w:pStyle w:val="24"/>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组织代表参加活动次数</w:t>
            </w:r>
          </w:p>
        </w:tc>
        <w:tc>
          <w:tcPr>
            <w:tcW w:w="2835" w:type="dxa"/>
            <w:vAlign w:val="center"/>
          </w:tcPr>
          <w:p>
            <w:pPr>
              <w:pStyle w:val="26"/>
            </w:pPr>
            <w:r>
              <w:t>计划召开学习、视察、调查研究活动次数</w:t>
            </w:r>
          </w:p>
        </w:tc>
        <w:tc>
          <w:tcPr>
            <w:tcW w:w="2551" w:type="dxa"/>
            <w:vAlign w:val="center"/>
          </w:tcPr>
          <w:p>
            <w:pPr>
              <w:pStyle w:val="26"/>
            </w:pPr>
            <w:r>
              <w:t>≥3次</w:t>
            </w:r>
          </w:p>
        </w:tc>
        <w:tc>
          <w:tcPr>
            <w:tcW w:w="2268" w:type="dxa"/>
            <w:vAlign w:val="center"/>
          </w:tcPr>
          <w:p>
            <w:pPr>
              <w:pStyle w:val="26"/>
            </w:pPr>
            <w:r>
              <w:t>2021年工作安排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数量指标</w:t>
            </w:r>
          </w:p>
        </w:tc>
        <w:tc>
          <w:tcPr>
            <w:tcW w:w="2835" w:type="dxa"/>
            <w:vAlign w:val="center"/>
          </w:tcPr>
          <w:p>
            <w:pPr>
              <w:pStyle w:val="26"/>
            </w:pPr>
            <w:r>
              <w:t>支付软件维护费用</w:t>
            </w:r>
          </w:p>
        </w:tc>
        <w:tc>
          <w:tcPr>
            <w:tcW w:w="2835" w:type="dxa"/>
            <w:vAlign w:val="center"/>
          </w:tcPr>
          <w:p>
            <w:pPr>
              <w:pStyle w:val="26"/>
            </w:pPr>
            <w:r>
              <w:t>足额支付网络运行维护费用</w:t>
            </w:r>
          </w:p>
        </w:tc>
        <w:tc>
          <w:tcPr>
            <w:tcW w:w="2551" w:type="dxa"/>
            <w:vAlign w:val="center"/>
          </w:tcPr>
          <w:p>
            <w:pPr>
              <w:pStyle w:val="26"/>
            </w:pPr>
            <w:r>
              <w:t>2家</w:t>
            </w:r>
          </w:p>
        </w:tc>
        <w:tc>
          <w:tcPr>
            <w:tcW w:w="2268" w:type="dxa"/>
            <w:vAlign w:val="center"/>
          </w:tcPr>
          <w:p>
            <w:pPr>
              <w:pStyle w:val="26"/>
            </w:pPr>
            <w:r>
              <w:t>2021年工作安排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数据安全性</w:t>
            </w:r>
          </w:p>
        </w:tc>
        <w:tc>
          <w:tcPr>
            <w:tcW w:w="2835" w:type="dxa"/>
            <w:vAlign w:val="center"/>
          </w:tcPr>
          <w:p>
            <w:pPr>
              <w:pStyle w:val="26"/>
            </w:pPr>
            <w:r>
              <w:t>降低系统数据差错率、保证数据安全</w:t>
            </w:r>
          </w:p>
        </w:tc>
        <w:tc>
          <w:tcPr>
            <w:tcW w:w="2551" w:type="dxa"/>
            <w:vAlign w:val="center"/>
          </w:tcPr>
          <w:p>
            <w:pPr>
              <w:pStyle w:val="26"/>
            </w:pPr>
            <w:r>
              <w:t>≥98%</w:t>
            </w:r>
          </w:p>
        </w:tc>
        <w:tc>
          <w:tcPr>
            <w:tcW w:w="2268" w:type="dxa"/>
            <w:vAlign w:val="center"/>
          </w:tcPr>
          <w:p>
            <w:pPr>
              <w:pStyle w:val="26"/>
            </w:pPr>
            <w:r>
              <w:t>2021年工作安排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数据维护及时性</w:t>
            </w:r>
          </w:p>
        </w:tc>
        <w:tc>
          <w:tcPr>
            <w:tcW w:w="2835" w:type="dxa"/>
            <w:vAlign w:val="center"/>
          </w:tcPr>
          <w:p>
            <w:pPr>
              <w:pStyle w:val="26"/>
            </w:pPr>
            <w:r>
              <w:t>系统维护及更新及时，稳定运行，保障预算监督工作正常运行</w:t>
            </w:r>
          </w:p>
        </w:tc>
        <w:tc>
          <w:tcPr>
            <w:tcW w:w="2551" w:type="dxa"/>
            <w:vAlign w:val="center"/>
          </w:tcPr>
          <w:p>
            <w:pPr>
              <w:pStyle w:val="26"/>
            </w:pPr>
            <w:r>
              <w:t>≥98%</w:t>
            </w:r>
          </w:p>
        </w:tc>
        <w:tc>
          <w:tcPr>
            <w:tcW w:w="2268" w:type="dxa"/>
            <w:vAlign w:val="center"/>
          </w:tcPr>
          <w:p>
            <w:pPr>
              <w:pStyle w:val="26"/>
            </w:pPr>
            <w:r>
              <w:t>2021年工作安排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代表活动完成率</w:t>
            </w:r>
          </w:p>
        </w:tc>
        <w:tc>
          <w:tcPr>
            <w:tcW w:w="2835" w:type="dxa"/>
            <w:vAlign w:val="center"/>
          </w:tcPr>
          <w:p>
            <w:pPr>
              <w:pStyle w:val="26"/>
            </w:pPr>
            <w:r>
              <w:t>做好协调组织工作，为代表依法履职提供服务。</w:t>
            </w:r>
          </w:p>
        </w:tc>
        <w:tc>
          <w:tcPr>
            <w:tcW w:w="2551" w:type="dxa"/>
            <w:vAlign w:val="center"/>
          </w:tcPr>
          <w:p>
            <w:pPr>
              <w:pStyle w:val="26"/>
            </w:pPr>
            <w:r>
              <w:t>≥98%</w:t>
            </w:r>
          </w:p>
        </w:tc>
        <w:tc>
          <w:tcPr>
            <w:tcW w:w="2268" w:type="dxa"/>
            <w:vAlign w:val="center"/>
          </w:tcPr>
          <w:p>
            <w:pPr>
              <w:pStyle w:val="26"/>
            </w:pPr>
            <w:r>
              <w:t>2021年工作安排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工作完成时效性</w:t>
            </w:r>
          </w:p>
        </w:tc>
        <w:tc>
          <w:tcPr>
            <w:tcW w:w="2835" w:type="dxa"/>
            <w:vAlign w:val="center"/>
          </w:tcPr>
          <w:p>
            <w:pPr>
              <w:pStyle w:val="26"/>
            </w:pPr>
            <w:r>
              <w:t>备案审查及代表之家工作完成时间</w:t>
            </w:r>
          </w:p>
        </w:tc>
        <w:tc>
          <w:tcPr>
            <w:tcW w:w="2551" w:type="dxa"/>
            <w:vAlign w:val="center"/>
          </w:tcPr>
          <w:p>
            <w:pPr>
              <w:pStyle w:val="26"/>
            </w:pPr>
            <w:r>
              <w:t>12月</w:t>
            </w:r>
          </w:p>
        </w:tc>
        <w:tc>
          <w:tcPr>
            <w:tcW w:w="2268" w:type="dxa"/>
            <w:vAlign w:val="center"/>
          </w:tcPr>
          <w:p>
            <w:pPr>
              <w:pStyle w:val="26"/>
            </w:pPr>
            <w:r>
              <w:t>2021年工作安排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预算联网监督费</w:t>
            </w:r>
          </w:p>
        </w:tc>
        <w:tc>
          <w:tcPr>
            <w:tcW w:w="2835" w:type="dxa"/>
            <w:vAlign w:val="center"/>
          </w:tcPr>
          <w:p>
            <w:pPr>
              <w:pStyle w:val="26"/>
            </w:pPr>
            <w:r>
              <w:t>预算联网监督工作成本费用</w:t>
            </w:r>
          </w:p>
        </w:tc>
        <w:tc>
          <w:tcPr>
            <w:tcW w:w="2551" w:type="dxa"/>
            <w:vAlign w:val="center"/>
          </w:tcPr>
          <w:p>
            <w:pPr>
              <w:pStyle w:val="26"/>
            </w:pPr>
            <w:r>
              <w:t>≤4万元</w:t>
            </w:r>
          </w:p>
        </w:tc>
        <w:tc>
          <w:tcPr>
            <w:tcW w:w="2268" w:type="dxa"/>
            <w:vAlign w:val="center"/>
          </w:tcPr>
          <w:p>
            <w:pPr>
              <w:pStyle w:val="26"/>
            </w:pPr>
            <w:r>
              <w:t>2021年工作安排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代表之家运行费</w:t>
            </w:r>
          </w:p>
        </w:tc>
        <w:tc>
          <w:tcPr>
            <w:tcW w:w="2835" w:type="dxa"/>
            <w:vAlign w:val="center"/>
          </w:tcPr>
          <w:p>
            <w:pPr>
              <w:pStyle w:val="26"/>
            </w:pPr>
            <w:r>
              <w:t>人大代表之家运行经费控制数</w:t>
            </w:r>
          </w:p>
        </w:tc>
        <w:tc>
          <w:tcPr>
            <w:tcW w:w="2551" w:type="dxa"/>
            <w:vAlign w:val="center"/>
          </w:tcPr>
          <w:p>
            <w:pPr>
              <w:pStyle w:val="26"/>
            </w:pPr>
            <w:r>
              <w:t>≤2万元</w:t>
            </w:r>
          </w:p>
        </w:tc>
        <w:tc>
          <w:tcPr>
            <w:tcW w:w="2268" w:type="dxa"/>
            <w:vAlign w:val="center"/>
          </w:tcPr>
          <w:p>
            <w:pPr>
              <w:pStyle w:val="26"/>
            </w:pPr>
            <w:r>
              <w:t>2021年工作安排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专门委员会活动经费控制数</w:t>
            </w:r>
          </w:p>
        </w:tc>
        <w:tc>
          <w:tcPr>
            <w:tcW w:w="2835" w:type="dxa"/>
            <w:vAlign w:val="center"/>
          </w:tcPr>
          <w:p>
            <w:pPr>
              <w:pStyle w:val="26"/>
            </w:pPr>
            <w:r>
              <w:t>专门委员会培训及活动经费</w:t>
            </w:r>
          </w:p>
        </w:tc>
        <w:tc>
          <w:tcPr>
            <w:tcW w:w="2551" w:type="dxa"/>
            <w:vAlign w:val="center"/>
          </w:tcPr>
          <w:p>
            <w:pPr>
              <w:pStyle w:val="26"/>
            </w:pPr>
            <w:r>
              <w:t>≤3万元</w:t>
            </w:r>
          </w:p>
        </w:tc>
        <w:tc>
          <w:tcPr>
            <w:tcW w:w="2268" w:type="dxa"/>
            <w:vAlign w:val="center"/>
          </w:tcPr>
          <w:p>
            <w:pPr>
              <w:pStyle w:val="26"/>
            </w:pPr>
            <w:r>
              <w:t>2021年工作安排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预算联网监督工作圆满完成</w:t>
            </w:r>
          </w:p>
        </w:tc>
        <w:tc>
          <w:tcPr>
            <w:tcW w:w="2835" w:type="dxa"/>
            <w:vAlign w:val="center"/>
          </w:tcPr>
          <w:p>
            <w:pPr>
              <w:pStyle w:val="26"/>
            </w:pPr>
            <w:r>
              <w:t>对政府预算检查和监督工作全面规范，实现预算制度公开透明</w:t>
            </w:r>
          </w:p>
          <w:p>
            <w:pPr>
              <w:pStyle w:val="26"/>
            </w:pPr>
          </w:p>
        </w:tc>
        <w:tc>
          <w:tcPr>
            <w:tcW w:w="2551" w:type="dxa"/>
            <w:vAlign w:val="center"/>
          </w:tcPr>
          <w:p>
            <w:pPr>
              <w:pStyle w:val="26"/>
            </w:pPr>
            <w:r>
              <w:t>≥98%</w:t>
            </w:r>
          </w:p>
        </w:tc>
        <w:tc>
          <w:tcPr>
            <w:tcW w:w="2268" w:type="dxa"/>
            <w:vAlign w:val="center"/>
          </w:tcPr>
          <w:p>
            <w:pPr>
              <w:pStyle w:val="26"/>
            </w:pPr>
            <w:r>
              <w:t>2021年工作安排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会议服务满意率</w:t>
            </w:r>
          </w:p>
        </w:tc>
        <w:tc>
          <w:tcPr>
            <w:tcW w:w="2835" w:type="dxa"/>
            <w:vAlign w:val="center"/>
          </w:tcPr>
          <w:p>
            <w:pPr>
              <w:pStyle w:val="26"/>
            </w:pPr>
            <w:r>
              <w:t>县人大代表和常委对代表工作的满意度</w:t>
            </w:r>
          </w:p>
        </w:tc>
        <w:tc>
          <w:tcPr>
            <w:tcW w:w="2551" w:type="dxa"/>
            <w:vAlign w:val="center"/>
          </w:tcPr>
          <w:p>
            <w:pPr>
              <w:pStyle w:val="26"/>
            </w:pPr>
            <w:r>
              <w:t>≥95%</w:t>
            </w:r>
          </w:p>
        </w:tc>
        <w:tc>
          <w:tcPr>
            <w:tcW w:w="2268" w:type="dxa"/>
            <w:vAlign w:val="center"/>
          </w:tcPr>
          <w:p>
            <w:pPr>
              <w:pStyle w:val="26"/>
            </w:pPr>
            <w:r>
              <w:t>2021年工作安排</w:t>
            </w:r>
          </w:p>
        </w:tc>
      </w:tr>
    </w:tbl>
    <w:p>
      <w:pPr>
        <w:pStyle w:val="24"/>
      </w:pPr>
    </w:p>
    <w:p>
      <w:pPr>
        <w:pStyle w:val="24"/>
        <w:ind w:firstLine="560"/>
      </w:pPr>
      <w:r>
        <w:rPr>
          <w:rFonts w:ascii="方正仿宋_GBK" w:hAnsi="方正仿宋_GBK" w:eastAsia="方正仿宋_GBK" w:cs="方正仿宋_GBK"/>
          <w:b/>
          <w:color w:val="000000"/>
          <w:sz w:val="28"/>
        </w:rPr>
        <w:t>6、九届人大二次会议经费绩效目标表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1.通过组织召开人大会完善各项会议制度，规范会议程序，提高会议质量</w:t>
            </w:r>
            <w:r>
              <w:tab/>
            </w:r>
            <w:r>
              <w:tab/>
            </w:r>
            <w:r>
              <w:tab/>
            </w:r>
            <w:r>
              <w:tab/>
            </w:r>
            <w:r>
              <w:tab/>
            </w:r>
            <w:r>
              <w:tab/>
            </w:r>
            <w:r>
              <w:tab/>
            </w:r>
          </w:p>
          <w:p>
            <w:pPr>
              <w:pStyle w:val="26"/>
            </w:pPr>
            <w:r>
              <w:t>。</w:t>
            </w:r>
          </w:p>
          <w:p>
            <w:pPr>
              <w:pStyle w:val="26"/>
            </w:pPr>
            <w:r>
              <w:t>2.通过组织召开人代会，提高人大代表及常委会审议水平及代表履职水平。</w:t>
            </w:r>
          </w:p>
        </w:tc>
      </w:tr>
    </w:tbl>
    <w:p>
      <w:pPr>
        <w:pStyle w:val="24"/>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会议次数</w:t>
            </w:r>
          </w:p>
        </w:tc>
        <w:tc>
          <w:tcPr>
            <w:tcW w:w="2835" w:type="dxa"/>
            <w:vAlign w:val="center"/>
          </w:tcPr>
          <w:p>
            <w:pPr>
              <w:pStyle w:val="26"/>
            </w:pPr>
            <w:r>
              <w:t>组织召开九届人大二次会议的次数</w:t>
            </w:r>
          </w:p>
        </w:tc>
        <w:tc>
          <w:tcPr>
            <w:tcW w:w="2551" w:type="dxa"/>
            <w:vAlign w:val="center"/>
          </w:tcPr>
          <w:p>
            <w:pPr>
              <w:pStyle w:val="26"/>
            </w:pPr>
            <w:r>
              <w:t>1次</w:t>
            </w:r>
          </w:p>
        </w:tc>
        <w:tc>
          <w:tcPr>
            <w:tcW w:w="2268" w:type="dxa"/>
            <w:vAlign w:val="center"/>
          </w:tcPr>
          <w:p>
            <w:pPr>
              <w:pStyle w:val="26"/>
            </w:pPr>
            <w:r>
              <w:t>2022工作安排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数量指标</w:t>
            </w:r>
          </w:p>
        </w:tc>
        <w:tc>
          <w:tcPr>
            <w:tcW w:w="2835" w:type="dxa"/>
            <w:vAlign w:val="center"/>
          </w:tcPr>
          <w:p>
            <w:pPr>
              <w:pStyle w:val="26"/>
            </w:pPr>
            <w:r>
              <w:t>参加会议人数</w:t>
            </w:r>
          </w:p>
        </w:tc>
        <w:tc>
          <w:tcPr>
            <w:tcW w:w="2835" w:type="dxa"/>
            <w:vAlign w:val="center"/>
          </w:tcPr>
          <w:p>
            <w:pPr>
              <w:pStyle w:val="26"/>
            </w:pPr>
            <w:r>
              <w:t>参加及列席会议人员数量</w:t>
            </w:r>
          </w:p>
        </w:tc>
        <w:tc>
          <w:tcPr>
            <w:tcW w:w="2551" w:type="dxa"/>
            <w:vAlign w:val="center"/>
          </w:tcPr>
          <w:p>
            <w:pPr>
              <w:pStyle w:val="26"/>
            </w:pPr>
            <w:r>
              <w:t>≥200人</w:t>
            </w:r>
          </w:p>
        </w:tc>
        <w:tc>
          <w:tcPr>
            <w:tcW w:w="2268" w:type="dxa"/>
            <w:vAlign w:val="center"/>
          </w:tcPr>
          <w:p>
            <w:pPr>
              <w:pStyle w:val="26"/>
            </w:pPr>
            <w:r>
              <w:t>2022工作安排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数量指标</w:t>
            </w:r>
          </w:p>
        </w:tc>
        <w:tc>
          <w:tcPr>
            <w:tcW w:w="2835" w:type="dxa"/>
            <w:vAlign w:val="center"/>
          </w:tcPr>
          <w:p>
            <w:pPr>
              <w:pStyle w:val="26"/>
            </w:pPr>
            <w:r>
              <w:t>会议召开天数</w:t>
            </w:r>
          </w:p>
        </w:tc>
        <w:tc>
          <w:tcPr>
            <w:tcW w:w="2835" w:type="dxa"/>
            <w:vAlign w:val="center"/>
          </w:tcPr>
          <w:p>
            <w:pPr>
              <w:pStyle w:val="26"/>
            </w:pPr>
            <w:r>
              <w:t>完成人大会议议程的天数</w:t>
            </w:r>
          </w:p>
        </w:tc>
        <w:tc>
          <w:tcPr>
            <w:tcW w:w="2551" w:type="dxa"/>
            <w:vAlign w:val="center"/>
          </w:tcPr>
          <w:p>
            <w:pPr>
              <w:pStyle w:val="26"/>
            </w:pPr>
            <w:r>
              <w:t>3天</w:t>
            </w:r>
          </w:p>
        </w:tc>
        <w:tc>
          <w:tcPr>
            <w:tcW w:w="2268" w:type="dxa"/>
            <w:vAlign w:val="center"/>
          </w:tcPr>
          <w:p>
            <w:pPr>
              <w:pStyle w:val="26"/>
            </w:pPr>
            <w:r>
              <w:t>2022工作安排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会议活动组织完成率</w:t>
            </w:r>
          </w:p>
        </w:tc>
        <w:tc>
          <w:tcPr>
            <w:tcW w:w="2835" w:type="dxa"/>
            <w:vAlign w:val="center"/>
          </w:tcPr>
          <w:p>
            <w:pPr>
              <w:pStyle w:val="26"/>
            </w:pPr>
            <w:r>
              <w:t>完成会议各项议程的情况</w:t>
            </w:r>
          </w:p>
        </w:tc>
        <w:tc>
          <w:tcPr>
            <w:tcW w:w="2551" w:type="dxa"/>
            <w:vAlign w:val="center"/>
          </w:tcPr>
          <w:p>
            <w:pPr>
              <w:pStyle w:val="26"/>
            </w:pPr>
            <w:r>
              <w:t>100%</w:t>
            </w:r>
          </w:p>
        </w:tc>
        <w:tc>
          <w:tcPr>
            <w:tcW w:w="2268" w:type="dxa"/>
            <w:vAlign w:val="center"/>
          </w:tcPr>
          <w:p>
            <w:pPr>
              <w:pStyle w:val="26"/>
            </w:pPr>
            <w:r>
              <w:t>2022工作安排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会议用品采购费用</w:t>
            </w:r>
          </w:p>
        </w:tc>
        <w:tc>
          <w:tcPr>
            <w:tcW w:w="2835" w:type="dxa"/>
            <w:vAlign w:val="center"/>
          </w:tcPr>
          <w:p>
            <w:pPr>
              <w:pStyle w:val="26"/>
            </w:pPr>
            <w:r>
              <w:t>采购各种证件、文件包、笔、本等会议用品</w:t>
            </w:r>
          </w:p>
        </w:tc>
        <w:tc>
          <w:tcPr>
            <w:tcW w:w="2551" w:type="dxa"/>
            <w:vAlign w:val="center"/>
          </w:tcPr>
          <w:p>
            <w:pPr>
              <w:pStyle w:val="26"/>
            </w:pPr>
            <w:r>
              <w:t>≤3万元</w:t>
            </w:r>
          </w:p>
        </w:tc>
        <w:tc>
          <w:tcPr>
            <w:tcW w:w="2268" w:type="dxa"/>
            <w:vAlign w:val="center"/>
          </w:tcPr>
          <w:p>
            <w:pPr>
              <w:pStyle w:val="26"/>
            </w:pPr>
            <w:r>
              <w:t>2022工作安排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印刷费</w:t>
            </w:r>
          </w:p>
        </w:tc>
        <w:tc>
          <w:tcPr>
            <w:tcW w:w="2835" w:type="dxa"/>
            <w:vAlign w:val="center"/>
          </w:tcPr>
          <w:p>
            <w:pPr>
              <w:pStyle w:val="26"/>
            </w:pPr>
            <w:r>
              <w:t>各种报告的印刷费用情况</w:t>
            </w:r>
          </w:p>
        </w:tc>
        <w:tc>
          <w:tcPr>
            <w:tcW w:w="2551" w:type="dxa"/>
            <w:vAlign w:val="center"/>
          </w:tcPr>
          <w:p>
            <w:pPr>
              <w:pStyle w:val="26"/>
            </w:pPr>
            <w:r>
              <w:t>≤3.5万元</w:t>
            </w:r>
          </w:p>
          <w:p>
            <w:pPr>
              <w:pStyle w:val="26"/>
            </w:pPr>
          </w:p>
        </w:tc>
        <w:tc>
          <w:tcPr>
            <w:tcW w:w="2268" w:type="dxa"/>
            <w:vAlign w:val="center"/>
          </w:tcPr>
          <w:p>
            <w:pPr>
              <w:pStyle w:val="26"/>
            </w:pPr>
            <w:r>
              <w:t>2022工作安排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代表食宿费用</w:t>
            </w:r>
          </w:p>
        </w:tc>
        <w:tc>
          <w:tcPr>
            <w:tcW w:w="2835" w:type="dxa"/>
            <w:vAlign w:val="center"/>
          </w:tcPr>
          <w:p>
            <w:pPr>
              <w:pStyle w:val="26"/>
            </w:pPr>
            <w:r>
              <w:t>参会代表食宿费用</w:t>
            </w:r>
          </w:p>
        </w:tc>
        <w:tc>
          <w:tcPr>
            <w:tcW w:w="2551" w:type="dxa"/>
            <w:vAlign w:val="center"/>
          </w:tcPr>
          <w:p>
            <w:pPr>
              <w:pStyle w:val="26"/>
            </w:pPr>
            <w:r>
              <w:t>≤12万元</w:t>
            </w:r>
          </w:p>
          <w:p>
            <w:pPr>
              <w:pStyle w:val="26"/>
            </w:pPr>
          </w:p>
        </w:tc>
        <w:tc>
          <w:tcPr>
            <w:tcW w:w="2268" w:type="dxa"/>
            <w:vAlign w:val="center"/>
          </w:tcPr>
          <w:p>
            <w:pPr>
              <w:pStyle w:val="26"/>
            </w:pPr>
            <w:r>
              <w:t>2022工作安排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选票</w:t>
            </w:r>
          </w:p>
        </w:tc>
        <w:tc>
          <w:tcPr>
            <w:tcW w:w="2835" w:type="dxa"/>
            <w:vAlign w:val="center"/>
          </w:tcPr>
          <w:p>
            <w:pPr>
              <w:pStyle w:val="26"/>
            </w:pPr>
            <w:r>
              <w:t>会议所需选票费用</w:t>
            </w:r>
          </w:p>
        </w:tc>
        <w:tc>
          <w:tcPr>
            <w:tcW w:w="2551" w:type="dxa"/>
            <w:vAlign w:val="center"/>
          </w:tcPr>
          <w:p>
            <w:pPr>
              <w:pStyle w:val="26"/>
            </w:pPr>
            <w:r>
              <w:t>≤1.5万元</w:t>
            </w:r>
          </w:p>
          <w:p>
            <w:pPr>
              <w:pStyle w:val="26"/>
            </w:pPr>
          </w:p>
        </w:tc>
        <w:tc>
          <w:tcPr>
            <w:tcW w:w="2268" w:type="dxa"/>
            <w:vAlign w:val="center"/>
          </w:tcPr>
          <w:p>
            <w:pPr>
              <w:pStyle w:val="26"/>
            </w:pPr>
            <w:r>
              <w:t>2022工作安排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会议完成时间</w:t>
            </w:r>
          </w:p>
        </w:tc>
        <w:tc>
          <w:tcPr>
            <w:tcW w:w="2835" w:type="dxa"/>
            <w:vAlign w:val="center"/>
          </w:tcPr>
          <w:p>
            <w:pPr>
              <w:pStyle w:val="26"/>
            </w:pPr>
            <w:r>
              <w:t>九届人大二次会议完成时间</w:t>
            </w:r>
          </w:p>
        </w:tc>
        <w:tc>
          <w:tcPr>
            <w:tcW w:w="2551" w:type="dxa"/>
            <w:vAlign w:val="center"/>
          </w:tcPr>
          <w:p>
            <w:pPr>
              <w:pStyle w:val="26"/>
            </w:pPr>
            <w:r>
              <w:t>2022年1月底前</w:t>
            </w:r>
          </w:p>
        </w:tc>
        <w:tc>
          <w:tcPr>
            <w:tcW w:w="2268" w:type="dxa"/>
            <w:vAlign w:val="center"/>
          </w:tcPr>
          <w:p>
            <w:pPr>
              <w:pStyle w:val="26"/>
            </w:pPr>
            <w:r>
              <w:t>2022工作安排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发挥人大代表监督作用</w:t>
            </w:r>
          </w:p>
        </w:tc>
        <w:tc>
          <w:tcPr>
            <w:tcW w:w="2835" w:type="dxa"/>
            <w:vAlign w:val="center"/>
          </w:tcPr>
          <w:p>
            <w:pPr>
              <w:pStyle w:val="26"/>
            </w:pPr>
            <w:r>
              <w:t>行使人代会权利，听取汇报，审议，和批准相关事项，发挥监督作用。</w:t>
            </w:r>
          </w:p>
        </w:tc>
        <w:tc>
          <w:tcPr>
            <w:tcW w:w="2551" w:type="dxa"/>
            <w:vAlign w:val="center"/>
          </w:tcPr>
          <w:p>
            <w:pPr>
              <w:pStyle w:val="26"/>
            </w:pPr>
            <w:r>
              <w:t>1次</w:t>
            </w:r>
          </w:p>
        </w:tc>
        <w:tc>
          <w:tcPr>
            <w:tcW w:w="2268" w:type="dxa"/>
            <w:vAlign w:val="center"/>
          </w:tcPr>
          <w:p>
            <w:pPr>
              <w:pStyle w:val="26"/>
            </w:pPr>
            <w:r>
              <w:t>2022工作安排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代表对会议议程及结果满意度</w:t>
            </w:r>
          </w:p>
        </w:tc>
        <w:tc>
          <w:tcPr>
            <w:tcW w:w="2835" w:type="dxa"/>
            <w:vAlign w:val="center"/>
          </w:tcPr>
          <w:p>
            <w:pPr>
              <w:pStyle w:val="26"/>
            </w:pPr>
            <w:r>
              <w:t>人大代表对九届人大二次会议议程及结果安排满意程度</w:t>
            </w:r>
          </w:p>
        </w:tc>
        <w:tc>
          <w:tcPr>
            <w:tcW w:w="2551" w:type="dxa"/>
            <w:vAlign w:val="center"/>
          </w:tcPr>
          <w:p>
            <w:pPr>
              <w:pStyle w:val="26"/>
            </w:pPr>
            <w:r>
              <w:t>≥95%</w:t>
            </w:r>
          </w:p>
        </w:tc>
        <w:tc>
          <w:tcPr>
            <w:tcW w:w="2268" w:type="dxa"/>
            <w:vAlign w:val="center"/>
          </w:tcPr>
          <w:p>
            <w:pPr>
              <w:pStyle w:val="26"/>
            </w:pPr>
            <w:r>
              <w:t>2022工作安排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服务对象满意度指标</w:t>
            </w:r>
          </w:p>
        </w:tc>
        <w:tc>
          <w:tcPr>
            <w:tcW w:w="2835" w:type="dxa"/>
            <w:vAlign w:val="center"/>
          </w:tcPr>
          <w:p>
            <w:pPr>
              <w:pStyle w:val="26"/>
            </w:pPr>
            <w:r>
              <w:t>会议服务工作满意率</w:t>
            </w:r>
          </w:p>
        </w:tc>
        <w:tc>
          <w:tcPr>
            <w:tcW w:w="2835" w:type="dxa"/>
            <w:vAlign w:val="center"/>
          </w:tcPr>
          <w:p>
            <w:pPr>
              <w:pStyle w:val="26"/>
            </w:pPr>
            <w:r>
              <w:t>组织召开的人代会等服务工作的满意度</w:t>
            </w:r>
          </w:p>
        </w:tc>
        <w:tc>
          <w:tcPr>
            <w:tcW w:w="2551" w:type="dxa"/>
            <w:vAlign w:val="center"/>
          </w:tcPr>
          <w:p>
            <w:pPr>
              <w:pStyle w:val="26"/>
            </w:pPr>
            <w:r>
              <w:t>≥95%</w:t>
            </w:r>
          </w:p>
        </w:tc>
        <w:tc>
          <w:tcPr>
            <w:tcW w:w="2268" w:type="dxa"/>
            <w:vAlign w:val="center"/>
          </w:tcPr>
          <w:p>
            <w:pPr>
              <w:pStyle w:val="26"/>
            </w:pPr>
            <w:r>
              <w:t>2022工作安排</w:t>
            </w:r>
          </w:p>
        </w:tc>
      </w:tr>
    </w:tbl>
    <w:p>
      <w:pPr>
        <w:pStyle w:val="24"/>
      </w:pPr>
    </w:p>
    <w:p>
      <w:pPr>
        <w:pStyle w:val="24"/>
        <w:ind w:firstLine="560"/>
      </w:pPr>
      <w:r>
        <w:rPr>
          <w:rFonts w:ascii="方正仿宋_GBK" w:hAnsi="方正仿宋_GBK" w:eastAsia="方正仿宋_GBK" w:cs="方正仿宋_GBK"/>
          <w:b/>
          <w:color w:val="000000"/>
          <w:sz w:val="28"/>
        </w:rPr>
        <w:t>7、秦皇岛市财政局关于下达2021年人大代表经费的通知(秦财行[2021]192号）绩效目标表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1.组织代表日常开展职务活动、学习培训、参加调研视察和执法检查。</w:t>
            </w:r>
          </w:p>
          <w:p>
            <w:pPr>
              <w:pStyle w:val="26"/>
            </w:pPr>
            <w:r>
              <w:t>2.发挥代表的桥梁纽带作用，集中反映民意，促进依法履职。</w:t>
            </w:r>
          </w:p>
        </w:tc>
      </w:tr>
    </w:tbl>
    <w:p>
      <w:pPr>
        <w:pStyle w:val="24"/>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开展调研视察次数</w:t>
            </w:r>
          </w:p>
        </w:tc>
        <w:tc>
          <w:tcPr>
            <w:tcW w:w="2835" w:type="dxa"/>
            <w:vAlign w:val="center"/>
          </w:tcPr>
          <w:p>
            <w:pPr>
              <w:pStyle w:val="26"/>
            </w:pPr>
            <w:r>
              <w:t>组织开展调研视察活动的次数</w:t>
            </w:r>
          </w:p>
        </w:tc>
        <w:tc>
          <w:tcPr>
            <w:tcW w:w="2551" w:type="dxa"/>
            <w:vAlign w:val="center"/>
          </w:tcPr>
          <w:p>
            <w:pPr>
              <w:pStyle w:val="26"/>
            </w:pPr>
            <w:r>
              <w:t>5次</w:t>
            </w:r>
          </w:p>
        </w:tc>
        <w:tc>
          <w:tcPr>
            <w:tcW w:w="2268" w:type="dxa"/>
            <w:vAlign w:val="center"/>
          </w:tcPr>
          <w:p>
            <w:pPr>
              <w:pStyle w:val="26"/>
            </w:pPr>
            <w:r>
              <w:t>2021年工作安排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数量指标</w:t>
            </w:r>
          </w:p>
        </w:tc>
        <w:tc>
          <w:tcPr>
            <w:tcW w:w="2835" w:type="dxa"/>
            <w:vAlign w:val="center"/>
          </w:tcPr>
          <w:p>
            <w:pPr>
              <w:pStyle w:val="26"/>
            </w:pPr>
            <w:r>
              <w:t>开展职务活动、学习培训次数</w:t>
            </w:r>
          </w:p>
        </w:tc>
        <w:tc>
          <w:tcPr>
            <w:tcW w:w="2835" w:type="dxa"/>
            <w:vAlign w:val="center"/>
          </w:tcPr>
          <w:p>
            <w:pPr>
              <w:pStyle w:val="26"/>
            </w:pPr>
            <w:r>
              <w:t>开展职务活动、学习培训的次数</w:t>
            </w:r>
          </w:p>
        </w:tc>
        <w:tc>
          <w:tcPr>
            <w:tcW w:w="2551" w:type="dxa"/>
            <w:vAlign w:val="center"/>
          </w:tcPr>
          <w:p>
            <w:pPr>
              <w:pStyle w:val="26"/>
            </w:pPr>
            <w:r>
              <w:t>2次</w:t>
            </w:r>
          </w:p>
        </w:tc>
        <w:tc>
          <w:tcPr>
            <w:tcW w:w="2268" w:type="dxa"/>
            <w:vAlign w:val="center"/>
          </w:tcPr>
          <w:p>
            <w:pPr>
              <w:pStyle w:val="26"/>
            </w:pPr>
            <w:r>
              <w:t>2021年工作安排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数量指标</w:t>
            </w:r>
          </w:p>
        </w:tc>
        <w:tc>
          <w:tcPr>
            <w:tcW w:w="2835" w:type="dxa"/>
            <w:vAlign w:val="center"/>
          </w:tcPr>
          <w:p>
            <w:pPr>
              <w:pStyle w:val="26"/>
            </w:pPr>
            <w:r>
              <w:t>执法检查次数</w:t>
            </w:r>
          </w:p>
        </w:tc>
        <w:tc>
          <w:tcPr>
            <w:tcW w:w="2835" w:type="dxa"/>
            <w:vAlign w:val="center"/>
          </w:tcPr>
          <w:p>
            <w:pPr>
              <w:pStyle w:val="26"/>
            </w:pPr>
            <w:r>
              <w:t>开展执法检查的次数</w:t>
            </w:r>
          </w:p>
        </w:tc>
        <w:tc>
          <w:tcPr>
            <w:tcW w:w="2551" w:type="dxa"/>
            <w:vAlign w:val="center"/>
          </w:tcPr>
          <w:p>
            <w:pPr>
              <w:pStyle w:val="26"/>
            </w:pPr>
            <w:r>
              <w:t>4次</w:t>
            </w:r>
          </w:p>
        </w:tc>
        <w:tc>
          <w:tcPr>
            <w:tcW w:w="2268" w:type="dxa"/>
            <w:vAlign w:val="center"/>
          </w:tcPr>
          <w:p>
            <w:pPr>
              <w:pStyle w:val="26"/>
            </w:pPr>
            <w:r>
              <w:t>2021年工作安排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开展调研视察完成率</w:t>
            </w:r>
          </w:p>
        </w:tc>
        <w:tc>
          <w:tcPr>
            <w:tcW w:w="2835" w:type="dxa"/>
            <w:vAlign w:val="center"/>
          </w:tcPr>
          <w:p>
            <w:pPr>
              <w:pStyle w:val="26"/>
            </w:pPr>
            <w:r>
              <w:t>实际调研视察数量占计划数的比例</w:t>
            </w:r>
          </w:p>
        </w:tc>
        <w:tc>
          <w:tcPr>
            <w:tcW w:w="2551" w:type="dxa"/>
            <w:vAlign w:val="center"/>
          </w:tcPr>
          <w:p>
            <w:pPr>
              <w:pStyle w:val="26"/>
            </w:pPr>
            <w:r>
              <w:t>≥95%</w:t>
            </w:r>
          </w:p>
        </w:tc>
        <w:tc>
          <w:tcPr>
            <w:tcW w:w="2268" w:type="dxa"/>
            <w:vAlign w:val="center"/>
          </w:tcPr>
          <w:p>
            <w:pPr>
              <w:pStyle w:val="26"/>
            </w:pPr>
            <w:r>
              <w:t>2021年工作安排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开展职务活动、学习培训完成率</w:t>
            </w:r>
          </w:p>
        </w:tc>
        <w:tc>
          <w:tcPr>
            <w:tcW w:w="2835" w:type="dxa"/>
            <w:vAlign w:val="center"/>
          </w:tcPr>
          <w:p>
            <w:pPr>
              <w:pStyle w:val="26"/>
            </w:pPr>
            <w:r>
              <w:t>实际培训数量占计划数的比例</w:t>
            </w:r>
          </w:p>
        </w:tc>
        <w:tc>
          <w:tcPr>
            <w:tcW w:w="2551" w:type="dxa"/>
            <w:vAlign w:val="center"/>
          </w:tcPr>
          <w:p>
            <w:pPr>
              <w:pStyle w:val="26"/>
            </w:pPr>
            <w:r>
              <w:t>≥95%</w:t>
            </w:r>
          </w:p>
        </w:tc>
        <w:tc>
          <w:tcPr>
            <w:tcW w:w="2268" w:type="dxa"/>
            <w:vAlign w:val="center"/>
          </w:tcPr>
          <w:p>
            <w:pPr>
              <w:pStyle w:val="26"/>
            </w:pPr>
            <w:r>
              <w:t>2021年工作安排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开展执法检查完成率</w:t>
            </w:r>
          </w:p>
        </w:tc>
        <w:tc>
          <w:tcPr>
            <w:tcW w:w="2835" w:type="dxa"/>
            <w:vAlign w:val="center"/>
          </w:tcPr>
          <w:p>
            <w:pPr>
              <w:pStyle w:val="26"/>
            </w:pPr>
            <w:r>
              <w:t>实际执法检查数量占计划数的比例</w:t>
            </w:r>
          </w:p>
        </w:tc>
        <w:tc>
          <w:tcPr>
            <w:tcW w:w="2551" w:type="dxa"/>
            <w:vAlign w:val="center"/>
          </w:tcPr>
          <w:p>
            <w:pPr>
              <w:pStyle w:val="26"/>
            </w:pPr>
            <w:r>
              <w:t>≥95%</w:t>
            </w:r>
          </w:p>
        </w:tc>
        <w:tc>
          <w:tcPr>
            <w:tcW w:w="2268" w:type="dxa"/>
            <w:vAlign w:val="center"/>
          </w:tcPr>
          <w:p>
            <w:pPr>
              <w:pStyle w:val="26"/>
            </w:pPr>
            <w:r>
              <w:t>2021年工作安排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支出控制数</w:t>
            </w:r>
          </w:p>
        </w:tc>
        <w:tc>
          <w:tcPr>
            <w:tcW w:w="2835" w:type="dxa"/>
            <w:vAlign w:val="center"/>
          </w:tcPr>
          <w:p>
            <w:pPr>
              <w:pStyle w:val="26"/>
            </w:pPr>
            <w:r>
              <w:t>总体控制在预算额度内</w:t>
            </w:r>
          </w:p>
        </w:tc>
        <w:tc>
          <w:tcPr>
            <w:tcW w:w="2551" w:type="dxa"/>
            <w:vAlign w:val="center"/>
          </w:tcPr>
          <w:p>
            <w:pPr>
              <w:pStyle w:val="26"/>
            </w:pPr>
            <w:r>
              <w:t>≤2.1万元</w:t>
            </w:r>
          </w:p>
        </w:tc>
        <w:tc>
          <w:tcPr>
            <w:tcW w:w="2268" w:type="dxa"/>
            <w:vAlign w:val="center"/>
          </w:tcPr>
          <w:p>
            <w:pPr>
              <w:pStyle w:val="26"/>
            </w:pPr>
            <w:r>
              <w:t>2021年工作安排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调研、培训工作、执法检查完成时间</w:t>
            </w:r>
          </w:p>
        </w:tc>
        <w:tc>
          <w:tcPr>
            <w:tcW w:w="2835" w:type="dxa"/>
            <w:vAlign w:val="center"/>
          </w:tcPr>
          <w:p>
            <w:pPr>
              <w:pStyle w:val="26"/>
            </w:pPr>
            <w:r>
              <w:t>反映调研、培训工作、执法检查完成时间</w:t>
            </w:r>
          </w:p>
        </w:tc>
        <w:tc>
          <w:tcPr>
            <w:tcW w:w="2551" w:type="dxa"/>
            <w:vAlign w:val="center"/>
          </w:tcPr>
          <w:p>
            <w:pPr>
              <w:pStyle w:val="26"/>
            </w:pPr>
            <w:r>
              <w:t>100%按计划完成</w:t>
            </w:r>
          </w:p>
        </w:tc>
        <w:tc>
          <w:tcPr>
            <w:tcW w:w="2268" w:type="dxa"/>
            <w:vAlign w:val="center"/>
          </w:tcPr>
          <w:p>
            <w:pPr>
              <w:pStyle w:val="26"/>
            </w:pPr>
            <w:r>
              <w:t>2021年工作安排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代表履职水平</w:t>
            </w:r>
          </w:p>
        </w:tc>
        <w:tc>
          <w:tcPr>
            <w:tcW w:w="2835" w:type="dxa"/>
            <w:vAlign w:val="center"/>
          </w:tcPr>
          <w:p>
            <w:pPr>
              <w:pStyle w:val="26"/>
            </w:pPr>
            <w:r>
              <w:t>通过组织开展代表学习培训、视察、调研等活动，促进代表工作水平和代表履职能力的提高</w:t>
            </w:r>
          </w:p>
        </w:tc>
        <w:tc>
          <w:tcPr>
            <w:tcW w:w="2551" w:type="dxa"/>
            <w:vAlign w:val="center"/>
          </w:tcPr>
          <w:p>
            <w:pPr>
              <w:pStyle w:val="26"/>
            </w:pPr>
            <w:r>
              <w:t>≥11次</w:t>
            </w:r>
          </w:p>
        </w:tc>
        <w:tc>
          <w:tcPr>
            <w:tcW w:w="2268" w:type="dxa"/>
            <w:vAlign w:val="center"/>
          </w:tcPr>
          <w:p>
            <w:pPr>
              <w:pStyle w:val="26"/>
            </w:pPr>
            <w:r>
              <w:t>2021年工作安排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可持续影响指标</w:t>
            </w:r>
          </w:p>
        </w:tc>
        <w:tc>
          <w:tcPr>
            <w:tcW w:w="2835" w:type="dxa"/>
            <w:vAlign w:val="center"/>
          </w:tcPr>
          <w:p>
            <w:pPr>
              <w:pStyle w:val="26"/>
            </w:pPr>
            <w:r>
              <w:t>监督指导作用</w:t>
            </w:r>
          </w:p>
        </w:tc>
        <w:tc>
          <w:tcPr>
            <w:tcW w:w="2835" w:type="dxa"/>
            <w:vAlign w:val="center"/>
          </w:tcPr>
          <w:p>
            <w:pPr>
              <w:pStyle w:val="26"/>
            </w:pPr>
            <w:r>
              <w:t>各项工作正常运转，促进监督指导作用的进一步发挥</w:t>
            </w:r>
          </w:p>
        </w:tc>
        <w:tc>
          <w:tcPr>
            <w:tcW w:w="2551" w:type="dxa"/>
            <w:vAlign w:val="center"/>
          </w:tcPr>
          <w:p>
            <w:pPr>
              <w:pStyle w:val="26"/>
            </w:pPr>
            <w:r>
              <w:t>≥95%</w:t>
            </w:r>
          </w:p>
        </w:tc>
        <w:tc>
          <w:tcPr>
            <w:tcW w:w="2268" w:type="dxa"/>
            <w:vAlign w:val="center"/>
          </w:tcPr>
          <w:p>
            <w:pPr>
              <w:pStyle w:val="26"/>
            </w:pPr>
            <w:r>
              <w:t>2021年工作安排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各级人大代表满意度</w:t>
            </w:r>
          </w:p>
        </w:tc>
        <w:tc>
          <w:tcPr>
            <w:tcW w:w="2835" w:type="dxa"/>
            <w:vAlign w:val="center"/>
          </w:tcPr>
          <w:p>
            <w:pPr>
              <w:pStyle w:val="26"/>
            </w:pPr>
            <w:r>
              <w:t>各级人大代表满意度</w:t>
            </w:r>
          </w:p>
        </w:tc>
        <w:tc>
          <w:tcPr>
            <w:tcW w:w="2551" w:type="dxa"/>
            <w:vAlign w:val="center"/>
          </w:tcPr>
          <w:p>
            <w:pPr>
              <w:pStyle w:val="26"/>
            </w:pPr>
            <w:r>
              <w:t>≥95</w:t>
            </w:r>
          </w:p>
        </w:tc>
        <w:tc>
          <w:tcPr>
            <w:tcW w:w="2268" w:type="dxa"/>
            <w:vAlign w:val="center"/>
          </w:tcPr>
          <w:p>
            <w:pPr>
              <w:pStyle w:val="26"/>
            </w:pPr>
            <w:r>
              <w:t>2021年工作安排</w:t>
            </w:r>
          </w:p>
        </w:tc>
      </w:tr>
    </w:tbl>
    <w:p>
      <w:pPr>
        <w:pStyle w:val="24"/>
        <w:sectPr>
          <w:pgSz w:w="16840" w:h="11900" w:orient="landscape"/>
          <w:pgMar w:top="1361" w:right="1020" w:bottom="1361"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2022年，青龙满族自治县人民代表大会常务委员会办公室安排政府采购预算0.00万元。具体内容见下表。</w:t>
      </w:r>
    </w:p>
    <w:p>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rPr>
                <w:rFonts w:hint="eastAsia"/>
                <w:lang w:eastAsia="zh-CN"/>
              </w:rPr>
              <w:t>101001青龙满族自治县人民代表大会常务委员会办公室本级</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w:t>
            </w:r>
            <w:r>
              <w:rPr>
                <w:rFonts w:hint="eastAsia"/>
                <w:lang w:eastAsia="zh-CN"/>
              </w:rPr>
              <w:t>单位</w:t>
            </w:r>
            <w:r>
              <w:t>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青龙满族自治县人民代表大会常务委员会办公室（含所属单位）上年末固定资产金额为114.39万元（详见下表）。本年度拟购置固定资产总额为0.00万元。</w:t>
      </w:r>
    </w:p>
    <w:p>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rPr>
                <w:rFonts w:hint="eastAsia"/>
                <w:lang w:eastAsia="zh-CN"/>
              </w:rPr>
              <w:t>101001青龙满族自治县人民代表大会常务委员会办公室本级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114.39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4</w:t>
            </w:r>
          </w:p>
        </w:tc>
        <w:tc>
          <w:tcPr>
            <w:tcW w:w="2835" w:type="dxa"/>
            <w:vAlign w:val="center"/>
          </w:tcPr>
          <w:p>
            <w:pPr>
              <w:pStyle w:val="11"/>
            </w:pPr>
            <w:r>
              <w:t>85.86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r>
              <w:t>28.53</w:t>
            </w:r>
          </w:p>
        </w:tc>
      </w:tr>
    </w:tbl>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w:t>
      </w:r>
      <w:r>
        <w:rPr>
          <w:rFonts w:hint="eastAsia" w:eastAsia="方正仿宋_GBK"/>
          <w:color w:val="000000"/>
          <w:sz w:val="28"/>
          <w:lang w:eastAsia="zh-CN"/>
        </w:rPr>
        <w:t>单位</w:t>
      </w:r>
      <w:r>
        <w:rPr>
          <w:rFonts w:eastAsia="方正仿宋_GBK"/>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w:t>
      </w:r>
      <w:r>
        <w:rPr>
          <w:rFonts w:hint="eastAsia" w:eastAsia="方正仿宋_GBK"/>
          <w:color w:val="000000"/>
          <w:sz w:val="28"/>
          <w:lang w:eastAsia="zh-CN"/>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w:t>
      </w:r>
      <w:r>
        <w:rPr>
          <w:rFonts w:hint="eastAsia" w:eastAsia="方正仿宋_GBK"/>
          <w:color w:val="000000"/>
          <w:sz w:val="28"/>
          <w:lang w:eastAsia="zh-CN"/>
        </w:rPr>
        <w:t>单位</w:t>
      </w:r>
      <w:r>
        <w:rPr>
          <w:rFonts w:eastAsia="方正仿宋_GBK"/>
          <w:color w:val="000000"/>
          <w:sz w:val="28"/>
        </w:rPr>
        <w:t>无其他需要说明的事项。</w:t>
      </w:r>
    </w:p>
    <w:p>
      <w:pPr>
        <w:jc w:val="center"/>
      </w:pPr>
    </w:p>
    <w:p>
      <w:pPr>
        <w:jc w:val="center"/>
      </w:pPr>
    </w:p>
    <w:p>
      <w:pPr>
        <w:jc w:val="center"/>
      </w:pPr>
    </w:p>
    <w:p>
      <w:pPr>
        <w:jc w:val="center"/>
      </w:pPr>
    </w:p>
    <w:p>
      <w:pPr>
        <w:jc w:val="center"/>
      </w:pP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hMTNmZjhmNjBhZjUxNjZkMWIyMjg1OWMxMjIyYmIifQ=="/>
  </w:docVars>
  <w:rsids>
    <w:rsidRoot w:val="00680706"/>
    <w:rsid w:val="00007195"/>
    <w:rsid w:val="00070D61"/>
    <w:rsid w:val="00171F0F"/>
    <w:rsid w:val="002D2B0B"/>
    <w:rsid w:val="003A5150"/>
    <w:rsid w:val="003F5F43"/>
    <w:rsid w:val="00577504"/>
    <w:rsid w:val="00606F16"/>
    <w:rsid w:val="00614551"/>
    <w:rsid w:val="00680706"/>
    <w:rsid w:val="00B07F1C"/>
    <w:rsid w:val="00C94733"/>
    <w:rsid w:val="039D7B38"/>
    <w:rsid w:val="044C330C"/>
    <w:rsid w:val="0988635C"/>
    <w:rsid w:val="09A11A04"/>
    <w:rsid w:val="0B310B66"/>
    <w:rsid w:val="0D5F19BA"/>
    <w:rsid w:val="10615A49"/>
    <w:rsid w:val="10A8730A"/>
    <w:rsid w:val="147944A1"/>
    <w:rsid w:val="15EA52B2"/>
    <w:rsid w:val="176C18A3"/>
    <w:rsid w:val="1E4F2C3F"/>
    <w:rsid w:val="1F09345F"/>
    <w:rsid w:val="207215AC"/>
    <w:rsid w:val="235F406A"/>
    <w:rsid w:val="28221DF8"/>
    <w:rsid w:val="28E82CA0"/>
    <w:rsid w:val="2AF7727E"/>
    <w:rsid w:val="2B000844"/>
    <w:rsid w:val="2BC058C2"/>
    <w:rsid w:val="2C5C3A25"/>
    <w:rsid w:val="300F0BC6"/>
    <w:rsid w:val="33DE547F"/>
    <w:rsid w:val="35D94150"/>
    <w:rsid w:val="3EE841D8"/>
    <w:rsid w:val="3F744EE9"/>
    <w:rsid w:val="3F93711E"/>
    <w:rsid w:val="44444E8A"/>
    <w:rsid w:val="458B0897"/>
    <w:rsid w:val="45B20519"/>
    <w:rsid w:val="4F110FA8"/>
    <w:rsid w:val="50EC0D83"/>
    <w:rsid w:val="525E7A5F"/>
    <w:rsid w:val="53B06098"/>
    <w:rsid w:val="5429674D"/>
    <w:rsid w:val="57F76F8F"/>
    <w:rsid w:val="58FB6B3E"/>
    <w:rsid w:val="5F976423"/>
    <w:rsid w:val="60402FF6"/>
    <w:rsid w:val="613C7109"/>
    <w:rsid w:val="622F0AD0"/>
    <w:rsid w:val="657A592E"/>
    <w:rsid w:val="668E55E9"/>
    <w:rsid w:val="687A05CB"/>
    <w:rsid w:val="69C10A44"/>
    <w:rsid w:val="6F8A0D5F"/>
    <w:rsid w:val="73D9089C"/>
    <w:rsid w:val="75E55C1E"/>
    <w:rsid w:val="7A89643A"/>
    <w:rsid w:val="7C112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38"/>
    <w:semiHidden/>
    <w:unhideWhenUsed/>
    <w:qFormat/>
    <w:uiPriority w:val="99"/>
    <w:pPr>
      <w:tabs>
        <w:tab w:val="center" w:pos="4153"/>
        <w:tab w:val="right" w:pos="8306"/>
      </w:tabs>
      <w:snapToGrid w:val="0"/>
    </w:pPr>
    <w:rPr>
      <w:sz w:val="18"/>
      <w:szCs w:val="18"/>
    </w:rPr>
  </w:style>
  <w:style w:type="paragraph" w:styleId="3">
    <w:name w:val="header"/>
    <w:basedOn w:val="1"/>
    <w:link w:val="3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Normal_4ef171fc-5f38-43e5-b474-60f89735c1e0"/>
    <w:qFormat/>
    <w:uiPriority w:val="0"/>
    <w:rPr>
      <w:rFonts w:ascii="Times New Roman" w:hAnsi="Times New Roman" w:eastAsia="Times New Roman" w:cs="Times New Roman"/>
      <w:sz w:val="24"/>
      <w:szCs w:val="24"/>
      <w:lang w:val="en-US" w:eastAsia="uk-UA" w:bidi="ar-SA"/>
    </w:rPr>
  </w:style>
  <w:style w:type="paragraph" w:customStyle="1" w:styleId="25">
    <w:name w:val="单元格样式1_bd01a525-21a0-426d-8cca-8429361c282c"/>
    <w:basedOn w:val="1"/>
    <w:qFormat/>
    <w:uiPriority w:val="0"/>
    <w:pPr>
      <w:jc w:val="center"/>
    </w:pPr>
    <w:rPr>
      <w:rFonts w:ascii="方正书宋_GBK" w:hAnsi="方正书宋_GBK" w:eastAsia="方正书宋_GBK" w:cs="方正书宋_GBK"/>
      <w:b/>
      <w:sz w:val="21"/>
    </w:rPr>
  </w:style>
  <w:style w:type="paragraph" w:customStyle="1" w:styleId="26">
    <w:name w:val="单元格样式2_efca2c3b-653f-4a36-b5b6-546928104cc7"/>
    <w:basedOn w:val="1"/>
    <w:qFormat/>
    <w:uiPriority w:val="0"/>
    <w:rPr>
      <w:rFonts w:ascii="方正书宋_GBK" w:hAnsi="方正书宋_GBK" w:eastAsia="方正书宋_GBK" w:cs="方正书宋_GBK"/>
      <w:sz w:val="21"/>
    </w:rPr>
  </w:style>
  <w:style w:type="paragraph" w:customStyle="1" w:styleId="27">
    <w:name w:val="单元格样式3_006338eb-06dd-4f6f-a2d5-8843b401c6d2"/>
    <w:basedOn w:val="1"/>
    <w:qFormat/>
    <w:uiPriority w:val="0"/>
    <w:pPr>
      <w:jc w:val="center"/>
    </w:pPr>
    <w:rPr>
      <w:rFonts w:ascii="方正书宋_GBK" w:hAnsi="方正书宋_GBK" w:eastAsia="方正书宋_GBK" w:cs="方正书宋_GBK"/>
      <w:sz w:val="21"/>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3">
    <w:name w:val="TOC 2"/>
    <w:basedOn w:val="1"/>
    <w:autoRedefine/>
    <w:qFormat/>
    <w:uiPriority w:val="0"/>
    <w:pPr>
      <w:ind w:left="240"/>
    </w:pPr>
  </w:style>
  <w:style w:type="paragraph" w:customStyle="1" w:styleId="34">
    <w:name w:val="TOC 3"/>
    <w:basedOn w:val="1"/>
    <w:autoRedefine/>
    <w:qFormat/>
    <w:uiPriority w:val="0"/>
    <w:pPr>
      <w:ind w:left="480"/>
    </w:pPr>
  </w:style>
  <w:style w:type="paragraph" w:customStyle="1" w:styleId="35">
    <w:name w:val="TOC 4"/>
    <w:basedOn w:val="1"/>
    <w:autoRedefine/>
    <w:qFormat/>
    <w:uiPriority w:val="0"/>
    <w:pPr>
      <w:ind w:left="720"/>
    </w:pPr>
  </w:style>
  <w:style w:type="paragraph" w:customStyle="1" w:styleId="36">
    <w:name w:val="TOC 1"/>
    <w:basedOn w:val="1"/>
    <w:autoRedefine/>
    <w:qFormat/>
    <w:uiPriority w:val="0"/>
    <w:pPr>
      <w:spacing w:before="120"/>
      <w:ind w:firstLine="560"/>
    </w:pPr>
    <w:rPr>
      <w:rFonts w:eastAsia="方正仿宋_GBK"/>
      <w:color w:val="000000"/>
      <w:sz w:val="28"/>
    </w:rPr>
  </w:style>
  <w:style w:type="character" w:customStyle="1" w:styleId="37">
    <w:name w:val="页眉 Char"/>
    <w:basedOn w:val="6"/>
    <w:link w:val="3"/>
    <w:autoRedefine/>
    <w:semiHidden/>
    <w:qFormat/>
    <w:uiPriority w:val="99"/>
    <w:rPr>
      <w:rFonts w:eastAsia="Times New Roman"/>
      <w:sz w:val="18"/>
      <w:szCs w:val="18"/>
      <w:lang w:eastAsia="uk-UA"/>
    </w:rPr>
  </w:style>
  <w:style w:type="character" w:customStyle="1" w:styleId="38">
    <w:name w:val="页脚 Char"/>
    <w:basedOn w:val="6"/>
    <w:link w:val="2"/>
    <w:autoRedefine/>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2022-02-10T16:53:21Z</dcterms:created>
  <dcterms:modified xsi:type="dcterms:W3CDTF">2022-02-10T08:53:21Z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2022-02-10T16:53:19Z</dcterms:created>
  <dcterms:modified xsi:type="dcterms:W3CDTF">2022-02-10T08:53:19Z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2022-02-10T16:53:17Z</dcterms:created>
  <dcterms:modified xsi:type="dcterms:W3CDTF">2022-02-10T08:53:17Z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2022-02-10T16:53:23Z</dcterms:created>
  <dcterms:modified xsi:type="dcterms:W3CDTF">2022-02-10T08:53:23Z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C4473FE-F99E-4F6B-9D10-4B70CD146522}">
  <ds:schemaRefs/>
</ds:datastoreItem>
</file>

<file path=customXml/itemProps2.xml><?xml version="1.0" encoding="utf-8"?>
<ds:datastoreItem xmlns:ds="http://schemas.openxmlformats.org/officeDocument/2006/customXml" ds:itemID="{DA83DB7C-DC78-4198-896C-9FF7812E42D4}">
  <ds:schemaRefs/>
</ds:datastoreItem>
</file>

<file path=customXml/itemProps3.xml><?xml version="1.0" encoding="utf-8"?>
<ds:datastoreItem xmlns:ds="http://schemas.openxmlformats.org/officeDocument/2006/customXml" ds:itemID="{FE97B620-C0D4-47BC-A879-D99DB2EB4239}">
  <ds:schemaRefs/>
</ds:datastoreItem>
</file>

<file path=customXml/itemProps4.xml><?xml version="1.0" encoding="utf-8"?>
<ds:datastoreItem xmlns:ds="http://schemas.openxmlformats.org/officeDocument/2006/customXml" ds:itemID="{78FB3BE8-A9A3-414F-9620-560F6FBFA9DF}">
  <ds:schemaRefs/>
</ds:datastoreItem>
</file>

<file path=customXml/itemProps5.xml><?xml version="1.0" encoding="utf-8"?>
<ds:datastoreItem xmlns:ds="http://schemas.openxmlformats.org/officeDocument/2006/customXml" ds:itemID="{B9373238-AA71-405E-861D-32EC53581032}">
  <ds:schemaRefs/>
</ds:datastoreItem>
</file>

<file path=customXml/itemProps6.xml><?xml version="1.0" encoding="utf-8"?>
<ds:datastoreItem xmlns:ds="http://schemas.openxmlformats.org/officeDocument/2006/customXml" ds:itemID="{A354118E-E966-4655-9BD6-B88CAB9757AB}">
  <ds:schemaRefs/>
</ds:datastoreItem>
</file>

<file path=customXml/itemProps7.xml><?xml version="1.0" encoding="utf-8"?>
<ds:datastoreItem xmlns:ds="http://schemas.openxmlformats.org/officeDocument/2006/customXml" ds:itemID="{4C1B6212-CC1D-4355-A89E-8B3711EE48E2}">
  <ds:schemaRefs/>
</ds:datastoreItem>
</file>

<file path=customXml/itemProps8.xml><?xml version="1.0" encoding="utf-8"?>
<ds:datastoreItem xmlns:ds="http://schemas.openxmlformats.org/officeDocument/2006/customXml" ds:itemID="{26176BB4-F905-42C4-8EF1-7493BB6A493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12163</Words>
  <Characters>14329</Characters>
  <Lines>93</Lines>
  <Paragraphs>66</Paragraphs>
  <TotalTime>0</TotalTime>
  <ScaleCrop>false</ScaleCrop>
  <LinksUpToDate>false</LinksUpToDate>
  <CharactersWithSpaces>14534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2022-02-10T09:03:00Z</dcterms:created>
  <dc:creator>Administrator</dc:creator>
  <cp:lastModifiedBy>靖晓晓</cp:lastModifiedBy>
  <dcterms:modified xsi:type="dcterms:W3CDTF">2024-03-17T01:59:20Z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5C7C32341DA6483CA236EB9B7C45B0A1_13</vt:lpwstr>
  </property>
</Properties>
</file>