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一、青龙满族自治县人民政府都阳路街道办事处本级收支预算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一、青龙满族自治县人民政府都阳路街道办事处本级收支预算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1140.56</w:t>
            </w:r>
          </w:p>
        </w:tc>
        <w:tc>
          <w:tcPr>
            <w:tcW w:w="4535" w:type="dxa"/>
            <w:vAlign w:val="center"/>
          </w:tcPr>
          <w:p>
            <w:pPr>
              <w:pStyle w:val="13"/>
            </w:pPr>
            <w:r>
              <w:t>一、一般公共服务支出</w:t>
            </w:r>
          </w:p>
        </w:tc>
        <w:tc>
          <w:tcPr>
            <w:tcW w:w="2126" w:type="dxa"/>
            <w:vAlign w:val="center"/>
          </w:tcPr>
          <w:p>
            <w:pPr>
              <w:pStyle w:val="12"/>
            </w:pPr>
            <w:r>
              <w:t>893.18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46.27</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278.39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1186.83</w:t>
            </w:r>
          </w:p>
        </w:tc>
        <w:tc>
          <w:tcPr>
            <w:tcW w:w="4535" w:type="dxa"/>
            <w:vAlign w:val="center"/>
          </w:tcPr>
          <w:p>
            <w:pPr>
              <w:pStyle w:val="15"/>
            </w:pPr>
            <w:r>
              <w:t>本年支出合计</w:t>
            </w:r>
          </w:p>
        </w:tc>
        <w:tc>
          <w:tcPr>
            <w:tcW w:w="2126" w:type="dxa"/>
            <w:vAlign w:val="center"/>
          </w:tcPr>
          <w:p>
            <w:pPr>
              <w:pStyle w:val="16"/>
            </w:pPr>
            <w:r>
              <w:t>1284.59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97.77</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1284.59</w:t>
            </w:r>
          </w:p>
        </w:tc>
        <w:tc>
          <w:tcPr>
            <w:tcW w:w="4535" w:type="dxa"/>
            <w:vAlign w:val="center"/>
          </w:tcPr>
          <w:p>
            <w:pPr>
              <w:pStyle w:val="15"/>
            </w:pPr>
            <w:r>
              <w:t>支出总计</w:t>
            </w:r>
          </w:p>
        </w:tc>
        <w:tc>
          <w:tcPr>
            <w:tcW w:w="2126" w:type="dxa"/>
            <w:vAlign w:val="center"/>
          </w:tcPr>
          <w:p>
            <w:pPr>
              <w:pStyle w:val="16"/>
            </w:pPr>
            <w:r>
              <w:t>1284.59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1284.59</w:t>
            </w:r>
          </w:p>
        </w:tc>
        <w:tc>
          <w:tcPr>
            <w:tcW w:w="1134" w:type="dxa"/>
            <w:vAlign w:val="center"/>
          </w:tcPr>
          <w:p>
            <w:pPr>
              <w:pStyle w:val="16"/>
            </w:pPr>
            <w:r>
              <w:t>1186.83</w:t>
            </w:r>
          </w:p>
        </w:tc>
        <w:tc>
          <w:tcPr>
            <w:tcW w:w="1134" w:type="dxa"/>
            <w:vAlign w:val="center"/>
          </w:tcPr>
          <w:p>
            <w:pPr>
              <w:pStyle w:val="16"/>
            </w:pPr>
            <w:r>
              <w:t>1186.83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893.18</w:t>
            </w:r>
          </w:p>
        </w:tc>
        <w:tc>
          <w:tcPr>
            <w:tcW w:w="1134" w:type="dxa"/>
            <w:vAlign w:val="center"/>
          </w:tcPr>
          <w:p>
            <w:pPr>
              <w:pStyle w:val="12"/>
            </w:pPr>
            <w:r>
              <w:t>870.03</w:t>
            </w:r>
          </w:p>
        </w:tc>
        <w:tc>
          <w:tcPr>
            <w:tcW w:w="1134" w:type="dxa"/>
            <w:vAlign w:val="center"/>
          </w:tcPr>
          <w:p>
            <w:pPr>
              <w:pStyle w:val="12"/>
            </w:pPr>
            <w:r>
              <w:t>870.03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881.68</w:t>
            </w:r>
          </w:p>
        </w:tc>
        <w:tc>
          <w:tcPr>
            <w:tcW w:w="1134" w:type="dxa"/>
            <w:vAlign w:val="center"/>
          </w:tcPr>
          <w:p>
            <w:pPr>
              <w:pStyle w:val="12"/>
            </w:pPr>
            <w:r>
              <w:t>863.53</w:t>
            </w:r>
          </w:p>
        </w:tc>
        <w:tc>
          <w:tcPr>
            <w:tcW w:w="1134" w:type="dxa"/>
            <w:vAlign w:val="center"/>
          </w:tcPr>
          <w:p>
            <w:pPr>
              <w:pStyle w:val="12"/>
            </w:pPr>
            <w:r>
              <w:t>863.53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703.67</w:t>
            </w:r>
          </w:p>
        </w:tc>
        <w:tc>
          <w:tcPr>
            <w:tcW w:w="1134" w:type="dxa"/>
            <w:vAlign w:val="center"/>
          </w:tcPr>
          <w:p>
            <w:pPr>
              <w:pStyle w:val="12"/>
            </w:pPr>
            <w:r>
              <w:t>685.52</w:t>
            </w:r>
          </w:p>
        </w:tc>
        <w:tc>
          <w:tcPr>
            <w:tcW w:w="1134" w:type="dxa"/>
            <w:vAlign w:val="center"/>
          </w:tcPr>
          <w:p>
            <w:pPr>
              <w:pStyle w:val="12"/>
            </w:pPr>
            <w:r>
              <w:t>685.52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175.01</w:t>
            </w:r>
          </w:p>
        </w:tc>
        <w:tc>
          <w:tcPr>
            <w:tcW w:w="1134" w:type="dxa"/>
            <w:vAlign w:val="center"/>
          </w:tcPr>
          <w:p>
            <w:pPr>
              <w:pStyle w:val="12"/>
            </w:pPr>
            <w:r>
              <w:t>175.01</w:t>
            </w:r>
          </w:p>
        </w:tc>
        <w:tc>
          <w:tcPr>
            <w:tcW w:w="1134" w:type="dxa"/>
            <w:vAlign w:val="center"/>
          </w:tcPr>
          <w:p>
            <w:pPr>
              <w:pStyle w:val="12"/>
            </w:pPr>
            <w:r>
              <w:t>175.01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10.50</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10.50</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57.20</w:t>
            </w:r>
          </w:p>
        </w:tc>
        <w:tc>
          <w:tcPr>
            <w:tcW w:w="1134" w:type="dxa"/>
            <w:vAlign w:val="center"/>
          </w:tcPr>
          <w:p>
            <w:pPr>
              <w:pStyle w:val="12"/>
            </w:pPr>
            <w:r>
              <w:t>57.20</w:t>
            </w:r>
          </w:p>
        </w:tc>
        <w:tc>
          <w:tcPr>
            <w:tcW w:w="1134" w:type="dxa"/>
            <w:vAlign w:val="center"/>
          </w:tcPr>
          <w:p>
            <w:pPr>
              <w:pStyle w:val="12"/>
            </w:pPr>
            <w:r>
              <w:t>57.20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57.20</w:t>
            </w:r>
          </w:p>
        </w:tc>
        <w:tc>
          <w:tcPr>
            <w:tcW w:w="1134" w:type="dxa"/>
            <w:vAlign w:val="center"/>
          </w:tcPr>
          <w:p>
            <w:pPr>
              <w:pStyle w:val="12"/>
            </w:pPr>
            <w:r>
              <w:t>57.20</w:t>
            </w:r>
          </w:p>
        </w:tc>
        <w:tc>
          <w:tcPr>
            <w:tcW w:w="1134" w:type="dxa"/>
            <w:vAlign w:val="center"/>
          </w:tcPr>
          <w:p>
            <w:pPr>
              <w:pStyle w:val="12"/>
            </w:pPr>
            <w:r>
              <w:t>57.20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13.07</w:t>
            </w:r>
          </w:p>
        </w:tc>
        <w:tc>
          <w:tcPr>
            <w:tcW w:w="1134" w:type="dxa"/>
            <w:vAlign w:val="center"/>
          </w:tcPr>
          <w:p>
            <w:pPr>
              <w:pStyle w:val="12"/>
            </w:pPr>
            <w:r>
              <w:t>13.07</w:t>
            </w:r>
          </w:p>
        </w:tc>
        <w:tc>
          <w:tcPr>
            <w:tcW w:w="1134" w:type="dxa"/>
            <w:vAlign w:val="center"/>
          </w:tcPr>
          <w:p>
            <w:pPr>
              <w:pStyle w:val="12"/>
            </w:pPr>
            <w:r>
              <w:t>13.07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44.13</w:t>
            </w:r>
          </w:p>
        </w:tc>
        <w:tc>
          <w:tcPr>
            <w:tcW w:w="1134" w:type="dxa"/>
            <w:vAlign w:val="center"/>
          </w:tcPr>
          <w:p>
            <w:pPr>
              <w:pStyle w:val="12"/>
            </w:pPr>
            <w:r>
              <w:t>44.13</w:t>
            </w:r>
          </w:p>
        </w:tc>
        <w:tc>
          <w:tcPr>
            <w:tcW w:w="1134" w:type="dxa"/>
            <w:vAlign w:val="center"/>
          </w:tcPr>
          <w:p>
            <w:pPr>
              <w:pStyle w:val="12"/>
            </w:pPr>
            <w:r>
              <w:t>44.13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33.03</w:t>
            </w:r>
          </w:p>
        </w:tc>
        <w:tc>
          <w:tcPr>
            <w:tcW w:w="1134" w:type="dxa"/>
            <w:vAlign w:val="center"/>
          </w:tcPr>
          <w:p>
            <w:pPr>
              <w:pStyle w:val="12"/>
            </w:pPr>
            <w:r>
              <w:t>32.54</w:t>
            </w:r>
          </w:p>
        </w:tc>
        <w:tc>
          <w:tcPr>
            <w:tcW w:w="1134" w:type="dxa"/>
            <w:vAlign w:val="center"/>
          </w:tcPr>
          <w:p>
            <w:pPr>
              <w:pStyle w:val="12"/>
            </w:pPr>
            <w:r>
              <w:t>32.54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9.99</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9.99</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23.04</w:t>
            </w:r>
          </w:p>
        </w:tc>
        <w:tc>
          <w:tcPr>
            <w:tcW w:w="1134" w:type="dxa"/>
            <w:vAlign w:val="center"/>
          </w:tcPr>
          <w:p>
            <w:pPr>
              <w:pStyle w:val="12"/>
            </w:pPr>
            <w:r>
              <w:t>23.04</w:t>
            </w:r>
          </w:p>
        </w:tc>
        <w:tc>
          <w:tcPr>
            <w:tcW w:w="1134" w:type="dxa"/>
            <w:vAlign w:val="center"/>
          </w:tcPr>
          <w:p>
            <w:pPr>
              <w:pStyle w:val="12"/>
            </w:pPr>
            <w:r>
              <w:t>23.04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8.88</w:t>
            </w:r>
          </w:p>
        </w:tc>
        <w:tc>
          <w:tcPr>
            <w:tcW w:w="1134" w:type="dxa"/>
            <w:vAlign w:val="center"/>
          </w:tcPr>
          <w:p>
            <w:pPr>
              <w:pStyle w:val="12"/>
            </w:pPr>
            <w:r>
              <w:t>8.88</w:t>
            </w:r>
          </w:p>
        </w:tc>
        <w:tc>
          <w:tcPr>
            <w:tcW w:w="1134" w:type="dxa"/>
            <w:vAlign w:val="center"/>
          </w:tcPr>
          <w:p>
            <w:pPr>
              <w:pStyle w:val="12"/>
            </w:pPr>
            <w:r>
              <w:t>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14.16</w:t>
            </w:r>
          </w:p>
        </w:tc>
        <w:tc>
          <w:tcPr>
            <w:tcW w:w="1134" w:type="dxa"/>
            <w:vAlign w:val="center"/>
          </w:tcPr>
          <w:p>
            <w:pPr>
              <w:pStyle w:val="12"/>
            </w:pPr>
            <w:r>
              <w:t>14.16</w:t>
            </w:r>
          </w:p>
        </w:tc>
        <w:tc>
          <w:tcPr>
            <w:tcW w:w="1134" w:type="dxa"/>
            <w:vAlign w:val="center"/>
          </w:tcPr>
          <w:p>
            <w:pPr>
              <w:pStyle w:val="12"/>
            </w:pPr>
            <w:r>
              <w:t>14.16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278.39</w:t>
            </w:r>
          </w:p>
        </w:tc>
        <w:tc>
          <w:tcPr>
            <w:tcW w:w="1134" w:type="dxa"/>
            <w:vAlign w:val="center"/>
          </w:tcPr>
          <w:p>
            <w:pPr>
              <w:pStyle w:val="12"/>
            </w:pPr>
            <w:r>
              <w:t>204.27</w:t>
            </w:r>
          </w:p>
        </w:tc>
        <w:tc>
          <w:tcPr>
            <w:tcW w:w="1134" w:type="dxa"/>
            <w:vAlign w:val="center"/>
          </w:tcPr>
          <w:p>
            <w:pPr>
              <w:pStyle w:val="12"/>
            </w:pPr>
            <w:r>
              <w:t>204.27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232.12</w:t>
            </w:r>
          </w:p>
        </w:tc>
        <w:tc>
          <w:tcPr>
            <w:tcW w:w="1134" w:type="dxa"/>
            <w:vAlign w:val="center"/>
          </w:tcPr>
          <w:p>
            <w:pPr>
              <w:pStyle w:val="12"/>
            </w:pPr>
            <w:r>
              <w:t>158.00</w:t>
            </w:r>
          </w:p>
        </w:tc>
        <w:tc>
          <w:tcPr>
            <w:tcW w:w="1134" w:type="dxa"/>
            <w:vAlign w:val="center"/>
          </w:tcPr>
          <w:p>
            <w:pPr>
              <w:pStyle w:val="12"/>
            </w:pPr>
            <w:r>
              <w:t>158.00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101.12</w:t>
            </w:r>
          </w:p>
        </w:tc>
        <w:tc>
          <w:tcPr>
            <w:tcW w:w="1134" w:type="dxa"/>
            <w:vAlign w:val="center"/>
          </w:tcPr>
          <w:p>
            <w:pPr>
              <w:pStyle w:val="12"/>
            </w:pPr>
            <w:r>
              <w:t>58.00</w:t>
            </w:r>
          </w:p>
        </w:tc>
        <w:tc>
          <w:tcPr>
            <w:tcW w:w="1134" w:type="dxa"/>
            <w:vAlign w:val="center"/>
          </w:tcPr>
          <w:p>
            <w:pPr>
              <w:pStyle w:val="12"/>
            </w:pPr>
            <w:r>
              <w:t>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131.00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46.27</w:t>
            </w:r>
          </w:p>
        </w:tc>
        <w:tc>
          <w:tcPr>
            <w:tcW w:w="1134" w:type="dxa"/>
            <w:vAlign w:val="center"/>
          </w:tcPr>
          <w:p>
            <w:pPr>
              <w:pStyle w:val="12"/>
            </w:pPr>
            <w:r>
              <w:t>46.27</w:t>
            </w:r>
          </w:p>
        </w:tc>
        <w:tc>
          <w:tcPr>
            <w:tcW w:w="1134" w:type="dxa"/>
            <w:vAlign w:val="center"/>
          </w:tcPr>
          <w:p>
            <w:pPr>
              <w:pStyle w:val="12"/>
            </w:pPr>
            <w:r>
              <w:t>46.27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46.27</w:t>
            </w:r>
          </w:p>
        </w:tc>
        <w:tc>
          <w:tcPr>
            <w:tcW w:w="1134" w:type="dxa"/>
            <w:vAlign w:val="center"/>
          </w:tcPr>
          <w:p>
            <w:pPr>
              <w:pStyle w:val="12"/>
            </w:pPr>
            <w:r>
              <w:t>46.27</w:t>
            </w:r>
          </w:p>
        </w:tc>
        <w:tc>
          <w:tcPr>
            <w:tcW w:w="1134" w:type="dxa"/>
            <w:vAlign w:val="center"/>
          </w:tcPr>
          <w:p>
            <w:pPr>
              <w:pStyle w:val="12"/>
            </w:pPr>
            <w:r>
              <w:t>46.27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22.79</w:t>
            </w:r>
          </w:p>
        </w:tc>
        <w:tc>
          <w:tcPr>
            <w:tcW w:w="1134" w:type="dxa"/>
            <w:vAlign w:val="center"/>
          </w:tcPr>
          <w:p>
            <w:pPr>
              <w:pStyle w:val="12"/>
            </w:pPr>
            <w:r>
              <w:t>22.79</w:t>
            </w:r>
          </w:p>
        </w:tc>
        <w:tc>
          <w:tcPr>
            <w:tcW w:w="1134" w:type="dxa"/>
            <w:vAlign w:val="center"/>
          </w:tcPr>
          <w:p>
            <w:pPr>
              <w:pStyle w:val="12"/>
            </w:pPr>
            <w:r>
              <w:t>22.79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22.79</w:t>
            </w:r>
          </w:p>
        </w:tc>
        <w:tc>
          <w:tcPr>
            <w:tcW w:w="1134" w:type="dxa"/>
            <w:vAlign w:val="center"/>
          </w:tcPr>
          <w:p>
            <w:pPr>
              <w:pStyle w:val="12"/>
            </w:pPr>
            <w:r>
              <w:t>22.79</w:t>
            </w:r>
          </w:p>
        </w:tc>
        <w:tc>
          <w:tcPr>
            <w:tcW w:w="1134" w:type="dxa"/>
            <w:vAlign w:val="center"/>
          </w:tcPr>
          <w:p>
            <w:pPr>
              <w:pStyle w:val="12"/>
            </w:pPr>
            <w:r>
              <w:t>22.79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22.79</w:t>
            </w:r>
          </w:p>
        </w:tc>
        <w:tc>
          <w:tcPr>
            <w:tcW w:w="1134" w:type="dxa"/>
            <w:vAlign w:val="center"/>
          </w:tcPr>
          <w:p>
            <w:pPr>
              <w:pStyle w:val="12"/>
            </w:pPr>
            <w:r>
              <w:t>22.79</w:t>
            </w:r>
          </w:p>
        </w:tc>
        <w:tc>
          <w:tcPr>
            <w:tcW w:w="1134" w:type="dxa"/>
            <w:vAlign w:val="center"/>
          </w:tcPr>
          <w:p>
            <w:pPr>
              <w:pStyle w:val="12"/>
            </w:pPr>
            <w:r>
              <w:t>22.79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1284.59</w:t>
            </w:r>
          </w:p>
        </w:tc>
        <w:tc>
          <w:tcPr>
            <w:tcW w:w="1361" w:type="dxa"/>
            <w:vAlign w:val="center"/>
          </w:tcPr>
          <w:p>
            <w:pPr>
              <w:pStyle w:val="16"/>
            </w:pPr>
            <w:r>
              <w:t>981.71</w:t>
            </w:r>
          </w:p>
        </w:tc>
        <w:tc>
          <w:tcPr>
            <w:tcW w:w="1361" w:type="dxa"/>
            <w:vAlign w:val="center"/>
          </w:tcPr>
          <w:p>
            <w:pPr>
              <w:pStyle w:val="16"/>
            </w:pPr>
            <w:r>
              <w:t>302.88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893.18</w:t>
            </w:r>
          </w:p>
        </w:tc>
        <w:tc>
          <w:tcPr>
            <w:tcW w:w="1361" w:type="dxa"/>
            <w:vAlign w:val="center"/>
          </w:tcPr>
          <w:p>
            <w:pPr>
              <w:pStyle w:val="12"/>
            </w:pPr>
            <w:r>
              <w:t>878.68</w:t>
            </w:r>
          </w:p>
        </w:tc>
        <w:tc>
          <w:tcPr>
            <w:tcW w:w="1361" w:type="dxa"/>
            <w:vAlign w:val="center"/>
          </w:tcPr>
          <w:p>
            <w:pPr>
              <w:pStyle w:val="12"/>
            </w:pPr>
            <w:r>
              <w:t>14.50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881.68</w:t>
            </w:r>
          </w:p>
        </w:tc>
        <w:tc>
          <w:tcPr>
            <w:tcW w:w="1361" w:type="dxa"/>
            <w:vAlign w:val="center"/>
          </w:tcPr>
          <w:p>
            <w:pPr>
              <w:pStyle w:val="12"/>
            </w:pPr>
            <w:r>
              <w:t>878.68</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703.67</w:t>
            </w:r>
          </w:p>
        </w:tc>
        <w:tc>
          <w:tcPr>
            <w:tcW w:w="1361" w:type="dxa"/>
            <w:vAlign w:val="center"/>
          </w:tcPr>
          <w:p>
            <w:pPr>
              <w:pStyle w:val="12"/>
            </w:pPr>
            <w:r>
              <w:t>703.67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175.01</w:t>
            </w:r>
          </w:p>
        </w:tc>
        <w:tc>
          <w:tcPr>
            <w:tcW w:w="1361" w:type="dxa"/>
            <w:vAlign w:val="center"/>
          </w:tcPr>
          <w:p>
            <w:pPr>
              <w:pStyle w:val="12"/>
            </w:pPr>
            <w:r>
              <w:t>175.01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10.50</w:t>
            </w:r>
          </w:p>
        </w:tc>
        <w:tc>
          <w:tcPr>
            <w:tcW w:w="1361" w:type="dxa"/>
            <w:vAlign w:val="center"/>
          </w:tcPr>
          <w:p>
            <w:pPr>
              <w:pStyle w:val="12"/>
            </w:pPr>
          </w:p>
        </w:tc>
        <w:tc>
          <w:tcPr>
            <w:tcW w:w="1361" w:type="dxa"/>
            <w:vAlign w:val="center"/>
          </w:tcPr>
          <w:p>
            <w:pPr>
              <w:pStyle w:val="12"/>
            </w:pPr>
            <w:r>
              <w:t>10.50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10.50</w:t>
            </w:r>
          </w:p>
        </w:tc>
        <w:tc>
          <w:tcPr>
            <w:tcW w:w="1361" w:type="dxa"/>
            <w:vAlign w:val="center"/>
          </w:tcPr>
          <w:p>
            <w:pPr>
              <w:pStyle w:val="12"/>
            </w:pPr>
          </w:p>
        </w:tc>
        <w:tc>
          <w:tcPr>
            <w:tcW w:w="1361" w:type="dxa"/>
            <w:vAlign w:val="center"/>
          </w:tcPr>
          <w:p>
            <w:pPr>
              <w:pStyle w:val="12"/>
            </w:pPr>
            <w:r>
              <w:t>10.50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57.20</w:t>
            </w:r>
          </w:p>
        </w:tc>
        <w:tc>
          <w:tcPr>
            <w:tcW w:w="1361" w:type="dxa"/>
            <w:vAlign w:val="center"/>
          </w:tcPr>
          <w:p>
            <w:pPr>
              <w:pStyle w:val="12"/>
            </w:pPr>
            <w:r>
              <w:t>57.20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57.20</w:t>
            </w:r>
          </w:p>
        </w:tc>
        <w:tc>
          <w:tcPr>
            <w:tcW w:w="1361" w:type="dxa"/>
            <w:vAlign w:val="center"/>
          </w:tcPr>
          <w:p>
            <w:pPr>
              <w:pStyle w:val="12"/>
            </w:pPr>
            <w:r>
              <w:t>57.20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13.07</w:t>
            </w:r>
          </w:p>
        </w:tc>
        <w:tc>
          <w:tcPr>
            <w:tcW w:w="1361" w:type="dxa"/>
            <w:vAlign w:val="center"/>
          </w:tcPr>
          <w:p>
            <w:pPr>
              <w:pStyle w:val="12"/>
            </w:pPr>
            <w:r>
              <w:t>13.07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44.13</w:t>
            </w:r>
          </w:p>
        </w:tc>
        <w:tc>
          <w:tcPr>
            <w:tcW w:w="1361" w:type="dxa"/>
            <w:vAlign w:val="center"/>
          </w:tcPr>
          <w:p>
            <w:pPr>
              <w:pStyle w:val="12"/>
            </w:pPr>
            <w:r>
              <w:t>44.13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33.03</w:t>
            </w:r>
          </w:p>
        </w:tc>
        <w:tc>
          <w:tcPr>
            <w:tcW w:w="1361" w:type="dxa"/>
            <w:vAlign w:val="center"/>
          </w:tcPr>
          <w:p>
            <w:pPr>
              <w:pStyle w:val="12"/>
            </w:pPr>
            <w:r>
              <w:t>23.04</w:t>
            </w:r>
          </w:p>
        </w:tc>
        <w:tc>
          <w:tcPr>
            <w:tcW w:w="1361" w:type="dxa"/>
            <w:vAlign w:val="center"/>
          </w:tcPr>
          <w:p>
            <w:pPr>
              <w:pStyle w:val="12"/>
            </w:pPr>
            <w:r>
              <w:t>9.99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9.99</w:t>
            </w:r>
          </w:p>
        </w:tc>
        <w:tc>
          <w:tcPr>
            <w:tcW w:w="1361" w:type="dxa"/>
            <w:vAlign w:val="center"/>
          </w:tcPr>
          <w:p>
            <w:pPr>
              <w:pStyle w:val="12"/>
            </w:pPr>
          </w:p>
        </w:tc>
        <w:tc>
          <w:tcPr>
            <w:tcW w:w="1361" w:type="dxa"/>
            <w:vAlign w:val="center"/>
          </w:tcPr>
          <w:p>
            <w:pPr>
              <w:pStyle w:val="12"/>
            </w:pPr>
            <w:r>
              <w:t>9.99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9.99</w:t>
            </w:r>
          </w:p>
        </w:tc>
        <w:tc>
          <w:tcPr>
            <w:tcW w:w="1361" w:type="dxa"/>
            <w:vAlign w:val="center"/>
          </w:tcPr>
          <w:p>
            <w:pPr>
              <w:pStyle w:val="12"/>
            </w:pPr>
          </w:p>
        </w:tc>
        <w:tc>
          <w:tcPr>
            <w:tcW w:w="1361" w:type="dxa"/>
            <w:vAlign w:val="center"/>
          </w:tcPr>
          <w:p>
            <w:pPr>
              <w:pStyle w:val="12"/>
            </w:pPr>
            <w:r>
              <w:t>9.99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23.04</w:t>
            </w:r>
          </w:p>
        </w:tc>
        <w:tc>
          <w:tcPr>
            <w:tcW w:w="1361" w:type="dxa"/>
            <w:vAlign w:val="center"/>
          </w:tcPr>
          <w:p>
            <w:pPr>
              <w:pStyle w:val="12"/>
            </w:pPr>
            <w:r>
              <w:t>23.04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8.88</w:t>
            </w:r>
          </w:p>
        </w:tc>
        <w:tc>
          <w:tcPr>
            <w:tcW w:w="1361" w:type="dxa"/>
            <w:vAlign w:val="center"/>
          </w:tcPr>
          <w:p>
            <w:pPr>
              <w:pStyle w:val="12"/>
            </w:pPr>
            <w:r>
              <w:t>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14.16</w:t>
            </w:r>
          </w:p>
        </w:tc>
        <w:tc>
          <w:tcPr>
            <w:tcW w:w="1361" w:type="dxa"/>
            <w:vAlign w:val="center"/>
          </w:tcPr>
          <w:p>
            <w:pPr>
              <w:pStyle w:val="12"/>
            </w:pPr>
            <w:r>
              <w:t>14.16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278.39</w:t>
            </w:r>
          </w:p>
        </w:tc>
        <w:tc>
          <w:tcPr>
            <w:tcW w:w="1361" w:type="dxa"/>
            <w:vAlign w:val="center"/>
          </w:tcPr>
          <w:p>
            <w:pPr>
              <w:pStyle w:val="12"/>
            </w:pPr>
          </w:p>
        </w:tc>
        <w:tc>
          <w:tcPr>
            <w:tcW w:w="1361" w:type="dxa"/>
            <w:vAlign w:val="center"/>
          </w:tcPr>
          <w:p>
            <w:pPr>
              <w:pStyle w:val="12"/>
            </w:pPr>
            <w:r>
              <w:t>278.39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232.12</w:t>
            </w:r>
          </w:p>
        </w:tc>
        <w:tc>
          <w:tcPr>
            <w:tcW w:w="1361" w:type="dxa"/>
            <w:vAlign w:val="center"/>
          </w:tcPr>
          <w:p>
            <w:pPr>
              <w:pStyle w:val="12"/>
            </w:pPr>
          </w:p>
        </w:tc>
        <w:tc>
          <w:tcPr>
            <w:tcW w:w="1361" w:type="dxa"/>
            <w:vAlign w:val="center"/>
          </w:tcPr>
          <w:p>
            <w:pPr>
              <w:pStyle w:val="12"/>
            </w:pPr>
            <w:r>
              <w:t>232.12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101.12</w:t>
            </w:r>
          </w:p>
        </w:tc>
        <w:tc>
          <w:tcPr>
            <w:tcW w:w="1361" w:type="dxa"/>
            <w:vAlign w:val="center"/>
          </w:tcPr>
          <w:p>
            <w:pPr>
              <w:pStyle w:val="12"/>
            </w:pPr>
          </w:p>
        </w:tc>
        <w:tc>
          <w:tcPr>
            <w:tcW w:w="1361" w:type="dxa"/>
            <w:vAlign w:val="center"/>
          </w:tcPr>
          <w:p>
            <w:pPr>
              <w:pStyle w:val="12"/>
            </w:pPr>
            <w:r>
              <w:t>101.12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131.00</w:t>
            </w:r>
          </w:p>
        </w:tc>
        <w:tc>
          <w:tcPr>
            <w:tcW w:w="1361" w:type="dxa"/>
            <w:vAlign w:val="center"/>
          </w:tcPr>
          <w:p>
            <w:pPr>
              <w:pStyle w:val="12"/>
            </w:pPr>
          </w:p>
        </w:tc>
        <w:tc>
          <w:tcPr>
            <w:tcW w:w="1361" w:type="dxa"/>
            <w:vAlign w:val="center"/>
          </w:tcPr>
          <w:p>
            <w:pPr>
              <w:pStyle w:val="12"/>
            </w:pPr>
            <w:r>
              <w:t>131.00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46.27</w:t>
            </w:r>
          </w:p>
        </w:tc>
        <w:tc>
          <w:tcPr>
            <w:tcW w:w="1361" w:type="dxa"/>
            <w:vAlign w:val="center"/>
          </w:tcPr>
          <w:p>
            <w:pPr>
              <w:pStyle w:val="12"/>
            </w:pPr>
          </w:p>
        </w:tc>
        <w:tc>
          <w:tcPr>
            <w:tcW w:w="1361" w:type="dxa"/>
            <w:vAlign w:val="center"/>
          </w:tcPr>
          <w:p>
            <w:pPr>
              <w:pStyle w:val="12"/>
            </w:pPr>
            <w:r>
              <w:t>46.27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46.27</w:t>
            </w:r>
          </w:p>
        </w:tc>
        <w:tc>
          <w:tcPr>
            <w:tcW w:w="1361" w:type="dxa"/>
            <w:vAlign w:val="center"/>
          </w:tcPr>
          <w:p>
            <w:pPr>
              <w:pStyle w:val="12"/>
            </w:pPr>
          </w:p>
        </w:tc>
        <w:tc>
          <w:tcPr>
            <w:tcW w:w="1361" w:type="dxa"/>
            <w:vAlign w:val="center"/>
          </w:tcPr>
          <w:p>
            <w:pPr>
              <w:pStyle w:val="12"/>
            </w:pPr>
            <w:r>
              <w:t>46.27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22.79</w:t>
            </w:r>
          </w:p>
        </w:tc>
        <w:tc>
          <w:tcPr>
            <w:tcW w:w="1361" w:type="dxa"/>
            <w:vAlign w:val="center"/>
          </w:tcPr>
          <w:p>
            <w:pPr>
              <w:pStyle w:val="12"/>
            </w:pPr>
            <w:r>
              <w:t>22.79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22.79</w:t>
            </w:r>
          </w:p>
        </w:tc>
        <w:tc>
          <w:tcPr>
            <w:tcW w:w="1361" w:type="dxa"/>
            <w:vAlign w:val="center"/>
          </w:tcPr>
          <w:p>
            <w:pPr>
              <w:pStyle w:val="12"/>
            </w:pPr>
            <w:r>
              <w:t>22.79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22.79</w:t>
            </w:r>
          </w:p>
        </w:tc>
        <w:tc>
          <w:tcPr>
            <w:tcW w:w="1361" w:type="dxa"/>
            <w:vAlign w:val="center"/>
          </w:tcPr>
          <w:p>
            <w:pPr>
              <w:pStyle w:val="12"/>
            </w:pPr>
            <w:r>
              <w:t>22.79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1140.56</w:t>
            </w:r>
          </w:p>
        </w:tc>
        <w:tc>
          <w:tcPr>
            <w:tcW w:w="3402" w:type="dxa"/>
            <w:vAlign w:val="center"/>
          </w:tcPr>
          <w:p>
            <w:pPr>
              <w:pStyle w:val="13"/>
            </w:pPr>
            <w:r>
              <w:t>一、一般公共服务支出</w:t>
            </w:r>
          </w:p>
        </w:tc>
        <w:tc>
          <w:tcPr>
            <w:tcW w:w="1474" w:type="dxa"/>
            <w:vAlign w:val="center"/>
          </w:tcPr>
          <w:p>
            <w:pPr>
              <w:pStyle w:val="12"/>
            </w:pPr>
            <w:r>
              <w:t>893.18</w:t>
            </w:r>
          </w:p>
        </w:tc>
        <w:tc>
          <w:tcPr>
            <w:tcW w:w="1474" w:type="dxa"/>
            <w:vAlign w:val="center"/>
          </w:tcPr>
          <w:p>
            <w:pPr>
              <w:pStyle w:val="12"/>
            </w:pPr>
            <w:r>
              <w:t>893.18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46.27</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57.20</w:t>
            </w:r>
          </w:p>
        </w:tc>
        <w:tc>
          <w:tcPr>
            <w:tcW w:w="1474" w:type="dxa"/>
            <w:vAlign w:val="center"/>
          </w:tcPr>
          <w:p>
            <w:pPr>
              <w:pStyle w:val="12"/>
            </w:pPr>
            <w:r>
              <w:t>57.20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33.03</w:t>
            </w:r>
          </w:p>
        </w:tc>
        <w:tc>
          <w:tcPr>
            <w:tcW w:w="1474" w:type="dxa"/>
            <w:vAlign w:val="center"/>
          </w:tcPr>
          <w:p>
            <w:pPr>
              <w:pStyle w:val="12"/>
            </w:pPr>
            <w:r>
              <w:t>33.03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278.39</w:t>
            </w:r>
          </w:p>
        </w:tc>
        <w:tc>
          <w:tcPr>
            <w:tcW w:w="1474" w:type="dxa"/>
            <w:vAlign w:val="center"/>
          </w:tcPr>
          <w:p>
            <w:pPr>
              <w:pStyle w:val="12"/>
            </w:pPr>
            <w:r>
              <w:t>232.12</w:t>
            </w:r>
          </w:p>
        </w:tc>
        <w:tc>
          <w:tcPr>
            <w:tcW w:w="1474" w:type="dxa"/>
            <w:vAlign w:val="center"/>
          </w:tcPr>
          <w:p>
            <w:pPr>
              <w:pStyle w:val="12"/>
            </w:pPr>
            <w:r>
              <w:t>46.27</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22.79</w:t>
            </w:r>
          </w:p>
        </w:tc>
        <w:tc>
          <w:tcPr>
            <w:tcW w:w="1474" w:type="dxa"/>
            <w:vAlign w:val="center"/>
          </w:tcPr>
          <w:p>
            <w:pPr>
              <w:pStyle w:val="12"/>
            </w:pPr>
            <w:r>
              <w:t>22.79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1186.83</w:t>
            </w:r>
          </w:p>
        </w:tc>
        <w:tc>
          <w:tcPr>
            <w:tcW w:w="3402" w:type="dxa"/>
            <w:vAlign w:val="center"/>
          </w:tcPr>
          <w:p>
            <w:pPr>
              <w:pStyle w:val="15"/>
            </w:pPr>
            <w:r>
              <w:t>本年支出合计</w:t>
            </w:r>
          </w:p>
        </w:tc>
        <w:tc>
          <w:tcPr>
            <w:tcW w:w="1474" w:type="dxa"/>
            <w:vAlign w:val="center"/>
          </w:tcPr>
          <w:p>
            <w:pPr>
              <w:pStyle w:val="16"/>
            </w:pPr>
            <w:r>
              <w:t>1284.59</w:t>
            </w:r>
          </w:p>
        </w:tc>
        <w:tc>
          <w:tcPr>
            <w:tcW w:w="1474" w:type="dxa"/>
            <w:vAlign w:val="center"/>
          </w:tcPr>
          <w:p>
            <w:pPr>
              <w:pStyle w:val="16"/>
            </w:pPr>
            <w:r>
              <w:t>1238.33</w:t>
            </w:r>
          </w:p>
        </w:tc>
        <w:tc>
          <w:tcPr>
            <w:tcW w:w="1474" w:type="dxa"/>
            <w:vAlign w:val="center"/>
          </w:tcPr>
          <w:p>
            <w:pPr>
              <w:pStyle w:val="16"/>
            </w:pPr>
            <w:r>
              <w:t>46.27</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97.77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97.77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1284.59</w:t>
            </w:r>
          </w:p>
        </w:tc>
        <w:tc>
          <w:tcPr>
            <w:tcW w:w="3402" w:type="dxa"/>
            <w:vAlign w:val="center"/>
          </w:tcPr>
          <w:p>
            <w:pPr>
              <w:pStyle w:val="15"/>
            </w:pPr>
            <w:r>
              <w:t>支出总计</w:t>
            </w:r>
          </w:p>
        </w:tc>
        <w:tc>
          <w:tcPr>
            <w:tcW w:w="1474" w:type="dxa"/>
            <w:vAlign w:val="center"/>
          </w:tcPr>
          <w:p>
            <w:pPr>
              <w:pStyle w:val="16"/>
            </w:pPr>
            <w:r>
              <w:t>1284.59</w:t>
            </w:r>
          </w:p>
        </w:tc>
        <w:tc>
          <w:tcPr>
            <w:tcW w:w="1474" w:type="dxa"/>
            <w:vAlign w:val="center"/>
          </w:tcPr>
          <w:p>
            <w:pPr>
              <w:pStyle w:val="16"/>
            </w:pPr>
            <w:r>
              <w:t>1238.33</w:t>
            </w:r>
          </w:p>
        </w:tc>
        <w:tc>
          <w:tcPr>
            <w:tcW w:w="1474" w:type="dxa"/>
            <w:vAlign w:val="center"/>
          </w:tcPr>
          <w:p>
            <w:pPr>
              <w:pStyle w:val="16"/>
            </w:pPr>
            <w:r>
              <w:t>46.27</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1238.33</w:t>
            </w:r>
          </w:p>
        </w:tc>
        <w:tc>
          <w:tcPr>
            <w:tcW w:w="2551" w:type="dxa"/>
            <w:vAlign w:val="center"/>
          </w:tcPr>
          <w:p>
            <w:pPr>
              <w:pStyle w:val="16"/>
            </w:pPr>
            <w:r>
              <w:t>981.71</w:t>
            </w:r>
          </w:p>
        </w:tc>
        <w:tc>
          <w:tcPr>
            <w:tcW w:w="2551" w:type="dxa"/>
            <w:vAlign w:val="center"/>
          </w:tcPr>
          <w:p>
            <w:pPr>
              <w:pStyle w:val="16"/>
            </w:pPr>
            <w:r>
              <w:t>256.61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893.18</w:t>
            </w:r>
          </w:p>
        </w:tc>
        <w:tc>
          <w:tcPr>
            <w:tcW w:w="2551" w:type="dxa"/>
            <w:vAlign w:val="center"/>
          </w:tcPr>
          <w:p>
            <w:pPr>
              <w:pStyle w:val="12"/>
            </w:pPr>
            <w:r>
              <w:t>878.68</w:t>
            </w:r>
          </w:p>
        </w:tc>
        <w:tc>
          <w:tcPr>
            <w:tcW w:w="2551" w:type="dxa"/>
            <w:vAlign w:val="center"/>
          </w:tcPr>
          <w:p>
            <w:pPr>
              <w:pStyle w:val="12"/>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881.68</w:t>
            </w:r>
          </w:p>
        </w:tc>
        <w:tc>
          <w:tcPr>
            <w:tcW w:w="2551" w:type="dxa"/>
            <w:vAlign w:val="center"/>
          </w:tcPr>
          <w:p>
            <w:pPr>
              <w:pStyle w:val="12"/>
            </w:pPr>
            <w:r>
              <w:t>878.68</w:t>
            </w: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703.67</w:t>
            </w:r>
          </w:p>
        </w:tc>
        <w:tc>
          <w:tcPr>
            <w:tcW w:w="2551" w:type="dxa"/>
            <w:vAlign w:val="center"/>
          </w:tcPr>
          <w:p>
            <w:pPr>
              <w:pStyle w:val="12"/>
            </w:pPr>
            <w:r>
              <w:t>703.67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175.01</w:t>
            </w:r>
          </w:p>
        </w:tc>
        <w:tc>
          <w:tcPr>
            <w:tcW w:w="2551" w:type="dxa"/>
            <w:vAlign w:val="center"/>
          </w:tcPr>
          <w:p>
            <w:pPr>
              <w:pStyle w:val="12"/>
            </w:pPr>
            <w:r>
              <w:t>175.01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10.50</w:t>
            </w:r>
          </w:p>
        </w:tc>
        <w:tc>
          <w:tcPr>
            <w:tcW w:w="2551" w:type="dxa"/>
            <w:vAlign w:val="center"/>
          </w:tcPr>
          <w:p>
            <w:pPr>
              <w:pStyle w:val="12"/>
            </w:pPr>
          </w:p>
        </w:tc>
        <w:tc>
          <w:tcPr>
            <w:tcW w:w="2551" w:type="dxa"/>
            <w:vAlign w:val="center"/>
          </w:tcPr>
          <w:p>
            <w:pPr>
              <w:pStyle w:val="12"/>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10.50</w:t>
            </w:r>
          </w:p>
        </w:tc>
        <w:tc>
          <w:tcPr>
            <w:tcW w:w="2551" w:type="dxa"/>
            <w:vAlign w:val="center"/>
          </w:tcPr>
          <w:p>
            <w:pPr>
              <w:pStyle w:val="12"/>
            </w:pPr>
          </w:p>
        </w:tc>
        <w:tc>
          <w:tcPr>
            <w:tcW w:w="2551" w:type="dxa"/>
            <w:vAlign w:val="center"/>
          </w:tcPr>
          <w:p>
            <w:pPr>
              <w:pStyle w:val="12"/>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57.20</w:t>
            </w:r>
          </w:p>
        </w:tc>
        <w:tc>
          <w:tcPr>
            <w:tcW w:w="2551" w:type="dxa"/>
            <w:vAlign w:val="center"/>
          </w:tcPr>
          <w:p>
            <w:pPr>
              <w:pStyle w:val="12"/>
            </w:pPr>
            <w:r>
              <w:t>57.20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57.20</w:t>
            </w:r>
          </w:p>
        </w:tc>
        <w:tc>
          <w:tcPr>
            <w:tcW w:w="2551" w:type="dxa"/>
            <w:vAlign w:val="center"/>
          </w:tcPr>
          <w:p>
            <w:pPr>
              <w:pStyle w:val="12"/>
            </w:pPr>
            <w:r>
              <w:t>57.20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13.07</w:t>
            </w:r>
          </w:p>
        </w:tc>
        <w:tc>
          <w:tcPr>
            <w:tcW w:w="2551" w:type="dxa"/>
            <w:vAlign w:val="center"/>
          </w:tcPr>
          <w:p>
            <w:pPr>
              <w:pStyle w:val="12"/>
            </w:pPr>
            <w:r>
              <w:t>13.07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44.13</w:t>
            </w:r>
          </w:p>
        </w:tc>
        <w:tc>
          <w:tcPr>
            <w:tcW w:w="2551" w:type="dxa"/>
            <w:vAlign w:val="center"/>
          </w:tcPr>
          <w:p>
            <w:pPr>
              <w:pStyle w:val="12"/>
            </w:pPr>
            <w:r>
              <w:t>44.13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33.03</w:t>
            </w:r>
          </w:p>
        </w:tc>
        <w:tc>
          <w:tcPr>
            <w:tcW w:w="2551" w:type="dxa"/>
            <w:vAlign w:val="center"/>
          </w:tcPr>
          <w:p>
            <w:pPr>
              <w:pStyle w:val="12"/>
            </w:pPr>
            <w:r>
              <w:t>23.04</w:t>
            </w:r>
          </w:p>
        </w:tc>
        <w:tc>
          <w:tcPr>
            <w:tcW w:w="2551" w:type="dxa"/>
            <w:vAlign w:val="center"/>
          </w:tcPr>
          <w:p>
            <w:pPr>
              <w:pStyle w:val="1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9.99</w:t>
            </w:r>
          </w:p>
        </w:tc>
        <w:tc>
          <w:tcPr>
            <w:tcW w:w="2551" w:type="dxa"/>
            <w:vAlign w:val="center"/>
          </w:tcPr>
          <w:p>
            <w:pPr>
              <w:pStyle w:val="12"/>
            </w:pPr>
          </w:p>
        </w:tc>
        <w:tc>
          <w:tcPr>
            <w:tcW w:w="2551" w:type="dxa"/>
            <w:vAlign w:val="center"/>
          </w:tcPr>
          <w:p>
            <w:pPr>
              <w:pStyle w:val="1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9.99</w:t>
            </w:r>
          </w:p>
        </w:tc>
        <w:tc>
          <w:tcPr>
            <w:tcW w:w="2551" w:type="dxa"/>
            <w:vAlign w:val="center"/>
          </w:tcPr>
          <w:p>
            <w:pPr>
              <w:pStyle w:val="12"/>
            </w:pPr>
          </w:p>
        </w:tc>
        <w:tc>
          <w:tcPr>
            <w:tcW w:w="2551" w:type="dxa"/>
            <w:vAlign w:val="center"/>
          </w:tcPr>
          <w:p>
            <w:pPr>
              <w:pStyle w:val="1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23.04</w:t>
            </w:r>
          </w:p>
        </w:tc>
        <w:tc>
          <w:tcPr>
            <w:tcW w:w="2551" w:type="dxa"/>
            <w:vAlign w:val="center"/>
          </w:tcPr>
          <w:p>
            <w:pPr>
              <w:pStyle w:val="12"/>
            </w:pPr>
            <w:r>
              <w:t>23.04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8.88</w:t>
            </w:r>
          </w:p>
        </w:tc>
        <w:tc>
          <w:tcPr>
            <w:tcW w:w="2551" w:type="dxa"/>
            <w:vAlign w:val="center"/>
          </w:tcPr>
          <w:p>
            <w:pPr>
              <w:pStyle w:val="12"/>
            </w:pPr>
            <w:r>
              <w:t>8.88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14.16</w:t>
            </w:r>
          </w:p>
        </w:tc>
        <w:tc>
          <w:tcPr>
            <w:tcW w:w="2551" w:type="dxa"/>
            <w:vAlign w:val="center"/>
          </w:tcPr>
          <w:p>
            <w:pPr>
              <w:pStyle w:val="12"/>
            </w:pPr>
            <w:r>
              <w:t>14.16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232.12</w:t>
            </w:r>
          </w:p>
        </w:tc>
        <w:tc>
          <w:tcPr>
            <w:tcW w:w="2551" w:type="dxa"/>
            <w:vAlign w:val="center"/>
          </w:tcPr>
          <w:p>
            <w:pPr>
              <w:pStyle w:val="12"/>
            </w:pPr>
          </w:p>
        </w:tc>
        <w:tc>
          <w:tcPr>
            <w:tcW w:w="2551" w:type="dxa"/>
            <w:vAlign w:val="center"/>
          </w:tcPr>
          <w:p>
            <w:pPr>
              <w:pStyle w:val="12"/>
            </w:pPr>
            <w:r>
              <w:t>232.12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232.12</w:t>
            </w:r>
          </w:p>
        </w:tc>
        <w:tc>
          <w:tcPr>
            <w:tcW w:w="2551" w:type="dxa"/>
            <w:vAlign w:val="center"/>
          </w:tcPr>
          <w:p>
            <w:pPr>
              <w:pStyle w:val="12"/>
            </w:pPr>
          </w:p>
        </w:tc>
        <w:tc>
          <w:tcPr>
            <w:tcW w:w="2551" w:type="dxa"/>
            <w:vAlign w:val="center"/>
          </w:tcPr>
          <w:p>
            <w:pPr>
              <w:pStyle w:val="12"/>
            </w:pPr>
            <w:r>
              <w:t>232.12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101.12</w:t>
            </w:r>
          </w:p>
        </w:tc>
        <w:tc>
          <w:tcPr>
            <w:tcW w:w="2551" w:type="dxa"/>
            <w:vAlign w:val="center"/>
          </w:tcPr>
          <w:p>
            <w:pPr>
              <w:pStyle w:val="12"/>
            </w:pPr>
          </w:p>
        </w:tc>
        <w:tc>
          <w:tcPr>
            <w:tcW w:w="2551" w:type="dxa"/>
            <w:vAlign w:val="center"/>
          </w:tcPr>
          <w:p>
            <w:pPr>
              <w:pStyle w:val="12"/>
            </w:pPr>
            <w:r>
              <w:t>101.12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131.00</w:t>
            </w:r>
          </w:p>
        </w:tc>
        <w:tc>
          <w:tcPr>
            <w:tcW w:w="2551" w:type="dxa"/>
            <w:vAlign w:val="center"/>
          </w:tcPr>
          <w:p>
            <w:pPr>
              <w:pStyle w:val="12"/>
            </w:pPr>
          </w:p>
        </w:tc>
        <w:tc>
          <w:tcPr>
            <w:tcW w:w="2551" w:type="dxa"/>
            <w:vAlign w:val="center"/>
          </w:tcPr>
          <w:p>
            <w:pPr>
              <w:pStyle w:val="12"/>
            </w:pPr>
            <w:r>
              <w:t>131.00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22.79</w:t>
            </w:r>
          </w:p>
        </w:tc>
        <w:tc>
          <w:tcPr>
            <w:tcW w:w="2551" w:type="dxa"/>
            <w:vAlign w:val="center"/>
          </w:tcPr>
          <w:p>
            <w:pPr>
              <w:pStyle w:val="12"/>
            </w:pPr>
            <w:r>
              <w:t>22.79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22.79</w:t>
            </w:r>
          </w:p>
        </w:tc>
        <w:tc>
          <w:tcPr>
            <w:tcW w:w="2551" w:type="dxa"/>
            <w:vAlign w:val="center"/>
          </w:tcPr>
          <w:p>
            <w:pPr>
              <w:pStyle w:val="12"/>
            </w:pPr>
            <w:r>
              <w:t>22.79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22.79</w:t>
            </w:r>
          </w:p>
        </w:tc>
        <w:tc>
          <w:tcPr>
            <w:tcW w:w="2551" w:type="dxa"/>
            <w:vAlign w:val="center"/>
          </w:tcPr>
          <w:p>
            <w:pPr>
              <w:pStyle w:val="12"/>
            </w:pPr>
            <w:r>
              <w:t>22.79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981.71</w:t>
            </w:r>
          </w:p>
        </w:tc>
        <w:tc>
          <w:tcPr>
            <w:tcW w:w="2551" w:type="dxa"/>
            <w:vAlign w:val="center"/>
          </w:tcPr>
          <w:p>
            <w:pPr>
              <w:pStyle w:val="16"/>
            </w:pPr>
            <w:r>
              <w:t>916.73</w:t>
            </w:r>
          </w:p>
        </w:tc>
        <w:tc>
          <w:tcPr>
            <w:tcW w:w="2551" w:type="dxa"/>
            <w:vAlign w:val="center"/>
          </w:tcPr>
          <w:p>
            <w:pPr>
              <w:pStyle w:val="16"/>
            </w:pPr>
            <w:r>
              <w:t>64.98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903.66</w:t>
            </w:r>
          </w:p>
        </w:tc>
        <w:tc>
          <w:tcPr>
            <w:tcW w:w="2551" w:type="dxa"/>
            <w:vAlign w:val="center"/>
          </w:tcPr>
          <w:p>
            <w:pPr>
              <w:pStyle w:val="12"/>
            </w:pPr>
            <w:r>
              <w:t>903.66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165.61</w:t>
            </w:r>
          </w:p>
        </w:tc>
        <w:tc>
          <w:tcPr>
            <w:tcW w:w="2551" w:type="dxa"/>
            <w:vAlign w:val="center"/>
          </w:tcPr>
          <w:p>
            <w:pPr>
              <w:pStyle w:val="12"/>
            </w:pPr>
            <w:r>
              <w:t>165.61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44.96</w:t>
            </w:r>
          </w:p>
        </w:tc>
        <w:tc>
          <w:tcPr>
            <w:tcW w:w="2551" w:type="dxa"/>
            <w:vAlign w:val="center"/>
          </w:tcPr>
          <w:p>
            <w:pPr>
              <w:pStyle w:val="12"/>
            </w:pPr>
            <w:r>
              <w:t>44.96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21.43</w:t>
            </w:r>
          </w:p>
        </w:tc>
        <w:tc>
          <w:tcPr>
            <w:tcW w:w="2551" w:type="dxa"/>
            <w:vAlign w:val="center"/>
          </w:tcPr>
          <w:p>
            <w:pPr>
              <w:pStyle w:val="12"/>
            </w:pPr>
            <w:r>
              <w:t>21.43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58.32</w:t>
            </w:r>
          </w:p>
        </w:tc>
        <w:tc>
          <w:tcPr>
            <w:tcW w:w="2551" w:type="dxa"/>
            <w:vAlign w:val="center"/>
          </w:tcPr>
          <w:p>
            <w:pPr>
              <w:pStyle w:val="12"/>
            </w:pPr>
            <w:r>
              <w:t>58.32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44.13</w:t>
            </w:r>
          </w:p>
        </w:tc>
        <w:tc>
          <w:tcPr>
            <w:tcW w:w="2551" w:type="dxa"/>
            <w:vAlign w:val="center"/>
          </w:tcPr>
          <w:p>
            <w:pPr>
              <w:pStyle w:val="12"/>
            </w:pPr>
            <w:r>
              <w:t>44.13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22.19</w:t>
            </w:r>
          </w:p>
        </w:tc>
        <w:tc>
          <w:tcPr>
            <w:tcW w:w="2551" w:type="dxa"/>
            <w:vAlign w:val="center"/>
          </w:tcPr>
          <w:p>
            <w:pPr>
              <w:pStyle w:val="12"/>
            </w:pPr>
            <w:r>
              <w:t>22.19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2.23</w:t>
            </w:r>
          </w:p>
        </w:tc>
        <w:tc>
          <w:tcPr>
            <w:tcW w:w="2551" w:type="dxa"/>
            <w:vAlign w:val="center"/>
          </w:tcPr>
          <w:p>
            <w:pPr>
              <w:pStyle w:val="12"/>
            </w:pPr>
            <w:r>
              <w:t>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22.79</w:t>
            </w:r>
          </w:p>
        </w:tc>
        <w:tc>
          <w:tcPr>
            <w:tcW w:w="2551" w:type="dxa"/>
            <w:vAlign w:val="center"/>
          </w:tcPr>
          <w:p>
            <w:pPr>
              <w:pStyle w:val="12"/>
            </w:pPr>
            <w:r>
              <w:t>22.79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522.00</w:t>
            </w:r>
          </w:p>
        </w:tc>
        <w:tc>
          <w:tcPr>
            <w:tcW w:w="2551" w:type="dxa"/>
            <w:vAlign w:val="center"/>
          </w:tcPr>
          <w:p>
            <w:pPr>
              <w:pStyle w:val="12"/>
            </w:pPr>
            <w:r>
              <w:t>522.00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64.98</w:t>
            </w:r>
          </w:p>
        </w:tc>
        <w:tc>
          <w:tcPr>
            <w:tcW w:w="2551" w:type="dxa"/>
            <w:vAlign w:val="center"/>
          </w:tcPr>
          <w:p>
            <w:pPr>
              <w:pStyle w:val="12"/>
            </w:pPr>
          </w:p>
        </w:tc>
        <w:tc>
          <w:tcPr>
            <w:tcW w:w="2551" w:type="dxa"/>
            <w:vAlign w:val="center"/>
          </w:tcPr>
          <w:p>
            <w:pPr>
              <w:pStyle w:val="12"/>
            </w:pPr>
            <w:r>
              <w:t>64.98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9.40</w:t>
            </w:r>
          </w:p>
        </w:tc>
        <w:tc>
          <w:tcPr>
            <w:tcW w:w="2551" w:type="dxa"/>
            <w:vAlign w:val="center"/>
          </w:tcPr>
          <w:p>
            <w:pPr>
              <w:pStyle w:val="12"/>
            </w:pPr>
          </w:p>
        </w:tc>
        <w:tc>
          <w:tcPr>
            <w:tcW w:w="2551" w:type="dxa"/>
            <w:vAlign w:val="center"/>
          </w:tcPr>
          <w:p>
            <w:pPr>
              <w:pStyle w:val="12"/>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9.78</w:t>
            </w:r>
          </w:p>
        </w:tc>
        <w:tc>
          <w:tcPr>
            <w:tcW w:w="2551" w:type="dxa"/>
            <w:vAlign w:val="center"/>
          </w:tcPr>
          <w:p>
            <w:pPr>
              <w:pStyle w:val="12"/>
            </w:pPr>
          </w:p>
        </w:tc>
        <w:tc>
          <w:tcPr>
            <w:tcW w:w="2551" w:type="dxa"/>
            <w:vAlign w:val="center"/>
          </w:tcPr>
          <w:p>
            <w:pPr>
              <w:pStyle w:val="12"/>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13.07</w:t>
            </w:r>
          </w:p>
        </w:tc>
        <w:tc>
          <w:tcPr>
            <w:tcW w:w="2551" w:type="dxa"/>
            <w:vAlign w:val="center"/>
          </w:tcPr>
          <w:p>
            <w:pPr>
              <w:pStyle w:val="12"/>
            </w:pPr>
            <w:r>
              <w:t>13.07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13.07</w:t>
            </w:r>
          </w:p>
        </w:tc>
        <w:tc>
          <w:tcPr>
            <w:tcW w:w="2551" w:type="dxa"/>
            <w:vAlign w:val="center"/>
          </w:tcPr>
          <w:p>
            <w:pPr>
              <w:pStyle w:val="12"/>
            </w:pPr>
            <w:r>
              <w:t>13.07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46.27</w:t>
            </w:r>
          </w:p>
        </w:tc>
        <w:tc>
          <w:tcPr>
            <w:tcW w:w="2551" w:type="dxa"/>
            <w:vAlign w:val="center"/>
          </w:tcPr>
          <w:p>
            <w:pPr>
              <w:pStyle w:val="16"/>
            </w:pPr>
          </w:p>
        </w:tc>
        <w:tc>
          <w:tcPr>
            <w:tcW w:w="2551" w:type="dxa"/>
            <w:vAlign w:val="center"/>
          </w:tcPr>
          <w:p>
            <w:pPr>
              <w:pStyle w:val="16"/>
            </w:pPr>
            <w: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46.27</w:t>
            </w:r>
          </w:p>
        </w:tc>
        <w:tc>
          <w:tcPr>
            <w:tcW w:w="2551" w:type="dxa"/>
            <w:vAlign w:val="center"/>
          </w:tcPr>
          <w:p>
            <w:pPr>
              <w:pStyle w:val="12"/>
            </w:pPr>
          </w:p>
        </w:tc>
        <w:tc>
          <w:tcPr>
            <w:tcW w:w="2551" w:type="dxa"/>
            <w:vAlign w:val="center"/>
          </w:tcPr>
          <w:p>
            <w:pPr>
              <w:pStyle w:val="12"/>
            </w:pPr>
            <w: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46.27</w:t>
            </w:r>
          </w:p>
        </w:tc>
        <w:tc>
          <w:tcPr>
            <w:tcW w:w="2551" w:type="dxa"/>
            <w:vAlign w:val="center"/>
          </w:tcPr>
          <w:p>
            <w:pPr>
              <w:pStyle w:val="12"/>
            </w:pPr>
          </w:p>
        </w:tc>
        <w:tc>
          <w:tcPr>
            <w:tcW w:w="2551" w:type="dxa"/>
            <w:vAlign w:val="center"/>
          </w:tcPr>
          <w:p>
            <w:pPr>
              <w:pStyle w:val="12"/>
            </w:pPr>
            <w: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46.27</w:t>
            </w:r>
          </w:p>
        </w:tc>
        <w:tc>
          <w:tcPr>
            <w:tcW w:w="2551" w:type="dxa"/>
            <w:vAlign w:val="center"/>
          </w:tcPr>
          <w:p>
            <w:pPr>
              <w:pStyle w:val="12"/>
            </w:pPr>
          </w:p>
        </w:tc>
        <w:tc>
          <w:tcPr>
            <w:tcW w:w="2551" w:type="dxa"/>
            <w:vAlign w:val="center"/>
          </w:tcPr>
          <w:p>
            <w:pPr>
              <w:pStyle w:val="12"/>
            </w:pPr>
            <w:r>
              <w:t>46.27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0.80</w:t>
            </w:r>
          </w:p>
        </w:tc>
        <w:tc>
          <w:tcPr>
            <w:tcW w:w="2381" w:type="dxa"/>
            <w:vAlign w:val="center"/>
          </w:tcPr>
          <w:p>
            <w:pPr>
              <w:pStyle w:val="12"/>
            </w:pPr>
            <w:r>
              <w:t>0.80</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青龙满族自治县人民政府都阳路街道办事处本级2024年单位预算信息公开情况说明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按照《中华人民共和国预算法》、《地方预决算公开操作规程》和《关于进一步推进预算公开工作的实施意见》规定，现将青龙满族自治县人民政府都阳路街道办事处本级2024年单位预算公开如下：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青龙满族自治县人民政府都阳路街道办事处本级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pPr>
      <w:r>
        <w:t>按照预算管理有关规定，目前部门预算的编制实行综合预算管理，即全部收入和支出都反映在预算中。青龙满族自治县人民政府都阳路街道办事处机关及所属事业单位的收支包含在部门预算中。</w:t>
      </w:r>
    </w:p>
    <w:p>
      <w:pPr>
        <w:pStyle w:val="23"/>
      </w:pPr>
      <w:r>
        <w:t>1、收入说明</w:t>
      </w:r>
    </w:p>
    <w:p>
      <w:pPr>
        <w:pStyle w:val="23"/>
      </w:pPr>
      <w:r>
        <w:t>反映本部门当年全部收入。2024年预算收入1284.59万元，其中：一般公共预算收入1140.56万元，基金预算收入46.27万元，国有资本经营预算收入0.00万元，财政专户核拨收入0.00万元，单位资金收入0.00万元，上年结转结余97.77万元。</w:t>
      </w:r>
    </w:p>
    <w:p>
      <w:pPr>
        <w:pStyle w:val="23"/>
      </w:pPr>
      <w:r>
        <w:t>2、支出说明</w:t>
      </w:r>
    </w:p>
    <w:p>
      <w:pPr>
        <w:pStyle w:val="2"/>
        <w:spacing w:before="153" w:line="320" w:lineRule="auto"/>
        <w:ind w:left="2" w:right="495" w:firstLine="567"/>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收支预算总表支出栏、基本支出表、项目支出表按经济分类和支出功能分类科目编制，反映青龙满族自治县人民政府都阳路街道办事处年度部门预算中支出预算的总体情况。2024年支出预算1284.59万元，其中基本支出981.71万元，包括人员经费916.73万元和日常公用经费64.98万元；项目支出302.88万元。</w:t>
      </w:r>
    </w:p>
    <w:p>
      <w:pPr>
        <w:pStyle w:val="23"/>
      </w:pPr>
      <w:r>
        <w:t>3、比上年增减情况</w:t>
      </w:r>
    </w:p>
    <w:p>
      <w:pPr>
        <w:pStyle w:val="19"/>
      </w:pPr>
      <w:r>
        <w:t>2024年预算收支安排1284.59万元，较2023年预算增加216.96万元，其中：基本支出增加158.98万元，主要为</w:t>
      </w:r>
      <w:r>
        <w:rPr>
          <w:rFonts w:hint="eastAsia"/>
          <w:lang w:eastAsia="zh-CN"/>
        </w:rPr>
        <w:t>增加了人员经费支出。</w:t>
      </w:r>
      <w:r>
        <w:t>项目支出增加57.98万元，主要为</w:t>
      </w:r>
      <w:r>
        <w:rPr>
          <w:rFonts w:hint="eastAsia"/>
          <w:lang w:eastAsia="zh-CN"/>
        </w:rPr>
        <w:t>社区房租单列项目。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sz w:val="28"/>
          <w:szCs w:val="24"/>
          <w:lang w:val="en-US" w:eastAsia="uk-UA" w:bidi="ar-SA"/>
        </w:rPr>
        <w:t>2024年，我部门机关运行经费共计安排64.98万元，主要用于日常维修、办公用房水电费、办公用房取暖费、办公用房物业管理费等日常运行支出。</w:t>
      </w:r>
      <w:r>
        <w:rPr>
          <w:rFonts w:hint="eastAsia" w:ascii="Times New Roman" w:hAnsi="Times New Roman" w:eastAsia="方正仿宋_GBK" w:cs="Times New Roman"/>
          <w:sz w:val="28"/>
          <w:szCs w:val="24"/>
          <w:lang w:val="en-US" w:eastAsia="zh-CN" w:bidi="ar-SA"/>
        </w:rPr>
        <w:t>其中</w:t>
      </w:r>
      <w:r>
        <w:rPr>
          <w:rFonts w:ascii="Times New Roman" w:hAnsi="Times New Roman" w:eastAsia="方正仿宋_GBK" w:cs="Times New Roman"/>
          <w:sz w:val="28"/>
          <w:szCs w:val="24"/>
          <w:lang w:val="en-US" w:eastAsia="uk-UA" w:bidi="ar-SA"/>
        </w:rPr>
        <w:t xml:space="preserve">办公费 </w:t>
      </w:r>
      <w:r>
        <w:rPr>
          <w:rFonts w:hint="eastAsia" w:eastAsia="方正仿宋_GBK" w:cs="Times New Roman"/>
          <w:sz w:val="28"/>
          <w:szCs w:val="24"/>
          <w:lang w:val="en-US" w:eastAsia="zh-CN" w:bidi="ar-SA"/>
        </w:rPr>
        <w:t>23</w:t>
      </w:r>
      <w:r>
        <w:rPr>
          <w:rFonts w:ascii="Times New Roman" w:hAnsi="Times New Roman" w:eastAsia="方正仿宋_GBK" w:cs="Times New Roman"/>
          <w:sz w:val="28"/>
          <w:szCs w:val="24"/>
          <w:lang w:val="en-US" w:eastAsia="uk-UA" w:bidi="ar-SA"/>
        </w:rPr>
        <w:t xml:space="preserve">万元，印刷费 3万元，手续费  0.3万元，水费 1.5万元，电费  1万元，邮费 2.3万元，取暖费   9.4万元，差旅费 1.5万元，维修费 </w:t>
      </w:r>
      <w:r>
        <w:rPr>
          <w:rFonts w:hint="eastAsia" w:eastAsia="方正仿宋_GBK" w:cs="Times New Roman"/>
          <w:sz w:val="28"/>
          <w:szCs w:val="24"/>
          <w:lang w:val="en-US" w:eastAsia="zh-CN" w:bidi="ar-SA"/>
        </w:rPr>
        <w:t>10.8</w:t>
      </w:r>
      <w:r>
        <w:rPr>
          <w:rFonts w:ascii="Times New Roman" w:hAnsi="Times New Roman" w:eastAsia="方正仿宋_GBK" w:cs="Times New Roman"/>
          <w:sz w:val="28"/>
          <w:szCs w:val="24"/>
          <w:lang w:val="en-US" w:eastAsia="uk-UA" w:bidi="ar-SA"/>
        </w:rPr>
        <w:t>万元，公务接待费  0.8万元，公用用车运行维护费 1.6万元，其他交通费（公务员交</w:t>
      </w:r>
      <w:r>
        <w:rPr>
          <w:rFonts w:hint="eastAsia" w:ascii="Times New Roman" w:hAnsi="Times New Roman" w:eastAsia="方正仿宋_GBK" w:cs="Times New Roman"/>
          <w:sz w:val="28"/>
          <w:szCs w:val="24"/>
          <w:lang w:val="en-US" w:eastAsia="zh-CN" w:bidi="ar-SA"/>
        </w:rPr>
        <w:t>通</w:t>
      </w:r>
      <w:r>
        <w:rPr>
          <w:rFonts w:ascii="Times New Roman" w:hAnsi="Times New Roman" w:eastAsia="方正仿宋_GBK" w:cs="Times New Roman"/>
          <w:sz w:val="28"/>
          <w:szCs w:val="24"/>
          <w:lang w:val="en-US" w:eastAsia="uk-UA" w:bidi="ar-SA"/>
        </w:rPr>
        <w:t>补贴）</w:t>
      </w:r>
      <w:r>
        <w:rPr>
          <w:rFonts w:hint="eastAsia" w:eastAsia="方正仿宋_GBK" w:cs="Times New Roman"/>
          <w:sz w:val="28"/>
          <w:szCs w:val="24"/>
          <w:lang w:val="en-US" w:eastAsia="zh-CN" w:bidi="ar-SA"/>
        </w:rPr>
        <w:t>9.78</w:t>
      </w:r>
      <w:r>
        <w:rPr>
          <w:rFonts w:ascii="Times New Roman" w:hAnsi="Times New Roman" w:eastAsia="方正仿宋_GBK" w:cs="Times New Roman"/>
          <w:sz w:val="28"/>
          <w:szCs w:val="24"/>
          <w:lang w:val="en-US" w:eastAsia="uk-UA" w:bidi="ar-SA"/>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p>
    <w:p>
      <w:pPr>
        <w:pStyle w:val="24"/>
      </w:pPr>
      <w:bookmarkStart w:id="1" w:name="_GoBack"/>
      <w:bookmarkEnd w:id="1"/>
      <w:r>
        <w:t>2024年，我部门财政拨款“三公”经费预算安排2.40万元，其中因公出国（境）费0.00万元；公务用车购置及运维费1.60万元（其中：公务用车购置费为0.00万元，公务用车运维费1.60万元)；公务接待费0.80万元。与2023年相比</w:t>
      </w:r>
      <w:r>
        <w:rPr>
          <w:rFonts w:hint="eastAsia"/>
          <w:lang w:eastAsia="zh-CN"/>
        </w:rPr>
        <w:t>无变化。</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1、人大代表之家工作经费绩效目标表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13032122P00329310070D</w:t>
            </w:r>
          </w:p>
        </w:tc>
        <w:tc>
          <w:tcPr>
            <w:tcW w:w="2835" w:type="dxa"/>
            <w:vAlign w:val="center"/>
          </w:tcPr>
          <w:p>
            <w:pPr>
              <w:pStyle w:val="11"/>
            </w:pPr>
            <w:r>
              <w:t>项目名称</w:t>
            </w:r>
          </w:p>
        </w:tc>
        <w:tc>
          <w:tcPr>
            <w:tcW w:w="6094" w:type="dxa"/>
            <w:gridSpan w:val="3"/>
            <w:vAlign w:val="center"/>
          </w:tcPr>
          <w:p>
            <w:pPr>
              <w:pStyle w:val="13"/>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预算安排1万元，其中财政拨款1万元，主要用于人大代表之家支出。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1.通过学习宣传培训，开展代表活动，使得人大机关团体密切联系群众，能够定期开展人大代表接访、走访、约访、回访等工作，接受群众监督，提出议案建议。</w:t>
            </w:r>
            <w:r>
              <w:tab/>
            </w:r>
            <w:r>
              <w:tab/>
            </w:r>
            <w:r>
              <w:tab/>
            </w:r>
            <w:r>
              <w:tab/>
            </w:r>
            <w:r>
              <w:tab/>
            </w:r>
            <w:r>
              <w:tab/>
            </w:r>
          </w:p>
          <w:p>
            <w:pPr>
              <w:pStyle w:val="13"/>
            </w:pPr>
            <w:r>
              <w:t>2.通过开展人大代表之家工作，提供场地和经费，有利于学习宣传宪法法律和党的路线方针政策及各级党委政府重大决策部署，定期开展代表活动。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5386" w:type="dxa"/>
            <w:vAlign w:val="center"/>
          </w:tcPr>
          <w:p>
            <w:pPr>
              <w:pStyle w:val="13"/>
            </w:pPr>
            <w:r>
              <w:t>计划召开学习宣传培训活动次数</w:t>
            </w:r>
          </w:p>
        </w:tc>
        <w:tc>
          <w:tcPr>
            <w:tcW w:w="2268" w:type="dxa"/>
            <w:vAlign w:val="center"/>
          </w:tcPr>
          <w:p>
            <w:pPr>
              <w:pStyle w:val="13"/>
            </w:pPr>
            <w:r>
              <w:t>≥2次</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开展调研的次数</w:t>
            </w:r>
          </w:p>
        </w:tc>
        <w:tc>
          <w:tcPr>
            <w:tcW w:w="5386" w:type="dxa"/>
            <w:vAlign w:val="center"/>
          </w:tcPr>
          <w:p>
            <w:pPr>
              <w:pStyle w:val="13"/>
            </w:pPr>
            <w:r>
              <w:t>计划开展调研的次数</w:t>
            </w:r>
          </w:p>
        </w:tc>
        <w:tc>
          <w:tcPr>
            <w:tcW w:w="2268" w:type="dxa"/>
            <w:vAlign w:val="center"/>
          </w:tcPr>
          <w:p>
            <w:pPr>
              <w:pStyle w:val="13"/>
            </w:pPr>
            <w:r>
              <w:t>≥3次</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人大代表数量</w:t>
            </w:r>
          </w:p>
        </w:tc>
        <w:tc>
          <w:tcPr>
            <w:tcW w:w="5386" w:type="dxa"/>
            <w:vAlign w:val="center"/>
          </w:tcPr>
          <w:p>
            <w:pPr>
              <w:pStyle w:val="13"/>
            </w:pPr>
            <w:r>
              <w:t>反映县级人大代表数量</w:t>
            </w:r>
          </w:p>
        </w:tc>
        <w:tc>
          <w:tcPr>
            <w:tcW w:w="2268" w:type="dxa"/>
            <w:vAlign w:val="center"/>
          </w:tcPr>
          <w:p>
            <w:pPr>
              <w:pStyle w:val="13"/>
            </w:pPr>
            <w:r>
              <w:t>12人</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完成调研报告数量</w:t>
            </w:r>
          </w:p>
        </w:tc>
        <w:tc>
          <w:tcPr>
            <w:tcW w:w="5386" w:type="dxa"/>
            <w:vAlign w:val="center"/>
          </w:tcPr>
          <w:p>
            <w:pPr>
              <w:pStyle w:val="13"/>
            </w:pPr>
            <w:r>
              <w:t>当年完成调研报告的数量</w:t>
            </w:r>
          </w:p>
        </w:tc>
        <w:tc>
          <w:tcPr>
            <w:tcW w:w="2268" w:type="dxa"/>
            <w:vAlign w:val="center"/>
          </w:tcPr>
          <w:p>
            <w:pPr>
              <w:pStyle w:val="13"/>
            </w:pPr>
            <w:r>
              <w:t>≥2篇</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做好协调组织工作，为代表依法履职提供服务</w:t>
            </w:r>
          </w:p>
        </w:tc>
        <w:tc>
          <w:tcPr>
            <w:tcW w:w="2268" w:type="dxa"/>
            <w:vAlign w:val="center"/>
          </w:tcPr>
          <w:p>
            <w:pPr>
              <w:pStyle w:val="13"/>
            </w:pPr>
            <w:r>
              <w:t>100%</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学习宣传培训，开展代表活动</w:t>
            </w:r>
          </w:p>
        </w:tc>
        <w:tc>
          <w:tcPr>
            <w:tcW w:w="5386" w:type="dxa"/>
            <w:vAlign w:val="center"/>
          </w:tcPr>
          <w:p>
            <w:pPr>
              <w:pStyle w:val="13"/>
            </w:pPr>
            <w:r>
              <w:t>做好协调组织工作,为代表依法履责提供服务</w:t>
            </w:r>
          </w:p>
        </w:tc>
        <w:tc>
          <w:tcPr>
            <w:tcW w:w="2268" w:type="dxa"/>
            <w:vAlign w:val="center"/>
          </w:tcPr>
          <w:p>
            <w:pPr>
              <w:pStyle w:val="13"/>
            </w:pPr>
            <w:r>
              <w:t>100%</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总体控制在年度预算额度内</w:t>
            </w:r>
          </w:p>
        </w:tc>
        <w:tc>
          <w:tcPr>
            <w:tcW w:w="2268" w:type="dxa"/>
            <w:vAlign w:val="center"/>
          </w:tcPr>
          <w:p>
            <w:pPr>
              <w:pStyle w:val="13"/>
            </w:pPr>
            <w:r>
              <w:t>≤1万元</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人大代表提出建议,被采纳率</w:t>
            </w:r>
          </w:p>
        </w:tc>
        <w:tc>
          <w:tcPr>
            <w:tcW w:w="2268" w:type="dxa"/>
            <w:vAlign w:val="center"/>
          </w:tcPr>
          <w:p>
            <w:pPr>
              <w:pStyle w:val="13"/>
            </w:pPr>
            <w:r>
              <w:t>≥50%</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履职质量和水平</w:t>
            </w:r>
          </w:p>
        </w:tc>
        <w:tc>
          <w:tcPr>
            <w:tcW w:w="5386" w:type="dxa"/>
            <w:vAlign w:val="center"/>
          </w:tcPr>
          <w:p>
            <w:pPr>
              <w:pStyle w:val="13"/>
            </w:pPr>
            <w:r>
              <w:t>加强对街道人大工作的联系和指导，规范化、制度化水平显著提升</w:t>
            </w:r>
          </w:p>
        </w:tc>
        <w:tc>
          <w:tcPr>
            <w:tcW w:w="2268" w:type="dxa"/>
            <w:vAlign w:val="center"/>
          </w:tcPr>
          <w:p>
            <w:pPr>
              <w:pStyle w:val="13"/>
            </w:pPr>
            <w:r>
              <w:t>≥95%</w:t>
            </w:r>
          </w:p>
        </w:tc>
        <w:tc>
          <w:tcPr>
            <w:tcW w:w="1276" w:type="dxa"/>
            <w:vAlign w:val="center"/>
          </w:tcPr>
          <w:p>
            <w:pPr>
              <w:pStyle w:val="1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县人大代表和常委对代表工作的满意程度</w:t>
            </w:r>
          </w:p>
        </w:tc>
        <w:tc>
          <w:tcPr>
            <w:tcW w:w="2268" w:type="dxa"/>
            <w:vAlign w:val="center"/>
          </w:tcPr>
          <w:p>
            <w:pPr>
              <w:pStyle w:val="13"/>
            </w:pPr>
            <w:r>
              <w:t>≥95%</w:t>
            </w:r>
          </w:p>
        </w:tc>
        <w:tc>
          <w:tcPr>
            <w:tcW w:w="1276" w:type="dxa"/>
            <w:vAlign w:val="center"/>
          </w:tcPr>
          <w:p>
            <w:pPr>
              <w:pStyle w:val="13"/>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13032122P003293100692</w:t>
            </w:r>
          </w:p>
        </w:tc>
        <w:tc>
          <w:tcPr>
            <w:tcW w:w="2835" w:type="dxa"/>
            <w:vAlign w:val="center"/>
          </w:tcPr>
          <w:p>
            <w:pPr>
              <w:pStyle w:val="11"/>
            </w:pPr>
            <w:r>
              <w:t>项目名称</w:t>
            </w:r>
          </w:p>
        </w:tc>
        <w:tc>
          <w:tcPr>
            <w:tcW w:w="6094" w:type="dxa"/>
            <w:gridSpan w:val="3"/>
            <w:vAlign w:val="center"/>
          </w:tcPr>
          <w:p>
            <w:pPr>
              <w:pStyle w:val="13"/>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w:t>
            </w:r>
          </w:p>
        </w:tc>
        <w:tc>
          <w:tcPr>
            <w:tcW w:w="2835" w:type="dxa"/>
            <w:vAlign w:val="center"/>
          </w:tcPr>
          <w:p>
            <w:pPr>
              <w:pStyle w:val="11"/>
            </w:pPr>
            <w:r>
              <w:t>其中：财政    资金</w:t>
            </w:r>
          </w:p>
        </w:tc>
        <w:tc>
          <w:tcPr>
            <w:tcW w:w="2551" w:type="dxa"/>
            <w:vAlign w:val="center"/>
          </w:tcPr>
          <w:p>
            <w:pPr>
              <w:pStyle w:val="13"/>
            </w:pPr>
            <w:r>
              <w:t>10.50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预算资金5万元，其中财政资金5万元，主要用于综治工作经费支出。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1.通过加强法制宣传教育、提高公民的法律意识和素质，教育群众知法、懂法和守法。</w:t>
            </w:r>
            <w:r>
              <w:tab/>
            </w:r>
          </w:p>
          <w:p>
            <w:pPr>
              <w:pStyle w:val="13"/>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印刷宣传单</w:t>
            </w:r>
          </w:p>
        </w:tc>
        <w:tc>
          <w:tcPr>
            <w:tcW w:w="5386" w:type="dxa"/>
            <w:vAlign w:val="center"/>
          </w:tcPr>
          <w:p>
            <w:pPr>
              <w:pStyle w:val="13"/>
            </w:pPr>
            <w:r>
              <w:t>反映印刷宣传单数量</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维稳次数</w:t>
            </w:r>
          </w:p>
        </w:tc>
        <w:tc>
          <w:tcPr>
            <w:tcW w:w="5386" w:type="dxa"/>
            <w:vAlign w:val="center"/>
          </w:tcPr>
          <w:p>
            <w:pPr>
              <w:pStyle w:val="13"/>
            </w:pPr>
            <w:r>
              <w:t>反映下社区维稳的次数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协调督导事项化解率</w:t>
            </w:r>
          </w:p>
        </w:tc>
        <w:tc>
          <w:tcPr>
            <w:tcW w:w="5386" w:type="dxa"/>
            <w:vAlign w:val="center"/>
          </w:tcPr>
          <w:p>
            <w:pPr>
              <w:pStyle w:val="13"/>
            </w:pPr>
            <w:r>
              <w:t>化解事项占督导事项总数的比率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各项工作按年度计划完成</w:t>
            </w:r>
          </w:p>
        </w:tc>
        <w:tc>
          <w:tcPr>
            <w:tcW w:w="2268" w:type="dxa"/>
            <w:vAlign w:val="center"/>
          </w:tcPr>
          <w:p>
            <w:pPr>
              <w:pStyle w:val="13"/>
            </w:pPr>
            <w:r>
              <w:t>≤12月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宣传费支出</w:t>
            </w:r>
          </w:p>
        </w:tc>
        <w:tc>
          <w:tcPr>
            <w:tcW w:w="5386" w:type="dxa"/>
            <w:vAlign w:val="center"/>
          </w:tcPr>
          <w:p>
            <w:pPr>
              <w:pStyle w:val="13"/>
            </w:pPr>
            <w:r>
              <w:t>印刷宣传单支出的费用</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差旅费接信访人返青费用</w:t>
            </w:r>
          </w:p>
        </w:tc>
        <w:tc>
          <w:tcPr>
            <w:tcW w:w="2268" w:type="dxa"/>
            <w:vAlign w:val="center"/>
          </w:tcPr>
          <w:p>
            <w:pPr>
              <w:pStyle w:val="13"/>
            </w:pPr>
            <w:r>
              <w:t>≤6万元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“民转刑”命案减少率(%)</w:t>
            </w:r>
          </w:p>
        </w:tc>
        <w:tc>
          <w:tcPr>
            <w:tcW w:w="5386" w:type="dxa"/>
            <w:vAlign w:val="center"/>
          </w:tcPr>
          <w:p>
            <w:pPr>
              <w:pStyle w:val="13"/>
            </w:pPr>
            <w:r>
              <w:t>“民转刑”命案发生数量的减少比率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立体化社会治安防控体系在街道、社区两级的覆盖情况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群众对综治工作满意率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3、办公地点变更装修费绩效目标表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13032124P00329510110P</w:t>
            </w:r>
          </w:p>
        </w:tc>
        <w:tc>
          <w:tcPr>
            <w:tcW w:w="2835" w:type="dxa"/>
            <w:vAlign w:val="center"/>
          </w:tcPr>
          <w:p>
            <w:pPr>
              <w:pStyle w:val="11"/>
            </w:pPr>
            <w:r>
              <w:t>项目名称</w:t>
            </w:r>
          </w:p>
        </w:tc>
        <w:tc>
          <w:tcPr>
            <w:tcW w:w="6094" w:type="dxa"/>
            <w:gridSpan w:val="3"/>
            <w:vAlign w:val="center"/>
          </w:tcPr>
          <w:p>
            <w:pPr>
              <w:pStyle w:val="13"/>
            </w:pPr>
            <w:r>
              <w:t>办公地点变更装修费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预算安排8万元，其中财政拨款8万元，主要用于办公地点变更装修支付。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3"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1.通过完成建设好办公地点，安置好公共设施、设备，确保更好的服务群众。</w:t>
            </w:r>
          </w:p>
          <w:p>
            <w:pPr>
              <w:pStyle w:val="13"/>
            </w:pPr>
            <w:r>
              <w:t>2.通过购置相应办公设备，提高办公效率，确保办公地点能正常运行。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购置设备数量</w:t>
            </w:r>
          </w:p>
        </w:tc>
        <w:tc>
          <w:tcPr>
            <w:tcW w:w="5386" w:type="dxa"/>
            <w:vAlign w:val="center"/>
          </w:tcPr>
          <w:p>
            <w:pPr>
              <w:pStyle w:val="13"/>
            </w:pPr>
            <w:r>
              <w:t>改造办公地点所购设备数量</w:t>
            </w:r>
          </w:p>
        </w:tc>
        <w:tc>
          <w:tcPr>
            <w:tcW w:w="2268" w:type="dxa"/>
            <w:vAlign w:val="center"/>
          </w:tcPr>
          <w:p>
            <w:pPr>
              <w:pStyle w:val="13"/>
            </w:pPr>
            <w:r>
              <w:t>80台</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反映改造项目合格率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反映和办公地点装修完工时间</w:t>
            </w:r>
          </w:p>
        </w:tc>
        <w:tc>
          <w:tcPr>
            <w:tcW w:w="2268" w:type="dxa"/>
            <w:vAlign w:val="center"/>
          </w:tcPr>
          <w:p>
            <w:pPr>
              <w:pStyle w:val="13"/>
            </w:pPr>
            <w:r>
              <w:t>2024年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装修费</w:t>
            </w:r>
          </w:p>
        </w:tc>
        <w:tc>
          <w:tcPr>
            <w:tcW w:w="5386" w:type="dxa"/>
            <w:vAlign w:val="center"/>
          </w:tcPr>
          <w:p>
            <w:pPr>
              <w:pStyle w:val="13"/>
            </w:pPr>
            <w:r>
              <w:t>反映办公地点装修费用</w:t>
            </w:r>
          </w:p>
        </w:tc>
        <w:tc>
          <w:tcPr>
            <w:tcW w:w="2268" w:type="dxa"/>
            <w:vAlign w:val="center"/>
          </w:tcPr>
          <w:p>
            <w:pPr>
              <w:pStyle w:val="13"/>
            </w:pPr>
            <w:r>
              <w:t>16万元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设备购置费</w:t>
            </w:r>
          </w:p>
        </w:tc>
        <w:tc>
          <w:tcPr>
            <w:tcW w:w="5386" w:type="dxa"/>
            <w:vAlign w:val="center"/>
          </w:tcPr>
          <w:p>
            <w:pPr>
              <w:pStyle w:val="13"/>
            </w:pPr>
            <w:r>
              <w:t>反映办公地点公共设施设备费用</w:t>
            </w:r>
          </w:p>
        </w:tc>
        <w:tc>
          <w:tcPr>
            <w:tcW w:w="2268" w:type="dxa"/>
            <w:vAlign w:val="center"/>
          </w:tcPr>
          <w:p>
            <w:pPr>
              <w:pStyle w:val="13"/>
            </w:pPr>
            <w:r>
              <w:t>8万元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保证办公正常运行</w:t>
            </w:r>
          </w:p>
        </w:tc>
        <w:tc>
          <w:tcPr>
            <w:tcW w:w="5386" w:type="dxa"/>
            <w:vAlign w:val="center"/>
          </w:tcPr>
          <w:p>
            <w:pPr>
              <w:pStyle w:val="13"/>
            </w:pPr>
            <w:r>
              <w:t>保证办公正常运行年限</w:t>
            </w:r>
          </w:p>
        </w:tc>
        <w:tc>
          <w:tcPr>
            <w:tcW w:w="2268" w:type="dxa"/>
            <w:vAlign w:val="center"/>
          </w:tcPr>
          <w:p>
            <w:pPr>
              <w:pStyle w:val="13"/>
            </w:pPr>
            <w:r>
              <w:t>10年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日常工作有效运转</w:t>
            </w:r>
          </w:p>
        </w:tc>
        <w:tc>
          <w:tcPr>
            <w:tcW w:w="5386" w:type="dxa"/>
            <w:vAlign w:val="center"/>
          </w:tcPr>
          <w:p>
            <w:pPr>
              <w:pStyle w:val="13"/>
            </w:pPr>
            <w:r>
              <w:t>有效保障单位各项日常工作顺利开展</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通过问卷，满意或基本满意的职工占所有调查职工的比例</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13032122P00329510020D</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131.00</w:t>
            </w:r>
          </w:p>
        </w:tc>
        <w:tc>
          <w:tcPr>
            <w:tcW w:w="2835" w:type="dxa"/>
            <w:vAlign w:val="center"/>
          </w:tcPr>
          <w:p>
            <w:pPr>
              <w:pStyle w:val="11"/>
            </w:pPr>
            <w:r>
              <w:t>其中：财政    资金</w:t>
            </w:r>
          </w:p>
        </w:tc>
        <w:tc>
          <w:tcPr>
            <w:tcW w:w="2551" w:type="dxa"/>
            <w:vAlign w:val="center"/>
          </w:tcPr>
          <w:p>
            <w:pPr>
              <w:pStyle w:val="13"/>
            </w:pPr>
            <w:r>
              <w:t>131.00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预算资金31万元，其中财政资金31万元，主要用于服务群众专项经费支出。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7.75</w:t>
            </w:r>
          </w:p>
        </w:tc>
        <w:tc>
          <w:tcPr>
            <w:tcW w:w="2835" w:type="dxa"/>
            <w:vAlign w:val="center"/>
          </w:tcPr>
          <w:p>
            <w:pPr>
              <w:pStyle w:val="14"/>
            </w:pPr>
            <w:r>
              <w:t>15.50</w:t>
            </w:r>
          </w:p>
        </w:tc>
        <w:tc>
          <w:tcPr>
            <w:tcW w:w="2551" w:type="dxa"/>
            <w:vAlign w:val="center"/>
          </w:tcPr>
          <w:p>
            <w:pPr>
              <w:pStyle w:val="14"/>
            </w:pPr>
            <w:r>
              <w:t>23.25</w:t>
            </w:r>
          </w:p>
        </w:tc>
        <w:tc>
          <w:tcPr>
            <w:tcW w:w="3543" w:type="dxa"/>
            <w:gridSpan w:val="2"/>
            <w:vAlign w:val="center"/>
          </w:tcPr>
          <w:p>
            <w:pPr>
              <w:pStyle w:val="14"/>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1.通过开展垃圾清理等服务群众工作，进一步改善社区人居环境卫生。</w:t>
            </w:r>
            <w:r>
              <w:tab/>
            </w:r>
            <w:r>
              <w:tab/>
            </w:r>
            <w:r>
              <w:tab/>
            </w:r>
            <w:r>
              <w:tab/>
            </w:r>
            <w:r>
              <w:tab/>
            </w:r>
            <w:r>
              <w:tab/>
            </w:r>
          </w:p>
          <w:p>
            <w:pPr>
              <w:pStyle w:val="13"/>
            </w:pPr>
          </w:p>
          <w:p>
            <w:pPr>
              <w:pStyle w:val="13"/>
            </w:pPr>
            <w:r>
              <w:t>2.实现社区容貌干净整洁有序，提升居民幸福感。</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反映涉及社区组织数量</w:t>
            </w:r>
          </w:p>
        </w:tc>
        <w:tc>
          <w:tcPr>
            <w:tcW w:w="2268" w:type="dxa"/>
            <w:vAlign w:val="center"/>
          </w:tcPr>
          <w:p>
            <w:pPr>
              <w:pStyle w:val="13"/>
            </w:pPr>
            <w:r>
              <w:t>10个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服务群众工作完成率</w:t>
            </w:r>
          </w:p>
        </w:tc>
        <w:tc>
          <w:tcPr>
            <w:tcW w:w="5386" w:type="dxa"/>
            <w:vAlign w:val="center"/>
          </w:tcPr>
          <w:p>
            <w:pPr>
              <w:pStyle w:val="13"/>
            </w:pPr>
            <w:r>
              <w:t>反映社区组织开展服务群众具体情况如：社区清运垃圾、公共卫生防疫等等</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资金发放及时性</w:t>
            </w:r>
          </w:p>
        </w:tc>
        <w:tc>
          <w:tcPr>
            <w:tcW w:w="5386" w:type="dxa"/>
            <w:vAlign w:val="center"/>
          </w:tcPr>
          <w:p>
            <w:pPr>
              <w:pStyle w:val="13"/>
            </w:pPr>
            <w:r>
              <w:t>反映资金到位发放的及时情况</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反映各社区服务群众各项工作完成的及时情况</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服务群众经费</w:t>
            </w:r>
          </w:p>
        </w:tc>
        <w:tc>
          <w:tcPr>
            <w:tcW w:w="5386" w:type="dxa"/>
            <w:vAlign w:val="center"/>
          </w:tcPr>
          <w:p>
            <w:pPr>
              <w:pStyle w:val="13"/>
            </w:pPr>
            <w:r>
              <w:t>反映用于10个社区的垃圾清理等费用</w:t>
            </w:r>
          </w:p>
        </w:tc>
        <w:tc>
          <w:tcPr>
            <w:tcW w:w="2268" w:type="dxa"/>
            <w:vAlign w:val="center"/>
          </w:tcPr>
          <w:p>
            <w:pPr>
              <w:pStyle w:val="13"/>
            </w:pPr>
            <w:r>
              <w:t>≤100万元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经费拨付标准</w:t>
            </w:r>
          </w:p>
        </w:tc>
        <w:tc>
          <w:tcPr>
            <w:tcW w:w="5386" w:type="dxa"/>
            <w:vAlign w:val="center"/>
          </w:tcPr>
          <w:p>
            <w:pPr>
              <w:pStyle w:val="13"/>
            </w:pPr>
            <w:r>
              <w:t>反映每个社区经费拨付标准</w:t>
            </w:r>
          </w:p>
        </w:tc>
        <w:tc>
          <w:tcPr>
            <w:tcW w:w="2268" w:type="dxa"/>
            <w:vAlign w:val="center"/>
          </w:tcPr>
          <w:p>
            <w:pPr>
              <w:pStyle w:val="13"/>
            </w:pPr>
            <w:r>
              <w:t>≤10万元/社区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通过项目实施进一步改善社区人居环境卫生，提升居民幸福感，反映受益人口数量</w:t>
            </w:r>
          </w:p>
        </w:tc>
        <w:tc>
          <w:tcPr>
            <w:tcW w:w="2268" w:type="dxa"/>
            <w:vAlign w:val="center"/>
          </w:tcPr>
          <w:p>
            <w:pPr>
              <w:pStyle w:val="13"/>
            </w:pPr>
            <w:r>
              <w:t>≥61000人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通过进一步改善社区生态环境，实现社区干净整洁有序,改善生态环境社区数量</w:t>
            </w:r>
          </w:p>
        </w:tc>
        <w:tc>
          <w:tcPr>
            <w:tcW w:w="2268" w:type="dxa"/>
            <w:vAlign w:val="center"/>
          </w:tcPr>
          <w:p>
            <w:pPr>
              <w:pStyle w:val="13"/>
            </w:pPr>
            <w:r>
              <w:t>10个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通过问卷调查，满意和基本满意的群众占所有调查群众的比例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5、居民区卫生服务点资金绩效目标表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13032124P00329510109C</w:t>
            </w:r>
          </w:p>
        </w:tc>
        <w:tc>
          <w:tcPr>
            <w:tcW w:w="2835" w:type="dxa"/>
            <w:vAlign w:val="center"/>
          </w:tcPr>
          <w:p>
            <w:pPr>
              <w:pStyle w:val="11"/>
            </w:pPr>
            <w:r>
              <w:t>项目名称</w:t>
            </w:r>
          </w:p>
        </w:tc>
        <w:tc>
          <w:tcPr>
            <w:tcW w:w="6094" w:type="dxa"/>
            <w:gridSpan w:val="3"/>
            <w:vAlign w:val="center"/>
          </w:tcPr>
          <w:p>
            <w:pPr>
              <w:pStyle w:val="13"/>
            </w:pPr>
            <w:r>
              <w:t>居民区卫生服务点资金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预算安排9万元，其中财政拨款9万元，主要用于居民卫生服务支出。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2.25</w:t>
            </w:r>
          </w:p>
        </w:tc>
        <w:tc>
          <w:tcPr>
            <w:tcW w:w="2835" w:type="dxa"/>
            <w:vAlign w:val="center"/>
          </w:tcPr>
          <w:p>
            <w:pPr>
              <w:pStyle w:val="14"/>
            </w:pPr>
            <w:r>
              <w:t>4.50</w:t>
            </w:r>
          </w:p>
        </w:tc>
        <w:tc>
          <w:tcPr>
            <w:tcW w:w="2551" w:type="dxa"/>
            <w:vAlign w:val="center"/>
          </w:tcPr>
          <w:p>
            <w:pPr>
              <w:pStyle w:val="14"/>
            </w:pPr>
            <w:r>
              <w:t>6.75</w:t>
            </w:r>
          </w:p>
        </w:tc>
        <w:tc>
          <w:tcPr>
            <w:tcW w:w="3543" w:type="dxa"/>
            <w:gridSpan w:val="2"/>
            <w:vAlign w:val="center"/>
          </w:tcPr>
          <w:p>
            <w:pPr>
              <w:pStyle w:val="14"/>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1.通过服务点的装修和制度牌等的购买，达到居民区卫生服务点的启用标准。</w:t>
            </w:r>
          </w:p>
          <w:p>
            <w:pPr>
              <w:pStyle w:val="13"/>
            </w:pPr>
            <w:r>
              <w:t>2.通过居民卫生服务点的建设，增强疫情防控“哨点”作用，进一步做好居民区疫情防控工作。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移动板房数量</w:t>
            </w:r>
          </w:p>
        </w:tc>
        <w:tc>
          <w:tcPr>
            <w:tcW w:w="5386" w:type="dxa"/>
            <w:vAlign w:val="center"/>
          </w:tcPr>
          <w:p>
            <w:pPr>
              <w:pStyle w:val="13"/>
            </w:pPr>
            <w:r>
              <w:t>建移动板房数量</w:t>
            </w:r>
          </w:p>
        </w:tc>
        <w:tc>
          <w:tcPr>
            <w:tcW w:w="2268" w:type="dxa"/>
            <w:vAlign w:val="center"/>
          </w:tcPr>
          <w:p>
            <w:pPr>
              <w:pStyle w:val="13"/>
            </w:pPr>
            <w:r>
              <w:t>24个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改造项目合格率</w:t>
            </w:r>
          </w:p>
        </w:tc>
        <w:tc>
          <w:tcPr>
            <w:tcW w:w="5386" w:type="dxa"/>
            <w:vAlign w:val="center"/>
          </w:tcPr>
          <w:p>
            <w:pPr>
              <w:pStyle w:val="13"/>
            </w:pPr>
            <w:r>
              <w:t>反映改造项目合格率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改造费用支付及时性</w:t>
            </w:r>
          </w:p>
        </w:tc>
        <w:tc>
          <w:tcPr>
            <w:tcW w:w="5386" w:type="dxa"/>
            <w:vAlign w:val="center"/>
          </w:tcPr>
          <w:p>
            <w:pPr>
              <w:pStyle w:val="13"/>
            </w:pPr>
            <w:r>
              <w:t>反映服务点改造费用支付及时性</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完工日期</w:t>
            </w:r>
          </w:p>
        </w:tc>
        <w:tc>
          <w:tcPr>
            <w:tcW w:w="5386" w:type="dxa"/>
            <w:vAlign w:val="center"/>
          </w:tcPr>
          <w:p>
            <w:pPr>
              <w:pStyle w:val="13"/>
            </w:pPr>
            <w:r>
              <w:t>反映居民区卫生服务点项目完工时间</w:t>
            </w:r>
          </w:p>
        </w:tc>
        <w:tc>
          <w:tcPr>
            <w:tcW w:w="2268" w:type="dxa"/>
            <w:vAlign w:val="center"/>
          </w:tcPr>
          <w:p>
            <w:pPr>
              <w:pStyle w:val="13"/>
            </w:pPr>
            <w:r>
              <w:t>2024年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服务点改造费用</w:t>
            </w:r>
          </w:p>
        </w:tc>
        <w:tc>
          <w:tcPr>
            <w:tcW w:w="5386" w:type="dxa"/>
            <w:vAlign w:val="center"/>
          </w:tcPr>
          <w:p>
            <w:pPr>
              <w:pStyle w:val="13"/>
            </w:pPr>
            <w:r>
              <w:t>反映服务点改造费用</w:t>
            </w:r>
          </w:p>
        </w:tc>
        <w:tc>
          <w:tcPr>
            <w:tcW w:w="2268" w:type="dxa"/>
            <w:vAlign w:val="center"/>
          </w:tcPr>
          <w:p>
            <w:pPr>
              <w:pStyle w:val="13"/>
            </w:pPr>
            <w:r>
              <w:t>20万元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服务点运行费用</w:t>
            </w:r>
          </w:p>
        </w:tc>
        <w:tc>
          <w:tcPr>
            <w:tcW w:w="5386" w:type="dxa"/>
            <w:vAlign w:val="center"/>
          </w:tcPr>
          <w:p>
            <w:pPr>
              <w:pStyle w:val="13"/>
            </w:pPr>
            <w:r>
              <w:t>反映服务点运行费用</w:t>
            </w:r>
          </w:p>
        </w:tc>
        <w:tc>
          <w:tcPr>
            <w:tcW w:w="2268" w:type="dxa"/>
            <w:vAlign w:val="center"/>
          </w:tcPr>
          <w:p>
            <w:pPr>
              <w:pStyle w:val="13"/>
            </w:pPr>
            <w:r>
              <w:t>≥4.34万元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提高防疫成效，提高办事效率</w:t>
            </w:r>
          </w:p>
        </w:tc>
        <w:tc>
          <w:tcPr>
            <w:tcW w:w="5386" w:type="dxa"/>
            <w:vAlign w:val="center"/>
          </w:tcPr>
          <w:p>
            <w:pPr>
              <w:pStyle w:val="13"/>
            </w:pPr>
            <w:r>
              <w:t>通过项目实施满足居民区卫生服务点正常运转</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可持续年限</w:t>
            </w:r>
          </w:p>
        </w:tc>
        <w:tc>
          <w:tcPr>
            <w:tcW w:w="5386" w:type="dxa"/>
            <w:vAlign w:val="center"/>
          </w:tcPr>
          <w:p>
            <w:pPr>
              <w:pStyle w:val="13"/>
            </w:pPr>
            <w:r>
              <w:t>移动板房可持续使用年限</w:t>
            </w:r>
          </w:p>
        </w:tc>
        <w:tc>
          <w:tcPr>
            <w:tcW w:w="2268" w:type="dxa"/>
            <w:vAlign w:val="center"/>
          </w:tcPr>
          <w:p>
            <w:pPr>
              <w:pStyle w:val="13"/>
            </w:pPr>
            <w:r>
              <w:t>≥5年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小区居民满意度</w:t>
            </w:r>
          </w:p>
        </w:tc>
        <w:tc>
          <w:tcPr>
            <w:tcW w:w="5386" w:type="dxa"/>
            <w:vAlign w:val="center"/>
          </w:tcPr>
          <w:p>
            <w:pPr>
              <w:pStyle w:val="13"/>
            </w:pPr>
            <w:r>
              <w:t>通过问卷调查，小区居民满意和基本满意的人员占所有调查人员的比例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6、社区房租绩效目标表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13032123P00329710031N</w:t>
            </w:r>
          </w:p>
        </w:tc>
        <w:tc>
          <w:tcPr>
            <w:tcW w:w="2835" w:type="dxa"/>
            <w:vAlign w:val="center"/>
          </w:tcPr>
          <w:p>
            <w:pPr>
              <w:pStyle w:val="11"/>
            </w:pPr>
            <w:r>
              <w:t>项目名称</w:t>
            </w:r>
          </w:p>
        </w:tc>
        <w:tc>
          <w:tcPr>
            <w:tcW w:w="6094" w:type="dxa"/>
            <w:gridSpan w:val="3"/>
            <w:vAlign w:val="center"/>
          </w:tcPr>
          <w:p>
            <w:pPr>
              <w:pStyle w:val="13"/>
            </w:pPr>
            <w:r>
              <w:t>社区房租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81.33</w:t>
            </w:r>
          </w:p>
        </w:tc>
        <w:tc>
          <w:tcPr>
            <w:tcW w:w="2835" w:type="dxa"/>
            <w:vAlign w:val="center"/>
          </w:tcPr>
          <w:p>
            <w:pPr>
              <w:pStyle w:val="11"/>
            </w:pPr>
            <w:r>
              <w:t>其中：财政    资金</w:t>
            </w:r>
          </w:p>
        </w:tc>
        <w:tc>
          <w:tcPr>
            <w:tcW w:w="2551" w:type="dxa"/>
            <w:vAlign w:val="center"/>
          </w:tcPr>
          <w:p>
            <w:pPr>
              <w:pStyle w:val="13"/>
            </w:pPr>
            <w:r>
              <w:t>81.33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预算安排35.0665万元，其中财政拨款35.0665万元，主要用于支付社区房租。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8.77</w:t>
            </w:r>
          </w:p>
        </w:tc>
        <w:tc>
          <w:tcPr>
            <w:tcW w:w="2835" w:type="dxa"/>
            <w:vAlign w:val="center"/>
          </w:tcPr>
          <w:p>
            <w:pPr>
              <w:pStyle w:val="14"/>
            </w:pPr>
            <w:r>
              <w:t>17.53</w:t>
            </w:r>
          </w:p>
        </w:tc>
        <w:tc>
          <w:tcPr>
            <w:tcW w:w="2551" w:type="dxa"/>
            <w:vAlign w:val="center"/>
          </w:tcPr>
          <w:p>
            <w:pPr>
              <w:pStyle w:val="14"/>
            </w:pPr>
            <w:r>
              <w:t>26.30</w:t>
            </w:r>
          </w:p>
        </w:tc>
        <w:tc>
          <w:tcPr>
            <w:tcW w:w="3543" w:type="dxa"/>
            <w:gridSpan w:val="2"/>
            <w:vAlign w:val="center"/>
          </w:tcPr>
          <w:p>
            <w:pPr>
              <w:pStyle w:val="14"/>
            </w:pPr>
            <w:r>
              <w:t>35.07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1.通过租赁办公房，达到保证正常办公效果。</w:t>
            </w:r>
          </w:p>
          <w:p>
            <w:pPr>
              <w:pStyle w:val="13"/>
            </w:pPr>
            <w:r>
              <w:t>2.通过租赁办公用房，实现高效服务。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解决办公用房面积</w:t>
            </w:r>
          </w:p>
        </w:tc>
        <w:tc>
          <w:tcPr>
            <w:tcW w:w="5386" w:type="dxa"/>
            <w:vAlign w:val="center"/>
          </w:tcPr>
          <w:p>
            <w:pPr>
              <w:pStyle w:val="13"/>
            </w:pPr>
            <w:r>
              <w:t>反映办公用房租赁情况</w:t>
            </w:r>
          </w:p>
        </w:tc>
        <w:tc>
          <w:tcPr>
            <w:tcW w:w="2268" w:type="dxa"/>
            <w:vAlign w:val="center"/>
          </w:tcPr>
          <w:p>
            <w:pPr>
              <w:pStyle w:val="13"/>
            </w:pPr>
            <w:r>
              <w:t>≥3100平米</w:t>
            </w:r>
          </w:p>
        </w:tc>
        <w:tc>
          <w:tcPr>
            <w:tcW w:w="1276" w:type="dxa"/>
            <w:vAlign w:val="center"/>
          </w:tcPr>
          <w:p>
            <w:pPr>
              <w:pStyle w:val="13"/>
            </w:pPr>
            <w:r>
              <w:t>社区办公场所面积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每年支付房租次数</w:t>
            </w:r>
          </w:p>
        </w:tc>
        <w:tc>
          <w:tcPr>
            <w:tcW w:w="5386" w:type="dxa"/>
            <w:vAlign w:val="center"/>
          </w:tcPr>
          <w:p>
            <w:pPr>
              <w:pStyle w:val="13"/>
            </w:pPr>
            <w:r>
              <w:t>支付办公用房房租次数</w:t>
            </w:r>
          </w:p>
        </w:tc>
        <w:tc>
          <w:tcPr>
            <w:tcW w:w="2268" w:type="dxa"/>
            <w:vAlign w:val="center"/>
          </w:tcPr>
          <w:p>
            <w:pPr>
              <w:pStyle w:val="13"/>
            </w:pPr>
            <w:r>
              <w:t>1次/年</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租赁合同完成率</w:t>
            </w:r>
          </w:p>
        </w:tc>
        <w:tc>
          <w:tcPr>
            <w:tcW w:w="5386" w:type="dxa"/>
            <w:vAlign w:val="center"/>
          </w:tcPr>
          <w:p>
            <w:pPr>
              <w:pStyle w:val="13"/>
            </w:pPr>
            <w:r>
              <w:t>签订办公用房租赁合同完成率</w:t>
            </w:r>
          </w:p>
        </w:tc>
        <w:tc>
          <w:tcPr>
            <w:tcW w:w="2268" w:type="dxa"/>
            <w:vAlign w:val="center"/>
          </w:tcPr>
          <w:p>
            <w:pPr>
              <w:pStyle w:val="13"/>
            </w:pPr>
            <w:r>
              <w:t>≥95%</w:t>
            </w:r>
          </w:p>
        </w:tc>
        <w:tc>
          <w:tcPr>
            <w:tcW w:w="1276" w:type="dxa"/>
            <w:vAlign w:val="center"/>
          </w:tcPr>
          <w:p>
            <w:pPr>
              <w:pStyle w:val="13"/>
            </w:pPr>
            <w:r>
              <w:t>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及时支付比率</w:t>
            </w:r>
          </w:p>
        </w:tc>
        <w:tc>
          <w:tcPr>
            <w:tcW w:w="5386" w:type="dxa"/>
            <w:vAlign w:val="center"/>
          </w:tcPr>
          <w:p>
            <w:pPr>
              <w:pStyle w:val="13"/>
            </w:pPr>
            <w:r>
              <w:t>支付房租及时率</w:t>
            </w:r>
          </w:p>
        </w:tc>
        <w:tc>
          <w:tcPr>
            <w:tcW w:w="2268" w:type="dxa"/>
            <w:vAlign w:val="center"/>
          </w:tcPr>
          <w:p>
            <w:pPr>
              <w:pStyle w:val="13"/>
            </w:pPr>
            <w:r>
              <w:t>≥95%</w:t>
            </w:r>
          </w:p>
        </w:tc>
        <w:tc>
          <w:tcPr>
            <w:tcW w:w="1276" w:type="dxa"/>
            <w:vAlign w:val="center"/>
          </w:tcPr>
          <w:p>
            <w:pPr>
              <w:pStyle w:val="13"/>
            </w:pPr>
            <w:r>
              <w:t>2024年工作计划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资金费用支付及时性</w:t>
            </w:r>
          </w:p>
        </w:tc>
        <w:tc>
          <w:tcPr>
            <w:tcW w:w="5386" w:type="dxa"/>
            <w:vAlign w:val="center"/>
          </w:tcPr>
          <w:p>
            <w:pPr>
              <w:pStyle w:val="13"/>
            </w:pPr>
            <w:r>
              <w:t>反映各项费用支出及时情况</w:t>
            </w:r>
          </w:p>
        </w:tc>
        <w:tc>
          <w:tcPr>
            <w:tcW w:w="2268" w:type="dxa"/>
            <w:vAlign w:val="center"/>
          </w:tcPr>
          <w:p>
            <w:pPr>
              <w:pStyle w:val="13"/>
            </w:pPr>
            <w:r>
              <w:t>≥95%</w:t>
            </w:r>
          </w:p>
        </w:tc>
        <w:tc>
          <w:tcPr>
            <w:tcW w:w="1276" w:type="dxa"/>
            <w:vAlign w:val="center"/>
          </w:tcPr>
          <w:p>
            <w:pPr>
              <w:pStyle w:val="13"/>
            </w:pPr>
            <w:r>
              <w:t>2024年工作计划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预算范围内</w:t>
            </w:r>
          </w:p>
        </w:tc>
        <w:tc>
          <w:tcPr>
            <w:tcW w:w="5386" w:type="dxa"/>
            <w:vAlign w:val="center"/>
          </w:tcPr>
          <w:p>
            <w:pPr>
              <w:pStyle w:val="13"/>
            </w:pPr>
            <w:r>
              <w:t>每年支付房屋租赁费</w:t>
            </w:r>
          </w:p>
        </w:tc>
        <w:tc>
          <w:tcPr>
            <w:tcW w:w="2268" w:type="dxa"/>
            <w:vAlign w:val="center"/>
          </w:tcPr>
          <w:p>
            <w:pPr>
              <w:pStyle w:val="13"/>
            </w:pPr>
            <w:r>
              <w:t>35.06万元</w:t>
            </w:r>
          </w:p>
        </w:tc>
        <w:tc>
          <w:tcPr>
            <w:tcW w:w="1276" w:type="dxa"/>
            <w:vAlign w:val="center"/>
          </w:tcPr>
          <w:p>
            <w:pPr>
              <w:pStyle w:val="13"/>
            </w:pPr>
            <w:r>
              <w:t>2024年工作计划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解决办公用房人数</w:t>
            </w:r>
          </w:p>
        </w:tc>
        <w:tc>
          <w:tcPr>
            <w:tcW w:w="5386" w:type="dxa"/>
            <w:vAlign w:val="center"/>
          </w:tcPr>
          <w:p>
            <w:pPr>
              <w:pStyle w:val="13"/>
            </w:pPr>
            <w:r>
              <w:t>反映租用房屋所解决的办公用房人数</w:t>
            </w:r>
          </w:p>
        </w:tc>
        <w:tc>
          <w:tcPr>
            <w:tcW w:w="2268" w:type="dxa"/>
            <w:vAlign w:val="center"/>
          </w:tcPr>
          <w:p>
            <w:pPr>
              <w:pStyle w:val="13"/>
            </w:pPr>
            <w:r>
              <w:t>62人</w:t>
            </w:r>
          </w:p>
        </w:tc>
        <w:tc>
          <w:tcPr>
            <w:tcW w:w="1276" w:type="dxa"/>
            <w:vAlign w:val="center"/>
          </w:tcPr>
          <w:p>
            <w:pPr>
              <w:pStyle w:val="13"/>
            </w:pPr>
            <w:r>
              <w:t>社区干部人员名单</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通过及时支付运转经费，保障日常工作的持续有序推进</w:t>
            </w:r>
          </w:p>
        </w:tc>
        <w:tc>
          <w:tcPr>
            <w:tcW w:w="2268" w:type="dxa"/>
            <w:vAlign w:val="center"/>
          </w:tcPr>
          <w:p>
            <w:pPr>
              <w:pStyle w:val="13"/>
            </w:pPr>
            <w:r>
              <w:t>≥98%</w:t>
            </w:r>
          </w:p>
        </w:tc>
        <w:tc>
          <w:tcPr>
            <w:tcW w:w="1276" w:type="dxa"/>
            <w:vAlign w:val="center"/>
          </w:tcPr>
          <w:p>
            <w:pPr>
              <w:pStyle w:val="13"/>
            </w:pPr>
            <w:r>
              <w:t>2024年工作计划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单位工作人员满意率</w:t>
            </w:r>
          </w:p>
        </w:tc>
        <w:tc>
          <w:tcPr>
            <w:tcW w:w="5386" w:type="dxa"/>
            <w:vAlign w:val="center"/>
          </w:tcPr>
          <w:p>
            <w:pPr>
              <w:pStyle w:val="13"/>
            </w:pPr>
            <w:r>
              <w:t>反映单位工作人员满意率</w:t>
            </w:r>
          </w:p>
        </w:tc>
        <w:tc>
          <w:tcPr>
            <w:tcW w:w="2268" w:type="dxa"/>
            <w:vAlign w:val="center"/>
          </w:tcPr>
          <w:p>
            <w:pPr>
              <w:pStyle w:val="13"/>
            </w:pPr>
            <w:r>
              <w:t>≥95%</w:t>
            </w:r>
          </w:p>
        </w:tc>
        <w:tc>
          <w:tcPr>
            <w:tcW w:w="127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13032122P003295100192</w:t>
            </w:r>
          </w:p>
        </w:tc>
        <w:tc>
          <w:tcPr>
            <w:tcW w:w="2835" w:type="dxa"/>
            <w:vAlign w:val="center"/>
          </w:tcPr>
          <w:p>
            <w:pPr>
              <w:pStyle w:val="11"/>
            </w:pPr>
            <w:r>
              <w:t>项目名称</w:t>
            </w:r>
          </w:p>
        </w:tc>
        <w:tc>
          <w:tcPr>
            <w:tcW w:w="6094"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58.06</w:t>
            </w:r>
          </w:p>
        </w:tc>
        <w:tc>
          <w:tcPr>
            <w:tcW w:w="2835" w:type="dxa"/>
            <w:vAlign w:val="center"/>
          </w:tcPr>
          <w:p>
            <w:pPr>
              <w:pStyle w:val="11"/>
            </w:pPr>
            <w:r>
              <w:t>其中：财政    资金</w:t>
            </w:r>
          </w:p>
        </w:tc>
        <w:tc>
          <w:tcPr>
            <w:tcW w:w="2551" w:type="dxa"/>
            <w:vAlign w:val="center"/>
          </w:tcPr>
          <w:p>
            <w:pPr>
              <w:pStyle w:val="13"/>
            </w:pPr>
            <w:r>
              <w:t>58.06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预算金额8.057568万元，其中财政拨款8.057568万元，主要用于社区工作支出。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2.01</w:t>
            </w:r>
          </w:p>
        </w:tc>
        <w:tc>
          <w:tcPr>
            <w:tcW w:w="2835" w:type="dxa"/>
            <w:vAlign w:val="center"/>
          </w:tcPr>
          <w:p>
            <w:pPr>
              <w:pStyle w:val="14"/>
            </w:pPr>
            <w:r>
              <w:t>4.03</w:t>
            </w:r>
          </w:p>
        </w:tc>
        <w:tc>
          <w:tcPr>
            <w:tcW w:w="2551" w:type="dxa"/>
            <w:vAlign w:val="center"/>
          </w:tcPr>
          <w:p>
            <w:pPr>
              <w:pStyle w:val="14"/>
            </w:pPr>
            <w:r>
              <w:t>6.04</w:t>
            </w:r>
          </w:p>
        </w:tc>
        <w:tc>
          <w:tcPr>
            <w:tcW w:w="3543" w:type="dxa"/>
            <w:gridSpan w:val="2"/>
            <w:vAlign w:val="center"/>
          </w:tcPr>
          <w:p>
            <w:pPr>
              <w:pStyle w:val="14"/>
            </w:pPr>
            <w:r>
              <w:t>8.06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p>
          <w:p>
            <w:pPr>
              <w:pStyle w:val="13"/>
            </w:pPr>
            <w:r>
              <w:t>.</w:t>
            </w:r>
          </w:p>
          <w:p>
            <w:pPr>
              <w:pStyle w:val="13"/>
            </w:pPr>
            <w:r>
              <w:t>2.通过购置办公用品及办公设施，保证社区各项工作正常运转。</w:t>
            </w:r>
            <w:r>
              <w:tab/>
            </w:r>
            <w:r>
              <w:tab/>
            </w:r>
            <w:r>
              <w:tab/>
            </w:r>
            <w:r>
              <w:tab/>
            </w:r>
            <w:r>
              <w:tab/>
            </w:r>
            <w:r>
              <w:tab/>
            </w:r>
          </w:p>
          <w:p>
            <w:pPr>
              <w:pStyle w:val="13"/>
            </w:pPr>
          </w:p>
          <w:p>
            <w:pPr>
              <w:pStyle w:val="13"/>
            </w:pPr>
            <w:r>
              <w:t>3.通过日常工作有序开展，保证社区职能的有效履行。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支付办公费保障人数</w:t>
            </w:r>
          </w:p>
        </w:tc>
        <w:tc>
          <w:tcPr>
            <w:tcW w:w="5386" w:type="dxa"/>
            <w:vAlign w:val="center"/>
          </w:tcPr>
          <w:p>
            <w:pPr>
              <w:pStyle w:val="13"/>
            </w:pPr>
            <w:r>
              <w:t>支付办公费的人数</w:t>
            </w:r>
          </w:p>
        </w:tc>
        <w:tc>
          <w:tcPr>
            <w:tcW w:w="2268" w:type="dxa"/>
            <w:vAlign w:val="center"/>
          </w:tcPr>
          <w:p>
            <w:pPr>
              <w:pStyle w:val="13"/>
            </w:pPr>
            <w:r>
              <w:t>62人</w:t>
            </w:r>
          </w:p>
        </w:tc>
        <w:tc>
          <w:tcPr>
            <w:tcW w:w="1276" w:type="dxa"/>
            <w:vAlign w:val="center"/>
          </w:tcPr>
          <w:p>
            <w:pPr>
              <w:pStyle w:val="13"/>
            </w:pPr>
            <w:r>
              <w:t>社区干部人员名单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保障水电暖等办公空间面积数</w:t>
            </w:r>
          </w:p>
        </w:tc>
        <w:tc>
          <w:tcPr>
            <w:tcW w:w="5386" w:type="dxa"/>
            <w:vAlign w:val="center"/>
          </w:tcPr>
          <w:p>
            <w:pPr>
              <w:pStyle w:val="13"/>
            </w:pPr>
            <w:r>
              <w:t>支付水电费及供暖的办公场所面积数</w:t>
            </w:r>
          </w:p>
        </w:tc>
        <w:tc>
          <w:tcPr>
            <w:tcW w:w="2268" w:type="dxa"/>
            <w:vAlign w:val="center"/>
          </w:tcPr>
          <w:p>
            <w:pPr>
              <w:pStyle w:val="13"/>
            </w:pPr>
            <w:r>
              <w:t>4500平方米</w:t>
            </w:r>
          </w:p>
        </w:tc>
        <w:tc>
          <w:tcPr>
            <w:tcW w:w="1276" w:type="dxa"/>
            <w:vAlign w:val="center"/>
          </w:tcPr>
          <w:p>
            <w:pPr>
              <w:pStyle w:val="13"/>
            </w:pPr>
            <w:r>
              <w:t>10个社区办公场所面积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购置办公用品合格率</w:t>
            </w:r>
          </w:p>
        </w:tc>
        <w:tc>
          <w:tcPr>
            <w:tcW w:w="5386" w:type="dxa"/>
            <w:vAlign w:val="center"/>
          </w:tcPr>
          <w:p>
            <w:pPr>
              <w:pStyle w:val="13"/>
            </w:pPr>
            <w:r>
              <w:t>购买的办公用品合格数量占全部购买办公用品数量的比例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办公场所水电费保障率</w:t>
            </w:r>
          </w:p>
        </w:tc>
        <w:tc>
          <w:tcPr>
            <w:tcW w:w="5386" w:type="dxa"/>
            <w:vAlign w:val="center"/>
          </w:tcPr>
          <w:p>
            <w:pPr>
              <w:pStyle w:val="13"/>
            </w:pPr>
            <w:r>
              <w:t>反映办公场所水电暖等基础设施费用的稳定情况</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资金费用支付及时性</w:t>
            </w:r>
          </w:p>
        </w:tc>
        <w:tc>
          <w:tcPr>
            <w:tcW w:w="5386" w:type="dxa"/>
            <w:vAlign w:val="center"/>
          </w:tcPr>
          <w:p>
            <w:pPr>
              <w:pStyle w:val="13"/>
            </w:pPr>
            <w:r>
              <w:t>反映各项费用支出及时情况</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租赁办公场所费用</w:t>
            </w:r>
          </w:p>
        </w:tc>
        <w:tc>
          <w:tcPr>
            <w:tcW w:w="5386" w:type="dxa"/>
            <w:vAlign w:val="center"/>
          </w:tcPr>
          <w:p>
            <w:pPr>
              <w:pStyle w:val="13"/>
            </w:pPr>
            <w:r>
              <w:t>房租费成本</w:t>
            </w:r>
          </w:p>
        </w:tc>
        <w:tc>
          <w:tcPr>
            <w:tcW w:w="2268" w:type="dxa"/>
            <w:vAlign w:val="center"/>
          </w:tcPr>
          <w:p>
            <w:pPr>
              <w:pStyle w:val="13"/>
            </w:pPr>
            <w:r>
              <w:t>29.46万元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人均定额金额</w:t>
            </w:r>
          </w:p>
        </w:tc>
        <w:tc>
          <w:tcPr>
            <w:tcW w:w="5386" w:type="dxa"/>
            <w:vAlign w:val="center"/>
          </w:tcPr>
          <w:p>
            <w:pPr>
              <w:pStyle w:val="13"/>
            </w:pPr>
            <w:r>
              <w:t>运转人均定额金额</w:t>
            </w:r>
          </w:p>
        </w:tc>
        <w:tc>
          <w:tcPr>
            <w:tcW w:w="2268" w:type="dxa"/>
            <w:vAlign w:val="center"/>
          </w:tcPr>
          <w:p>
            <w:pPr>
              <w:pStyle w:val="13"/>
            </w:pPr>
            <w:r>
              <w:t>≤0.8万元/人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网络运行维护费</w:t>
            </w:r>
          </w:p>
        </w:tc>
        <w:tc>
          <w:tcPr>
            <w:tcW w:w="5386" w:type="dxa"/>
            <w:vAlign w:val="center"/>
          </w:tcPr>
          <w:p>
            <w:pPr>
              <w:pStyle w:val="13"/>
            </w:pPr>
            <w:r>
              <w:t>网络运行维护的成本</w:t>
            </w:r>
          </w:p>
        </w:tc>
        <w:tc>
          <w:tcPr>
            <w:tcW w:w="2268" w:type="dxa"/>
            <w:vAlign w:val="center"/>
          </w:tcPr>
          <w:p>
            <w:pPr>
              <w:pStyle w:val="13"/>
            </w:pPr>
            <w:r>
              <w:t>≤2.1万元/社区</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日常工作有效运转率</w:t>
            </w:r>
          </w:p>
        </w:tc>
        <w:tc>
          <w:tcPr>
            <w:tcW w:w="5386" w:type="dxa"/>
            <w:vAlign w:val="center"/>
          </w:tcPr>
          <w:p>
            <w:pPr>
              <w:pStyle w:val="13"/>
            </w:pPr>
            <w:r>
              <w:t>通过及时支付运转经费，有效保证单位各项日常工作顺利开展</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节约成本</w:t>
            </w:r>
          </w:p>
        </w:tc>
        <w:tc>
          <w:tcPr>
            <w:tcW w:w="5386" w:type="dxa"/>
            <w:vAlign w:val="center"/>
          </w:tcPr>
          <w:p>
            <w:pPr>
              <w:pStyle w:val="13"/>
            </w:pPr>
            <w:r>
              <w:t>节约水、电等资源，降低能耗，实现绿色办公，反映较上年节约率</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通过及时支付运转经费，保障日常工作的持续有序推进</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通过问卷调查，满意和基本满意的职工占所有调查职工的比例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8、严重精神障碍患者监护人责任险绩效目标表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13032122P003295100211</w:t>
            </w:r>
          </w:p>
        </w:tc>
        <w:tc>
          <w:tcPr>
            <w:tcW w:w="2835" w:type="dxa"/>
            <w:vAlign w:val="center"/>
          </w:tcPr>
          <w:p>
            <w:pPr>
              <w:pStyle w:val="11"/>
            </w:pPr>
            <w:r>
              <w:t>项目名称</w:t>
            </w:r>
          </w:p>
        </w:tc>
        <w:tc>
          <w:tcPr>
            <w:tcW w:w="6094" w:type="dxa"/>
            <w:gridSpan w:val="3"/>
            <w:vAlign w:val="center"/>
          </w:tcPr>
          <w:p>
            <w:pPr>
              <w:pStyle w:val="13"/>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0.99</w:t>
            </w:r>
          </w:p>
        </w:tc>
        <w:tc>
          <w:tcPr>
            <w:tcW w:w="2835" w:type="dxa"/>
            <w:vAlign w:val="center"/>
          </w:tcPr>
          <w:p>
            <w:pPr>
              <w:pStyle w:val="11"/>
            </w:pPr>
            <w:r>
              <w:t>其中：财政    资金</w:t>
            </w:r>
          </w:p>
        </w:tc>
        <w:tc>
          <w:tcPr>
            <w:tcW w:w="2551" w:type="dxa"/>
            <w:vAlign w:val="center"/>
          </w:tcPr>
          <w:p>
            <w:pPr>
              <w:pStyle w:val="13"/>
            </w:pPr>
            <w:r>
              <w:t>0.99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预算资金0.49万元，其中财政资金0.49万元，主要用于严重精神障碍患者支出。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0.49</w:t>
            </w:r>
          </w:p>
        </w:tc>
        <w:tc>
          <w:tcPr>
            <w:tcW w:w="2835" w:type="dxa"/>
            <w:vAlign w:val="center"/>
          </w:tcPr>
          <w:p>
            <w:pPr>
              <w:pStyle w:val="14"/>
            </w:pPr>
            <w:r>
              <w:t>0.49</w:t>
            </w:r>
          </w:p>
        </w:tc>
        <w:tc>
          <w:tcPr>
            <w:tcW w:w="2551" w:type="dxa"/>
            <w:vAlign w:val="center"/>
          </w:tcPr>
          <w:p>
            <w:pPr>
              <w:pStyle w:val="14"/>
            </w:pPr>
            <w:r>
              <w:t>0.49</w:t>
            </w:r>
          </w:p>
        </w:tc>
        <w:tc>
          <w:tcPr>
            <w:tcW w:w="3543" w:type="dxa"/>
            <w:gridSpan w:val="2"/>
            <w:vAlign w:val="center"/>
          </w:tcPr>
          <w:p>
            <w:pPr>
              <w:pStyle w:val="14"/>
            </w:pPr>
            <w:r>
              <w:t>0.49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1."通过为严重精神障碍患者监护人办理相关保险业，预防严重精神障碍患者伤及人身、损坏财物事件发生。</w:t>
            </w:r>
            <w:r>
              <w:tab/>
            </w:r>
            <w:r>
              <w:t>"</w:t>
            </w:r>
            <w:r>
              <w:tab/>
            </w:r>
            <w:r>
              <w:tab/>
            </w:r>
            <w:r>
              <w:tab/>
            </w:r>
            <w:r>
              <w:tab/>
            </w:r>
            <w:r>
              <w:tab/>
            </w:r>
            <w:r>
              <w:tab/>
            </w:r>
          </w:p>
          <w:p>
            <w:pPr>
              <w:pStyle w:val="13"/>
            </w:pPr>
          </w:p>
          <w:p>
            <w:pPr>
              <w:pStyle w:val="13"/>
            </w:pPr>
            <w:r>
              <w:t>2.通过以政府出资投保的方式，减少监护人损失、增强监护人、当事人社会保障，从而化解事后风险。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享受保险人数(人)</w:t>
            </w:r>
          </w:p>
        </w:tc>
        <w:tc>
          <w:tcPr>
            <w:tcW w:w="5386" w:type="dxa"/>
            <w:vAlign w:val="center"/>
          </w:tcPr>
          <w:p>
            <w:pPr>
              <w:pStyle w:val="13"/>
            </w:pPr>
            <w:r>
              <w:t>享受严重精神障碍患者监护人责任险的人数</w:t>
            </w:r>
          </w:p>
        </w:tc>
        <w:tc>
          <w:tcPr>
            <w:tcW w:w="2268" w:type="dxa"/>
            <w:vAlign w:val="center"/>
          </w:tcPr>
          <w:p>
            <w:pPr>
              <w:pStyle w:val="13"/>
            </w:pPr>
            <w:r>
              <w:t>49人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严重精神障碍患者</w:t>
            </w:r>
          </w:p>
        </w:tc>
        <w:tc>
          <w:tcPr>
            <w:tcW w:w="5386" w:type="dxa"/>
            <w:vAlign w:val="center"/>
          </w:tcPr>
          <w:p>
            <w:pPr>
              <w:pStyle w:val="13"/>
            </w:pPr>
            <w:r>
              <w:t>反映严重精神障碍患者人数</w:t>
            </w:r>
          </w:p>
        </w:tc>
        <w:tc>
          <w:tcPr>
            <w:tcW w:w="2268" w:type="dxa"/>
            <w:vAlign w:val="center"/>
          </w:tcPr>
          <w:p>
            <w:pPr>
              <w:pStyle w:val="13"/>
            </w:pPr>
            <w:r>
              <w:t>49人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参保率</w:t>
            </w:r>
          </w:p>
        </w:tc>
        <w:tc>
          <w:tcPr>
            <w:tcW w:w="5386" w:type="dxa"/>
            <w:vAlign w:val="center"/>
          </w:tcPr>
          <w:p>
            <w:pPr>
              <w:pStyle w:val="13"/>
            </w:pPr>
            <w:r>
              <w:t>已参保人数占应参保人数的比率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审核准确率</w:t>
            </w:r>
          </w:p>
        </w:tc>
        <w:tc>
          <w:tcPr>
            <w:tcW w:w="5386" w:type="dxa"/>
            <w:vAlign w:val="center"/>
          </w:tcPr>
          <w:p>
            <w:pPr>
              <w:pStyle w:val="13"/>
            </w:pPr>
            <w:r>
              <w:t>责任险报销事项审核准确率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办结率</w:t>
            </w:r>
          </w:p>
        </w:tc>
        <w:tc>
          <w:tcPr>
            <w:tcW w:w="5386" w:type="dxa"/>
            <w:vAlign w:val="center"/>
          </w:tcPr>
          <w:p>
            <w:pPr>
              <w:pStyle w:val="13"/>
            </w:pPr>
            <w:r>
              <w:t>责任险报销事项实际在规定时间内及时办结的件数占应在规定时间内及时办结的件数的比率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缴纳保险及时率</w:t>
            </w:r>
          </w:p>
        </w:tc>
        <w:tc>
          <w:tcPr>
            <w:tcW w:w="5386" w:type="dxa"/>
            <w:vAlign w:val="center"/>
          </w:tcPr>
          <w:p>
            <w:pPr>
              <w:pStyle w:val="13"/>
            </w:pPr>
            <w:r>
              <w:t>反映及时足额缴纳保险时间</w:t>
            </w:r>
          </w:p>
        </w:tc>
        <w:tc>
          <w:tcPr>
            <w:tcW w:w="2268" w:type="dxa"/>
            <w:vAlign w:val="center"/>
          </w:tcPr>
          <w:p>
            <w:pPr>
              <w:pStyle w:val="13"/>
            </w:pPr>
            <w:r>
              <w:t>10月前</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给予严重精神障碍患者监护人每人每年支付保险的费用</w:t>
            </w:r>
          </w:p>
        </w:tc>
        <w:tc>
          <w:tcPr>
            <w:tcW w:w="2268" w:type="dxa"/>
            <w:vAlign w:val="center"/>
          </w:tcPr>
          <w:p>
            <w:pPr>
              <w:pStyle w:val="13"/>
            </w:pPr>
            <w:r>
              <w:t>100元</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提高监护人保障</w:t>
            </w:r>
          </w:p>
        </w:tc>
        <w:tc>
          <w:tcPr>
            <w:tcW w:w="5386" w:type="dxa"/>
            <w:vAlign w:val="center"/>
          </w:tcPr>
          <w:p>
            <w:pPr>
              <w:pStyle w:val="13"/>
            </w:pPr>
            <w:r>
              <w:t>减少监护人损失、增强监护人、当事人社会保障，从而化解事后风险</w:t>
            </w:r>
          </w:p>
        </w:tc>
        <w:tc>
          <w:tcPr>
            <w:tcW w:w="2268" w:type="dxa"/>
            <w:vAlign w:val="center"/>
          </w:tcPr>
          <w:p>
            <w:pPr>
              <w:pStyle w:val="13"/>
            </w:pPr>
            <w:r>
              <w:t>49人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被保险人满意度（%）</w:t>
            </w:r>
          </w:p>
        </w:tc>
        <w:tc>
          <w:tcPr>
            <w:tcW w:w="5386" w:type="dxa"/>
            <w:vAlign w:val="center"/>
          </w:tcPr>
          <w:p>
            <w:pPr>
              <w:pStyle w:val="13"/>
            </w:pPr>
            <w:r>
              <w:t>被保险监护人对保险服务的满意程度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9、专项武装经费绩效目标表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13032124P00329510108Q</w:t>
            </w:r>
          </w:p>
        </w:tc>
        <w:tc>
          <w:tcPr>
            <w:tcW w:w="2835" w:type="dxa"/>
            <w:vAlign w:val="center"/>
          </w:tcPr>
          <w:p>
            <w:pPr>
              <w:pStyle w:val="11"/>
            </w:pPr>
            <w:r>
              <w:t>项目名称</w:t>
            </w:r>
          </w:p>
        </w:tc>
        <w:tc>
          <w:tcPr>
            <w:tcW w:w="6094" w:type="dxa"/>
            <w:gridSpan w:val="3"/>
            <w:vAlign w:val="center"/>
          </w:tcPr>
          <w:p>
            <w:pPr>
              <w:pStyle w:val="13"/>
            </w:pPr>
            <w: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预算安排3万元，其中财政拨款3万元，主要用于武装经费支出。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1.通过开展兵役登记、征兵工作，为国家提供高素质兵源。</w:t>
            </w:r>
            <w:r>
              <w:tab/>
            </w:r>
            <w:r>
              <w:tab/>
            </w:r>
            <w:r>
              <w:tab/>
            </w:r>
            <w:r>
              <w:tab/>
            </w:r>
            <w:r>
              <w:tab/>
            </w:r>
            <w:r>
              <w:tab/>
            </w:r>
            <w:r>
              <w:tab/>
            </w:r>
            <w:r>
              <w:tab/>
            </w:r>
            <w:r>
              <w:tab/>
            </w:r>
            <w:r>
              <w:tab/>
            </w:r>
            <w:r>
              <w:tab/>
            </w:r>
          </w:p>
          <w:p>
            <w:pPr>
              <w:pStyle w:val="13"/>
            </w:pPr>
            <w:r>
              <w:t>2.通过开展民兵训练工作，确保人民武装力量得到保障。</w:t>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区域内服兵役人员数量</w:t>
            </w:r>
          </w:p>
        </w:tc>
        <w:tc>
          <w:tcPr>
            <w:tcW w:w="5386" w:type="dxa"/>
            <w:vAlign w:val="center"/>
          </w:tcPr>
          <w:p>
            <w:pPr>
              <w:pStyle w:val="13"/>
            </w:pPr>
            <w:r>
              <w:t>年度内依法服兵役数量</w:t>
            </w:r>
          </w:p>
        </w:tc>
        <w:tc>
          <w:tcPr>
            <w:tcW w:w="2268" w:type="dxa"/>
            <w:vAlign w:val="center"/>
          </w:tcPr>
          <w:p>
            <w:pPr>
              <w:pStyle w:val="13"/>
            </w:pPr>
            <w:r>
              <w:t>≥5人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参加民兵训练人数</w:t>
            </w:r>
          </w:p>
        </w:tc>
        <w:tc>
          <w:tcPr>
            <w:tcW w:w="5386" w:type="dxa"/>
            <w:vAlign w:val="center"/>
          </w:tcPr>
          <w:p>
            <w:pPr>
              <w:pStyle w:val="13"/>
            </w:pPr>
            <w:r>
              <w:t>年度内参加民兵训练的人数</w:t>
            </w:r>
          </w:p>
        </w:tc>
        <w:tc>
          <w:tcPr>
            <w:tcW w:w="2268" w:type="dxa"/>
            <w:vAlign w:val="center"/>
          </w:tcPr>
          <w:p>
            <w:pPr>
              <w:pStyle w:val="13"/>
            </w:pPr>
            <w:r>
              <w:t>≥30人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大学生兵数量</w:t>
            </w:r>
          </w:p>
        </w:tc>
        <w:tc>
          <w:tcPr>
            <w:tcW w:w="5386" w:type="dxa"/>
            <w:vAlign w:val="center"/>
          </w:tcPr>
          <w:p>
            <w:pPr>
              <w:pStyle w:val="13"/>
            </w:pPr>
            <w:r>
              <w:t>年度内新入伍大学生兵数量</w:t>
            </w:r>
          </w:p>
        </w:tc>
        <w:tc>
          <w:tcPr>
            <w:tcW w:w="2268" w:type="dxa"/>
            <w:vAlign w:val="center"/>
          </w:tcPr>
          <w:p>
            <w:pPr>
              <w:pStyle w:val="13"/>
            </w:pPr>
            <w:r>
              <w:t>≥5人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民兵训练次数</w:t>
            </w:r>
          </w:p>
        </w:tc>
        <w:tc>
          <w:tcPr>
            <w:tcW w:w="5386" w:type="dxa"/>
            <w:vAlign w:val="center"/>
          </w:tcPr>
          <w:p>
            <w:pPr>
              <w:pStyle w:val="13"/>
            </w:pPr>
            <w:r>
              <w:t>年度内开展民兵训练次数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大学生兵比率</w:t>
            </w:r>
          </w:p>
        </w:tc>
        <w:tc>
          <w:tcPr>
            <w:tcW w:w="5386" w:type="dxa"/>
            <w:vAlign w:val="center"/>
          </w:tcPr>
          <w:p>
            <w:pPr>
              <w:pStyle w:val="13"/>
            </w:pPr>
            <w:r>
              <w:t>年度内新入伍大学生兵所占比率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开展兵源普查登记时限</w:t>
            </w:r>
          </w:p>
        </w:tc>
        <w:tc>
          <w:tcPr>
            <w:tcW w:w="5386" w:type="dxa"/>
            <w:vAlign w:val="center"/>
          </w:tcPr>
          <w:p>
            <w:pPr>
              <w:pStyle w:val="13"/>
            </w:pPr>
            <w:r>
              <w:t>提前做好兵源普查登记工作的时间</w:t>
            </w:r>
          </w:p>
        </w:tc>
        <w:tc>
          <w:tcPr>
            <w:tcW w:w="2268" w:type="dxa"/>
            <w:vAlign w:val="center"/>
          </w:tcPr>
          <w:p>
            <w:pPr>
              <w:pStyle w:val="13"/>
            </w:pPr>
            <w:r>
              <w:t>≤6月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武装工作支出费用</w:t>
            </w:r>
          </w:p>
        </w:tc>
        <w:tc>
          <w:tcPr>
            <w:tcW w:w="5386" w:type="dxa"/>
            <w:vAlign w:val="center"/>
          </w:tcPr>
          <w:p>
            <w:pPr>
              <w:pStyle w:val="13"/>
            </w:pPr>
            <w:r>
              <w:t>武装部在开展工作中发生的差旅、办公等支出的成本</w:t>
            </w:r>
          </w:p>
        </w:tc>
        <w:tc>
          <w:tcPr>
            <w:tcW w:w="2268" w:type="dxa"/>
            <w:vAlign w:val="center"/>
          </w:tcPr>
          <w:p>
            <w:pPr>
              <w:pStyle w:val="13"/>
            </w:pPr>
            <w:r>
              <w:t>≤3万元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兵源普查登记覆盖率</w:t>
            </w:r>
          </w:p>
        </w:tc>
        <w:tc>
          <w:tcPr>
            <w:tcW w:w="5386" w:type="dxa"/>
            <w:vAlign w:val="center"/>
          </w:tcPr>
          <w:p>
            <w:pPr>
              <w:pStyle w:val="13"/>
            </w:pPr>
            <w:r>
              <w:t>普查登记的兵源占实有兵源的比率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带动作用</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新入伍兵满意度</w:t>
            </w:r>
          </w:p>
        </w:tc>
        <w:tc>
          <w:tcPr>
            <w:tcW w:w="5386" w:type="dxa"/>
            <w:vAlign w:val="center"/>
          </w:tcPr>
          <w:p>
            <w:pPr>
              <w:pStyle w:val="13"/>
            </w:pPr>
            <w:r>
              <w:t>新入伍兵役及其家属对武装工作的满意度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青龙满族自治县人民政府都阳路街道办事处本级上年末固定资产金额为179.08万元（详见下表）。本年度拟购置固定资产总额为0.00万元，已按要求列入政府采购预算，详见政府采购预算表。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927001青龙满族自治县人民政府都阳路街道办事处本级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52</w:t>
            </w:r>
          </w:p>
        </w:tc>
        <w:tc>
          <w:tcPr>
            <w:tcW w:w="2835" w:type="dxa"/>
            <w:vAlign w:val="center"/>
          </w:tcPr>
          <w:p>
            <w:pPr>
              <w:pStyle w:val="12"/>
            </w:pPr>
            <w:r>
              <w:t>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1321</w:t>
            </w:r>
          </w:p>
        </w:tc>
        <w:tc>
          <w:tcPr>
            <w:tcW w:w="2835" w:type="dxa"/>
            <w:vAlign w:val="center"/>
          </w:tcPr>
          <w:p>
            <w:pPr>
              <w:pStyle w:val="12"/>
            </w:pPr>
            <w:r>
              <w:t>136.31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k2NzcxYjFhNWUxZTk4NzIyYWU3ZWNkYmFiMDQ0YmUifQ=="/>
  </w:docVars>
  <w:rsids>
    <w:rsidRoot w:val="00000000"/>
    <w:rsid w:val="1D1E7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2024-02-19T18:15:48Z</dcterms:created>
  <dcterms:modified xsi:type="dcterms:W3CDTF">2024-02-19T10:15:48Z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2024-02-19T18:15:49Z</dcterms:created>
  <dcterms:modified xsi:type="dcterms:W3CDTF">2024-02-19T10:15:49Z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2024-02-19T18:15:49Z</dcterms:created>
  <dcterms:modified xsi:type="dcterms:W3CDTF">2024-02-19T10:15:49Z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2024-02-19T18:15:49Z</dcterms:created>
  <dcterms:modified xsi:type="dcterms:W3CDTF">2024-02-19T10:15:49Z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2024-02-19T18:15:49Z</dcterms:created>
  <dcterms:modified xsi:type="dcterms:W3CDTF">2024-02-19T10:15:49Z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2024-02-19T18:15:48Z</dcterms:created>
  <dcterms:modified xsi:type="dcterms:W3CDTF">2024-02-19T10:15:48Z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2024-02-19T18:15:48Z</dcterms:created>
  <dcterms:modified xsi:type="dcterms:W3CDTF">2024-02-19T10:15:48Z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2024-02-19T18:15:43Z</dcterms:created>
  <dcterms:modified xsi:type="dcterms:W3CDTF">2024-02-19T10:15:43Z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2024-02-19T18:15:48Z</dcterms:created>
  <dcterms:modified xsi:type="dcterms:W3CDTF">2024-02-19T10:15:48Z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2024-02-19T18:15:47Z</dcterms:created>
  <dcterms:modified xsi:type="dcterms:W3CDTF">2024-02-19T10:15:47Z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2024-02-19T18:15:46Z</dcterms:created>
  <dcterms:modified xsi:type="dcterms:W3CDTF">2024-02-19T10:15:45Z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2024-02-19T18:15:50Z</dcterms:created>
  <dcterms:modified xsi:type="dcterms:W3CDTF">2024-02-19T10:15:50Z</dcterms:modified>
</cp:coreProperties>
</file>

<file path=customXml/itemProps1.xml><?xml version="1.0" encoding="utf-8"?>
<ds:datastoreItem xmlns:ds="http://schemas.openxmlformats.org/officeDocument/2006/customXml" ds:itemID="{4cf2c5f4-edf1-4e41-a271-d22944b57b19}">
  <ds:schemaRefs/>
</ds:datastoreItem>
</file>

<file path=customXml/itemProps10.xml><?xml version="1.0" encoding="utf-8"?>
<ds:datastoreItem xmlns:ds="http://schemas.openxmlformats.org/officeDocument/2006/customXml" ds:itemID="{82f7712e-4310-4395-b7a2-911a774f150c}">
  <ds:schemaRefs/>
</ds:datastoreItem>
</file>

<file path=customXml/itemProps11.xml><?xml version="1.0" encoding="utf-8"?>
<ds:datastoreItem xmlns:ds="http://schemas.openxmlformats.org/officeDocument/2006/customXml" ds:itemID="{f1b555c0-cb95-4ab6-8d16-fc13c5cbe590}">
  <ds:schemaRefs/>
</ds:datastoreItem>
</file>

<file path=customXml/itemProps12.xml><?xml version="1.0" encoding="utf-8"?>
<ds:datastoreItem xmlns:ds="http://schemas.openxmlformats.org/officeDocument/2006/customXml" ds:itemID="{2e1cf801-cd19-44a5-9cc4-263df33bee6f}">
  <ds:schemaRefs/>
</ds:datastoreItem>
</file>

<file path=customXml/itemProps13.xml><?xml version="1.0" encoding="utf-8"?>
<ds:datastoreItem xmlns:ds="http://schemas.openxmlformats.org/officeDocument/2006/customXml" ds:itemID="{e861613c-1886-453f-81f4-4cf70af612ea}">
  <ds:schemaRefs/>
</ds:datastoreItem>
</file>

<file path=customXml/itemProps14.xml><?xml version="1.0" encoding="utf-8"?>
<ds:datastoreItem xmlns:ds="http://schemas.openxmlformats.org/officeDocument/2006/customXml" ds:itemID="{4227225a-ea56-4732-adab-c933072c9a51}">
  <ds:schemaRefs/>
</ds:datastoreItem>
</file>

<file path=customXml/itemProps15.xml><?xml version="1.0" encoding="utf-8"?>
<ds:datastoreItem xmlns:ds="http://schemas.openxmlformats.org/officeDocument/2006/customXml" ds:itemID="{0eed37e5-3fdd-4f06-ae2b-514a7d31dd5e}">
  <ds:schemaRefs/>
</ds:datastoreItem>
</file>

<file path=customXml/itemProps16.xml><?xml version="1.0" encoding="utf-8"?>
<ds:datastoreItem xmlns:ds="http://schemas.openxmlformats.org/officeDocument/2006/customXml" ds:itemID="{37ddb347-6735-4a78-82ee-a86edf0c295b}">
  <ds:schemaRefs/>
</ds:datastoreItem>
</file>

<file path=customXml/itemProps17.xml><?xml version="1.0" encoding="utf-8"?>
<ds:datastoreItem xmlns:ds="http://schemas.openxmlformats.org/officeDocument/2006/customXml" ds:itemID="{d08b50b0-ae4d-4c56-bd15-7dcbdb0b1cb3}">
  <ds:schemaRefs/>
</ds:datastoreItem>
</file>

<file path=customXml/itemProps18.xml><?xml version="1.0" encoding="utf-8"?>
<ds:datastoreItem xmlns:ds="http://schemas.openxmlformats.org/officeDocument/2006/customXml" ds:itemID="{a7e05362-4ebe-423d-8f78-4ddda156e520}">
  <ds:schemaRefs/>
</ds:datastoreItem>
</file>

<file path=customXml/itemProps19.xml><?xml version="1.0" encoding="utf-8"?>
<ds:datastoreItem xmlns:ds="http://schemas.openxmlformats.org/officeDocument/2006/customXml" ds:itemID="{ecf36810-217f-498a-9ee6-81b60ab946fa}">
  <ds:schemaRefs/>
</ds:datastoreItem>
</file>

<file path=customXml/itemProps2.xml><?xml version="1.0" encoding="utf-8"?>
<ds:datastoreItem xmlns:ds="http://schemas.openxmlformats.org/officeDocument/2006/customXml" ds:itemID="{4c539895-5cb8-4f25-866b-4f519f74d03a}">
  <ds:schemaRefs/>
</ds:datastoreItem>
</file>

<file path=customXml/itemProps20.xml><?xml version="1.0" encoding="utf-8"?>
<ds:datastoreItem xmlns:ds="http://schemas.openxmlformats.org/officeDocument/2006/customXml" ds:itemID="{c71effbd-8851-4a95-ba9c-aab55f6153f2}">
  <ds:schemaRefs/>
</ds:datastoreItem>
</file>

<file path=customXml/itemProps21.xml><?xml version="1.0" encoding="utf-8"?>
<ds:datastoreItem xmlns:ds="http://schemas.openxmlformats.org/officeDocument/2006/customXml" ds:itemID="{12893555-b746-4d97-9d47-4a55cb5826d1}">
  <ds:schemaRefs/>
</ds:datastoreItem>
</file>

<file path=customXml/itemProps22.xml><?xml version="1.0" encoding="utf-8"?>
<ds:datastoreItem xmlns:ds="http://schemas.openxmlformats.org/officeDocument/2006/customXml" ds:itemID="{b3606600-ef3f-478a-b362-78d50e0f93d1}">
  <ds:schemaRefs/>
</ds:datastoreItem>
</file>

<file path=customXml/itemProps23.xml><?xml version="1.0" encoding="utf-8"?>
<ds:datastoreItem xmlns:ds="http://schemas.openxmlformats.org/officeDocument/2006/customXml" ds:itemID="{c26887bf-6086-41a2-8a72-3b6074eaa1ba}">
  <ds:schemaRefs/>
</ds:datastoreItem>
</file>

<file path=customXml/itemProps24.xml><?xml version="1.0" encoding="utf-8"?>
<ds:datastoreItem xmlns:ds="http://schemas.openxmlformats.org/officeDocument/2006/customXml" ds:itemID="{8ed69443-cbfe-4f46-94fe-776ec6ab5772}">
  <ds:schemaRefs/>
</ds:datastoreItem>
</file>

<file path=customXml/itemProps3.xml><?xml version="1.0" encoding="utf-8"?>
<ds:datastoreItem xmlns:ds="http://schemas.openxmlformats.org/officeDocument/2006/customXml" ds:itemID="{c55d989f-226c-4e85-9d48-b46fa13b1725}">
  <ds:schemaRefs/>
</ds:datastoreItem>
</file>

<file path=customXml/itemProps4.xml><?xml version="1.0" encoding="utf-8"?>
<ds:datastoreItem xmlns:ds="http://schemas.openxmlformats.org/officeDocument/2006/customXml" ds:itemID="{7b457d22-9481-49c3-acf1-69db2eb280a7}">
  <ds:schemaRefs/>
</ds:datastoreItem>
</file>

<file path=customXml/itemProps5.xml><?xml version="1.0" encoding="utf-8"?>
<ds:datastoreItem xmlns:ds="http://schemas.openxmlformats.org/officeDocument/2006/customXml" ds:itemID="{112fe90a-5f58-4367-bc87-5b8be78f48df}">
  <ds:schemaRefs/>
</ds:datastoreItem>
</file>

<file path=customXml/itemProps6.xml><?xml version="1.0" encoding="utf-8"?>
<ds:datastoreItem xmlns:ds="http://schemas.openxmlformats.org/officeDocument/2006/customXml" ds:itemID="{073b2dd1-0000-4087-9804-de6414fd1a31}">
  <ds:schemaRefs/>
</ds:datastoreItem>
</file>

<file path=customXml/itemProps7.xml><?xml version="1.0" encoding="utf-8"?>
<ds:datastoreItem xmlns:ds="http://schemas.openxmlformats.org/officeDocument/2006/customXml" ds:itemID="{49dd7b06-4ae7-425f-8f9b-1b3ae2ad65ce}">
  <ds:schemaRefs/>
</ds:datastoreItem>
</file>

<file path=customXml/itemProps8.xml><?xml version="1.0" encoding="utf-8"?>
<ds:datastoreItem xmlns:ds="http://schemas.openxmlformats.org/officeDocument/2006/customXml" ds:itemID="{17b5b80d-c61c-48fc-9414-e2787e514a29}">
  <ds:schemaRefs/>
</ds:datastoreItem>
</file>

<file path=customXml/itemProps9.xml><?xml version="1.0" encoding="utf-8"?>
<ds:datastoreItem xmlns:ds="http://schemas.openxmlformats.org/officeDocument/2006/customXml" ds:itemID="{b0b69327-e22a-4a6c-9ef8-475c92e3a88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2024-02-19T18:15:00Z</dcterms:created>
  <dc:creator>dell</dc:creator>
  <cp:lastModifiedBy>过儿</cp:lastModifiedBy>
  <dcterms:modified xsi:type="dcterms:W3CDTF">2024-02-19T10:41:54Z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136652305A41494CA0648E929C16B842_12</vt:lpwstr>
  </property>
</Properties>
</file>