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2</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2</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8</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3</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3</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五、单位项目预算安排情况及绩效目标</w:t>
      </w:r>
      <w:r>
        <w:tab/>
      </w:r>
      <w:r>
        <w:rPr>
          <w:rFonts w:hint="eastAsia"/>
          <w:lang w:val="en-US" w:eastAsia="zh-CN"/>
        </w:rPr>
        <w:t>3</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lang w:val="en-US" w:eastAsia="zh-CN"/>
        </w:rPr>
        <w:t>6</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6</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6</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6</w:t>
      </w:r>
      <w:r>
        <w:fldChar w:fldCharType="end"/>
      </w:r>
      <w:r>
        <w:rPr>
          <w:rFonts w:hint="eastAsia"/>
          <w:lang w:val="en-US" w:eastAsia="zh-CN"/>
        </w:rPr>
        <w:t>5</w:t>
      </w:r>
    </w:p>
    <w:p>
      <w:pPr>
        <w:pStyle w:val="2"/>
        <w:tabs>
          <w:tab w:val="right" w:leader="dot" w:pos="14562"/>
        </w:tabs>
      </w:pP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一、青龙满族自治县市场监督管理局本级收支预算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424001青龙满族自治县市场监督管理局本级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1712.65</w:t>
            </w:r>
          </w:p>
        </w:tc>
        <w:tc>
          <w:tcPr>
            <w:tcW w:w="4535" w:type="dxa"/>
            <w:vAlign w:val="center"/>
          </w:tcPr>
          <w:p>
            <w:pPr>
              <w:pStyle w:val="12"/>
            </w:pPr>
            <w:r>
              <w:t>一、一般公共服务支出</w:t>
            </w:r>
          </w:p>
        </w:tc>
        <w:tc>
          <w:tcPr>
            <w:tcW w:w="2126" w:type="dxa"/>
            <w:vAlign w:val="center"/>
          </w:tcPr>
          <w:p>
            <w:pPr>
              <w:pStyle w:val="11"/>
            </w:pPr>
            <w:r>
              <w:t>1371.39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40.50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277.46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40.50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1753.15</w:t>
            </w:r>
          </w:p>
        </w:tc>
        <w:tc>
          <w:tcPr>
            <w:tcW w:w="4535" w:type="dxa"/>
            <w:vAlign w:val="center"/>
          </w:tcPr>
          <w:p>
            <w:pPr>
              <w:pStyle w:val="14"/>
            </w:pPr>
            <w:r>
              <w:t>本年支出合计</w:t>
            </w:r>
          </w:p>
        </w:tc>
        <w:tc>
          <w:tcPr>
            <w:tcW w:w="2126" w:type="dxa"/>
            <w:vAlign w:val="center"/>
          </w:tcPr>
          <w:p>
            <w:pPr>
              <w:pStyle w:val="15"/>
            </w:pPr>
            <w:r>
              <w:t>1895.82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142.67</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1895.82</w:t>
            </w:r>
          </w:p>
        </w:tc>
        <w:tc>
          <w:tcPr>
            <w:tcW w:w="4535" w:type="dxa"/>
            <w:vAlign w:val="center"/>
          </w:tcPr>
          <w:p>
            <w:pPr>
              <w:pStyle w:val="14"/>
            </w:pPr>
            <w:r>
              <w:t>支出总计</w:t>
            </w:r>
          </w:p>
        </w:tc>
        <w:tc>
          <w:tcPr>
            <w:tcW w:w="2126" w:type="dxa"/>
            <w:vAlign w:val="center"/>
          </w:tcPr>
          <w:p>
            <w:pPr>
              <w:pStyle w:val="15"/>
            </w:pPr>
            <w:r>
              <w:t>1895.82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424001青龙满族自治县市场监督管理局本级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1895.82</w:t>
            </w:r>
          </w:p>
        </w:tc>
        <w:tc>
          <w:tcPr>
            <w:tcW w:w="1134" w:type="dxa"/>
            <w:vAlign w:val="center"/>
          </w:tcPr>
          <w:p>
            <w:pPr>
              <w:pStyle w:val="15"/>
            </w:pPr>
            <w:r>
              <w:t>1753.15</w:t>
            </w:r>
          </w:p>
        </w:tc>
        <w:tc>
          <w:tcPr>
            <w:tcW w:w="1134" w:type="dxa"/>
            <w:vAlign w:val="center"/>
          </w:tcPr>
          <w:p>
            <w:pPr>
              <w:pStyle w:val="15"/>
            </w:pPr>
            <w:r>
              <w:t>1753.15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142.67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1371.39</w:t>
            </w:r>
          </w:p>
        </w:tc>
        <w:tc>
          <w:tcPr>
            <w:tcW w:w="1134" w:type="dxa"/>
            <w:vAlign w:val="center"/>
          </w:tcPr>
          <w:p>
            <w:pPr>
              <w:pStyle w:val="11"/>
            </w:pPr>
            <w:r>
              <w:t>1249.87</w:t>
            </w:r>
          </w:p>
        </w:tc>
        <w:tc>
          <w:tcPr>
            <w:tcW w:w="1134" w:type="dxa"/>
            <w:vAlign w:val="center"/>
          </w:tcPr>
          <w:p>
            <w:pPr>
              <w:pStyle w:val="11"/>
            </w:pPr>
            <w:r>
              <w:t>1249.87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20138</w:t>
            </w:r>
          </w:p>
        </w:tc>
        <w:tc>
          <w:tcPr>
            <w:tcW w:w="1559" w:type="dxa"/>
            <w:vAlign w:val="center"/>
          </w:tcPr>
          <w:p>
            <w:pPr>
              <w:pStyle w:val="12"/>
            </w:pPr>
            <w:r>
              <w:t>市场监督管理事务</w:t>
            </w:r>
          </w:p>
        </w:tc>
        <w:tc>
          <w:tcPr>
            <w:tcW w:w="1134" w:type="dxa"/>
            <w:vAlign w:val="center"/>
          </w:tcPr>
          <w:p>
            <w:pPr>
              <w:pStyle w:val="11"/>
            </w:pPr>
            <w:r>
              <w:t>1371.39</w:t>
            </w:r>
          </w:p>
        </w:tc>
        <w:tc>
          <w:tcPr>
            <w:tcW w:w="1134" w:type="dxa"/>
            <w:vAlign w:val="center"/>
          </w:tcPr>
          <w:p>
            <w:pPr>
              <w:pStyle w:val="11"/>
            </w:pPr>
            <w:r>
              <w:t>1249.87</w:t>
            </w:r>
          </w:p>
        </w:tc>
        <w:tc>
          <w:tcPr>
            <w:tcW w:w="1134" w:type="dxa"/>
            <w:vAlign w:val="center"/>
          </w:tcPr>
          <w:p>
            <w:pPr>
              <w:pStyle w:val="11"/>
            </w:pPr>
            <w:r>
              <w:t>1249.87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2013801</w:t>
            </w:r>
          </w:p>
        </w:tc>
        <w:tc>
          <w:tcPr>
            <w:tcW w:w="1559" w:type="dxa"/>
            <w:vAlign w:val="center"/>
          </w:tcPr>
          <w:p>
            <w:pPr>
              <w:pStyle w:val="12"/>
            </w:pPr>
            <w:r>
              <w:t>行政运行</w:t>
            </w:r>
          </w:p>
        </w:tc>
        <w:tc>
          <w:tcPr>
            <w:tcW w:w="1134" w:type="dxa"/>
            <w:vAlign w:val="center"/>
          </w:tcPr>
          <w:p>
            <w:pPr>
              <w:pStyle w:val="11"/>
            </w:pPr>
            <w:r>
              <w:t>853.03</w:t>
            </w:r>
          </w:p>
        </w:tc>
        <w:tc>
          <w:tcPr>
            <w:tcW w:w="1134" w:type="dxa"/>
            <w:vAlign w:val="center"/>
          </w:tcPr>
          <w:p>
            <w:pPr>
              <w:pStyle w:val="11"/>
            </w:pPr>
            <w:r>
              <w:t>795.51</w:t>
            </w:r>
          </w:p>
        </w:tc>
        <w:tc>
          <w:tcPr>
            <w:tcW w:w="1134" w:type="dxa"/>
            <w:vAlign w:val="center"/>
          </w:tcPr>
          <w:p>
            <w:pPr>
              <w:pStyle w:val="11"/>
            </w:pPr>
            <w:r>
              <w:t>795.51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2013802</w:t>
            </w:r>
          </w:p>
        </w:tc>
        <w:tc>
          <w:tcPr>
            <w:tcW w:w="1559" w:type="dxa"/>
            <w:vAlign w:val="center"/>
          </w:tcPr>
          <w:p>
            <w:pPr>
              <w:pStyle w:val="12"/>
            </w:pPr>
            <w:r>
              <w:t>一般行政管理事务</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2013804</w:t>
            </w:r>
          </w:p>
        </w:tc>
        <w:tc>
          <w:tcPr>
            <w:tcW w:w="1559" w:type="dxa"/>
            <w:vAlign w:val="center"/>
          </w:tcPr>
          <w:p>
            <w:pPr>
              <w:pStyle w:val="12"/>
            </w:pPr>
            <w:r>
              <w:t>市场主体管理</w:t>
            </w:r>
          </w:p>
        </w:tc>
        <w:tc>
          <w:tcPr>
            <w:tcW w:w="1134" w:type="dxa"/>
            <w:vAlign w:val="center"/>
          </w:tcPr>
          <w:p>
            <w:pPr>
              <w:pStyle w:val="11"/>
            </w:pPr>
            <w:r>
              <w:t>107.00</w:t>
            </w:r>
          </w:p>
        </w:tc>
        <w:tc>
          <w:tcPr>
            <w:tcW w:w="1134" w:type="dxa"/>
            <w:vAlign w:val="center"/>
          </w:tcPr>
          <w:p>
            <w:pPr>
              <w:pStyle w:val="11"/>
            </w:pPr>
            <w:r>
              <w:t>48.00</w:t>
            </w:r>
          </w:p>
        </w:tc>
        <w:tc>
          <w:tcPr>
            <w:tcW w:w="1134" w:type="dxa"/>
            <w:vAlign w:val="center"/>
          </w:tcPr>
          <w:p>
            <w:pPr>
              <w:pStyle w:val="11"/>
            </w:pPr>
            <w:r>
              <w:t>48.00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2013805</w:t>
            </w:r>
          </w:p>
        </w:tc>
        <w:tc>
          <w:tcPr>
            <w:tcW w:w="1559" w:type="dxa"/>
            <w:vAlign w:val="center"/>
          </w:tcPr>
          <w:p>
            <w:pPr>
              <w:pStyle w:val="12"/>
            </w:pPr>
            <w:r>
              <w:t>市场秩序执法</w:t>
            </w:r>
          </w:p>
        </w:tc>
        <w:tc>
          <w:tcPr>
            <w:tcW w:w="1134" w:type="dxa"/>
            <w:vAlign w:val="center"/>
          </w:tcPr>
          <w:p>
            <w:pPr>
              <w:pStyle w:val="11"/>
            </w:pPr>
            <w:r>
              <w:t>38.60</w:t>
            </w:r>
          </w:p>
        </w:tc>
        <w:tc>
          <w:tcPr>
            <w:tcW w:w="1134" w:type="dxa"/>
            <w:vAlign w:val="center"/>
          </w:tcPr>
          <w:p>
            <w:pPr>
              <w:pStyle w:val="11"/>
            </w:pPr>
            <w:r>
              <w:t>38.60</w:t>
            </w:r>
          </w:p>
        </w:tc>
        <w:tc>
          <w:tcPr>
            <w:tcW w:w="1134" w:type="dxa"/>
            <w:vAlign w:val="center"/>
          </w:tcPr>
          <w:p>
            <w:pPr>
              <w:pStyle w:val="11"/>
            </w:pPr>
            <w:r>
              <w:t>38.60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2013850</w:t>
            </w:r>
          </w:p>
        </w:tc>
        <w:tc>
          <w:tcPr>
            <w:tcW w:w="1559" w:type="dxa"/>
            <w:vAlign w:val="center"/>
          </w:tcPr>
          <w:p>
            <w:pPr>
              <w:pStyle w:val="12"/>
            </w:pPr>
            <w:r>
              <w:t>事业运行</w:t>
            </w:r>
          </w:p>
        </w:tc>
        <w:tc>
          <w:tcPr>
            <w:tcW w:w="1134" w:type="dxa"/>
            <w:vAlign w:val="center"/>
          </w:tcPr>
          <w:p>
            <w:pPr>
              <w:pStyle w:val="11"/>
            </w:pPr>
            <w:r>
              <w:t>367.76</w:t>
            </w:r>
          </w:p>
        </w:tc>
        <w:tc>
          <w:tcPr>
            <w:tcW w:w="1134" w:type="dxa"/>
            <w:vAlign w:val="center"/>
          </w:tcPr>
          <w:p>
            <w:pPr>
              <w:pStyle w:val="11"/>
            </w:pPr>
            <w:r>
              <w:t>367.76</w:t>
            </w:r>
          </w:p>
        </w:tc>
        <w:tc>
          <w:tcPr>
            <w:tcW w:w="1134" w:type="dxa"/>
            <w:vAlign w:val="center"/>
          </w:tcPr>
          <w:p>
            <w:pPr>
              <w:pStyle w:val="11"/>
            </w:pPr>
            <w:r>
              <w:t>367.76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277.46</w:t>
            </w:r>
          </w:p>
        </w:tc>
        <w:tc>
          <w:tcPr>
            <w:tcW w:w="1134" w:type="dxa"/>
            <w:vAlign w:val="center"/>
          </w:tcPr>
          <w:p>
            <w:pPr>
              <w:pStyle w:val="11"/>
            </w:pPr>
            <w:r>
              <w:t>269.92</w:t>
            </w:r>
          </w:p>
        </w:tc>
        <w:tc>
          <w:tcPr>
            <w:tcW w:w="1134" w:type="dxa"/>
            <w:vAlign w:val="center"/>
          </w:tcPr>
          <w:p>
            <w:pPr>
              <w:pStyle w:val="11"/>
            </w:pPr>
            <w:r>
              <w:t>269.92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245.07</w:t>
            </w:r>
          </w:p>
        </w:tc>
        <w:tc>
          <w:tcPr>
            <w:tcW w:w="1134" w:type="dxa"/>
            <w:vAlign w:val="center"/>
          </w:tcPr>
          <w:p>
            <w:pPr>
              <w:pStyle w:val="11"/>
            </w:pPr>
            <w:r>
              <w:t>245.07</w:t>
            </w:r>
          </w:p>
        </w:tc>
        <w:tc>
          <w:tcPr>
            <w:tcW w:w="1134" w:type="dxa"/>
            <w:vAlign w:val="center"/>
          </w:tcPr>
          <w:p>
            <w:pPr>
              <w:pStyle w:val="11"/>
            </w:pPr>
            <w:r>
              <w:t>245.07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91.60</w:t>
            </w:r>
          </w:p>
        </w:tc>
        <w:tc>
          <w:tcPr>
            <w:tcW w:w="1134" w:type="dxa"/>
            <w:vAlign w:val="center"/>
          </w:tcPr>
          <w:p>
            <w:pPr>
              <w:pStyle w:val="11"/>
            </w:pPr>
            <w:r>
              <w:t>91.60</w:t>
            </w:r>
          </w:p>
        </w:tc>
        <w:tc>
          <w:tcPr>
            <w:tcW w:w="1134" w:type="dxa"/>
            <w:vAlign w:val="center"/>
          </w:tcPr>
          <w:p>
            <w:pPr>
              <w:pStyle w:val="11"/>
            </w:pPr>
            <w:r>
              <w:t>91.60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153.48</w:t>
            </w:r>
          </w:p>
        </w:tc>
        <w:tc>
          <w:tcPr>
            <w:tcW w:w="1134" w:type="dxa"/>
            <w:vAlign w:val="center"/>
          </w:tcPr>
          <w:p>
            <w:pPr>
              <w:pStyle w:val="11"/>
            </w:pPr>
            <w:r>
              <w:t>153.48</w:t>
            </w:r>
          </w:p>
        </w:tc>
        <w:tc>
          <w:tcPr>
            <w:tcW w:w="1134" w:type="dxa"/>
            <w:vAlign w:val="center"/>
          </w:tcPr>
          <w:p>
            <w:pPr>
              <w:pStyle w:val="11"/>
            </w:pPr>
            <w:r>
              <w:t>153.48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32.39</w:t>
            </w:r>
          </w:p>
        </w:tc>
        <w:tc>
          <w:tcPr>
            <w:tcW w:w="1134" w:type="dxa"/>
            <w:vAlign w:val="center"/>
          </w:tcPr>
          <w:p>
            <w:pPr>
              <w:pStyle w:val="11"/>
            </w:pPr>
            <w:r>
              <w:t>24.85</w:t>
            </w:r>
          </w:p>
        </w:tc>
        <w:tc>
          <w:tcPr>
            <w:tcW w:w="1134" w:type="dxa"/>
            <w:vAlign w:val="center"/>
          </w:tcPr>
          <w:p>
            <w:pPr>
              <w:pStyle w:val="11"/>
            </w:pPr>
            <w:r>
              <w:t>24.85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32.39</w:t>
            </w:r>
          </w:p>
        </w:tc>
        <w:tc>
          <w:tcPr>
            <w:tcW w:w="1134" w:type="dxa"/>
            <w:vAlign w:val="center"/>
          </w:tcPr>
          <w:p>
            <w:pPr>
              <w:pStyle w:val="11"/>
            </w:pPr>
            <w:r>
              <w:t>24.85</w:t>
            </w:r>
          </w:p>
        </w:tc>
        <w:tc>
          <w:tcPr>
            <w:tcW w:w="1134" w:type="dxa"/>
            <w:vAlign w:val="center"/>
          </w:tcPr>
          <w:p>
            <w:pPr>
              <w:pStyle w:val="11"/>
            </w:pPr>
            <w:r>
              <w:t>24.85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78.10</w:t>
            </w:r>
          </w:p>
        </w:tc>
        <w:tc>
          <w:tcPr>
            <w:tcW w:w="1134" w:type="dxa"/>
            <w:vAlign w:val="center"/>
          </w:tcPr>
          <w:p>
            <w:pPr>
              <w:pStyle w:val="11"/>
            </w:pPr>
            <w:r>
              <w:t>78.10</w:t>
            </w:r>
          </w:p>
        </w:tc>
        <w:tc>
          <w:tcPr>
            <w:tcW w:w="1134" w:type="dxa"/>
            <w:vAlign w:val="center"/>
          </w:tcPr>
          <w:p>
            <w:pPr>
              <w:pStyle w:val="11"/>
            </w:pPr>
            <w:r>
              <w:t>78.10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78.10</w:t>
            </w:r>
          </w:p>
        </w:tc>
        <w:tc>
          <w:tcPr>
            <w:tcW w:w="1134" w:type="dxa"/>
            <w:vAlign w:val="center"/>
          </w:tcPr>
          <w:p>
            <w:pPr>
              <w:pStyle w:val="11"/>
            </w:pPr>
            <w:r>
              <w:t>78.10</w:t>
            </w:r>
          </w:p>
        </w:tc>
        <w:tc>
          <w:tcPr>
            <w:tcW w:w="1134" w:type="dxa"/>
            <w:vAlign w:val="center"/>
          </w:tcPr>
          <w:p>
            <w:pPr>
              <w:pStyle w:val="11"/>
            </w:pPr>
            <w:r>
              <w:t>78.10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48.74</w:t>
            </w:r>
          </w:p>
        </w:tc>
        <w:tc>
          <w:tcPr>
            <w:tcW w:w="1134" w:type="dxa"/>
            <w:vAlign w:val="center"/>
          </w:tcPr>
          <w:p>
            <w:pPr>
              <w:pStyle w:val="11"/>
            </w:pPr>
            <w:r>
              <w:t>48.74</w:t>
            </w:r>
          </w:p>
        </w:tc>
        <w:tc>
          <w:tcPr>
            <w:tcW w:w="1134" w:type="dxa"/>
            <w:vAlign w:val="center"/>
          </w:tcPr>
          <w:p>
            <w:pPr>
              <w:pStyle w:val="11"/>
            </w:pPr>
            <w:r>
              <w:t>48.74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29.36</w:t>
            </w:r>
          </w:p>
        </w:tc>
        <w:tc>
          <w:tcPr>
            <w:tcW w:w="1134" w:type="dxa"/>
            <w:vAlign w:val="center"/>
          </w:tcPr>
          <w:p>
            <w:pPr>
              <w:pStyle w:val="11"/>
            </w:pPr>
            <w:r>
              <w:t>29.36</w:t>
            </w:r>
          </w:p>
        </w:tc>
        <w:tc>
          <w:tcPr>
            <w:tcW w:w="1134" w:type="dxa"/>
            <w:vAlign w:val="center"/>
          </w:tcPr>
          <w:p>
            <w:pPr>
              <w:pStyle w:val="11"/>
            </w:pPr>
            <w:r>
              <w:t>29.36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40.50</w:t>
            </w:r>
          </w:p>
        </w:tc>
        <w:tc>
          <w:tcPr>
            <w:tcW w:w="1134" w:type="dxa"/>
            <w:vAlign w:val="center"/>
          </w:tcPr>
          <w:p>
            <w:pPr>
              <w:pStyle w:val="11"/>
            </w:pPr>
            <w:r>
              <w:t>40.50</w:t>
            </w:r>
          </w:p>
        </w:tc>
        <w:tc>
          <w:tcPr>
            <w:tcW w:w="1134" w:type="dxa"/>
            <w:vAlign w:val="center"/>
          </w:tcPr>
          <w:p>
            <w:pPr>
              <w:pStyle w:val="11"/>
            </w:pPr>
            <w:r>
              <w:t>40.50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40.50</w:t>
            </w:r>
          </w:p>
        </w:tc>
        <w:tc>
          <w:tcPr>
            <w:tcW w:w="1134" w:type="dxa"/>
            <w:vAlign w:val="center"/>
          </w:tcPr>
          <w:p>
            <w:pPr>
              <w:pStyle w:val="11"/>
            </w:pPr>
            <w:r>
              <w:t>40.50</w:t>
            </w:r>
          </w:p>
        </w:tc>
        <w:tc>
          <w:tcPr>
            <w:tcW w:w="1134" w:type="dxa"/>
            <w:vAlign w:val="center"/>
          </w:tcPr>
          <w:p>
            <w:pPr>
              <w:pStyle w:val="11"/>
            </w:pPr>
            <w:r>
              <w:t>40.50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40.50</w:t>
            </w:r>
          </w:p>
        </w:tc>
        <w:tc>
          <w:tcPr>
            <w:tcW w:w="1134" w:type="dxa"/>
            <w:vAlign w:val="center"/>
          </w:tcPr>
          <w:p>
            <w:pPr>
              <w:pStyle w:val="11"/>
            </w:pPr>
            <w:r>
              <w:t>40.50</w:t>
            </w:r>
          </w:p>
        </w:tc>
        <w:tc>
          <w:tcPr>
            <w:tcW w:w="1134" w:type="dxa"/>
            <w:vAlign w:val="center"/>
          </w:tcPr>
          <w:p>
            <w:pPr>
              <w:pStyle w:val="11"/>
            </w:pPr>
            <w:r>
              <w:t>40.50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49.61</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49.61</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2130109</w:t>
            </w:r>
          </w:p>
        </w:tc>
        <w:tc>
          <w:tcPr>
            <w:tcW w:w="1559" w:type="dxa"/>
            <w:vAlign w:val="center"/>
          </w:tcPr>
          <w:p>
            <w:pPr>
              <w:pStyle w:val="12"/>
            </w:pPr>
            <w:r>
              <w:t>农产品质量安全</w:t>
            </w:r>
          </w:p>
        </w:tc>
        <w:tc>
          <w:tcPr>
            <w:tcW w:w="1134" w:type="dxa"/>
            <w:vAlign w:val="center"/>
          </w:tcPr>
          <w:p>
            <w:pPr>
              <w:pStyle w:val="11"/>
            </w:pPr>
            <w:r>
              <w:t>49.61</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78.76</w:t>
            </w:r>
          </w:p>
        </w:tc>
        <w:tc>
          <w:tcPr>
            <w:tcW w:w="1134" w:type="dxa"/>
            <w:vAlign w:val="center"/>
          </w:tcPr>
          <w:p>
            <w:pPr>
              <w:pStyle w:val="11"/>
            </w:pPr>
            <w:r>
              <w:t>78.76</w:t>
            </w:r>
          </w:p>
        </w:tc>
        <w:tc>
          <w:tcPr>
            <w:tcW w:w="1134" w:type="dxa"/>
            <w:vAlign w:val="center"/>
          </w:tcPr>
          <w:p>
            <w:pPr>
              <w:pStyle w:val="11"/>
            </w:pPr>
            <w:r>
              <w:t>78.76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78.76</w:t>
            </w:r>
          </w:p>
        </w:tc>
        <w:tc>
          <w:tcPr>
            <w:tcW w:w="1134" w:type="dxa"/>
            <w:vAlign w:val="center"/>
          </w:tcPr>
          <w:p>
            <w:pPr>
              <w:pStyle w:val="11"/>
            </w:pPr>
            <w:r>
              <w:t>78.76</w:t>
            </w:r>
          </w:p>
        </w:tc>
        <w:tc>
          <w:tcPr>
            <w:tcW w:w="1134" w:type="dxa"/>
            <w:vAlign w:val="center"/>
          </w:tcPr>
          <w:p>
            <w:pPr>
              <w:pStyle w:val="11"/>
            </w:pPr>
            <w:r>
              <w:t>78.76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78.76</w:t>
            </w:r>
          </w:p>
        </w:tc>
        <w:tc>
          <w:tcPr>
            <w:tcW w:w="1134" w:type="dxa"/>
            <w:vAlign w:val="center"/>
          </w:tcPr>
          <w:p>
            <w:pPr>
              <w:pStyle w:val="11"/>
            </w:pPr>
            <w:r>
              <w:t>78.76</w:t>
            </w:r>
          </w:p>
        </w:tc>
        <w:tc>
          <w:tcPr>
            <w:tcW w:w="1134" w:type="dxa"/>
            <w:vAlign w:val="center"/>
          </w:tcPr>
          <w:p>
            <w:pPr>
              <w:pStyle w:val="11"/>
            </w:pPr>
            <w:r>
              <w:t>78.76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424001青龙满族自治县市场监督管理局本级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1895.82</w:t>
            </w:r>
          </w:p>
        </w:tc>
        <w:tc>
          <w:tcPr>
            <w:tcW w:w="1361" w:type="dxa"/>
            <w:vAlign w:val="center"/>
          </w:tcPr>
          <w:p>
            <w:pPr>
              <w:pStyle w:val="15"/>
            </w:pPr>
            <w:r>
              <w:t>1655.11</w:t>
            </w:r>
          </w:p>
        </w:tc>
        <w:tc>
          <w:tcPr>
            <w:tcW w:w="1361" w:type="dxa"/>
            <w:vAlign w:val="center"/>
          </w:tcPr>
          <w:p>
            <w:pPr>
              <w:pStyle w:val="15"/>
            </w:pPr>
            <w:r>
              <w:t>240.71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1371.39</w:t>
            </w:r>
          </w:p>
        </w:tc>
        <w:tc>
          <w:tcPr>
            <w:tcW w:w="1361" w:type="dxa"/>
            <w:vAlign w:val="center"/>
          </w:tcPr>
          <w:p>
            <w:pPr>
              <w:pStyle w:val="11"/>
            </w:pPr>
            <w:r>
              <w:t>1220.79</w:t>
            </w:r>
          </w:p>
        </w:tc>
        <w:tc>
          <w:tcPr>
            <w:tcW w:w="1361" w:type="dxa"/>
            <w:vAlign w:val="center"/>
          </w:tcPr>
          <w:p>
            <w:pPr>
              <w:pStyle w:val="11"/>
            </w:pPr>
            <w:r>
              <w:t>150.60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20138</w:t>
            </w:r>
          </w:p>
        </w:tc>
        <w:tc>
          <w:tcPr>
            <w:tcW w:w="4535" w:type="dxa"/>
            <w:vAlign w:val="center"/>
          </w:tcPr>
          <w:p>
            <w:pPr>
              <w:pStyle w:val="12"/>
            </w:pPr>
            <w:r>
              <w:t>市场监督管理事务</w:t>
            </w:r>
          </w:p>
        </w:tc>
        <w:tc>
          <w:tcPr>
            <w:tcW w:w="1361" w:type="dxa"/>
            <w:vAlign w:val="center"/>
          </w:tcPr>
          <w:p>
            <w:pPr>
              <w:pStyle w:val="11"/>
            </w:pPr>
            <w:r>
              <w:t>1371.39</w:t>
            </w:r>
          </w:p>
        </w:tc>
        <w:tc>
          <w:tcPr>
            <w:tcW w:w="1361" w:type="dxa"/>
            <w:vAlign w:val="center"/>
          </w:tcPr>
          <w:p>
            <w:pPr>
              <w:pStyle w:val="11"/>
            </w:pPr>
            <w:r>
              <w:t>1220.79</w:t>
            </w:r>
          </w:p>
        </w:tc>
        <w:tc>
          <w:tcPr>
            <w:tcW w:w="1361" w:type="dxa"/>
            <w:vAlign w:val="center"/>
          </w:tcPr>
          <w:p>
            <w:pPr>
              <w:pStyle w:val="11"/>
            </w:pPr>
            <w:r>
              <w:t>150.60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2013801</w:t>
            </w:r>
          </w:p>
        </w:tc>
        <w:tc>
          <w:tcPr>
            <w:tcW w:w="4535" w:type="dxa"/>
            <w:vAlign w:val="center"/>
          </w:tcPr>
          <w:p>
            <w:pPr>
              <w:pStyle w:val="12"/>
            </w:pPr>
            <w:r>
              <w:t>行政运行</w:t>
            </w:r>
          </w:p>
        </w:tc>
        <w:tc>
          <w:tcPr>
            <w:tcW w:w="1361" w:type="dxa"/>
            <w:vAlign w:val="center"/>
          </w:tcPr>
          <w:p>
            <w:pPr>
              <w:pStyle w:val="11"/>
            </w:pPr>
            <w:r>
              <w:t>853.03</w:t>
            </w:r>
          </w:p>
        </w:tc>
        <w:tc>
          <w:tcPr>
            <w:tcW w:w="1361" w:type="dxa"/>
            <w:vAlign w:val="center"/>
          </w:tcPr>
          <w:p>
            <w:pPr>
              <w:pStyle w:val="11"/>
            </w:pPr>
            <w:r>
              <w:t>853.03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2013802</w:t>
            </w:r>
          </w:p>
        </w:tc>
        <w:tc>
          <w:tcPr>
            <w:tcW w:w="4535" w:type="dxa"/>
            <w:vAlign w:val="center"/>
          </w:tcPr>
          <w:p>
            <w:pPr>
              <w:pStyle w:val="12"/>
            </w:pPr>
            <w:r>
              <w:t>一般行政管理事务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2013804</w:t>
            </w:r>
          </w:p>
        </w:tc>
        <w:tc>
          <w:tcPr>
            <w:tcW w:w="4535" w:type="dxa"/>
            <w:vAlign w:val="center"/>
          </w:tcPr>
          <w:p>
            <w:pPr>
              <w:pStyle w:val="12"/>
            </w:pPr>
            <w:r>
              <w:t>市场主体管理</w:t>
            </w:r>
          </w:p>
        </w:tc>
        <w:tc>
          <w:tcPr>
            <w:tcW w:w="1361" w:type="dxa"/>
            <w:vAlign w:val="center"/>
          </w:tcPr>
          <w:p>
            <w:pPr>
              <w:pStyle w:val="11"/>
            </w:pPr>
            <w:r>
              <w:t>107.00</w:t>
            </w:r>
          </w:p>
        </w:tc>
        <w:tc>
          <w:tcPr>
            <w:tcW w:w="1361" w:type="dxa"/>
            <w:vAlign w:val="center"/>
          </w:tcPr>
          <w:p>
            <w:pPr>
              <w:pStyle w:val="11"/>
            </w:pPr>
          </w:p>
        </w:tc>
        <w:tc>
          <w:tcPr>
            <w:tcW w:w="1361" w:type="dxa"/>
            <w:vAlign w:val="center"/>
          </w:tcPr>
          <w:p>
            <w:pPr>
              <w:pStyle w:val="11"/>
            </w:pPr>
            <w:r>
              <w:t>107.00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2013805</w:t>
            </w:r>
          </w:p>
        </w:tc>
        <w:tc>
          <w:tcPr>
            <w:tcW w:w="4535" w:type="dxa"/>
            <w:vAlign w:val="center"/>
          </w:tcPr>
          <w:p>
            <w:pPr>
              <w:pStyle w:val="12"/>
            </w:pPr>
            <w:r>
              <w:t>市场秩序执法</w:t>
            </w:r>
          </w:p>
        </w:tc>
        <w:tc>
          <w:tcPr>
            <w:tcW w:w="1361" w:type="dxa"/>
            <w:vAlign w:val="center"/>
          </w:tcPr>
          <w:p>
            <w:pPr>
              <w:pStyle w:val="11"/>
            </w:pPr>
            <w:r>
              <w:t>38.60</w:t>
            </w:r>
          </w:p>
        </w:tc>
        <w:tc>
          <w:tcPr>
            <w:tcW w:w="1361" w:type="dxa"/>
            <w:vAlign w:val="center"/>
          </w:tcPr>
          <w:p>
            <w:pPr>
              <w:pStyle w:val="11"/>
            </w:pPr>
          </w:p>
        </w:tc>
        <w:tc>
          <w:tcPr>
            <w:tcW w:w="1361" w:type="dxa"/>
            <w:vAlign w:val="center"/>
          </w:tcPr>
          <w:p>
            <w:pPr>
              <w:pStyle w:val="11"/>
            </w:pPr>
            <w:r>
              <w:t>38.60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2013850</w:t>
            </w:r>
          </w:p>
        </w:tc>
        <w:tc>
          <w:tcPr>
            <w:tcW w:w="4535" w:type="dxa"/>
            <w:vAlign w:val="center"/>
          </w:tcPr>
          <w:p>
            <w:pPr>
              <w:pStyle w:val="12"/>
            </w:pPr>
            <w:r>
              <w:t>事业运行</w:t>
            </w:r>
          </w:p>
        </w:tc>
        <w:tc>
          <w:tcPr>
            <w:tcW w:w="1361" w:type="dxa"/>
            <w:vAlign w:val="center"/>
          </w:tcPr>
          <w:p>
            <w:pPr>
              <w:pStyle w:val="11"/>
            </w:pPr>
            <w:r>
              <w:t>367.76</w:t>
            </w:r>
          </w:p>
        </w:tc>
        <w:tc>
          <w:tcPr>
            <w:tcW w:w="1361" w:type="dxa"/>
            <w:vAlign w:val="center"/>
          </w:tcPr>
          <w:p>
            <w:pPr>
              <w:pStyle w:val="11"/>
            </w:pPr>
            <w:r>
              <w:t>367.76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277.46</w:t>
            </w:r>
          </w:p>
        </w:tc>
        <w:tc>
          <w:tcPr>
            <w:tcW w:w="1361" w:type="dxa"/>
            <w:vAlign w:val="center"/>
          </w:tcPr>
          <w:p>
            <w:pPr>
              <w:pStyle w:val="11"/>
            </w:pPr>
            <w:r>
              <w:t>277.46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245.07</w:t>
            </w:r>
          </w:p>
        </w:tc>
        <w:tc>
          <w:tcPr>
            <w:tcW w:w="1361" w:type="dxa"/>
            <w:vAlign w:val="center"/>
          </w:tcPr>
          <w:p>
            <w:pPr>
              <w:pStyle w:val="11"/>
            </w:pPr>
            <w:r>
              <w:t>245.07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91.60</w:t>
            </w:r>
          </w:p>
        </w:tc>
        <w:tc>
          <w:tcPr>
            <w:tcW w:w="1361" w:type="dxa"/>
            <w:vAlign w:val="center"/>
          </w:tcPr>
          <w:p>
            <w:pPr>
              <w:pStyle w:val="11"/>
            </w:pPr>
            <w:r>
              <w:t>91.60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153.48</w:t>
            </w:r>
          </w:p>
        </w:tc>
        <w:tc>
          <w:tcPr>
            <w:tcW w:w="1361" w:type="dxa"/>
            <w:vAlign w:val="center"/>
          </w:tcPr>
          <w:p>
            <w:pPr>
              <w:pStyle w:val="11"/>
            </w:pPr>
            <w:r>
              <w:t>153.48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32.39</w:t>
            </w:r>
          </w:p>
        </w:tc>
        <w:tc>
          <w:tcPr>
            <w:tcW w:w="1361" w:type="dxa"/>
            <w:vAlign w:val="center"/>
          </w:tcPr>
          <w:p>
            <w:pPr>
              <w:pStyle w:val="11"/>
            </w:pPr>
            <w:r>
              <w:t>32.39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32.39</w:t>
            </w:r>
          </w:p>
        </w:tc>
        <w:tc>
          <w:tcPr>
            <w:tcW w:w="1361" w:type="dxa"/>
            <w:vAlign w:val="center"/>
          </w:tcPr>
          <w:p>
            <w:pPr>
              <w:pStyle w:val="11"/>
            </w:pPr>
            <w:r>
              <w:t>32.39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78.10</w:t>
            </w:r>
          </w:p>
        </w:tc>
        <w:tc>
          <w:tcPr>
            <w:tcW w:w="1361" w:type="dxa"/>
            <w:vAlign w:val="center"/>
          </w:tcPr>
          <w:p>
            <w:pPr>
              <w:pStyle w:val="11"/>
            </w:pPr>
            <w:r>
              <w:t>78.10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78.10</w:t>
            </w:r>
          </w:p>
        </w:tc>
        <w:tc>
          <w:tcPr>
            <w:tcW w:w="1361" w:type="dxa"/>
            <w:vAlign w:val="center"/>
          </w:tcPr>
          <w:p>
            <w:pPr>
              <w:pStyle w:val="11"/>
            </w:pPr>
            <w:r>
              <w:t>78.10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48.74</w:t>
            </w:r>
          </w:p>
        </w:tc>
        <w:tc>
          <w:tcPr>
            <w:tcW w:w="1361" w:type="dxa"/>
            <w:vAlign w:val="center"/>
          </w:tcPr>
          <w:p>
            <w:pPr>
              <w:pStyle w:val="11"/>
            </w:pPr>
            <w:r>
              <w:t>48.74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29.36</w:t>
            </w:r>
          </w:p>
        </w:tc>
        <w:tc>
          <w:tcPr>
            <w:tcW w:w="1361" w:type="dxa"/>
            <w:vAlign w:val="center"/>
          </w:tcPr>
          <w:p>
            <w:pPr>
              <w:pStyle w:val="11"/>
            </w:pPr>
            <w:r>
              <w:t>29.36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40.50</w:t>
            </w:r>
          </w:p>
        </w:tc>
        <w:tc>
          <w:tcPr>
            <w:tcW w:w="1361" w:type="dxa"/>
            <w:vAlign w:val="center"/>
          </w:tcPr>
          <w:p>
            <w:pPr>
              <w:pStyle w:val="11"/>
            </w:pPr>
          </w:p>
        </w:tc>
        <w:tc>
          <w:tcPr>
            <w:tcW w:w="1361" w:type="dxa"/>
            <w:vAlign w:val="center"/>
          </w:tcPr>
          <w:p>
            <w:pPr>
              <w:pStyle w:val="11"/>
            </w:pPr>
            <w:r>
              <w:t>40.50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40.50</w:t>
            </w:r>
          </w:p>
        </w:tc>
        <w:tc>
          <w:tcPr>
            <w:tcW w:w="1361" w:type="dxa"/>
            <w:vAlign w:val="center"/>
          </w:tcPr>
          <w:p>
            <w:pPr>
              <w:pStyle w:val="11"/>
            </w:pPr>
          </w:p>
        </w:tc>
        <w:tc>
          <w:tcPr>
            <w:tcW w:w="1361" w:type="dxa"/>
            <w:vAlign w:val="center"/>
          </w:tcPr>
          <w:p>
            <w:pPr>
              <w:pStyle w:val="11"/>
            </w:pPr>
            <w:r>
              <w:t>40.50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40.50</w:t>
            </w:r>
          </w:p>
        </w:tc>
        <w:tc>
          <w:tcPr>
            <w:tcW w:w="1361" w:type="dxa"/>
            <w:vAlign w:val="center"/>
          </w:tcPr>
          <w:p>
            <w:pPr>
              <w:pStyle w:val="11"/>
            </w:pPr>
          </w:p>
        </w:tc>
        <w:tc>
          <w:tcPr>
            <w:tcW w:w="1361" w:type="dxa"/>
            <w:vAlign w:val="center"/>
          </w:tcPr>
          <w:p>
            <w:pPr>
              <w:pStyle w:val="11"/>
            </w:pPr>
            <w:r>
              <w:t>40.50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49.61</w:t>
            </w:r>
          </w:p>
        </w:tc>
        <w:tc>
          <w:tcPr>
            <w:tcW w:w="1361" w:type="dxa"/>
            <w:vAlign w:val="center"/>
          </w:tcPr>
          <w:p>
            <w:pPr>
              <w:pStyle w:val="11"/>
            </w:pPr>
          </w:p>
        </w:tc>
        <w:tc>
          <w:tcPr>
            <w:tcW w:w="1361" w:type="dxa"/>
            <w:vAlign w:val="center"/>
          </w:tcPr>
          <w:p>
            <w:pPr>
              <w:pStyle w:val="11"/>
            </w:pPr>
            <w:r>
              <w:t>49.61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49.61</w:t>
            </w:r>
          </w:p>
        </w:tc>
        <w:tc>
          <w:tcPr>
            <w:tcW w:w="1361" w:type="dxa"/>
            <w:vAlign w:val="center"/>
          </w:tcPr>
          <w:p>
            <w:pPr>
              <w:pStyle w:val="11"/>
            </w:pPr>
          </w:p>
        </w:tc>
        <w:tc>
          <w:tcPr>
            <w:tcW w:w="1361" w:type="dxa"/>
            <w:vAlign w:val="center"/>
          </w:tcPr>
          <w:p>
            <w:pPr>
              <w:pStyle w:val="11"/>
            </w:pPr>
            <w:r>
              <w:t>49.61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2130109</w:t>
            </w:r>
          </w:p>
        </w:tc>
        <w:tc>
          <w:tcPr>
            <w:tcW w:w="4535" w:type="dxa"/>
            <w:vAlign w:val="center"/>
          </w:tcPr>
          <w:p>
            <w:pPr>
              <w:pStyle w:val="12"/>
            </w:pPr>
            <w:r>
              <w:t>农产品质量安全</w:t>
            </w:r>
          </w:p>
        </w:tc>
        <w:tc>
          <w:tcPr>
            <w:tcW w:w="1361" w:type="dxa"/>
            <w:vAlign w:val="center"/>
          </w:tcPr>
          <w:p>
            <w:pPr>
              <w:pStyle w:val="11"/>
            </w:pPr>
            <w:r>
              <w:t>49.61</w:t>
            </w:r>
          </w:p>
        </w:tc>
        <w:tc>
          <w:tcPr>
            <w:tcW w:w="1361" w:type="dxa"/>
            <w:vAlign w:val="center"/>
          </w:tcPr>
          <w:p>
            <w:pPr>
              <w:pStyle w:val="11"/>
            </w:pPr>
          </w:p>
        </w:tc>
        <w:tc>
          <w:tcPr>
            <w:tcW w:w="1361" w:type="dxa"/>
            <w:vAlign w:val="center"/>
          </w:tcPr>
          <w:p>
            <w:pPr>
              <w:pStyle w:val="11"/>
            </w:pPr>
            <w:r>
              <w:t>49.61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78.76</w:t>
            </w:r>
          </w:p>
        </w:tc>
        <w:tc>
          <w:tcPr>
            <w:tcW w:w="1361" w:type="dxa"/>
            <w:vAlign w:val="center"/>
          </w:tcPr>
          <w:p>
            <w:pPr>
              <w:pStyle w:val="11"/>
            </w:pPr>
            <w:r>
              <w:t>78.76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78.76</w:t>
            </w:r>
          </w:p>
        </w:tc>
        <w:tc>
          <w:tcPr>
            <w:tcW w:w="1361" w:type="dxa"/>
            <w:vAlign w:val="center"/>
          </w:tcPr>
          <w:p>
            <w:pPr>
              <w:pStyle w:val="11"/>
            </w:pPr>
            <w:r>
              <w:t>78.76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78.76</w:t>
            </w:r>
          </w:p>
        </w:tc>
        <w:tc>
          <w:tcPr>
            <w:tcW w:w="1361" w:type="dxa"/>
            <w:vAlign w:val="center"/>
          </w:tcPr>
          <w:p>
            <w:pPr>
              <w:pStyle w:val="11"/>
            </w:pPr>
            <w:r>
              <w:t>78.76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424001青龙满族自治县市场监督管理局本级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1712.65</w:t>
            </w:r>
          </w:p>
        </w:tc>
        <w:tc>
          <w:tcPr>
            <w:tcW w:w="3402" w:type="dxa"/>
            <w:vAlign w:val="center"/>
          </w:tcPr>
          <w:p>
            <w:pPr>
              <w:pStyle w:val="12"/>
            </w:pPr>
            <w:r>
              <w:t>一、一般公共服务支出</w:t>
            </w:r>
          </w:p>
        </w:tc>
        <w:tc>
          <w:tcPr>
            <w:tcW w:w="1474" w:type="dxa"/>
            <w:vAlign w:val="center"/>
          </w:tcPr>
          <w:p>
            <w:pPr>
              <w:pStyle w:val="11"/>
            </w:pPr>
            <w:r>
              <w:t>1371.39</w:t>
            </w:r>
          </w:p>
        </w:tc>
        <w:tc>
          <w:tcPr>
            <w:tcW w:w="1474" w:type="dxa"/>
            <w:vAlign w:val="center"/>
          </w:tcPr>
          <w:p>
            <w:pPr>
              <w:pStyle w:val="11"/>
            </w:pPr>
            <w:r>
              <w:t>1371.39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40.50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277.46</w:t>
            </w:r>
          </w:p>
        </w:tc>
        <w:tc>
          <w:tcPr>
            <w:tcW w:w="1474" w:type="dxa"/>
            <w:vAlign w:val="center"/>
          </w:tcPr>
          <w:p>
            <w:pPr>
              <w:pStyle w:val="11"/>
            </w:pPr>
            <w:r>
              <w:t>277.46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78.10</w:t>
            </w:r>
          </w:p>
        </w:tc>
        <w:tc>
          <w:tcPr>
            <w:tcW w:w="1474" w:type="dxa"/>
            <w:vAlign w:val="center"/>
          </w:tcPr>
          <w:p>
            <w:pPr>
              <w:pStyle w:val="11"/>
            </w:pPr>
            <w:r>
              <w:t>78.10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40.50</w:t>
            </w:r>
          </w:p>
        </w:tc>
        <w:tc>
          <w:tcPr>
            <w:tcW w:w="1474" w:type="dxa"/>
            <w:vAlign w:val="center"/>
          </w:tcPr>
          <w:p>
            <w:pPr>
              <w:pStyle w:val="11"/>
            </w:pPr>
          </w:p>
        </w:tc>
        <w:tc>
          <w:tcPr>
            <w:tcW w:w="1474" w:type="dxa"/>
            <w:vAlign w:val="center"/>
          </w:tcPr>
          <w:p>
            <w:pPr>
              <w:pStyle w:val="11"/>
            </w:pPr>
            <w:r>
              <w:t>40.50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49.61</w:t>
            </w:r>
          </w:p>
        </w:tc>
        <w:tc>
          <w:tcPr>
            <w:tcW w:w="1474" w:type="dxa"/>
            <w:vAlign w:val="center"/>
          </w:tcPr>
          <w:p>
            <w:pPr>
              <w:pStyle w:val="11"/>
            </w:pPr>
            <w:r>
              <w:t>49.61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78.76</w:t>
            </w:r>
          </w:p>
        </w:tc>
        <w:tc>
          <w:tcPr>
            <w:tcW w:w="1474" w:type="dxa"/>
            <w:vAlign w:val="center"/>
          </w:tcPr>
          <w:p>
            <w:pPr>
              <w:pStyle w:val="11"/>
            </w:pPr>
            <w:r>
              <w:t>78.76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1753.15</w:t>
            </w:r>
          </w:p>
        </w:tc>
        <w:tc>
          <w:tcPr>
            <w:tcW w:w="3402" w:type="dxa"/>
            <w:vAlign w:val="center"/>
          </w:tcPr>
          <w:p>
            <w:pPr>
              <w:pStyle w:val="14"/>
            </w:pPr>
            <w:r>
              <w:t>本年支出合计</w:t>
            </w:r>
          </w:p>
        </w:tc>
        <w:tc>
          <w:tcPr>
            <w:tcW w:w="1474" w:type="dxa"/>
            <w:vAlign w:val="center"/>
          </w:tcPr>
          <w:p>
            <w:pPr>
              <w:pStyle w:val="15"/>
            </w:pPr>
            <w:r>
              <w:t>1895.82</w:t>
            </w:r>
          </w:p>
        </w:tc>
        <w:tc>
          <w:tcPr>
            <w:tcW w:w="1474" w:type="dxa"/>
            <w:vAlign w:val="center"/>
          </w:tcPr>
          <w:p>
            <w:pPr>
              <w:pStyle w:val="15"/>
            </w:pPr>
            <w:r>
              <w:t>1855.32</w:t>
            </w:r>
          </w:p>
        </w:tc>
        <w:tc>
          <w:tcPr>
            <w:tcW w:w="1474" w:type="dxa"/>
            <w:vAlign w:val="center"/>
          </w:tcPr>
          <w:p>
            <w:pPr>
              <w:pStyle w:val="15"/>
            </w:pPr>
            <w:r>
              <w:t>40.50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142.67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142.67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1895.82</w:t>
            </w:r>
          </w:p>
        </w:tc>
        <w:tc>
          <w:tcPr>
            <w:tcW w:w="3402" w:type="dxa"/>
            <w:vAlign w:val="center"/>
          </w:tcPr>
          <w:p>
            <w:pPr>
              <w:pStyle w:val="14"/>
            </w:pPr>
            <w:r>
              <w:t>支出总计</w:t>
            </w:r>
          </w:p>
        </w:tc>
        <w:tc>
          <w:tcPr>
            <w:tcW w:w="1474" w:type="dxa"/>
            <w:vAlign w:val="center"/>
          </w:tcPr>
          <w:p>
            <w:pPr>
              <w:pStyle w:val="15"/>
            </w:pPr>
            <w:r>
              <w:t>1895.82</w:t>
            </w:r>
          </w:p>
        </w:tc>
        <w:tc>
          <w:tcPr>
            <w:tcW w:w="1474" w:type="dxa"/>
            <w:vAlign w:val="center"/>
          </w:tcPr>
          <w:p>
            <w:pPr>
              <w:pStyle w:val="15"/>
            </w:pPr>
            <w:r>
              <w:t>1855.32</w:t>
            </w:r>
          </w:p>
        </w:tc>
        <w:tc>
          <w:tcPr>
            <w:tcW w:w="1474" w:type="dxa"/>
            <w:vAlign w:val="center"/>
          </w:tcPr>
          <w:p>
            <w:pPr>
              <w:pStyle w:val="15"/>
            </w:pPr>
            <w:r>
              <w:t>40.50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424001青龙满族自治县市场监督管理局本级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1855.32</w:t>
            </w:r>
          </w:p>
        </w:tc>
        <w:tc>
          <w:tcPr>
            <w:tcW w:w="2551" w:type="dxa"/>
            <w:vAlign w:val="center"/>
          </w:tcPr>
          <w:p>
            <w:pPr>
              <w:pStyle w:val="15"/>
            </w:pPr>
            <w:r>
              <w:t>1655.11</w:t>
            </w:r>
          </w:p>
        </w:tc>
        <w:tc>
          <w:tcPr>
            <w:tcW w:w="2551" w:type="dxa"/>
            <w:vAlign w:val="center"/>
          </w:tcPr>
          <w:p>
            <w:pPr>
              <w:pStyle w:val="15"/>
            </w:pPr>
            <w:r>
              <w:t>200.21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1371.39</w:t>
            </w:r>
          </w:p>
        </w:tc>
        <w:tc>
          <w:tcPr>
            <w:tcW w:w="2551" w:type="dxa"/>
            <w:vAlign w:val="center"/>
          </w:tcPr>
          <w:p>
            <w:pPr>
              <w:pStyle w:val="11"/>
            </w:pPr>
            <w:r>
              <w:t>1220.79</w:t>
            </w:r>
          </w:p>
        </w:tc>
        <w:tc>
          <w:tcPr>
            <w:tcW w:w="2551" w:type="dxa"/>
            <w:vAlign w:val="center"/>
          </w:tcPr>
          <w:p>
            <w:pPr>
              <w:pStyle w:val="11"/>
            </w:pPr>
            <w:r>
              <w:t>150.60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20138</w:t>
            </w:r>
          </w:p>
        </w:tc>
        <w:tc>
          <w:tcPr>
            <w:tcW w:w="4535" w:type="dxa"/>
            <w:vAlign w:val="center"/>
          </w:tcPr>
          <w:p>
            <w:pPr>
              <w:pStyle w:val="12"/>
            </w:pPr>
            <w:r>
              <w:t>市场监督管理事务</w:t>
            </w:r>
          </w:p>
        </w:tc>
        <w:tc>
          <w:tcPr>
            <w:tcW w:w="2551" w:type="dxa"/>
            <w:vAlign w:val="center"/>
          </w:tcPr>
          <w:p>
            <w:pPr>
              <w:pStyle w:val="11"/>
            </w:pPr>
            <w:r>
              <w:t>1371.39</w:t>
            </w:r>
          </w:p>
        </w:tc>
        <w:tc>
          <w:tcPr>
            <w:tcW w:w="2551" w:type="dxa"/>
            <w:vAlign w:val="center"/>
          </w:tcPr>
          <w:p>
            <w:pPr>
              <w:pStyle w:val="11"/>
            </w:pPr>
            <w:r>
              <w:t>1220.79</w:t>
            </w:r>
          </w:p>
        </w:tc>
        <w:tc>
          <w:tcPr>
            <w:tcW w:w="2551" w:type="dxa"/>
            <w:vAlign w:val="center"/>
          </w:tcPr>
          <w:p>
            <w:pPr>
              <w:pStyle w:val="11"/>
            </w:pPr>
            <w:r>
              <w:t>150.60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2013801</w:t>
            </w:r>
          </w:p>
        </w:tc>
        <w:tc>
          <w:tcPr>
            <w:tcW w:w="4535" w:type="dxa"/>
            <w:vAlign w:val="center"/>
          </w:tcPr>
          <w:p>
            <w:pPr>
              <w:pStyle w:val="12"/>
            </w:pPr>
            <w:r>
              <w:t>行政运行</w:t>
            </w:r>
          </w:p>
        </w:tc>
        <w:tc>
          <w:tcPr>
            <w:tcW w:w="2551" w:type="dxa"/>
            <w:vAlign w:val="center"/>
          </w:tcPr>
          <w:p>
            <w:pPr>
              <w:pStyle w:val="11"/>
            </w:pPr>
            <w:r>
              <w:t>853.03</w:t>
            </w:r>
          </w:p>
        </w:tc>
        <w:tc>
          <w:tcPr>
            <w:tcW w:w="2551" w:type="dxa"/>
            <w:vAlign w:val="center"/>
          </w:tcPr>
          <w:p>
            <w:pPr>
              <w:pStyle w:val="11"/>
            </w:pPr>
            <w:r>
              <w:t>853.03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2013802</w:t>
            </w:r>
          </w:p>
        </w:tc>
        <w:tc>
          <w:tcPr>
            <w:tcW w:w="4535" w:type="dxa"/>
            <w:vAlign w:val="center"/>
          </w:tcPr>
          <w:p>
            <w:pPr>
              <w:pStyle w:val="12"/>
            </w:pPr>
            <w:r>
              <w:t>一般行政管理事务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2013804</w:t>
            </w:r>
          </w:p>
        </w:tc>
        <w:tc>
          <w:tcPr>
            <w:tcW w:w="4535" w:type="dxa"/>
            <w:vAlign w:val="center"/>
          </w:tcPr>
          <w:p>
            <w:pPr>
              <w:pStyle w:val="12"/>
            </w:pPr>
            <w:r>
              <w:t>市场主体管理</w:t>
            </w:r>
          </w:p>
        </w:tc>
        <w:tc>
          <w:tcPr>
            <w:tcW w:w="2551" w:type="dxa"/>
            <w:vAlign w:val="center"/>
          </w:tcPr>
          <w:p>
            <w:pPr>
              <w:pStyle w:val="11"/>
            </w:pPr>
            <w:r>
              <w:t>107.00</w:t>
            </w:r>
          </w:p>
        </w:tc>
        <w:tc>
          <w:tcPr>
            <w:tcW w:w="2551" w:type="dxa"/>
            <w:vAlign w:val="center"/>
          </w:tcPr>
          <w:p>
            <w:pPr>
              <w:pStyle w:val="11"/>
            </w:pPr>
          </w:p>
        </w:tc>
        <w:tc>
          <w:tcPr>
            <w:tcW w:w="2551" w:type="dxa"/>
            <w:vAlign w:val="center"/>
          </w:tcPr>
          <w:p>
            <w:pPr>
              <w:pStyle w:val="11"/>
            </w:pPr>
            <w:r>
              <w:t>107.00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2013805</w:t>
            </w:r>
          </w:p>
        </w:tc>
        <w:tc>
          <w:tcPr>
            <w:tcW w:w="4535" w:type="dxa"/>
            <w:vAlign w:val="center"/>
          </w:tcPr>
          <w:p>
            <w:pPr>
              <w:pStyle w:val="12"/>
            </w:pPr>
            <w:r>
              <w:t>市场秩序执法</w:t>
            </w:r>
          </w:p>
        </w:tc>
        <w:tc>
          <w:tcPr>
            <w:tcW w:w="2551" w:type="dxa"/>
            <w:vAlign w:val="center"/>
          </w:tcPr>
          <w:p>
            <w:pPr>
              <w:pStyle w:val="11"/>
            </w:pPr>
            <w:r>
              <w:t>38.60</w:t>
            </w:r>
          </w:p>
        </w:tc>
        <w:tc>
          <w:tcPr>
            <w:tcW w:w="2551" w:type="dxa"/>
            <w:vAlign w:val="center"/>
          </w:tcPr>
          <w:p>
            <w:pPr>
              <w:pStyle w:val="11"/>
            </w:pPr>
          </w:p>
        </w:tc>
        <w:tc>
          <w:tcPr>
            <w:tcW w:w="2551" w:type="dxa"/>
            <w:vAlign w:val="center"/>
          </w:tcPr>
          <w:p>
            <w:pPr>
              <w:pStyle w:val="11"/>
            </w:pPr>
            <w:r>
              <w:t>38.60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2013850</w:t>
            </w:r>
          </w:p>
        </w:tc>
        <w:tc>
          <w:tcPr>
            <w:tcW w:w="4535" w:type="dxa"/>
            <w:vAlign w:val="center"/>
          </w:tcPr>
          <w:p>
            <w:pPr>
              <w:pStyle w:val="12"/>
            </w:pPr>
            <w:r>
              <w:t>事业运行</w:t>
            </w:r>
          </w:p>
        </w:tc>
        <w:tc>
          <w:tcPr>
            <w:tcW w:w="2551" w:type="dxa"/>
            <w:vAlign w:val="center"/>
          </w:tcPr>
          <w:p>
            <w:pPr>
              <w:pStyle w:val="11"/>
            </w:pPr>
            <w:r>
              <w:t>367.76</w:t>
            </w:r>
          </w:p>
        </w:tc>
        <w:tc>
          <w:tcPr>
            <w:tcW w:w="2551" w:type="dxa"/>
            <w:vAlign w:val="center"/>
          </w:tcPr>
          <w:p>
            <w:pPr>
              <w:pStyle w:val="11"/>
            </w:pPr>
            <w:r>
              <w:t>367.76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277.46</w:t>
            </w:r>
          </w:p>
        </w:tc>
        <w:tc>
          <w:tcPr>
            <w:tcW w:w="2551" w:type="dxa"/>
            <w:vAlign w:val="center"/>
          </w:tcPr>
          <w:p>
            <w:pPr>
              <w:pStyle w:val="11"/>
            </w:pPr>
            <w:r>
              <w:t>277.46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245.07</w:t>
            </w:r>
          </w:p>
        </w:tc>
        <w:tc>
          <w:tcPr>
            <w:tcW w:w="2551" w:type="dxa"/>
            <w:vAlign w:val="center"/>
          </w:tcPr>
          <w:p>
            <w:pPr>
              <w:pStyle w:val="11"/>
            </w:pPr>
            <w:r>
              <w:t>245.07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91.60</w:t>
            </w:r>
          </w:p>
        </w:tc>
        <w:tc>
          <w:tcPr>
            <w:tcW w:w="2551" w:type="dxa"/>
            <w:vAlign w:val="center"/>
          </w:tcPr>
          <w:p>
            <w:pPr>
              <w:pStyle w:val="11"/>
            </w:pPr>
            <w:r>
              <w:t>91.60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153.48</w:t>
            </w:r>
          </w:p>
        </w:tc>
        <w:tc>
          <w:tcPr>
            <w:tcW w:w="2551" w:type="dxa"/>
            <w:vAlign w:val="center"/>
          </w:tcPr>
          <w:p>
            <w:pPr>
              <w:pStyle w:val="11"/>
            </w:pPr>
            <w:r>
              <w:t>153.48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32.39</w:t>
            </w:r>
          </w:p>
        </w:tc>
        <w:tc>
          <w:tcPr>
            <w:tcW w:w="2551" w:type="dxa"/>
            <w:vAlign w:val="center"/>
          </w:tcPr>
          <w:p>
            <w:pPr>
              <w:pStyle w:val="11"/>
            </w:pPr>
            <w:r>
              <w:t>32.39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32.39</w:t>
            </w:r>
          </w:p>
        </w:tc>
        <w:tc>
          <w:tcPr>
            <w:tcW w:w="2551" w:type="dxa"/>
            <w:vAlign w:val="center"/>
          </w:tcPr>
          <w:p>
            <w:pPr>
              <w:pStyle w:val="11"/>
            </w:pPr>
            <w:r>
              <w:t>32.39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78.10</w:t>
            </w:r>
          </w:p>
        </w:tc>
        <w:tc>
          <w:tcPr>
            <w:tcW w:w="2551" w:type="dxa"/>
            <w:vAlign w:val="center"/>
          </w:tcPr>
          <w:p>
            <w:pPr>
              <w:pStyle w:val="11"/>
            </w:pPr>
            <w:r>
              <w:t>78.10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78.10</w:t>
            </w:r>
          </w:p>
        </w:tc>
        <w:tc>
          <w:tcPr>
            <w:tcW w:w="2551" w:type="dxa"/>
            <w:vAlign w:val="center"/>
          </w:tcPr>
          <w:p>
            <w:pPr>
              <w:pStyle w:val="11"/>
            </w:pPr>
            <w:r>
              <w:t>78.10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48.74</w:t>
            </w:r>
          </w:p>
        </w:tc>
        <w:tc>
          <w:tcPr>
            <w:tcW w:w="2551" w:type="dxa"/>
            <w:vAlign w:val="center"/>
          </w:tcPr>
          <w:p>
            <w:pPr>
              <w:pStyle w:val="11"/>
            </w:pPr>
            <w:r>
              <w:t>48.74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29.36</w:t>
            </w:r>
          </w:p>
        </w:tc>
        <w:tc>
          <w:tcPr>
            <w:tcW w:w="2551" w:type="dxa"/>
            <w:vAlign w:val="center"/>
          </w:tcPr>
          <w:p>
            <w:pPr>
              <w:pStyle w:val="11"/>
            </w:pPr>
            <w:r>
              <w:t>29.36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49.61</w:t>
            </w:r>
          </w:p>
        </w:tc>
        <w:tc>
          <w:tcPr>
            <w:tcW w:w="2551" w:type="dxa"/>
            <w:vAlign w:val="center"/>
          </w:tcPr>
          <w:p>
            <w:pPr>
              <w:pStyle w:val="11"/>
            </w:pPr>
          </w:p>
        </w:tc>
        <w:tc>
          <w:tcPr>
            <w:tcW w:w="2551" w:type="dxa"/>
            <w:vAlign w:val="center"/>
          </w:tcPr>
          <w:p>
            <w:pPr>
              <w:pStyle w:val="11"/>
            </w:pPr>
            <w:r>
              <w:t>49.61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49.61</w:t>
            </w:r>
          </w:p>
        </w:tc>
        <w:tc>
          <w:tcPr>
            <w:tcW w:w="2551" w:type="dxa"/>
            <w:vAlign w:val="center"/>
          </w:tcPr>
          <w:p>
            <w:pPr>
              <w:pStyle w:val="11"/>
            </w:pPr>
          </w:p>
        </w:tc>
        <w:tc>
          <w:tcPr>
            <w:tcW w:w="2551" w:type="dxa"/>
            <w:vAlign w:val="center"/>
          </w:tcPr>
          <w:p>
            <w:pPr>
              <w:pStyle w:val="11"/>
            </w:pPr>
            <w:r>
              <w:t>49.61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2130109</w:t>
            </w:r>
          </w:p>
        </w:tc>
        <w:tc>
          <w:tcPr>
            <w:tcW w:w="4535" w:type="dxa"/>
            <w:vAlign w:val="center"/>
          </w:tcPr>
          <w:p>
            <w:pPr>
              <w:pStyle w:val="12"/>
            </w:pPr>
            <w:r>
              <w:t>农产品质量安全</w:t>
            </w:r>
          </w:p>
        </w:tc>
        <w:tc>
          <w:tcPr>
            <w:tcW w:w="2551" w:type="dxa"/>
            <w:vAlign w:val="center"/>
          </w:tcPr>
          <w:p>
            <w:pPr>
              <w:pStyle w:val="11"/>
            </w:pPr>
            <w:r>
              <w:t>49.61</w:t>
            </w:r>
          </w:p>
        </w:tc>
        <w:tc>
          <w:tcPr>
            <w:tcW w:w="2551" w:type="dxa"/>
            <w:vAlign w:val="center"/>
          </w:tcPr>
          <w:p>
            <w:pPr>
              <w:pStyle w:val="11"/>
            </w:pPr>
          </w:p>
        </w:tc>
        <w:tc>
          <w:tcPr>
            <w:tcW w:w="2551" w:type="dxa"/>
            <w:vAlign w:val="center"/>
          </w:tcPr>
          <w:p>
            <w:pPr>
              <w:pStyle w:val="11"/>
            </w:pPr>
            <w:r>
              <w:t>49.61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78.76</w:t>
            </w:r>
          </w:p>
        </w:tc>
        <w:tc>
          <w:tcPr>
            <w:tcW w:w="2551" w:type="dxa"/>
            <w:vAlign w:val="center"/>
          </w:tcPr>
          <w:p>
            <w:pPr>
              <w:pStyle w:val="11"/>
            </w:pPr>
            <w:r>
              <w:t>78.76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78.76</w:t>
            </w:r>
          </w:p>
        </w:tc>
        <w:tc>
          <w:tcPr>
            <w:tcW w:w="2551" w:type="dxa"/>
            <w:vAlign w:val="center"/>
          </w:tcPr>
          <w:p>
            <w:pPr>
              <w:pStyle w:val="11"/>
            </w:pPr>
            <w:r>
              <w:t>78.76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78.76</w:t>
            </w:r>
          </w:p>
        </w:tc>
        <w:tc>
          <w:tcPr>
            <w:tcW w:w="2551" w:type="dxa"/>
            <w:vAlign w:val="center"/>
          </w:tcPr>
          <w:p>
            <w:pPr>
              <w:pStyle w:val="11"/>
            </w:pPr>
            <w:r>
              <w:t>78.76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424001青龙满族自治县市场监督管理局本级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1655.11</w:t>
            </w:r>
          </w:p>
        </w:tc>
        <w:tc>
          <w:tcPr>
            <w:tcW w:w="2551" w:type="dxa"/>
            <w:vAlign w:val="center"/>
          </w:tcPr>
          <w:p>
            <w:pPr>
              <w:pStyle w:val="15"/>
            </w:pPr>
            <w:r>
              <w:t>1441.81</w:t>
            </w:r>
          </w:p>
        </w:tc>
        <w:tc>
          <w:tcPr>
            <w:tcW w:w="2551" w:type="dxa"/>
            <w:vAlign w:val="center"/>
          </w:tcPr>
          <w:p>
            <w:pPr>
              <w:pStyle w:val="15"/>
            </w:pPr>
            <w:r>
              <w:t>213.30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1317.83</w:t>
            </w:r>
          </w:p>
        </w:tc>
        <w:tc>
          <w:tcPr>
            <w:tcW w:w="2551" w:type="dxa"/>
            <w:vAlign w:val="center"/>
          </w:tcPr>
          <w:p>
            <w:pPr>
              <w:pStyle w:val="11"/>
            </w:pPr>
            <w:r>
              <w:t>1317.83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573.45</w:t>
            </w:r>
          </w:p>
        </w:tc>
        <w:tc>
          <w:tcPr>
            <w:tcW w:w="2551" w:type="dxa"/>
            <w:vAlign w:val="center"/>
          </w:tcPr>
          <w:p>
            <w:pPr>
              <w:pStyle w:val="11"/>
            </w:pPr>
            <w:r>
              <w:t>573.45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216.84</w:t>
            </w:r>
          </w:p>
        </w:tc>
        <w:tc>
          <w:tcPr>
            <w:tcW w:w="2551" w:type="dxa"/>
            <w:vAlign w:val="center"/>
          </w:tcPr>
          <w:p>
            <w:pPr>
              <w:pStyle w:val="11"/>
            </w:pPr>
            <w:r>
              <w:t>216.84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91.96</w:t>
            </w:r>
          </w:p>
        </w:tc>
        <w:tc>
          <w:tcPr>
            <w:tcW w:w="2551" w:type="dxa"/>
            <w:vAlign w:val="center"/>
          </w:tcPr>
          <w:p>
            <w:pPr>
              <w:pStyle w:val="11"/>
            </w:pPr>
            <w:r>
              <w:t>91.96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120.45</w:t>
            </w:r>
          </w:p>
        </w:tc>
        <w:tc>
          <w:tcPr>
            <w:tcW w:w="2551" w:type="dxa"/>
            <w:vAlign w:val="center"/>
          </w:tcPr>
          <w:p>
            <w:pPr>
              <w:pStyle w:val="11"/>
            </w:pPr>
            <w:r>
              <w:t>120.45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153.48</w:t>
            </w:r>
          </w:p>
        </w:tc>
        <w:tc>
          <w:tcPr>
            <w:tcW w:w="2551" w:type="dxa"/>
            <w:vAlign w:val="center"/>
          </w:tcPr>
          <w:p>
            <w:pPr>
              <w:pStyle w:val="11"/>
            </w:pPr>
            <w:r>
              <w:t>153.48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74.67</w:t>
            </w:r>
          </w:p>
        </w:tc>
        <w:tc>
          <w:tcPr>
            <w:tcW w:w="2551" w:type="dxa"/>
            <w:vAlign w:val="center"/>
          </w:tcPr>
          <w:p>
            <w:pPr>
              <w:pStyle w:val="11"/>
            </w:pPr>
            <w:r>
              <w:t>74.67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8.23</w:t>
            </w:r>
          </w:p>
        </w:tc>
        <w:tc>
          <w:tcPr>
            <w:tcW w:w="2551" w:type="dxa"/>
            <w:vAlign w:val="center"/>
          </w:tcPr>
          <w:p>
            <w:pPr>
              <w:pStyle w:val="11"/>
            </w:pPr>
            <w:r>
              <w:t>8.23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78.76</w:t>
            </w:r>
          </w:p>
        </w:tc>
        <w:tc>
          <w:tcPr>
            <w:tcW w:w="2551" w:type="dxa"/>
            <w:vAlign w:val="center"/>
          </w:tcPr>
          <w:p>
            <w:pPr>
              <w:pStyle w:val="11"/>
            </w:pPr>
            <w:r>
              <w:t>78.76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213.30</w:t>
            </w:r>
          </w:p>
        </w:tc>
        <w:tc>
          <w:tcPr>
            <w:tcW w:w="2551" w:type="dxa"/>
            <w:vAlign w:val="center"/>
          </w:tcPr>
          <w:p>
            <w:pPr>
              <w:pStyle w:val="11"/>
            </w:pPr>
          </w:p>
        </w:tc>
        <w:tc>
          <w:tcPr>
            <w:tcW w:w="2551" w:type="dxa"/>
            <w:vAlign w:val="center"/>
          </w:tcPr>
          <w:p>
            <w:pPr>
              <w:pStyle w:val="11"/>
            </w:pPr>
            <w:r>
              <w:t>213.30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19.36</w:t>
            </w:r>
          </w:p>
        </w:tc>
        <w:tc>
          <w:tcPr>
            <w:tcW w:w="2551" w:type="dxa"/>
            <w:vAlign w:val="center"/>
          </w:tcPr>
          <w:p>
            <w:pPr>
              <w:pStyle w:val="11"/>
            </w:pPr>
          </w:p>
        </w:tc>
        <w:tc>
          <w:tcPr>
            <w:tcW w:w="2551" w:type="dxa"/>
            <w:vAlign w:val="center"/>
          </w:tcPr>
          <w:p>
            <w:pPr>
              <w:pStyle w:val="11"/>
            </w:pPr>
            <w:r>
              <w:t>19.36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30203</w:t>
            </w:r>
          </w:p>
        </w:tc>
        <w:tc>
          <w:tcPr>
            <w:tcW w:w="4535" w:type="dxa"/>
            <w:vAlign w:val="center"/>
          </w:tcPr>
          <w:p>
            <w:pPr>
              <w:pStyle w:val="12"/>
            </w:pPr>
            <w:r>
              <w:t>咨询费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30204</w:t>
            </w:r>
          </w:p>
        </w:tc>
        <w:tc>
          <w:tcPr>
            <w:tcW w:w="4535" w:type="dxa"/>
            <w:vAlign w:val="center"/>
          </w:tcPr>
          <w:p>
            <w:pPr>
              <w:pStyle w:val="12"/>
            </w:pPr>
            <w:r>
              <w:t>手续费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19.04</w:t>
            </w:r>
          </w:p>
        </w:tc>
        <w:tc>
          <w:tcPr>
            <w:tcW w:w="2551" w:type="dxa"/>
            <w:vAlign w:val="center"/>
          </w:tcPr>
          <w:p>
            <w:pPr>
              <w:pStyle w:val="11"/>
            </w:pPr>
          </w:p>
        </w:tc>
        <w:tc>
          <w:tcPr>
            <w:tcW w:w="2551" w:type="dxa"/>
            <w:vAlign w:val="center"/>
          </w:tcPr>
          <w:p>
            <w:pPr>
              <w:pStyle w:val="11"/>
            </w:pPr>
            <w:r>
              <w:t>19.04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4.45</w:t>
            </w:r>
          </w:p>
        </w:tc>
        <w:tc>
          <w:tcPr>
            <w:tcW w:w="2551" w:type="dxa"/>
            <w:vAlign w:val="center"/>
          </w:tcPr>
          <w:p>
            <w:pPr>
              <w:pStyle w:val="11"/>
            </w:pPr>
          </w:p>
        </w:tc>
        <w:tc>
          <w:tcPr>
            <w:tcW w:w="2551" w:type="dxa"/>
            <w:vAlign w:val="center"/>
          </w:tcPr>
          <w:p>
            <w:pPr>
              <w:pStyle w:val="11"/>
            </w:pPr>
            <w:r>
              <w:t>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81.60</w:t>
            </w:r>
          </w:p>
        </w:tc>
        <w:tc>
          <w:tcPr>
            <w:tcW w:w="2551" w:type="dxa"/>
            <w:vAlign w:val="center"/>
          </w:tcPr>
          <w:p>
            <w:pPr>
              <w:pStyle w:val="11"/>
            </w:pPr>
          </w:p>
        </w:tc>
        <w:tc>
          <w:tcPr>
            <w:tcW w:w="2551" w:type="dxa"/>
            <w:vAlign w:val="center"/>
          </w:tcPr>
          <w:p>
            <w:pPr>
              <w:pStyle w:val="11"/>
            </w:pPr>
            <w:r>
              <w:t>81.60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7.99</w:t>
            </w:r>
          </w:p>
        </w:tc>
        <w:tc>
          <w:tcPr>
            <w:tcW w:w="2551" w:type="dxa"/>
            <w:vAlign w:val="center"/>
          </w:tcPr>
          <w:p>
            <w:pPr>
              <w:pStyle w:val="11"/>
            </w:pPr>
          </w:p>
        </w:tc>
        <w:tc>
          <w:tcPr>
            <w:tcW w:w="2551" w:type="dxa"/>
            <w:vAlign w:val="center"/>
          </w:tcPr>
          <w:p>
            <w:pPr>
              <w:pStyle w:val="11"/>
            </w:pPr>
            <w:r>
              <w:t>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1.56</w:t>
            </w:r>
          </w:p>
        </w:tc>
        <w:tc>
          <w:tcPr>
            <w:tcW w:w="2551" w:type="dxa"/>
            <w:vAlign w:val="center"/>
          </w:tcPr>
          <w:p>
            <w:pPr>
              <w:pStyle w:val="11"/>
            </w:pPr>
          </w:p>
        </w:tc>
        <w:tc>
          <w:tcPr>
            <w:tcW w:w="2551" w:type="dxa"/>
            <w:vAlign w:val="center"/>
          </w:tcPr>
          <w:p>
            <w:pPr>
              <w:pStyle w:val="11"/>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1.74</w:t>
            </w:r>
          </w:p>
        </w:tc>
        <w:tc>
          <w:tcPr>
            <w:tcW w:w="2551" w:type="dxa"/>
            <w:vAlign w:val="center"/>
          </w:tcPr>
          <w:p>
            <w:pPr>
              <w:pStyle w:val="11"/>
            </w:pPr>
          </w:p>
        </w:tc>
        <w:tc>
          <w:tcPr>
            <w:tcW w:w="2551" w:type="dxa"/>
            <w:vAlign w:val="center"/>
          </w:tcPr>
          <w:p>
            <w:pPr>
              <w:pStyle w:val="11"/>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52.67</w:t>
            </w:r>
          </w:p>
        </w:tc>
        <w:tc>
          <w:tcPr>
            <w:tcW w:w="2551" w:type="dxa"/>
            <w:vAlign w:val="center"/>
          </w:tcPr>
          <w:p>
            <w:pPr>
              <w:pStyle w:val="11"/>
            </w:pPr>
          </w:p>
        </w:tc>
        <w:tc>
          <w:tcPr>
            <w:tcW w:w="2551" w:type="dxa"/>
            <w:vAlign w:val="center"/>
          </w:tcPr>
          <w:p>
            <w:pPr>
              <w:pStyle w:val="11"/>
            </w:pPr>
            <w:r>
              <w:t>52.67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123.98</w:t>
            </w:r>
          </w:p>
        </w:tc>
        <w:tc>
          <w:tcPr>
            <w:tcW w:w="2551" w:type="dxa"/>
            <w:vAlign w:val="center"/>
          </w:tcPr>
          <w:p>
            <w:pPr>
              <w:pStyle w:val="11"/>
            </w:pPr>
            <w:r>
              <w:t>123.98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10.40</w:t>
            </w:r>
          </w:p>
        </w:tc>
        <w:tc>
          <w:tcPr>
            <w:tcW w:w="2551" w:type="dxa"/>
            <w:vAlign w:val="center"/>
          </w:tcPr>
          <w:p>
            <w:pPr>
              <w:pStyle w:val="11"/>
            </w:pPr>
            <w:r>
              <w:t>10.40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81.20</w:t>
            </w:r>
          </w:p>
        </w:tc>
        <w:tc>
          <w:tcPr>
            <w:tcW w:w="2551" w:type="dxa"/>
            <w:vAlign w:val="center"/>
          </w:tcPr>
          <w:p>
            <w:pPr>
              <w:pStyle w:val="11"/>
            </w:pPr>
            <w:r>
              <w:t>81.20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32.39</w:t>
            </w:r>
          </w:p>
        </w:tc>
        <w:tc>
          <w:tcPr>
            <w:tcW w:w="2551" w:type="dxa"/>
            <w:vAlign w:val="center"/>
          </w:tcPr>
          <w:p>
            <w:pPr>
              <w:pStyle w:val="11"/>
            </w:pPr>
            <w:r>
              <w:t>32.39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424001青龙满族自治县市场监督管理局本级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40.50</w:t>
            </w:r>
          </w:p>
        </w:tc>
        <w:tc>
          <w:tcPr>
            <w:tcW w:w="2551" w:type="dxa"/>
            <w:vAlign w:val="center"/>
          </w:tcPr>
          <w:p>
            <w:pPr>
              <w:pStyle w:val="15"/>
            </w:pPr>
          </w:p>
        </w:tc>
        <w:tc>
          <w:tcPr>
            <w:tcW w:w="2551" w:type="dxa"/>
            <w:vAlign w:val="center"/>
          </w:tcPr>
          <w:p>
            <w:pPr>
              <w:pStyle w:val="15"/>
            </w:pPr>
            <w:r>
              <w:t>40.50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40.50</w:t>
            </w:r>
          </w:p>
        </w:tc>
        <w:tc>
          <w:tcPr>
            <w:tcW w:w="2551" w:type="dxa"/>
            <w:vAlign w:val="center"/>
          </w:tcPr>
          <w:p>
            <w:pPr>
              <w:pStyle w:val="11"/>
            </w:pPr>
          </w:p>
        </w:tc>
        <w:tc>
          <w:tcPr>
            <w:tcW w:w="2551" w:type="dxa"/>
            <w:vAlign w:val="center"/>
          </w:tcPr>
          <w:p>
            <w:pPr>
              <w:pStyle w:val="11"/>
            </w:pPr>
            <w:r>
              <w:t>40.50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40.50</w:t>
            </w:r>
          </w:p>
        </w:tc>
        <w:tc>
          <w:tcPr>
            <w:tcW w:w="2551" w:type="dxa"/>
            <w:vAlign w:val="center"/>
          </w:tcPr>
          <w:p>
            <w:pPr>
              <w:pStyle w:val="11"/>
            </w:pPr>
          </w:p>
        </w:tc>
        <w:tc>
          <w:tcPr>
            <w:tcW w:w="2551" w:type="dxa"/>
            <w:vAlign w:val="center"/>
          </w:tcPr>
          <w:p>
            <w:pPr>
              <w:pStyle w:val="11"/>
            </w:pPr>
            <w:r>
              <w:t>40.50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40.50</w:t>
            </w:r>
          </w:p>
        </w:tc>
        <w:tc>
          <w:tcPr>
            <w:tcW w:w="2551" w:type="dxa"/>
            <w:vAlign w:val="center"/>
          </w:tcPr>
          <w:p>
            <w:pPr>
              <w:pStyle w:val="11"/>
            </w:pPr>
          </w:p>
        </w:tc>
        <w:tc>
          <w:tcPr>
            <w:tcW w:w="2551" w:type="dxa"/>
            <w:vAlign w:val="center"/>
          </w:tcPr>
          <w:p>
            <w:pPr>
              <w:pStyle w:val="11"/>
            </w:pPr>
            <w:r>
              <w:t>40.50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424001青龙满族自治县市场监督管理局本级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424001青龙满族自治县市场监督管理局本级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r>
              <w:t>49.16</w:t>
            </w:r>
          </w:p>
        </w:tc>
        <w:tc>
          <w:tcPr>
            <w:tcW w:w="2381" w:type="dxa"/>
            <w:vAlign w:val="center"/>
          </w:tcPr>
          <w:p>
            <w:pPr>
              <w:pStyle w:val="15"/>
            </w:pPr>
            <w:r>
              <w:t>49.16</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47.60</w:t>
            </w:r>
          </w:p>
        </w:tc>
        <w:tc>
          <w:tcPr>
            <w:tcW w:w="2381" w:type="dxa"/>
            <w:vAlign w:val="center"/>
          </w:tcPr>
          <w:p>
            <w:pPr>
              <w:pStyle w:val="11"/>
            </w:pPr>
            <w:r>
              <w:t>47.60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r>
              <w:t>10.00</w:t>
            </w:r>
          </w:p>
        </w:tc>
        <w:tc>
          <w:tcPr>
            <w:tcW w:w="2381" w:type="dxa"/>
            <w:vAlign w:val="center"/>
          </w:tcPr>
          <w:p>
            <w:pPr>
              <w:pStyle w:val="11"/>
            </w:pPr>
            <w:r>
              <w:t>10.00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37.60</w:t>
            </w:r>
          </w:p>
        </w:tc>
        <w:tc>
          <w:tcPr>
            <w:tcW w:w="2381" w:type="dxa"/>
            <w:vAlign w:val="center"/>
          </w:tcPr>
          <w:p>
            <w:pPr>
              <w:pStyle w:val="11"/>
            </w:pPr>
            <w:r>
              <w:t>37.60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1.56</w:t>
            </w:r>
          </w:p>
        </w:tc>
        <w:tc>
          <w:tcPr>
            <w:tcW w:w="2381" w:type="dxa"/>
            <w:vAlign w:val="center"/>
          </w:tcPr>
          <w:p>
            <w:pPr>
              <w:pStyle w:val="11"/>
            </w:pPr>
            <w:r>
              <w:t>1.56</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青龙满族自治县市场监督管理局本级</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按照《中华人民共和国预算法》、《地方预决算公开操作规程》和《关于进一步推进预算公开工作的实施意见》规定，现将青龙满族自治县市场监督管理局本级2024年单位预算公开如下：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一)负责全县市场综合监督管理。贯彻落实国家、省、市有关市场监督管理的规章、政策和标准,组织实施质量强县战略、食品安全战略、标准化战略、知识产权战略,拟订并组织实施有关规划,规范和维护市场秩序,营造诚实守信、公平竞争的市场环境。</w:t>
      </w:r>
    </w:p>
    <w:p>
      <w:pPr>
        <w:pStyle w:val="22"/>
      </w:pPr>
      <w:r>
        <w:t>(二)负责全县各类市场主体的登记事项</w:t>
      </w:r>
      <w:r>
        <w:rPr>
          <w:rFonts w:hint="eastAsia"/>
          <w:lang w:eastAsia="zh-CN"/>
        </w:rPr>
        <w:t>监督管理</w:t>
      </w:r>
      <w:r>
        <w:t>。建立市场主体信息公示和共享机制,依法公示和共享有关信息,加强信用监管,推动市场主体信用体系建设。</w:t>
      </w:r>
    </w:p>
    <w:p>
      <w:pPr>
        <w:pStyle w:val="22"/>
      </w:pPr>
      <w:r>
        <w:t>(三)负责全县市场监管综合执法工作。负责全县市场监管综合执法队伍整合与建设,推动实行统一的市场监管;按职责查处违法案件;规范市场监管行政执法行为。</w:t>
      </w:r>
    </w:p>
    <w:p>
      <w:pPr>
        <w:pStyle w:val="22"/>
      </w:pPr>
      <w:r>
        <w:t>(四)负责反垄断统一执法。组织推进竞争政策实施,指导实施公平竞争审查制度;依授权对经营者实施集中、垄断协议、滥用市场支配地位、滥用行政权力排除、限制竞争等违法行为进行调查。</w:t>
      </w:r>
    </w:p>
    <w:p>
      <w:pPr>
        <w:pStyle w:val="22"/>
      </w:pPr>
      <w:r>
        <w:t>(五)负责监督管理市场秩序。依法监督管理全县市场交易、网络商品交易等行为;依法查处价格收费违法违规、不正当竞争、违法直销、传销、侵犯商标专利知识产权和制售假冒伪劣行为;指导全县广告业发展,监督管理广告活动;依法查处无证照生产经营行为;指导县消费者协会开展消费维权工作。</w:t>
      </w:r>
    </w:p>
    <w:p>
      <w:pPr>
        <w:pStyle w:val="22"/>
      </w:pPr>
      <w:r>
        <w:t>(六)负责全县宏观质量管理。拟订并实施全县质量发展的制度措施;统筹全县质量基础设施建设与应用,会同有关部门组织实施重大工程设备质量监理制度,组织重大质量事故调查,组织实施缺陷产品召回制度,监督管理产品防伪工作。</w:t>
      </w:r>
    </w:p>
    <w:p>
      <w:pPr>
        <w:pStyle w:val="22"/>
      </w:pPr>
      <w:r>
        <w:t>(七)负责全县产品质量安全监督管理。承担县级产品质量安全风险监控、监督抽</w:t>
      </w:r>
      <w:r>
        <w:rPr>
          <w:rFonts w:hint="eastAsia"/>
          <w:lang w:eastAsia="zh-CN"/>
        </w:rPr>
        <w:t>查</w:t>
      </w:r>
      <w:r>
        <w:t>工作;组织实施质量分级制度、质量安全追溯制度。</w:t>
      </w:r>
    </w:p>
    <w:p>
      <w:pPr>
        <w:pStyle w:val="22"/>
      </w:pPr>
      <w:r>
        <w:t>(八)负责全县特种设备安全监察。负责特种设备安全监察、监督工作,监督检查高耗能特种设备节能标准和锅炉环境保护标准的执行情况。</w:t>
      </w:r>
    </w:p>
    <w:p>
      <w:pPr>
        <w:pStyle w:val="22"/>
      </w:pPr>
      <w:r>
        <w:t>(九)负责食品安全监督管理综合协调。组织实施国家、省、市食品安全政策;推动健全食品安全地方党政同责和跨部门协调联动机制;负责食品安全应急体系建设,配合有关部门做好重大食品安全事件应急处置和调查处理工作;建立健全食品安全信息统一公布和重要信息直报制度;承担县食品安全委员会日常工作。</w:t>
      </w:r>
    </w:p>
    <w:p>
      <w:pPr>
        <w:pStyle w:val="22"/>
      </w:pPr>
      <w:r>
        <w:t>(十)负责食品安全监督管理。建立覆盖食品生产、流通消费全过程的监督检查制度和隐患排查治理机制,防范区域性、系统性食品安全风险;推动落实食品生产经营者主体责任,健全食品安全追溯体系;参与食品安全风险监测,组织开展食品安全监督抽检、核查处置和风险预警、风险交流工作;组织实施特殊食品监督管理;负责重大活动食品安全保障。</w:t>
      </w:r>
    </w:p>
    <w:p>
      <w:pPr>
        <w:pStyle w:val="22"/>
      </w:pPr>
      <w:r>
        <w:t>(十一)负责药品安全监督管理。负责药品(含中药、民族药,下同)、医疗器械和化妆品质量安全监督管理;负责药品、医疗器械和化妆品上市后的风险管理;组织开展对药品、医疗器械和化妆品行业人员的安全宣传、教育培训;推动诚信体系建设;推动健全药品、医疗器械和化妆品安全监管信息化建设；负责药品、医疗器械和化妆品的不良反应监测。</w:t>
      </w:r>
    </w:p>
    <w:p>
      <w:pPr>
        <w:pStyle w:val="22"/>
      </w:pPr>
      <w:r>
        <w:t>(十二)负责统一管理全县计量工作。推行法定计量单位和国家计量制度,管理计量器具及量值传递和比对工作;规范、监督商品量和市场计量行为。</w:t>
      </w:r>
    </w:p>
    <w:p>
      <w:pPr>
        <w:pStyle w:val="22"/>
      </w:pPr>
      <w:r>
        <w:t>(十三)负责统一管理全县标准化工作。依法承担组织制定县级地方标准,承担县级地方标准的立项、编号、批准发布工作;宣传贯彻强制性、推荐性国家标准和行业、地方标准;依法协调指导和监督团体标准、企业标准制定工作。组织开展采用国际标准工作。</w:t>
      </w:r>
    </w:p>
    <w:p>
      <w:pPr>
        <w:pStyle w:val="22"/>
      </w:pPr>
      <w:r>
        <w:t>(十四)负责统一管理全县检验检测工作。推进全县检验检测机构整合和改革工作,规范检验检测市场,推动完善检验检测体系,指导协调检验检测行业发展。</w:t>
      </w:r>
    </w:p>
    <w:p>
      <w:pPr>
        <w:pStyle w:val="22"/>
      </w:pPr>
      <w:r>
        <w:t>(十五)负责统一管理、监督和协调全县认证认可工作。组织贯彻实施国家统一的认证认可和合格评定监督管理制度。</w:t>
      </w:r>
    </w:p>
    <w:p>
      <w:pPr>
        <w:pStyle w:val="22"/>
      </w:pPr>
      <w:r>
        <w:t>(十六)负责知识产权保护工作。拟订和实施强化知识产权创造、保护和运用的政策措施和发展规划;组织实施原产地地理标志统一认定制度;贯彻落实保护商标、专利、原产地地理标志、集成电路布图设计等知识产权的法律法规;按照国家和省、市知识产权保护体系建设方案,推动建设知识产权保护体系;负责指导商标、专利执法工作,负责知识产权争议处理、维权援助和纠纷调处。</w:t>
      </w:r>
    </w:p>
    <w:p>
      <w:pPr>
        <w:pStyle w:val="22"/>
      </w:pPr>
      <w:r>
        <w:t>(十七)负责促进知识产权运用。落实知识产权运用和规范交易的政策,促进知识产权转移转化;规范知识产权无形资产评估工作;制定实施知识产权中介服务发展与监管的政策措施。</w:t>
      </w:r>
    </w:p>
    <w:p>
      <w:pPr>
        <w:pStyle w:val="22"/>
      </w:pPr>
      <w:r>
        <w:t>(十八)负责建立知识产权公共服务体系。建设便企利民、互联互通的全县知识产权信息公共服务平台,推动商标、专利等知识产权信息的传播利用。</w:t>
      </w:r>
    </w:p>
    <w:p>
      <w:pPr>
        <w:pStyle w:val="22"/>
      </w:pPr>
      <w:r>
        <w:t>(十九)负责全县市场监督管理科技和信息化建设、新闻宣传、对外交流与合作;按规定承担技术性贸易措施有关工作。负责协调处理涉外知识产权事宜。</w:t>
      </w:r>
    </w:p>
    <w:p>
      <w:pPr>
        <w:pStyle w:val="22"/>
      </w:pPr>
      <w:r>
        <w:t>(二十)落实行业主管部门的安全生产监管职责,各股室落实各自分管领域的安全生产监管职责。</w:t>
      </w:r>
    </w:p>
    <w:p>
      <w:pPr>
        <w:pStyle w:val="22"/>
      </w:pPr>
      <w:r>
        <w:t>(二十ー)完成县委、县政府交办的其他任务。</w:t>
      </w:r>
    </w:p>
    <w:p>
      <w:pPr>
        <w:pStyle w:val="22"/>
      </w:pPr>
    </w:p>
    <w:p>
      <w:pPr>
        <w:pStyle w:val="22"/>
      </w:pPr>
    </w:p>
    <w:p>
      <w:pPr>
        <w:pStyle w:val="22"/>
      </w:pPr>
    </w:p>
    <w:p>
      <w:pPr>
        <w:pStyle w:val="22"/>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青龙满族自治县市场监督管理局本级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3"/>
      </w:pPr>
      <w:r>
        <w:t>按照预算管理有关规定，目前</w:t>
      </w:r>
      <w:r>
        <w:rPr>
          <w:rFonts w:hint="eastAsia"/>
          <w:lang w:eastAsia="zh-CN"/>
        </w:rPr>
        <w:t>单位</w:t>
      </w:r>
      <w:r>
        <w:t>预算的编制实行综合预算管理，即全部收入和支出都反映在预算中。</w:t>
      </w:r>
    </w:p>
    <w:p>
      <w:pPr>
        <w:pStyle w:val="23"/>
      </w:pPr>
      <w:r>
        <w:t>1、收入说明</w:t>
      </w:r>
    </w:p>
    <w:p>
      <w:pPr>
        <w:pStyle w:val="23"/>
      </w:pPr>
      <w:r>
        <w:t>反映本</w:t>
      </w:r>
      <w:r>
        <w:rPr>
          <w:rFonts w:hint="eastAsia"/>
          <w:lang w:eastAsia="zh-CN"/>
        </w:rPr>
        <w:t>单位</w:t>
      </w:r>
      <w:r>
        <w:t>当年全部收入。2024年预算收入1895.82万元，其中：一般公共预算收入1712.65万元，基金预算收入40.50万元，国有资本经营预算收入0.00万元，财政专户核拨收入0.00万元，单位资金收入0.00万元，上年结转结余142.67万元。</w:t>
      </w:r>
    </w:p>
    <w:p>
      <w:pPr>
        <w:pStyle w:val="23"/>
      </w:pPr>
      <w:r>
        <w:t>2、支出说明</w:t>
      </w:r>
    </w:p>
    <w:p>
      <w:pPr>
        <w:pStyle w:val="23"/>
      </w:pPr>
      <w:r>
        <w:t>收支预算总表支出栏、基本支出表、项目支出表按经济分类和支出功能分类科目编制，反映青龙满族自治县市场监督管理局</w:t>
      </w:r>
      <w:r>
        <w:rPr>
          <w:rFonts w:hint="eastAsia"/>
          <w:lang w:eastAsia="zh-CN"/>
        </w:rPr>
        <w:t>本级</w:t>
      </w:r>
      <w:r>
        <w:t>年度</w:t>
      </w:r>
      <w:r>
        <w:rPr>
          <w:rFonts w:hint="eastAsia"/>
          <w:lang w:eastAsia="zh-CN"/>
        </w:rPr>
        <w:t>单位</w:t>
      </w:r>
      <w:r>
        <w:t>预算中支出预算的总体情况。2024年支出预算1895.82万元，其中基本支出1655.11万元，包括人员经费1441.81万元和日常公用经费213.30万元；项目支出240.71万元，主要为本年预算产品质量计量检验检测经费4万元、普法宣传及人民调解工作经费5万元、企业监管 “双随机、一公开” 工作经费2万元、“质量强县”工作经费4万元、执法办案工作经费17.60万元、食品安全工作经费36万元、煤炭成品油化肥抽检经费12万元、煤质检查站工作经费（木头凳检查站）5万元、执法服装购置费21万元、知识产权宣传经费3万元、关于提前下达2024年市场监管专项补助经费的通知（冀财行[2023]97号）13万元、检测实验室建设经费40.50万元；上年结转食品安全工作经费13.61万元、煤质检查站工作经费（木头凳检查站）5万元、煤炭成品油化肥抽检经费1万元、关于提前下达2023年市场监管专项补助经费的通知（冀财行[2022]104号）53万元、关于提前下达2023年中央工商行政管理专项补助经费的通知（冀财行[2022]95号）5万元。</w:t>
      </w:r>
    </w:p>
    <w:p>
      <w:pPr>
        <w:pStyle w:val="23"/>
      </w:pPr>
      <w:r>
        <w:t>3、比上年增减情况</w:t>
      </w:r>
    </w:p>
    <w:p>
      <w:pPr>
        <w:pStyle w:val="23"/>
      </w:pPr>
      <w:r>
        <w:t>2024年预算收支安排1895.82万元，较2023年预算减少194.71万元，其中：基本支出减少54.00万元，主要为人员经费支出减少66.79万元，日常公用经费支出增加12.79万元。项目支出减少140.71万元，主要为本级项目支出预算减少126.90万元，上级转移支付资金预算减少45万元，2023年项目支出结转结余数比2022年结转结余数增加31.19万元.</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4"/>
        <w:rPr>
          <w:rFonts w:hint="eastAsia" w:eastAsia="方正仿宋_GBK"/>
          <w:sz w:val="28"/>
          <w:lang w:eastAsia="zh-CN"/>
        </w:rPr>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ascii="Times New Roman" w:hAnsi="Times New Roman" w:eastAsia="方正仿宋_GBK" w:cs="Times New Roman"/>
          <w:sz w:val="28"/>
          <w:szCs w:val="24"/>
          <w:lang w:val="en-US" w:eastAsia="uk-UA" w:bidi="ar-SA"/>
        </w:rPr>
        <w:t>年我</w:t>
      </w:r>
      <w:r>
        <w:rPr>
          <w:rFonts w:hint="eastAsia"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机关运行经费共计安排</w:t>
      </w:r>
      <w:r>
        <w:rPr>
          <w:rFonts w:hint="eastAsia" w:ascii="Times New Roman" w:hAnsi="Times New Roman" w:eastAsia="方正仿宋_GBK" w:cs="Times New Roman"/>
          <w:sz w:val="28"/>
          <w:szCs w:val="24"/>
          <w:lang w:val="en-US" w:eastAsia="zh-CN" w:bidi="ar-SA"/>
        </w:rPr>
        <w:t>213.30</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其中当年机关运行经费155.78万元，</w:t>
      </w:r>
      <w:r>
        <w:rPr>
          <w:rFonts w:ascii="Times New Roman" w:hAnsi="Times New Roman" w:eastAsia="方正仿宋_GBK" w:cs="Times New Roman"/>
          <w:sz w:val="28"/>
          <w:szCs w:val="24"/>
          <w:lang w:val="en-US" w:eastAsia="uk-UA" w:bidi="ar-SA"/>
        </w:rPr>
        <w:t>主要用于</w:t>
      </w:r>
      <w:r>
        <w:rPr>
          <w:rFonts w:hint="eastAsia" w:ascii="Times New Roman" w:hAnsi="Times New Roman" w:eastAsia="方正仿宋_GBK" w:cs="Times New Roman"/>
          <w:sz w:val="28"/>
          <w:szCs w:val="24"/>
          <w:lang w:val="en-US" w:eastAsia="uk-UA" w:bidi="ar-SA"/>
        </w:rPr>
        <w:t>办公费</w:t>
      </w:r>
      <w:r>
        <w:rPr>
          <w:rFonts w:ascii="Times New Roman" w:hAnsi="Times New Roman" w:eastAsia="方正仿宋_GBK" w:cs="Times New Roman"/>
          <w:sz w:val="28"/>
          <w:szCs w:val="24"/>
          <w:lang w:val="en-US" w:eastAsia="uk-UA" w:bidi="ar-SA"/>
        </w:rPr>
        <w:t>1</w:t>
      </w:r>
      <w:r>
        <w:rPr>
          <w:rFonts w:hint="eastAsia" w:ascii="Times New Roman" w:hAnsi="Times New Roman"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万元、手</w:t>
      </w:r>
      <w:r>
        <w:rPr>
          <w:rFonts w:hint="eastAsia" w:ascii="Times New Roman" w:hAnsi="Times New Roman" w:eastAsia="方正仿宋_GBK" w:cs="Times New Roman"/>
          <w:sz w:val="28"/>
          <w:szCs w:val="24"/>
          <w:lang w:val="en-US" w:eastAsia="uk-UA" w:bidi="ar-SA"/>
        </w:rPr>
        <w:t>续费</w:t>
      </w:r>
      <w:r>
        <w:rPr>
          <w:rFonts w:ascii="Times New Roman" w:hAnsi="Times New Roman" w:eastAsia="方正仿宋_GBK" w:cs="Times New Roman"/>
          <w:sz w:val="28"/>
          <w:szCs w:val="24"/>
          <w:lang w:val="en-US" w:eastAsia="uk-UA" w:bidi="ar-SA"/>
        </w:rPr>
        <w:t>0.1</w:t>
      </w:r>
      <w:r>
        <w:rPr>
          <w:rFonts w:hint="eastAsia" w:ascii="Times New Roman" w:hAnsi="Times New Roman"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万元、印刷</w:t>
      </w:r>
      <w:r>
        <w:rPr>
          <w:rFonts w:hint="eastAsia" w:ascii="Times New Roman" w:hAnsi="Times New Roman" w:eastAsia="方正仿宋_GBK" w:cs="Times New Roman"/>
          <w:sz w:val="28"/>
          <w:szCs w:val="24"/>
          <w:lang w:val="en-US" w:eastAsia="uk-UA" w:bidi="ar-SA"/>
        </w:rPr>
        <w:t>费2</w:t>
      </w:r>
      <w:r>
        <w:rPr>
          <w:rFonts w:ascii="Times New Roman" w:hAnsi="Times New Roman" w:eastAsia="方正仿宋_GBK" w:cs="Times New Roman"/>
          <w:sz w:val="28"/>
          <w:szCs w:val="24"/>
          <w:lang w:val="en-US" w:eastAsia="uk-UA" w:bidi="ar-SA"/>
        </w:rPr>
        <w:t>万元、水</w:t>
      </w:r>
      <w:r>
        <w:rPr>
          <w:rFonts w:hint="eastAsia" w:ascii="Times New Roman" w:hAnsi="Times New Roman" w:eastAsia="方正仿宋_GBK" w:cs="Times New Roman"/>
          <w:sz w:val="28"/>
          <w:szCs w:val="24"/>
          <w:lang w:val="en-US" w:eastAsia="uk-UA" w:bidi="ar-SA"/>
        </w:rPr>
        <w:t>费</w:t>
      </w:r>
      <w:r>
        <w:rPr>
          <w:rFonts w:ascii="Times New Roman" w:hAnsi="Times New Roman" w:eastAsia="方正仿宋_GBK" w:cs="Times New Roman"/>
          <w:sz w:val="28"/>
          <w:szCs w:val="24"/>
          <w:lang w:val="en-US" w:eastAsia="uk-UA" w:bidi="ar-SA"/>
        </w:rPr>
        <w:t>0.5万元、</w:t>
      </w:r>
      <w:r>
        <w:rPr>
          <w:rFonts w:hint="eastAsia" w:ascii="Times New Roman" w:hAnsi="Times New Roman" w:eastAsia="方正仿宋_GBK" w:cs="Times New Roman"/>
          <w:sz w:val="28"/>
          <w:szCs w:val="24"/>
          <w:lang w:val="en-US" w:eastAsia="uk-UA" w:bidi="ar-SA"/>
        </w:rPr>
        <w:t>电费</w:t>
      </w:r>
      <w:r>
        <w:rPr>
          <w:rFonts w:ascii="Times New Roman" w:hAnsi="Times New Roman" w:eastAsia="方正仿宋_GBK" w:cs="Times New Roman"/>
          <w:sz w:val="28"/>
          <w:szCs w:val="24"/>
          <w:lang w:val="en-US" w:eastAsia="uk-UA" w:bidi="ar-SA"/>
        </w:rPr>
        <w:t>10万元、</w:t>
      </w:r>
      <w:r>
        <w:rPr>
          <w:rFonts w:hint="eastAsia" w:ascii="Times New Roman" w:hAnsi="Times New Roman" w:eastAsia="方正仿宋_GBK" w:cs="Times New Roman"/>
          <w:sz w:val="28"/>
          <w:szCs w:val="24"/>
          <w:lang w:val="en-US" w:eastAsia="uk-UA" w:bidi="ar-SA"/>
        </w:rPr>
        <w:t>邮电费</w:t>
      </w:r>
      <w:r>
        <w:rPr>
          <w:rFonts w:hint="eastAsia" w:ascii="Times New Roman" w:hAnsi="Times New Roman" w:eastAsia="方正仿宋_GBK" w:cs="Times New Roman"/>
          <w:sz w:val="28"/>
          <w:szCs w:val="24"/>
          <w:lang w:val="en-US" w:eastAsia="zh-CN" w:bidi="ar-SA"/>
        </w:rPr>
        <w:t>4.21</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办公用房取暖费</w:t>
      </w:r>
      <w:r>
        <w:rPr>
          <w:rFonts w:ascii="Times New Roman" w:hAnsi="Times New Roman" w:eastAsia="方正仿宋_GBK" w:cs="Times New Roman"/>
          <w:sz w:val="28"/>
          <w:szCs w:val="24"/>
          <w:lang w:val="en-US" w:eastAsia="uk-UA" w:bidi="ar-SA"/>
        </w:rPr>
        <w:t>45万元、差旅</w:t>
      </w:r>
      <w:r>
        <w:rPr>
          <w:rFonts w:hint="eastAsia" w:ascii="Times New Roman" w:hAnsi="Times New Roman" w:eastAsia="方正仿宋_GBK" w:cs="Times New Roman"/>
          <w:sz w:val="28"/>
          <w:szCs w:val="24"/>
          <w:lang w:val="en-US" w:eastAsia="uk-UA" w:bidi="ar-SA"/>
        </w:rPr>
        <w:t>费5</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维修（护）费</w:t>
      </w:r>
      <w:r>
        <w:rPr>
          <w:rFonts w:hint="eastAsia" w:ascii="Times New Roman" w:hAnsi="Times New Roman" w:eastAsia="方正仿宋_GBK" w:cs="Times New Roman"/>
          <w:sz w:val="28"/>
          <w:szCs w:val="24"/>
          <w:lang w:val="en-US" w:eastAsia="zh-CN" w:bidi="ar-SA"/>
        </w:rPr>
        <w:t>1</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咨询费1万元、</w:t>
      </w:r>
      <w:r>
        <w:rPr>
          <w:rFonts w:hint="eastAsia" w:ascii="Times New Roman" w:hAnsi="Times New Roman" w:eastAsia="方正仿宋_GBK" w:cs="Times New Roman"/>
          <w:sz w:val="28"/>
          <w:szCs w:val="24"/>
          <w:lang w:val="en-US" w:eastAsia="zh-CN" w:bidi="ar-SA"/>
        </w:rPr>
        <w:t>培训费1万元、</w:t>
      </w:r>
      <w:r>
        <w:rPr>
          <w:rFonts w:ascii="Times New Roman" w:hAnsi="Times New Roman" w:eastAsia="方正仿宋_GBK" w:cs="Times New Roman"/>
          <w:sz w:val="28"/>
          <w:szCs w:val="24"/>
          <w:lang w:val="en-US" w:eastAsia="uk-UA" w:bidi="ar-SA"/>
        </w:rPr>
        <w:t>公</w:t>
      </w:r>
      <w:r>
        <w:rPr>
          <w:rFonts w:hint="eastAsia" w:ascii="Times New Roman" w:hAnsi="Times New Roman" w:eastAsia="方正仿宋_GBK" w:cs="Times New Roman"/>
          <w:sz w:val="28"/>
          <w:szCs w:val="24"/>
          <w:lang w:val="en-US" w:eastAsia="uk-UA" w:bidi="ar-SA"/>
        </w:rPr>
        <w:t>务接待费1.</w:t>
      </w:r>
      <w:r>
        <w:rPr>
          <w:rFonts w:hint="eastAsia" w:ascii="Times New Roman" w:hAnsi="Times New Roman" w:eastAsia="方正仿宋_GBK" w:cs="Times New Roman"/>
          <w:sz w:val="28"/>
          <w:szCs w:val="24"/>
          <w:lang w:val="en-US" w:eastAsia="zh-CN" w:bidi="ar-SA"/>
        </w:rPr>
        <w:t>56</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劳务费</w:t>
      </w:r>
      <w:r>
        <w:rPr>
          <w:rFonts w:hint="eastAsia" w:ascii="Times New Roman" w:hAnsi="Times New Roman" w:eastAsia="方正仿宋_GBK" w:cs="Times New Roman"/>
          <w:sz w:val="28"/>
          <w:szCs w:val="24"/>
          <w:lang w:val="en-US" w:eastAsia="zh-CN" w:bidi="ar-SA"/>
        </w:rPr>
        <w:t>1.74</w:t>
      </w:r>
      <w:r>
        <w:rPr>
          <w:rFonts w:ascii="Times New Roman" w:hAnsi="Times New Roman" w:eastAsia="方正仿宋_GBK" w:cs="Times New Roman"/>
          <w:sz w:val="28"/>
          <w:szCs w:val="24"/>
          <w:lang w:val="en-US" w:eastAsia="uk-UA" w:bidi="ar-SA"/>
        </w:rPr>
        <w:t>万元、公</w:t>
      </w:r>
      <w:r>
        <w:rPr>
          <w:rFonts w:hint="eastAsia" w:ascii="Times New Roman" w:hAnsi="Times New Roman" w:eastAsia="方正仿宋_GBK" w:cs="Times New Roman"/>
          <w:sz w:val="28"/>
          <w:szCs w:val="24"/>
          <w:lang w:val="en-US" w:eastAsia="uk-UA" w:bidi="ar-SA"/>
        </w:rPr>
        <w:t>务用车运行维护费</w:t>
      </w:r>
      <w:r>
        <w:rPr>
          <w:rFonts w:hint="eastAsia" w:ascii="Times New Roman" w:hAnsi="Times New Roman" w:eastAsia="方正仿宋_GBK" w:cs="Times New Roman"/>
          <w:sz w:val="28"/>
          <w:szCs w:val="24"/>
          <w:lang w:val="en-US" w:eastAsia="zh-CN" w:bidi="ar-SA"/>
        </w:rPr>
        <w:t>15</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网络运行维护费5万元、</w:t>
      </w:r>
      <w:r>
        <w:rPr>
          <w:rFonts w:ascii="Times New Roman" w:hAnsi="Times New Roman" w:eastAsia="方正仿宋_GBK" w:cs="Times New Roman"/>
          <w:sz w:val="28"/>
          <w:szCs w:val="24"/>
          <w:lang w:val="en-US" w:eastAsia="uk-UA" w:bidi="ar-SA"/>
        </w:rPr>
        <w:t>其他交通</w:t>
      </w:r>
      <w:r>
        <w:rPr>
          <w:rFonts w:hint="eastAsia" w:ascii="Times New Roman" w:hAnsi="Times New Roman" w:eastAsia="方正仿宋_GBK" w:cs="Times New Roman"/>
          <w:sz w:val="28"/>
          <w:szCs w:val="24"/>
          <w:lang w:val="en-US" w:eastAsia="uk-UA" w:bidi="ar-SA"/>
        </w:rPr>
        <w:t>费用（公务员车改补贴）</w:t>
      </w:r>
      <w:r>
        <w:rPr>
          <w:rFonts w:hint="eastAsia" w:ascii="Times New Roman" w:hAnsi="Times New Roman" w:eastAsia="方正仿宋_GBK" w:cs="Times New Roman"/>
          <w:sz w:val="28"/>
          <w:szCs w:val="24"/>
          <w:lang w:val="en-US" w:eastAsia="zh-CN" w:bidi="ar-SA"/>
        </w:rPr>
        <w:t>52.67</w:t>
      </w:r>
      <w:r>
        <w:rPr>
          <w:rFonts w:ascii="Times New Roman" w:hAnsi="Times New Roman" w:eastAsia="方正仿宋_GBK" w:cs="Times New Roman"/>
          <w:sz w:val="28"/>
          <w:szCs w:val="24"/>
          <w:lang w:val="en-US" w:eastAsia="uk-UA" w:bidi="ar-SA"/>
        </w:rPr>
        <w:t>万元等日常运行支出</w:t>
      </w:r>
      <w:r>
        <w:rPr>
          <w:rFonts w:hint="eastAsia" w:ascii="Times New Roman" w:hAnsi="Times New Roman" w:eastAsia="方正仿宋_GBK" w:cs="Times New Roman"/>
          <w:sz w:val="28"/>
          <w:szCs w:val="24"/>
          <w:lang w:val="en-US" w:eastAsia="zh-CN" w:bidi="ar-SA"/>
        </w:rPr>
        <w:t>；上年结转机关运行经费57.52万元，主要用于</w:t>
      </w:r>
      <w:r>
        <w:rPr>
          <w:rFonts w:hint="eastAsia" w:ascii="Times New Roman" w:hAnsi="Times New Roman" w:eastAsia="方正仿宋_GBK" w:cs="Times New Roman"/>
          <w:sz w:val="28"/>
          <w:szCs w:val="24"/>
          <w:lang w:val="en-US" w:eastAsia="uk-UA" w:bidi="ar-SA"/>
        </w:rPr>
        <w:t>办公费</w:t>
      </w:r>
      <w:r>
        <w:rPr>
          <w:rFonts w:hint="eastAsia" w:ascii="Times New Roman" w:hAnsi="Times New Roman" w:eastAsia="方正仿宋_GBK" w:cs="Times New Roman"/>
          <w:sz w:val="28"/>
          <w:szCs w:val="24"/>
          <w:lang w:val="en-US" w:eastAsia="zh-CN" w:bidi="ar-SA"/>
        </w:rPr>
        <w:t>9.36</w:t>
      </w:r>
      <w:r>
        <w:rPr>
          <w:rFonts w:ascii="Times New Roman" w:hAnsi="Times New Roman" w:eastAsia="方正仿宋_GBK" w:cs="Times New Roman"/>
          <w:sz w:val="28"/>
          <w:szCs w:val="24"/>
          <w:lang w:val="en-US" w:eastAsia="uk-UA" w:bidi="ar-SA"/>
        </w:rPr>
        <w:t>万元、水</w:t>
      </w:r>
      <w:r>
        <w:rPr>
          <w:rFonts w:hint="eastAsia" w:ascii="Times New Roman" w:hAnsi="Times New Roman" w:eastAsia="方正仿宋_GBK" w:cs="Times New Roman"/>
          <w:sz w:val="28"/>
          <w:szCs w:val="24"/>
          <w:lang w:val="en-US" w:eastAsia="uk-UA" w:bidi="ar-SA"/>
        </w:rPr>
        <w:t>费</w:t>
      </w:r>
      <w:r>
        <w:rPr>
          <w:rFonts w:hint="eastAsia" w:ascii="Times New Roman" w:hAnsi="Times New Roman" w:eastAsia="方正仿宋_GBK" w:cs="Times New Roman"/>
          <w:sz w:val="28"/>
          <w:szCs w:val="24"/>
          <w:lang w:val="en-US" w:eastAsia="zh-CN" w:bidi="ar-SA"/>
        </w:rPr>
        <w:t>0.30</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电费</w:t>
      </w:r>
      <w:r>
        <w:rPr>
          <w:rFonts w:hint="eastAsia" w:ascii="Times New Roman" w:hAnsi="Times New Roman" w:eastAsia="方正仿宋_GBK" w:cs="Times New Roman"/>
          <w:sz w:val="28"/>
          <w:szCs w:val="24"/>
          <w:lang w:val="en-US" w:eastAsia="zh-CN" w:bidi="ar-SA"/>
        </w:rPr>
        <w:t>9.04</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邮电费</w:t>
      </w:r>
      <w:r>
        <w:rPr>
          <w:rFonts w:hint="eastAsia" w:ascii="Times New Roman" w:hAnsi="Times New Roman" w:eastAsia="方正仿宋_GBK" w:cs="Times New Roman"/>
          <w:sz w:val="28"/>
          <w:szCs w:val="24"/>
          <w:lang w:val="en-US" w:eastAsia="zh-CN" w:bidi="ar-SA"/>
        </w:rPr>
        <w:t>0.23</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办公用房取暖费</w:t>
      </w:r>
      <w:r>
        <w:rPr>
          <w:rFonts w:hint="eastAsia" w:ascii="Times New Roman" w:hAnsi="Times New Roman" w:eastAsia="方正仿宋_GBK" w:cs="Times New Roman"/>
          <w:sz w:val="28"/>
          <w:szCs w:val="24"/>
          <w:lang w:val="en-US" w:eastAsia="zh-CN" w:bidi="ar-SA"/>
        </w:rPr>
        <w:t>36.60</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uk-UA" w:bidi="ar-SA"/>
        </w:rPr>
        <w:t>维修（护）费</w:t>
      </w:r>
      <w:r>
        <w:rPr>
          <w:rFonts w:hint="eastAsia" w:ascii="Times New Roman" w:hAnsi="Times New Roman" w:eastAsia="方正仿宋_GBK" w:cs="Times New Roman"/>
          <w:sz w:val="28"/>
          <w:szCs w:val="24"/>
          <w:lang w:val="en-US" w:eastAsia="zh-CN" w:bidi="ar-SA"/>
        </w:rPr>
        <w:t>1.99</w:t>
      </w:r>
      <w:r>
        <w:rPr>
          <w:rFonts w:ascii="Times New Roman" w:hAnsi="Times New Roman" w:eastAsia="方正仿宋_GBK" w:cs="Times New Roman"/>
          <w:sz w:val="28"/>
          <w:szCs w:val="24"/>
          <w:lang w:val="en-US" w:eastAsia="uk-UA" w:bidi="ar-SA"/>
        </w:rPr>
        <w:t>万元等日常运行支出</w:t>
      </w:r>
      <w:r>
        <w:rPr>
          <w:rFonts w:hint="eastAsia" w:ascii="Times New Roman" w:hAnsi="Times New Roman" w:eastAsia="方正仿宋_GBK" w:cs="Times New Roman"/>
          <w:sz w:val="28"/>
          <w:szCs w:val="24"/>
          <w:lang w:val="en-US" w:eastAsia="zh-CN" w:bidi="ar-SA"/>
        </w:rPr>
        <w:t>。</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line="500" w:lineRule="exact"/>
        <w:ind w:firstLine="560" w:firstLineChars="200"/>
        <w:jc w:val="left"/>
        <w:rPr>
          <w:rFonts w:ascii="Times New Roman" w:hAnsi="Times New Roman" w:eastAsia="方正仿宋_GBK" w:cs="Times New Roman"/>
          <w:sz w:val="28"/>
          <w:szCs w:val="24"/>
          <w:lang w:val="en-US" w:eastAsia="uk-UA" w:bidi="ar-SA"/>
        </w:rPr>
        <w:sectPr>
          <w:pgSz w:w="11907" w:h="16839"/>
          <w:pgMar w:top="1020" w:right="1361" w:bottom="1020" w:left="1361" w:header="851" w:footer="992" w:gutter="0"/>
          <w:cols w:space="720" w:num="1"/>
          <w:docGrid w:type="lines" w:linePitch="312" w:charSpace="0"/>
        </w:sectPr>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ascii="Times New Roman" w:hAnsi="Times New Roman" w:eastAsia="方正仿宋_GBK" w:cs="Times New Roman"/>
          <w:sz w:val="28"/>
          <w:szCs w:val="24"/>
          <w:lang w:val="en-US" w:eastAsia="uk-UA" w:bidi="ar-SA"/>
        </w:rPr>
        <w:t>年我</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财政拨款</w:t>
      </w:r>
      <w:r>
        <w:rPr>
          <w:rFonts w:ascii="Times New Roman" w:hAnsi="Times New Roman" w:eastAsia="方正仿宋_GBK" w:cs="Times New Roman"/>
          <w:sz w:val="28"/>
          <w:szCs w:val="24"/>
          <w:lang w:val="en-US" w:eastAsia="uk-UA" w:bidi="ar-SA"/>
        </w:rPr>
        <w:t>“三公”</w:t>
      </w:r>
      <w:r>
        <w:rPr>
          <w:rFonts w:hint="eastAsia" w:ascii="Times New Roman" w:hAnsi="Times New Roman" w:eastAsia="方正仿宋_GBK" w:cs="Times New Roman"/>
          <w:sz w:val="28"/>
          <w:szCs w:val="24"/>
          <w:lang w:val="en-US" w:eastAsia="uk-UA" w:bidi="ar-SA"/>
        </w:rPr>
        <w:t>经费预算安排</w:t>
      </w:r>
      <w:r>
        <w:rPr>
          <w:rFonts w:hint="eastAsia" w:ascii="Times New Roman" w:hAnsi="Times New Roman" w:eastAsia="方正仿宋_GBK" w:cs="Times New Roman"/>
          <w:sz w:val="28"/>
          <w:szCs w:val="24"/>
          <w:lang w:val="en-US" w:eastAsia="zh-CN" w:bidi="ar-SA"/>
        </w:rPr>
        <w:t>49.16</w:t>
      </w:r>
      <w:r>
        <w:rPr>
          <w:rFonts w:ascii="Times New Roman" w:hAnsi="Times New Roman" w:eastAsia="方正仿宋_GBK" w:cs="Times New Roman"/>
          <w:sz w:val="28"/>
          <w:szCs w:val="24"/>
          <w:lang w:val="en-US" w:eastAsia="uk-UA" w:bidi="ar-SA"/>
        </w:rPr>
        <w:t>万元，其中因公出国（境）</w:t>
      </w:r>
      <w:r>
        <w:rPr>
          <w:rFonts w:hint="eastAsia" w:ascii="Times New Roman" w:hAnsi="Times New Roman" w:eastAsia="方正仿宋_GBK" w:cs="Times New Roman"/>
          <w:sz w:val="28"/>
          <w:szCs w:val="24"/>
          <w:lang w:val="en-US" w:eastAsia="uk-UA" w:bidi="ar-SA"/>
        </w:rPr>
        <w:t>费</w:t>
      </w:r>
      <w:r>
        <w:rPr>
          <w:rFonts w:ascii="Times New Roman" w:hAnsi="Times New Roman" w:eastAsia="方正仿宋_GBK" w:cs="Times New Roman"/>
          <w:sz w:val="28"/>
          <w:szCs w:val="24"/>
          <w:lang w:val="en-US" w:eastAsia="uk-UA" w:bidi="ar-SA"/>
        </w:rPr>
        <w:t>0万元，同比无</w:t>
      </w:r>
      <w:r>
        <w:rPr>
          <w:rFonts w:hint="eastAsia" w:ascii="Times New Roman" w:hAnsi="Times New Roman" w:eastAsia="方正仿宋_GBK" w:cs="Times New Roman"/>
          <w:sz w:val="28"/>
          <w:szCs w:val="24"/>
          <w:lang w:val="en-US" w:eastAsia="uk-UA" w:bidi="ar-SA"/>
        </w:rPr>
        <w:t>变化，原因是无因公出国（境）安排</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公务用车购置及运</w:t>
      </w:r>
      <w:r>
        <w:rPr>
          <w:rFonts w:hint="eastAsia" w:ascii="Times New Roman" w:hAnsi="Times New Roman" w:eastAsia="方正仿宋_GBK" w:cs="Times New Roman"/>
          <w:sz w:val="28"/>
          <w:szCs w:val="24"/>
          <w:lang w:val="en-US" w:eastAsia="zh-CN" w:bidi="ar-SA"/>
        </w:rPr>
        <w:t>行</w:t>
      </w:r>
      <w:r>
        <w:rPr>
          <w:rFonts w:hint="eastAsia" w:ascii="Times New Roman" w:hAnsi="Times New Roman" w:eastAsia="方正仿宋_GBK" w:cs="Times New Roman"/>
          <w:sz w:val="28"/>
          <w:szCs w:val="24"/>
          <w:lang w:val="en-US" w:eastAsia="uk-UA" w:bidi="ar-SA"/>
        </w:rPr>
        <w:t>维</w:t>
      </w:r>
      <w:r>
        <w:rPr>
          <w:rFonts w:hint="eastAsia" w:ascii="Times New Roman" w:hAnsi="Times New Roman" w:eastAsia="方正仿宋_GBK" w:cs="Times New Roman"/>
          <w:sz w:val="28"/>
          <w:szCs w:val="24"/>
          <w:lang w:val="en-US" w:eastAsia="zh-CN" w:bidi="ar-SA"/>
        </w:rPr>
        <w:t>护</w:t>
      </w:r>
      <w:r>
        <w:rPr>
          <w:rFonts w:hint="eastAsia" w:ascii="Times New Roman" w:hAnsi="Times New Roman" w:eastAsia="方正仿宋_GBK" w:cs="Times New Roman"/>
          <w:sz w:val="28"/>
          <w:szCs w:val="24"/>
          <w:lang w:val="en-US" w:eastAsia="uk-UA" w:bidi="ar-SA"/>
        </w:rPr>
        <w:t>费</w:t>
      </w:r>
      <w:r>
        <w:rPr>
          <w:rFonts w:hint="eastAsia" w:ascii="Times New Roman" w:hAnsi="Times New Roman" w:eastAsia="方正仿宋_GBK" w:cs="Times New Roman"/>
          <w:sz w:val="28"/>
          <w:szCs w:val="24"/>
          <w:lang w:val="en-US" w:eastAsia="zh-CN" w:bidi="ar-SA"/>
        </w:rPr>
        <w:t>47.60</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其中公</w:t>
      </w:r>
      <w:r>
        <w:rPr>
          <w:rFonts w:hint="eastAsia" w:ascii="Times New Roman" w:hAnsi="Times New Roman" w:eastAsia="方正仿宋_GBK" w:cs="Times New Roman"/>
          <w:sz w:val="28"/>
          <w:szCs w:val="24"/>
          <w:lang w:val="en-US" w:eastAsia="uk-UA" w:bidi="ar-SA"/>
        </w:rPr>
        <w:t>务用车购置费</w:t>
      </w:r>
      <w:r>
        <w:rPr>
          <w:rFonts w:hint="eastAsia" w:ascii="Times New Roman" w:hAnsi="Times New Roman" w:eastAsia="方正仿宋_GBK" w:cs="Times New Roman"/>
          <w:sz w:val="28"/>
          <w:szCs w:val="24"/>
          <w:lang w:val="en-US" w:eastAsia="zh-CN" w:bidi="ar-SA"/>
        </w:rPr>
        <w:t>1</w:t>
      </w:r>
      <w:r>
        <w:rPr>
          <w:rFonts w:ascii="Times New Roman" w:hAnsi="Times New Roman" w:eastAsia="方正仿宋_GBK" w:cs="Times New Roman"/>
          <w:sz w:val="28"/>
          <w:szCs w:val="24"/>
          <w:lang w:val="en-US" w:eastAsia="uk-UA" w:bidi="ar-SA"/>
        </w:rPr>
        <w:t>0万元，公</w:t>
      </w:r>
      <w:r>
        <w:rPr>
          <w:rFonts w:hint="eastAsia" w:ascii="Times New Roman" w:hAnsi="Times New Roman" w:eastAsia="方正仿宋_GBK" w:cs="Times New Roman"/>
          <w:sz w:val="28"/>
          <w:szCs w:val="24"/>
          <w:lang w:val="en-US" w:eastAsia="uk-UA" w:bidi="ar-SA"/>
        </w:rPr>
        <w:t>务用车运</w:t>
      </w:r>
      <w:r>
        <w:rPr>
          <w:rFonts w:hint="eastAsia" w:ascii="Times New Roman" w:hAnsi="Times New Roman" w:eastAsia="方正仿宋_GBK" w:cs="Times New Roman"/>
          <w:sz w:val="28"/>
          <w:szCs w:val="24"/>
          <w:lang w:val="en-US" w:eastAsia="zh-CN" w:bidi="ar-SA"/>
        </w:rPr>
        <w:t>行</w:t>
      </w:r>
      <w:r>
        <w:rPr>
          <w:rFonts w:hint="eastAsia" w:ascii="Times New Roman" w:hAnsi="Times New Roman" w:eastAsia="方正仿宋_GBK" w:cs="Times New Roman"/>
          <w:sz w:val="28"/>
          <w:szCs w:val="24"/>
          <w:lang w:val="en-US" w:eastAsia="uk-UA" w:bidi="ar-SA"/>
        </w:rPr>
        <w:t>维</w:t>
      </w:r>
      <w:r>
        <w:rPr>
          <w:rFonts w:hint="eastAsia" w:ascii="Times New Roman" w:hAnsi="Times New Roman" w:eastAsia="方正仿宋_GBK" w:cs="Times New Roman"/>
          <w:sz w:val="28"/>
          <w:szCs w:val="24"/>
          <w:lang w:val="en-US" w:eastAsia="zh-CN" w:bidi="ar-SA"/>
        </w:rPr>
        <w:t>护</w:t>
      </w:r>
      <w:r>
        <w:rPr>
          <w:rFonts w:hint="eastAsia" w:ascii="Times New Roman" w:hAnsi="Times New Roman" w:eastAsia="方正仿宋_GBK" w:cs="Times New Roman"/>
          <w:sz w:val="28"/>
          <w:szCs w:val="24"/>
          <w:lang w:val="en-US" w:eastAsia="uk-UA" w:bidi="ar-SA"/>
        </w:rPr>
        <w:t>费</w:t>
      </w:r>
      <w:r>
        <w:rPr>
          <w:rFonts w:hint="eastAsia" w:ascii="Times New Roman" w:hAnsi="Times New Roman" w:eastAsia="方正仿宋_GBK" w:cs="Times New Roman"/>
          <w:sz w:val="28"/>
          <w:szCs w:val="24"/>
          <w:lang w:val="en-US" w:eastAsia="zh-CN" w:bidi="ar-SA"/>
        </w:rPr>
        <w:t>37.60</w:t>
      </w:r>
      <w:r>
        <w:rPr>
          <w:rFonts w:ascii="Times New Roman" w:hAnsi="Times New Roman" w:eastAsia="方正仿宋_GBK" w:cs="Times New Roman"/>
          <w:sz w:val="28"/>
          <w:szCs w:val="24"/>
          <w:lang w:val="en-US" w:eastAsia="uk-UA" w:bidi="ar-SA"/>
        </w:rPr>
        <w:t>万元，同比</w:t>
      </w:r>
      <w:r>
        <w:rPr>
          <w:rFonts w:hint="eastAsia" w:ascii="Times New Roman" w:hAnsi="Times New Roman" w:eastAsia="方正仿宋_GBK" w:cs="Times New Roman"/>
          <w:sz w:val="28"/>
          <w:szCs w:val="24"/>
          <w:lang w:val="en-US" w:eastAsia="zh-CN" w:bidi="ar-SA"/>
        </w:rPr>
        <w:t>减少52.14</w:t>
      </w:r>
      <w:r>
        <w:rPr>
          <w:rFonts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下降52.28</w:t>
      </w:r>
      <w:r>
        <w:rPr>
          <w:rFonts w:ascii="Times New Roman" w:hAnsi="Times New Roman" w:eastAsia="方正仿宋_GBK" w:cs="Times New Roman"/>
          <w:sz w:val="28"/>
          <w:szCs w:val="24"/>
          <w:lang w:val="en-US" w:eastAsia="uk-UA" w:bidi="ar-SA"/>
        </w:rPr>
        <w:t>%，主要原因</w:t>
      </w:r>
      <w:r>
        <w:rPr>
          <w:rFonts w:hint="eastAsia" w:ascii="Times New Roman" w:hAnsi="Times New Roman" w:eastAsia="方正仿宋_GBK" w:cs="Times New Roman"/>
          <w:sz w:val="28"/>
          <w:szCs w:val="24"/>
          <w:lang w:val="en-US" w:eastAsia="zh-CN" w:bidi="ar-SA"/>
        </w:rPr>
        <w:t>一</w:t>
      </w:r>
      <w:r>
        <w:rPr>
          <w:rFonts w:ascii="Times New Roman" w:hAnsi="Times New Roman" w:eastAsia="方正仿宋_GBK" w:cs="Times New Roman"/>
          <w:sz w:val="28"/>
          <w:szCs w:val="24"/>
          <w:lang w:val="en-US" w:eastAsia="uk-UA" w:bidi="ar-SA"/>
        </w:rPr>
        <w:t>是我</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认真贯彻落实中央</w:t>
      </w:r>
      <w:r>
        <w:rPr>
          <w:rFonts w:ascii="Times New Roman" w:hAnsi="Times New Roman" w:eastAsia="方正仿宋_GBK" w:cs="Times New Roman"/>
          <w:sz w:val="28"/>
          <w:szCs w:val="24"/>
          <w:lang w:val="en-US" w:eastAsia="uk-UA" w:bidi="ar-SA"/>
        </w:rPr>
        <w:t>八</w:t>
      </w:r>
      <w:r>
        <w:rPr>
          <w:rFonts w:hint="eastAsia" w:ascii="Times New Roman" w:hAnsi="Times New Roman" w:eastAsia="方正仿宋_GBK" w:cs="Times New Roman"/>
          <w:sz w:val="28"/>
          <w:szCs w:val="24"/>
          <w:lang w:val="en-US" w:eastAsia="uk-UA" w:bidi="ar-SA"/>
        </w:rPr>
        <w:t>项规定</w:t>
      </w:r>
      <w:r>
        <w:rPr>
          <w:rFonts w:ascii="Times New Roman" w:hAnsi="Times New Roman" w:eastAsia="方正仿宋_GBK" w:cs="Times New Roman"/>
          <w:sz w:val="28"/>
          <w:szCs w:val="24"/>
          <w:lang w:val="en-US" w:eastAsia="uk-UA" w:bidi="ar-SA"/>
        </w:rPr>
        <w:t>要求，</w:t>
      </w:r>
      <w:r>
        <w:rPr>
          <w:rFonts w:hint="eastAsia" w:ascii="Times New Roman" w:hAnsi="Times New Roman" w:eastAsia="方正仿宋_GBK" w:cs="Times New Roman"/>
          <w:sz w:val="28"/>
          <w:szCs w:val="24"/>
          <w:lang w:val="en-US" w:eastAsia="uk-UA" w:bidi="ar-SA"/>
        </w:rPr>
        <w:t>严格执行公务用车管理办法，严格控制公务用车运</w:t>
      </w:r>
      <w:r>
        <w:rPr>
          <w:rFonts w:hint="eastAsia" w:ascii="Times New Roman" w:hAnsi="Times New Roman" w:eastAsia="方正仿宋_GBK" w:cs="Times New Roman"/>
          <w:sz w:val="28"/>
          <w:szCs w:val="24"/>
          <w:lang w:val="en-US" w:eastAsia="zh-CN" w:bidi="ar-SA"/>
        </w:rPr>
        <w:t>行</w:t>
      </w:r>
      <w:r>
        <w:rPr>
          <w:rFonts w:hint="eastAsia" w:ascii="Times New Roman" w:hAnsi="Times New Roman" w:eastAsia="方正仿宋_GBK" w:cs="Times New Roman"/>
          <w:sz w:val="28"/>
          <w:szCs w:val="24"/>
          <w:lang w:val="en-US" w:eastAsia="uk-UA" w:bidi="ar-SA"/>
        </w:rPr>
        <w:t>维</w:t>
      </w:r>
      <w:r>
        <w:rPr>
          <w:rFonts w:hint="eastAsia" w:ascii="Times New Roman" w:hAnsi="Times New Roman" w:eastAsia="方正仿宋_GBK" w:cs="Times New Roman"/>
          <w:sz w:val="28"/>
          <w:szCs w:val="24"/>
          <w:lang w:val="en-US" w:eastAsia="zh-CN" w:bidi="ar-SA"/>
        </w:rPr>
        <w:t>护</w:t>
      </w:r>
      <w:r>
        <w:rPr>
          <w:rFonts w:hint="eastAsia" w:ascii="Times New Roman" w:hAnsi="Times New Roman" w:eastAsia="方正仿宋_GBK" w:cs="Times New Roman"/>
          <w:sz w:val="28"/>
          <w:szCs w:val="24"/>
          <w:lang w:val="en-US" w:eastAsia="uk-UA" w:bidi="ar-SA"/>
        </w:rPr>
        <w:t>费</w:t>
      </w:r>
      <w:r>
        <w:rPr>
          <w:rFonts w:hint="eastAsia" w:ascii="Times New Roman" w:hAnsi="Times New Roman" w:eastAsia="方正仿宋_GBK" w:cs="Times New Roman"/>
          <w:sz w:val="28"/>
          <w:szCs w:val="24"/>
          <w:lang w:val="en-US" w:eastAsia="zh-CN" w:bidi="ar-SA"/>
        </w:rPr>
        <w:t>，二是2024年公务用车运行维护费无上年结转支出预算，三是因我</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zh-CN" w:bidi="ar-SA"/>
        </w:rPr>
        <w:t>2022年处置了不能继续使用的12辆执法用车，现有车辆无法满足日常工作需要，2024年省级转移支付资金安排增加了公务用车购置费10万元，导致公务用车购置费预算同比增长幅度较大。</w:t>
      </w:r>
      <w:r>
        <w:rPr>
          <w:rFonts w:hint="eastAsia" w:ascii="Times New Roman" w:hAnsi="Times New Roman" w:eastAsia="方正仿宋_GBK" w:cs="Times New Roman"/>
          <w:sz w:val="28"/>
          <w:szCs w:val="24"/>
          <w:lang w:val="en-US" w:eastAsia="uk-UA" w:bidi="ar-SA"/>
        </w:rPr>
        <w:t>公务接待费</w:t>
      </w:r>
      <w:r>
        <w:rPr>
          <w:rFonts w:hint="eastAsia" w:ascii="Times New Roman" w:hAnsi="Times New Roman" w:eastAsia="方正仿宋_GBK" w:cs="Times New Roman"/>
          <w:sz w:val="28"/>
          <w:szCs w:val="24"/>
          <w:lang w:val="en-US" w:eastAsia="zh-CN" w:bidi="ar-SA"/>
        </w:rPr>
        <w:t>1.56</w:t>
      </w:r>
      <w:r>
        <w:rPr>
          <w:rFonts w:ascii="Times New Roman" w:hAnsi="Times New Roman" w:eastAsia="方正仿宋_GBK" w:cs="Times New Roman"/>
          <w:sz w:val="28"/>
          <w:szCs w:val="24"/>
          <w:lang w:val="en-US" w:eastAsia="uk-UA" w:bidi="ar-SA"/>
        </w:rPr>
        <w:t>万元，同比减少</w:t>
      </w:r>
      <w:r>
        <w:rPr>
          <w:rFonts w:hint="eastAsia" w:ascii="Times New Roman" w:hAnsi="Times New Roman" w:eastAsia="方正仿宋_GBK" w:cs="Times New Roman"/>
          <w:sz w:val="28"/>
          <w:szCs w:val="24"/>
          <w:lang w:val="en-US" w:eastAsia="zh-CN" w:bidi="ar-SA"/>
        </w:rPr>
        <w:t>0.18</w:t>
      </w:r>
      <w:r>
        <w:rPr>
          <w:rFonts w:ascii="Times New Roman" w:hAnsi="Times New Roman" w:eastAsia="方正仿宋_GBK" w:cs="Times New Roman"/>
          <w:sz w:val="28"/>
          <w:szCs w:val="24"/>
          <w:lang w:val="en-US" w:eastAsia="uk-UA" w:bidi="ar-SA"/>
        </w:rPr>
        <w:t>万元，下降了</w:t>
      </w:r>
      <w:r>
        <w:rPr>
          <w:rFonts w:hint="eastAsia" w:ascii="Times New Roman" w:hAnsi="Times New Roman" w:eastAsia="方正仿宋_GBK" w:cs="Times New Roman"/>
          <w:sz w:val="28"/>
          <w:szCs w:val="24"/>
          <w:lang w:val="en-US" w:eastAsia="uk-UA" w:bidi="ar-SA"/>
        </w:rPr>
        <w:t>10.</w:t>
      </w:r>
      <w:r>
        <w:rPr>
          <w:rFonts w:hint="eastAsia" w:ascii="Times New Roman" w:hAnsi="Times New Roman" w:eastAsia="方正仿宋_GBK" w:cs="Times New Roman"/>
          <w:sz w:val="28"/>
          <w:szCs w:val="24"/>
          <w:lang w:val="en-US" w:eastAsia="zh-CN" w:bidi="ar-SA"/>
        </w:rPr>
        <w:t>34</w:t>
      </w:r>
      <w:r>
        <w:rPr>
          <w:rFonts w:ascii="Times New Roman" w:hAnsi="Times New Roman" w:eastAsia="方正仿宋_GBK" w:cs="Times New Roman"/>
          <w:sz w:val="28"/>
          <w:szCs w:val="24"/>
          <w:lang w:val="en-US" w:eastAsia="uk-UA" w:bidi="ar-SA"/>
        </w:rPr>
        <w:t>%，主要原因是我</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严格落实了《党政机关厉行节约反对浪费条例》，规范公务接待活动</w:t>
      </w:r>
      <w:r>
        <w:rPr>
          <w:rFonts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uk-UA" w:bidi="ar-SA"/>
        </w:rPr>
        <w:t>严格审批、严控标准，大力压缩公务接待费支出。</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1、“质量强县”工作经费绩效目标表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13032123P003319100047</w:t>
            </w:r>
          </w:p>
        </w:tc>
        <w:tc>
          <w:tcPr>
            <w:tcW w:w="2835" w:type="dxa"/>
            <w:vAlign w:val="center"/>
          </w:tcPr>
          <w:p>
            <w:pPr>
              <w:pStyle w:val="10"/>
            </w:pPr>
            <w:r>
              <w:t>项目名称</w:t>
            </w:r>
          </w:p>
        </w:tc>
        <w:tc>
          <w:tcPr>
            <w:tcW w:w="6094" w:type="dxa"/>
            <w:gridSpan w:val="3"/>
            <w:vAlign w:val="center"/>
          </w:tcPr>
          <w:p>
            <w:pPr>
              <w:pStyle w:val="12"/>
            </w:pPr>
            <w:r>
              <w:t>“质量强县”工作经费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预算数4万元。其中：财政资金4万元，其他资金0万元。主要用于燃油费、办公费支出。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r>
              <w:rPr>
                <w:rFonts w:hint="eastAsia"/>
                <w:lang w:val="en-US" w:eastAsia="zh-CN"/>
              </w:rPr>
              <w:t>25</w:t>
            </w:r>
          </w:p>
        </w:tc>
        <w:tc>
          <w:tcPr>
            <w:tcW w:w="2835" w:type="dxa"/>
            <w:vAlign w:val="center"/>
          </w:tcPr>
          <w:p>
            <w:pPr>
              <w:pStyle w:val="13"/>
              <w:rPr>
                <w:rFonts w:hint="default" w:eastAsia="方正书宋_GBK"/>
                <w:lang w:val="en-US" w:eastAsia="zh-CN"/>
              </w:rPr>
            </w:pPr>
            <w:r>
              <w:rPr>
                <w:rFonts w:hint="eastAsia"/>
                <w:lang w:val="en-US" w:eastAsia="zh-CN"/>
              </w:rPr>
              <w:t>50</w:t>
            </w:r>
          </w:p>
        </w:tc>
        <w:tc>
          <w:tcPr>
            <w:tcW w:w="2551" w:type="dxa"/>
            <w:vAlign w:val="center"/>
          </w:tcPr>
          <w:p>
            <w:pPr>
              <w:pStyle w:val="13"/>
              <w:rPr>
                <w:rFonts w:hint="default" w:eastAsia="方正书宋_GBK"/>
                <w:lang w:val="en-US" w:eastAsia="zh-CN"/>
              </w:rPr>
            </w:pPr>
            <w:r>
              <w:rPr>
                <w:rFonts w:hint="eastAsia"/>
                <w:lang w:val="en-US" w:eastAsia="zh-CN"/>
              </w:rPr>
              <w:t>80</w:t>
            </w: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1.通过“质量强县”建设，加快推动我县经济发展质量变革、效率变革、动力变革，促进标准、质量、品牌、信誉联动提升。</w:t>
            </w:r>
          </w:p>
          <w:p>
            <w:pPr>
              <w:pStyle w:val="12"/>
            </w:pPr>
            <w:r>
              <w:t>2.通过“质量强县”建设，着力解决质量发展不平衡不充分问题，不断满足人民日益增长的质量需求，全面提升我县经济、文化、社会、生态、城乡建设管理、政府服务质量水平。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监督检查次数（次）</w:t>
            </w:r>
          </w:p>
        </w:tc>
        <w:tc>
          <w:tcPr>
            <w:tcW w:w="5386" w:type="dxa"/>
            <w:vAlign w:val="center"/>
          </w:tcPr>
          <w:p>
            <w:pPr>
              <w:pStyle w:val="12"/>
            </w:pPr>
            <w:r>
              <w:t>每年对重点行业市场主体开展监督检查的次数</w:t>
            </w:r>
          </w:p>
        </w:tc>
        <w:tc>
          <w:tcPr>
            <w:tcW w:w="2268" w:type="dxa"/>
            <w:vAlign w:val="center"/>
          </w:tcPr>
          <w:p>
            <w:pPr>
              <w:pStyle w:val="12"/>
            </w:pPr>
            <w:r>
              <w:t>≥5次</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考核次数</w:t>
            </w:r>
          </w:p>
        </w:tc>
        <w:tc>
          <w:tcPr>
            <w:tcW w:w="5386" w:type="dxa"/>
            <w:vAlign w:val="center"/>
          </w:tcPr>
          <w:p>
            <w:pPr>
              <w:pStyle w:val="12"/>
            </w:pPr>
            <w:r>
              <w:t>反映考核次数</w:t>
            </w:r>
          </w:p>
        </w:tc>
        <w:tc>
          <w:tcPr>
            <w:tcW w:w="2268" w:type="dxa"/>
            <w:vAlign w:val="center"/>
          </w:tcPr>
          <w:p>
            <w:pPr>
              <w:pStyle w:val="12"/>
            </w:pPr>
            <w:r>
              <w:t>≥1次</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考核材料套数</w:t>
            </w:r>
          </w:p>
        </w:tc>
        <w:tc>
          <w:tcPr>
            <w:tcW w:w="5386" w:type="dxa"/>
            <w:vAlign w:val="center"/>
          </w:tcPr>
          <w:p>
            <w:pPr>
              <w:pStyle w:val="12"/>
            </w:pPr>
            <w:r>
              <w:t>质量全县考核材料</w:t>
            </w:r>
          </w:p>
        </w:tc>
        <w:tc>
          <w:tcPr>
            <w:tcW w:w="2268" w:type="dxa"/>
            <w:vAlign w:val="center"/>
          </w:tcPr>
          <w:p>
            <w:pPr>
              <w:pStyle w:val="12"/>
            </w:pPr>
            <w:r>
              <w:t>≥2套</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调研次数</w:t>
            </w:r>
          </w:p>
        </w:tc>
        <w:tc>
          <w:tcPr>
            <w:tcW w:w="5386" w:type="dxa"/>
            <w:vAlign w:val="center"/>
          </w:tcPr>
          <w:p>
            <w:pPr>
              <w:pStyle w:val="12"/>
            </w:pPr>
            <w:r>
              <w:t>进入企业调研</w:t>
            </w:r>
          </w:p>
        </w:tc>
        <w:tc>
          <w:tcPr>
            <w:tcW w:w="2268" w:type="dxa"/>
            <w:vAlign w:val="center"/>
          </w:tcPr>
          <w:p>
            <w:pPr>
              <w:pStyle w:val="12"/>
            </w:pPr>
            <w:r>
              <w:t>≥5次</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考核合格率</w:t>
            </w:r>
          </w:p>
        </w:tc>
        <w:tc>
          <w:tcPr>
            <w:tcW w:w="5386" w:type="dxa"/>
            <w:vAlign w:val="center"/>
          </w:tcPr>
          <w:p>
            <w:pPr>
              <w:pStyle w:val="12"/>
            </w:pPr>
            <w:r>
              <w:t>反映考核合格情况</w:t>
            </w:r>
          </w:p>
        </w:tc>
        <w:tc>
          <w:tcPr>
            <w:tcW w:w="2268" w:type="dxa"/>
            <w:vAlign w:val="center"/>
          </w:tcPr>
          <w:p>
            <w:pPr>
              <w:pStyle w:val="12"/>
            </w:pPr>
            <w:r>
              <w:t>≥90%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对流通领域商品违法案件处罚率</w:t>
            </w:r>
          </w:p>
        </w:tc>
        <w:tc>
          <w:tcPr>
            <w:tcW w:w="5386" w:type="dxa"/>
            <w:vAlign w:val="center"/>
          </w:tcPr>
          <w:p>
            <w:pPr>
              <w:pStyle w:val="12"/>
            </w:pPr>
            <w:r>
              <w:t>处罚企业数占违规企业数的比例</w:t>
            </w:r>
          </w:p>
        </w:tc>
        <w:tc>
          <w:tcPr>
            <w:tcW w:w="2268" w:type="dxa"/>
            <w:vAlign w:val="center"/>
          </w:tcPr>
          <w:p>
            <w:pPr>
              <w:pStyle w:val="12"/>
            </w:pPr>
            <w:r>
              <w:t>≥90%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按计划有序推进工作进展，保证完成年度工作计划</w:t>
            </w:r>
          </w:p>
        </w:tc>
        <w:tc>
          <w:tcPr>
            <w:tcW w:w="2268" w:type="dxa"/>
            <w:vAlign w:val="center"/>
          </w:tcPr>
          <w:p>
            <w:pPr>
              <w:pStyle w:val="12"/>
            </w:pPr>
            <w:r>
              <w:t>2024年度</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w:t>
            </w:r>
          </w:p>
        </w:tc>
        <w:tc>
          <w:tcPr>
            <w:tcW w:w="5386" w:type="dxa"/>
            <w:vAlign w:val="center"/>
          </w:tcPr>
          <w:p>
            <w:pPr>
              <w:pStyle w:val="12"/>
            </w:pPr>
            <w:r>
              <w:t>反映办公费成本</w:t>
            </w:r>
          </w:p>
        </w:tc>
        <w:tc>
          <w:tcPr>
            <w:tcW w:w="2268" w:type="dxa"/>
            <w:vAlign w:val="center"/>
          </w:tcPr>
          <w:p>
            <w:pPr>
              <w:pStyle w:val="12"/>
            </w:pPr>
            <w:r>
              <w:t>≤2万元</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车辆运行维护费</w:t>
            </w:r>
          </w:p>
        </w:tc>
        <w:tc>
          <w:tcPr>
            <w:tcW w:w="5386" w:type="dxa"/>
            <w:vAlign w:val="center"/>
          </w:tcPr>
          <w:p>
            <w:pPr>
              <w:pStyle w:val="12"/>
            </w:pPr>
            <w:r>
              <w:t>反映车辆运行维护费用</w:t>
            </w:r>
          </w:p>
        </w:tc>
        <w:tc>
          <w:tcPr>
            <w:tcW w:w="2268" w:type="dxa"/>
            <w:vAlign w:val="center"/>
          </w:tcPr>
          <w:p>
            <w:pPr>
              <w:pStyle w:val="12"/>
            </w:pPr>
            <w:r>
              <w:t>≤2万元</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视频媒体宣传次数</w:t>
            </w:r>
          </w:p>
        </w:tc>
        <w:tc>
          <w:tcPr>
            <w:tcW w:w="5386" w:type="dxa"/>
            <w:vAlign w:val="center"/>
          </w:tcPr>
          <w:p>
            <w:pPr>
              <w:pStyle w:val="12"/>
            </w:pPr>
            <w:r>
              <w:t>反映媒体宣传情况</w:t>
            </w:r>
          </w:p>
        </w:tc>
        <w:tc>
          <w:tcPr>
            <w:tcW w:w="2268" w:type="dxa"/>
            <w:vAlign w:val="center"/>
          </w:tcPr>
          <w:p>
            <w:pPr>
              <w:pStyle w:val="12"/>
            </w:pPr>
            <w:r>
              <w:t>≥1次</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市场主体满意度</w:t>
            </w:r>
          </w:p>
        </w:tc>
        <w:tc>
          <w:tcPr>
            <w:tcW w:w="5386" w:type="dxa"/>
            <w:vAlign w:val="center"/>
          </w:tcPr>
          <w:p>
            <w:pPr>
              <w:pStyle w:val="12"/>
            </w:pPr>
            <w:r>
              <w:t>调查市场主体中满意度比率</w:t>
            </w:r>
          </w:p>
        </w:tc>
        <w:tc>
          <w:tcPr>
            <w:tcW w:w="2268" w:type="dxa"/>
            <w:vAlign w:val="center"/>
          </w:tcPr>
          <w:p>
            <w:pPr>
              <w:pStyle w:val="12"/>
            </w:pPr>
            <w:r>
              <w:t>≥90%</w:t>
            </w:r>
          </w:p>
        </w:tc>
        <w:tc>
          <w:tcPr>
            <w:tcW w:w="1276" w:type="dxa"/>
            <w:vAlign w:val="center"/>
          </w:tcPr>
          <w:p>
            <w:pPr>
              <w:pStyle w:val="12"/>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2、产品质量、计量检验检测经费绩效目标表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13032123P00331910001C</w:t>
            </w:r>
          </w:p>
        </w:tc>
        <w:tc>
          <w:tcPr>
            <w:tcW w:w="2835" w:type="dxa"/>
            <w:vAlign w:val="center"/>
          </w:tcPr>
          <w:p>
            <w:pPr>
              <w:pStyle w:val="10"/>
            </w:pPr>
            <w:r>
              <w:t>项目名称</w:t>
            </w:r>
          </w:p>
        </w:tc>
        <w:tc>
          <w:tcPr>
            <w:tcW w:w="6094" w:type="dxa"/>
            <w:gridSpan w:val="3"/>
            <w:vAlign w:val="center"/>
          </w:tcPr>
          <w:p>
            <w:pPr>
              <w:pStyle w:val="12"/>
            </w:pPr>
            <w:r>
              <w:t>产品质量、计量检验检测经费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预算数4万元。其中：财政资金4万元，其他资金0万元。用于产品质量检测过程中涉及的计量标准到期考核费、日常公用办公经费等。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r>
              <w:rPr>
                <w:rFonts w:hint="eastAsia"/>
                <w:lang w:val="en-US" w:eastAsia="zh-CN"/>
              </w:rPr>
              <w:t>25</w:t>
            </w:r>
          </w:p>
        </w:tc>
        <w:tc>
          <w:tcPr>
            <w:tcW w:w="2835" w:type="dxa"/>
            <w:vAlign w:val="center"/>
          </w:tcPr>
          <w:p>
            <w:pPr>
              <w:pStyle w:val="13"/>
              <w:rPr>
                <w:rFonts w:hint="default" w:eastAsia="方正书宋_GBK"/>
                <w:lang w:val="en-US" w:eastAsia="zh-CN"/>
              </w:rPr>
            </w:pPr>
            <w:r>
              <w:rPr>
                <w:rFonts w:hint="eastAsia"/>
                <w:lang w:val="en-US" w:eastAsia="zh-CN"/>
              </w:rPr>
              <w:t>50</w:t>
            </w:r>
          </w:p>
        </w:tc>
        <w:tc>
          <w:tcPr>
            <w:tcW w:w="2551" w:type="dxa"/>
            <w:vAlign w:val="center"/>
          </w:tcPr>
          <w:p>
            <w:pPr>
              <w:pStyle w:val="13"/>
              <w:rPr>
                <w:rFonts w:hint="default" w:eastAsia="方正书宋_GBK"/>
                <w:lang w:val="en-US" w:eastAsia="zh-CN"/>
              </w:rPr>
            </w:pPr>
            <w:r>
              <w:rPr>
                <w:rFonts w:hint="eastAsia"/>
                <w:lang w:val="en-US" w:eastAsia="zh-CN"/>
              </w:rPr>
              <w:t>80</w:t>
            </w: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1.通过对全县工业产品质量安全监督、标准化、计量、特种设备及建材相关产品质量监督管理，提高质量管理水平，提升产品质量。</w:t>
            </w:r>
          </w:p>
          <w:p>
            <w:pPr>
              <w:pStyle w:val="12"/>
            </w:pPr>
            <w:r>
              <w:t>2.通过加大产品质量监管打击力度、宣传力度和共治力度，严厉查处质量违法行为，促进质量提升。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重点计量器具校验次数</w:t>
            </w:r>
          </w:p>
        </w:tc>
        <w:tc>
          <w:tcPr>
            <w:tcW w:w="5386" w:type="dxa"/>
            <w:vAlign w:val="center"/>
          </w:tcPr>
          <w:p>
            <w:pPr>
              <w:pStyle w:val="12"/>
            </w:pPr>
            <w:r>
              <w:t>对重点管理计量器具，每年进行校准的次数</w:t>
            </w:r>
          </w:p>
        </w:tc>
        <w:tc>
          <w:tcPr>
            <w:tcW w:w="2268" w:type="dxa"/>
            <w:vAlign w:val="center"/>
          </w:tcPr>
          <w:p>
            <w:pPr>
              <w:pStyle w:val="12"/>
            </w:pPr>
            <w:r>
              <w:t>≥1次</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特种设备监察户数</w:t>
            </w:r>
          </w:p>
        </w:tc>
        <w:tc>
          <w:tcPr>
            <w:tcW w:w="5386" w:type="dxa"/>
            <w:vAlign w:val="center"/>
          </w:tcPr>
          <w:p>
            <w:pPr>
              <w:pStyle w:val="12"/>
            </w:pPr>
            <w:r>
              <w:t>监察特种设备户数</w:t>
            </w:r>
          </w:p>
        </w:tc>
        <w:tc>
          <w:tcPr>
            <w:tcW w:w="2268" w:type="dxa"/>
            <w:vAlign w:val="center"/>
          </w:tcPr>
          <w:p>
            <w:pPr>
              <w:pStyle w:val="12"/>
            </w:pPr>
            <w:r>
              <w:t>≥160家</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流通领域商品检测抽查批次</w:t>
            </w:r>
          </w:p>
        </w:tc>
        <w:tc>
          <w:tcPr>
            <w:tcW w:w="5386" w:type="dxa"/>
            <w:vAlign w:val="center"/>
          </w:tcPr>
          <w:p>
            <w:pPr>
              <w:pStyle w:val="12"/>
            </w:pPr>
            <w:r>
              <w:t>抽查流通领域商品批次</w:t>
            </w:r>
          </w:p>
        </w:tc>
        <w:tc>
          <w:tcPr>
            <w:tcW w:w="2268" w:type="dxa"/>
            <w:vAlign w:val="center"/>
          </w:tcPr>
          <w:p>
            <w:pPr>
              <w:pStyle w:val="12"/>
            </w:pPr>
            <w:r>
              <w:t>≥5批次</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重点管理计量器具检定率</w:t>
            </w:r>
          </w:p>
        </w:tc>
        <w:tc>
          <w:tcPr>
            <w:tcW w:w="5386" w:type="dxa"/>
            <w:vAlign w:val="center"/>
          </w:tcPr>
          <w:p>
            <w:pPr>
              <w:pStyle w:val="12"/>
            </w:pPr>
            <w:r>
              <w:t>重点管理计量器具检定实际完成情况占应完成情况的比例</w:t>
            </w:r>
          </w:p>
        </w:tc>
        <w:tc>
          <w:tcPr>
            <w:tcW w:w="2268" w:type="dxa"/>
            <w:vAlign w:val="center"/>
          </w:tcPr>
          <w:p>
            <w:pPr>
              <w:pStyle w:val="12"/>
            </w:pPr>
            <w:r>
              <w:t>≥95%</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特种设备定检完成率</w:t>
            </w:r>
          </w:p>
        </w:tc>
        <w:tc>
          <w:tcPr>
            <w:tcW w:w="5386" w:type="dxa"/>
            <w:vAlign w:val="center"/>
          </w:tcPr>
          <w:p>
            <w:pPr>
              <w:pStyle w:val="12"/>
            </w:pPr>
            <w:r>
              <w:t>特种设备定检实际完成情况占应完成情况的比例</w:t>
            </w:r>
          </w:p>
        </w:tc>
        <w:tc>
          <w:tcPr>
            <w:tcW w:w="2268" w:type="dxa"/>
            <w:vAlign w:val="center"/>
          </w:tcPr>
          <w:p>
            <w:pPr>
              <w:pStyle w:val="12"/>
            </w:pPr>
            <w:r>
              <w:t>≥95%</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检测合格率</w:t>
            </w:r>
          </w:p>
        </w:tc>
        <w:tc>
          <w:tcPr>
            <w:tcW w:w="5386" w:type="dxa"/>
            <w:vAlign w:val="center"/>
          </w:tcPr>
          <w:p>
            <w:pPr>
              <w:pStyle w:val="12"/>
            </w:pPr>
            <w:r>
              <w:t>抽检产品、商品的合格率占总产品、商品数比率</w:t>
            </w:r>
          </w:p>
        </w:tc>
        <w:tc>
          <w:tcPr>
            <w:tcW w:w="2268" w:type="dxa"/>
            <w:vAlign w:val="center"/>
          </w:tcPr>
          <w:p>
            <w:pPr>
              <w:pStyle w:val="12"/>
            </w:pPr>
            <w:r>
              <w:t>≥80%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工作任务按时完成率</w:t>
            </w:r>
          </w:p>
        </w:tc>
        <w:tc>
          <w:tcPr>
            <w:tcW w:w="5386" w:type="dxa"/>
            <w:vAlign w:val="center"/>
          </w:tcPr>
          <w:p>
            <w:pPr>
              <w:pStyle w:val="12"/>
            </w:pPr>
            <w:r>
              <w:t>反映是否按时完成工作任务</w:t>
            </w:r>
          </w:p>
        </w:tc>
        <w:tc>
          <w:tcPr>
            <w:tcW w:w="2268" w:type="dxa"/>
            <w:vAlign w:val="center"/>
          </w:tcPr>
          <w:p>
            <w:pPr>
              <w:pStyle w:val="12"/>
            </w:pPr>
            <w:r>
              <w:t>≥90%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公用经费成本</w:t>
            </w:r>
          </w:p>
        </w:tc>
        <w:tc>
          <w:tcPr>
            <w:tcW w:w="5386" w:type="dxa"/>
            <w:vAlign w:val="center"/>
          </w:tcPr>
          <w:p>
            <w:pPr>
              <w:pStyle w:val="12"/>
            </w:pPr>
            <w:r>
              <w:t>反映日常检查检测公用经费成本</w:t>
            </w:r>
          </w:p>
        </w:tc>
        <w:tc>
          <w:tcPr>
            <w:tcW w:w="2268" w:type="dxa"/>
            <w:vAlign w:val="center"/>
          </w:tcPr>
          <w:p>
            <w:pPr>
              <w:pStyle w:val="12"/>
            </w:pPr>
            <w:r>
              <w:t>≤4万元</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计量准确率</w:t>
            </w:r>
          </w:p>
        </w:tc>
        <w:tc>
          <w:tcPr>
            <w:tcW w:w="5386" w:type="dxa"/>
            <w:vAlign w:val="center"/>
          </w:tcPr>
          <w:p>
            <w:pPr>
              <w:pStyle w:val="12"/>
            </w:pPr>
            <w:r>
              <w:t>反映计量准确度的比例</w:t>
            </w:r>
          </w:p>
        </w:tc>
        <w:tc>
          <w:tcPr>
            <w:tcW w:w="2268" w:type="dxa"/>
            <w:vAlign w:val="center"/>
          </w:tcPr>
          <w:p>
            <w:pPr>
              <w:pStyle w:val="12"/>
            </w:pPr>
            <w:r>
              <w:t>≥90%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调查市场主体中满意度比率</w:t>
            </w:r>
          </w:p>
        </w:tc>
        <w:tc>
          <w:tcPr>
            <w:tcW w:w="2268" w:type="dxa"/>
            <w:vAlign w:val="center"/>
          </w:tcPr>
          <w:p>
            <w:pPr>
              <w:pStyle w:val="12"/>
            </w:pPr>
            <w:r>
              <w:t>≥90%</w:t>
            </w:r>
          </w:p>
        </w:tc>
        <w:tc>
          <w:tcPr>
            <w:tcW w:w="1276" w:type="dxa"/>
            <w:vAlign w:val="center"/>
          </w:tcPr>
          <w:p>
            <w:pPr>
              <w:pStyle w:val="12"/>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3、关于提前下达2023年市场监管专项补助经费的通知（冀财行[2022]104号）绩效目标表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13032123P003316100046</w:t>
            </w:r>
          </w:p>
        </w:tc>
        <w:tc>
          <w:tcPr>
            <w:tcW w:w="2835" w:type="dxa"/>
            <w:vAlign w:val="center"/>
          </w:tcPr>
          <w:p>
            <w:pPr>
              <w:pStyle w:val="10"/>
            </w:pPr>
            <w:r>
              <w:t>项目名称</w:t>
            </w:r>
          </w:p>
        </w:tc>
        <w:tc>
          <w:tcPr>
            <w:tcW w:w="6094" w:type="dxa"/>
            <w:gridSpan w:val="3"/>
            <w:vAlign w:val="center"/>
          </w:tcPr>
          <w:p>
            <w:pPr>
              <w:pStyle w:val="12"/>
            </w:pPr>
            <w:r>
              <w:t>关于提前下达2023年市场监管专项补助经费的通知（冀财行[2022]104号）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53.00</w:t>
            </w:r>
          </w:p>
        </w:tc>
        <w:tc>
          <w:tcPr>
            <w:tcW w:w="2835" w:type="dxa"/>
            <w:vAlign w:val="center"/>
          </w:tcPr>
          <w:p>
            <w:pPr>
              <w:pStyle w:val="10"/>
            </w:pPr>
            <w:r>
              <w:t>其中：财政    资金</w:t>
            </w:r>
          </w:p>
        </w:tc>
        <w:tc>
          <w:tcPr>
            <w:tcW w:w="2551" w:type="dxa"/>
            <w:vAlign w:val="center"/>
          </w:tcPr>
          <w:p>
            <w:pPr>
              <w:pStyle w:val="12"/>
            </w:pPr>
            <w:r>
              <w:t>53.00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预算资金53万元，其中财政资金53万万，其他资金0万元。主要用于基层所建设经费、办公经费、办公设备购置费等。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r>
              <w:rPr>
                <w:rFonts w:hint="eastAsia"/>
                <w:lang w:val="en-US" w:eastAsia="zh-CN"/>
              </w:rPr>
              <w:t>25</w:t>
            </w:r>
          </w:p>
        </w:tc>
        <w:tc>
          <w:tcPr>
            <w:tcW w:w="2835" w:type="dxa"/>
            <w:vAlign w:val="center"/>
          </w:tcPr>
          <w:p>
            <w:pPr>
              <w:pStyle w:val="13"/>
              <w:rPr>
                <w:rFonts w:hint="default" w:eastAsia="方正书宋_GBK"/>
                <w:lang w:val="en-US" w:eastAsia="zh-CN"/>
              </w:rPr>
            </w:pPr>
            <w:r>
              <w:rPr>
                <w:rFonts w:hint="eastAsia"/>
                <w:lang w:val="en-US" w:eastAsia="zh-CN"/>
              </w:rPr>
              <w:t>50</w:t>
            </w:r>
          </w:p>
        </w:tc>
        <w:tc>
          <w:tcPr>
            <w:tcW w:w="2551" w:type="dxa"/>
            <w:vAlign w:val="center"/>
          </w:tcPr>
          <w:p>
            <w:pPr>
              <w:pStyle w:val="13"/>
              <w:rPr>
                <w:rFonts w:hint="default" w:eastAsia="方正书宋_GBK"/>
                <w:lang w:val="en-US" w:eastAsia="zh-CN"/>
              </w:rPr>
            </w:pPr>
            <w:r>
              <w:rPr>
                <w:rFonts w:hint="eastAsia"/>
                <w:lang w:val="en-US" w:eastAsia="zh-CN"/>
              </w:rPr>
              <w:t>80</w:t>
            </w: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1.通过持续推进商事制度改革力度，优化营商环境，促进市场主体健康发展。</w:t>
            </w:r>
          </w:p>
          <w:p>
            <w:pPr>
              <w:pStyle w:val="12"/>
            </w:pPr>
            <w:r>
              <w:t>2.通过开展专项整治行动，净化市场经营环境 。</w:t>
            </w:r>
          </w:p>
          <w:p>
            <w:pPr>
              <w:pStyle w:val="12"/>
            </w:pPr>
            <w:r>
              <w:t>3.通过基层所规范化标准化建设，改善基层所装备水平和办公条件，实现基础设施标准化，提高工作效率，提升监管效能。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市场专项整治行动次数</w:t>
            </w:r>
          </w:p>
        </w:tc>
        <w:tc>
          <w:tcPr>
            <w:tcW w:w="5386" w:type="dxa"/>
            <w:vAlign w:val="center"/>
          </w:tcPr>
          <w:p>
            <w:pPr>
              <w:pStyle w:val="12"/>
            </w:pPr>
            <w:r>
              <w:t>每年对市场实施专项整治行动的次数</w:t>
            </w:r>
          </w:p>
        </w:tc>
        <w:tc>
          <w:tcPr>
            <w:tcW w:w="2268" w:type="dxa"/>
            <w:vAlign w:val="center"/>
          </w:tcPr>
          <w:p>
            <w:pPr>
              <w:pStyle w:val="12"/>
            </w:pPr>
            <w:r>
              <w:t>≥5次</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基层所能力提升</w:t>
            </w:r>
          </w:p>
        </w:tc>
        <w:tc>
          <w:tcPr>
            <w:tcW w:w="5386" w:type="dxa"/>
            <w:vAlign w:val="center"/>
          </w:tcPr>
          <w:p>
            <w:pPr>
              <w:pStyle w:val="12"/>
            </w:pPr>
            <w:r>
              <w:t>基层所能力提升</w:t>
            </w:r>
          </w:p>
        </w:tc>
        <w:tc>
          <w:tcPr>
            <w:tcW w:w="2268" w:type="dxa"/>
            <w:vAlign w:val="center"/>
          </w:tcPr>
          <w:p>
            <w:pPr>
              <w:pStyle w:val="12"/>
            </w:pPr>
            <w:r>
              <w:t>1个</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特种设备定检完成率</w:t>
            </w:r>
          </w:p>
        </w:tc>
        <w:tc>
          <w:tcPr>
            <w:tcW w:w="5386" w:type="dxa"/>
            <w:vAlign w:val="center"/>
          </w:tcPr>
          <w:p>
            <w:pPr>
              <w:pStyle w:val="12"/>
            </w:pPr>
            <w:r>
              <w:t>开展特种设备检定数量占计划检定数量的比率</w:t>
            </w:r>
          </w:p>
        </w:tc>
        <w:tc>
          <w:tcPr>
            <w:tcW w:w="2268" w:type="dxa"/>
            <w:vAlign w:val="center"/>
          </w:tcPr>
          <w:p>
            <w:pPr>
              <w:pStyle w:val="12"/>
            </w:pPr>
            <w:r>
              <w:t>≥95%</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监管执法计划完成率</w:t>
            </w:r>
          </w:p>
        </w:tc>
        <w:tc>
          <w:tcPr>
            <w:tcW w:w="5386" w:type="dxa"/>
            <w:vAlign w:val="center"/>
          </w:tcPr>
          <w:p>
            <w:pPr>
              <w:pStyle w:val="12"/>
            </w:pPr>
            <w:r>
              <w:t>开展执法行动占总布置行动数的比率</w:t>
            </w:r>
          </w:p>
        </w:tc>
        <w:tc>
          <w:tcPr>
            <w:tcW w:w="2268" w:type="dxa"/>
            <w:vAlign w:val="center"/>
          </w:tcPr>
          <w:p>
            <w:pPr>
              <w:pStyle w:val="12"/>
            </w:pPr>
            <w:r>
              <w:t>≥90%</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5386" w:type="dxa"/>
            <w:vAlign w:val="center"/>
          </w:tcPr>
          <w:p>
            <w:pPr>
              <w:pStyle w:val="12"/>
            </w:pPr>
            <w:r>
              <w:t>工作完成时限</w:t>
            </w:r>
          </w:p>
        </w:tc>
        <w:tc>
          <w:tcPr>
            <w:tcW w:w="2268" w:type="dxa"/>
            <w:vAlign w:val="center"/>
          </w:tcPr>
          <w:p>
            <w:pPr>
              <w:pStyle w:val="12"/>
            </w:pPr>
            <w:r>
              <w:t>2024年底前</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执法装备购置成本</w:t>
            </w:r>
          </w:p>
        </w:tc>
        <w:tc>
          <w:tcPr>
            <w:tcW w:w="5386" w:type="dxa"/>
            <w:vAlign w:val="center"/>
          </w:tcPr>
          <w:p>
            <w:pPr>
              <w:pStyle w:val="12"/>
            </w:pPr>
            <w:r>
              <w:t>用于市场监管执法装备购置成本</w:t>
            </w:r>
          </w:p>
        </w:tc>
        <w:tc>
          <w:tcPr>
            <w:tcW w:w="2268" w:type="dxa"/>
            <w:vAlign w:val="center"/>
          </w:tcPr>
          <w:p>
            <w:pPr>
              <w:pStyle w:val="12"/>
            </w:pPr>
            <w:r>
              <w:t>≤5万元</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基层所建设费用</w:t>
            </w:r>
          </w:p>
        </w:tc>
        <w:tc>
          <w:tcPr>
            <w:tcW w:w="5386" w:type="dxa"/>
            <w:vAlign w:val="center"/>
          </w:tcPr>
          <w:p>
            <w:pPr>
              <w:pStyle w:val="12"/>
            </w:pPr>
            <w:r>
              <w:t>用于基层所建设所需费用</w:t>
            </w:r>
          </w:p>
        </w:tc>
        <w:tc>
          <w:tcPr>
            <w:tcW w:w="2268" w:type="dxa"/>
            <w:vAlign w:val="center"/>
          </w:tcPr>
          <w:p>
            <w:pPr>
              <w:pStyle w:val="12"/>
            </w:pPr>
            <w:r>
              <w:t>≤43万元</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办公经费</w:t>
            </w:r>
          </w:p>
        </w:tc>
        <w:tc>
          <w:tcPr>
            <w:tcW w:w="5386" w:type="dxa"/>
            <w:vAlign w:val="center"/>
          </w:tcPr>
          <w:p>
            <w:pPr>
              <w:pStyle w:val="12"/>
            </w:pPr>
            <w:r>
              <w:t>用于日常办公所需费用</w:t>
            </w:r>
          </w:p>
        </w:tc>
        <w:tc>
          <w:tcPr>
            <w:tcW w:w="2268" w:type="dxa"/>
            <w:vAlign w:val="center"/>
          </w:tcPr>
          <w:p>
            <w:pPr>
              <w:pStyle w:val="12"/>
            </w:pPr>
            <w:r>
              <w:t>≤5万元</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重大案件发生次数</w:t>
            </w:r>
          </w:p>
        </w:tc>
        <w:tc>
          <w:tcPr>
            <w:tcW w:w="5386" w:type="dxa"/>
            <w:vAlign w:val="center"/>
          </w:tcPr>
          <w:p>
            <w:pPr>
              <w:pStyle w:val="12"/>
            </w:pPr>
            <w:r>
              <w:t>每年发生重大案件次数</w:t>
            </w:r>
          </w:p>
        </w:tc>
        <w:tc>
          <w:tcPr>
            <w:tcW w:w="2268" w:type="dxa"/>
            <w:vAlign w:val="center"/>
          </w:tcPr>
          <w:p>
            <w:pPr>
              <w:pStyle w:val="12"/>
            </w:pPr>
            <w:r>
              <w:t>无重大案件发生</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万台特种设备死亡率</w:t>
            </w:r>
          </w:p>
        </w:tc>
        <w:tc>
          <w:tcPr>
            <w:tcW w:w="5386" w:type="dxa"/>
            <w:vAlign w:val="center"/>
          </w:tcPr>
          <w:p>
            <w:pPr>
              <w:pStyle w:val="12"/>
            </w:pPr>
            <w:r>
              <w:t>每万台特种设备死亡比率</w:t>
            </w:r>
          </w:p>
        </w:tc>
        <w:tc>
          <w:tcPr>
            <w:tcW w:w="2268" w:type="dxa"/>
            <w:vAlign w:val="center"/>
          </w:tcPr>
          <w:p>
            <w:pPr>
              <w:pStyle w:val="12"/>
            </w:pPr>
            <w:r>
              <w:t>&lt;0.36人</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社会反馈对市场监管工作满意度</w:t>
            </w:r>
          </w:p>
        </w:tc>
        <w:tc>
          <w:tcPr>
            <w:tcW w:w="2268" w:type="dxa"/>
            <w:vAlign w:val="center"/>
          </w:tcPr>
          <w:p>
            <w:pPr>
              <w:pStyle w:val="12"/>
            </w:pPr>
            <w:r>
              <w:t>≥85%</w:t>
            </w:r>
          </w:p>
        </w:tc>
        <w:tc>
          <w:tcPr>
            <w:tcW w:w="1276" w:type="dxa"/>
            <w:vAlign w:val="center"/>
          </w:tcPr>
          <w:p>
            <w:pPr>
              <w:pStyle w:val="12"/>
            </w:pPr>
            <w:r>
              <w:t>省级专项资金文件及调查统计结果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4、关于提前下达2023年中央工商行政管理专项补助经费的通知（冀财行[2022]95号）绩效目标表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13032123P00331610005R</w:t>
            </w:r>
          </w:p>
        </w:tc>
        <w:tc>
          <w:tcPr>
            <w:tcW w:w="2835" w:type="dxa"/>
            <w:vAlign w:val="center"/>
          </w:tcPr>
          <w:p>
            <w:pPr>
              <w:pStyle w:val="10"/>
            </w:pPr>
            <w:r>
              <w:t>项目名称</w:t>
            </w:r>
          </w:p>
        </w:tc>
        <w:tc>
          <w:tcPr>
            <w:tcW w:w="6094" w:type="dxa"/>
            <w:gridSpan w:val="3"/>
            <w:vAlign w:val="center"/>
          </w:tcPr>
          <w:p>
            <w:pPr>
              <w:pStyle w:val="12"/>
            </w:pPr>
            <w:r>
              <w:t>关于提前下达2023年中央工商行政管理专项补助经费的通知（冀财行[2022]95号）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预算数5万元。其中：财政资金5万元，其他资金0万元。主要用于煤炭抽样检测费。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r>
              <w:rPr>
                <w:rFonts w:hint="eastAsia"/>
                <w:lang w:val="en-US" w:eastAsia="zh-CN"/>
              </w:rPr>
              <w:t>25</w:t>
            </w:r>
          </w:p>
        </w:tc>
        <w:tc>
          <w:tcPr>
            <w:tcW w:w="2835" w:type="dxa"/>
            <w:vAlign w:val="center"/>
          </w:tcPr>
          <w:p>
            <w:pPr>
              <w:pStyle w:val="13"/>
              <w:rPr>
                <w:rFonts w:hint="default" w:eastAsia="方正书宋_GBK"/>
                <w:lang w:val="en-US" w:eastAsia="zh-CN"/>
              </w:rPr>
            </w:pPr>
            <w:r>
              <w:rPr>
                <w:rFonts w:hint="eastAsia"/>
                <w:lang w:val="en-US" w:eastAsia="zh-CN"/>
              </w:rPr>
              <w:t>50</w:t>
            </w:r>
          </w:p>
        </w:tc>
        <w:tc>
          <w:tcPr>
            <w:tcW w:w="2551" w:type="dxa"/>
            <w:vAlign w:val="center"/>
          </w:tcPr>
          <w:p>
            <w:pPr>
              <w:pStyle w:val="13"/>
              <w:rPr>
                <w:rFonts w:hint="default" w:eastAsia="方正书宋_GBK"/>
                <w:lang w:val="en-US" w:eastAsia="zh-CN"/>
              </w:rPr>
            </w:pPr>
            <w:r>
              <w:rPr>
                <w:rFonts w:hint="eastAsia"/>
                <w:lang w:val="en-US" w:eastAsia="zh-CN"/>
              </w:rPr>
              <w:t>80</w:t>
            </w: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1.通过运用行政与法律手段，对市场经营主体及市场行为进行行政指导、监督管理，提高工商行政执法力度。</w:t>
            </w:r>
          </w:p>
          <w:p>
            <w:pPr>
              <w:pStyle w:val="12"/>
            </w:pPr>
            <w:r>
              <w:t>2.通过专项整治行动，严厉打击各类经济违法行为，建立和维护市场秩序，服务地方经济发展。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煤质检测数量</w:t>
            </w:r>
          </w:p>
        </w:tc>
        <w:tc>
          <w:tcPr>
            <w:tcW w:w="5386" w:type="dxa"/>
            <w:vAlign w:val="center"/>
          </w:tcPr>
          <w:p>
            <w:pPr>
              <w:pStyle w:val="12"/>
            </w:pPr>
            <w:r>
              <w:t>计划煤质检测批次</w:t>
            </w:r>
          </w:p>
        </w:tc>
        <w:tc>
          <w:tcPr>
            <w:tcW w:w="2268" w:type="dxa"/>
            <w:vAlign w:val="center"/>
          </w:tcPr>
          <w:p>
            <w:pPr>
              <w:pStyle w:val="12"/>
            </w:pPr>
            <w:r>
              <w:t>≤50批次</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监管执法计划完成率</w:t>
            </w:r>
          </w:p>
        </w:tc>
        <w:tc>
          <w:tcPr>
            <w:tcW w:w="5386" w:type="dxa"/>
            <w:vAlign w:val="center"/>
          </w:tcPr>
          <w:p>
            <w:pPr>
              <w:pStyle w:val="12"/>
            </w:pPr>
            <w:r>
              <w:t>开展执法行动占总布置行动比率</w:t>
            </w:r>
          </w:p>
        </w:tc>
        <w:tc>
          <w:tcPr>
            <w:tcW w:w="2268" w:type="dxa"/>
            <w:vAlign w:val="center"/>
          </w:tcPr>
          <w:p>
            <w:pPr>
              <w:pStyle w:val="12"/>
            </w:pPr>
            <w:r>
              <w:t>≥90%</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监管执法覆盖率</w:t>
            </w:r>
          </w:p>
        </w:tc>
        <w:tc>
          <w:tcPr>
            <w:tcW w:w="5386" w:type="dxa"/>
            <w:vAlign w:val="center"/>
          </w:tcPr>
          <w:p>
            <w:pPr>
              <w:pStyle w:val="12"/>
            </w:pPr>
            <w:r>
              <w:t>开展执法行动占总计划范围比率</w:t>
            </w:r>
          </w:p>
        </w:tc>
        <w:tc>
          <w:tcPr>
            <w:tcW w:w="2268" w:type="dxa"/>
            <w:vAlign w:val="center"/>
          </w:tcPr>
          <w:p>
            <w:pPr>
              <w:pStyle w:val="12"/>
            </w:pPr>
            <w:r>
              <w:t>≥90%</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市场监管执法案件办结率</w:t>
            </w:r>
          </w:p>
        </w:tc>
        <w:tc>
          <w:tcPr>
            <w:tcW w:w="5386" w:type="dxa"/>
            <w:vAlign w:val="center"/>
          </w:tcPr>
          <w:p>
            <w:pPr>
              <w:pStyle w:val="12"/>
            </w:pPr>
            <w:r>
              <w:t>反映市场监管执法案件办理程度,办理完结案件数占年度市场执法案件总数的比率</w:t>
            </w:r>
          </w:p>
        </w:tc>
        <w:tc>
          <w:tcPr>
            <w:tcW w:w="2268" w:type="dxa"/>
            <w:vAlign w:val="center"/>
          </w:tcPr>
          <w:p>
            <w:pPr>
              <w:pStyle w:val="12"/>
            </w:pPr>
            <w:r>
              <w:t>≥90%</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执法案件完成时间</w:t>
            </w:r>
          </w:p>
        </w:tc>
        <w:tc>
          <w:tcPr>
            <w:tcW w:w="5386" w:type="dxa"/>
            <w:vAlign w:val="center"/>
          </w:tcPr>
          <w:p>
            <w:pPr>
              <w:pStyle w:val="12"/>
            </w:pPr>
            <w:r>
              <w:t>市场监管执法案件完成时间</w:t>
            </w:r>
          </w:p>
        </w:tc>
        <w:tc>
          <w:tcPr>
            <w:tcW w:w="2268" w:type="dxa"/>
            <w:vAlign w:val="center"/>
          </w:tcPr>
          <w:p>
            <w:pPr>
              <w:pStyle w:val="12"/>
            </w:pPr>
            <w:r>
              <w:t>2024年度</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煤炭检测完成时间</w:t>
            </w:r>
          </w:p>
        </w:tc>
        <w:tc>
          <w:tcPr>
            <w:tcW w:w="5386" w:type="dxa"/>
            <w:vAlign w:val="center"/>
          </w:tcPr>
          <w:p>
            <w:pPr>
              <w:pStyle w:val="12"/>
            </w:pPr>
            <w:r>
              <w:t>完成煤质检测时间</w:t>
            </w:r>
          </w:p>
        </w:tc>
        <w:tc>
          <w:tcPr>
            <w:tcW w:w="2268" w:type="dxa"/>
            <w:vAlign w:val="center"/>
          </w:tcPr>
          <w:p>
            <w:pPr>
              <w:pStyle w:val="12"/>
            </w:pPr>
            <w:r>
              <w:t>2024年度</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检测单位成本</w:t>
            </w:r>
          </w:p>
        </w:tc>
        <w:tc>
          <w:tcPr>
            <w:tcW w:w="5386" w:type="dxa"/>
            <w:vAlign w:val="center"/>
          </w:tcPr>
          <w:p>
            <w:pPr>
              <w:pStyle w:val="12"/>
            </w:pPr>
            <w:r>
              <w:t>反映煤质检测每批次单位成本</w:t>
            </w:r>
          </w:p>
        </w:tc>
        <w:tc>
          <w:tcPr>
            <w:tcW w:w="2268" w:type="dxa"/>
            <w:vAlign w:val="center"/>
          </w:tcPr>
          <w:p>
            <w:pPr>
              <w:pStyle w:val="12"/>
            </w:pPr>
            <w:r>
              <w:t>≤1000元</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违法案件下降率（%）</w:t>
            </w:r>
          </w:p>
        </w:tc>
        <w:tc>
          <w:tcPr>
            <w:tcW w:w="5386" w:type="dxa"/>
            <w:vAlign w:val="center"/>
          </w:tcPr>
          <w:p>
            <w:pPr>
              <w:pStyle w:val="12"/>
            </w:pPr>
            <w:r>
              <w:t>违法案件数量同比下降率</w:t>
            </w:r>
          </w:p>
        </w:tc>
        <w:tc>
          <w:tcPr>
            <w:tcW w:w="2268" w:type="dxa"/>
            <w:vAlign w:val="center"/>
          </w:tcPr>
          <w:p>
            <w:pPr>
              <w:pStyle w:val="12"/>
            </w:pPr>
            <w:r>
              <w:t>≥3%</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煤炭不合格降低率</w:t>
            </w:r>
          </w:p>
        </w:tc>
        <w:tc>
          <w:tcPr>
            <w:tcW w:w="5386" w:type="dxa"/>
            <w:vAlign w:val="center"/>
          </w:tcPr>
          <w:p>
            <w:pPr>
              <w:pStyle w:val="12"/>
            </w:pPr>
            <w:r>
              <w:t>煤炭抽检不合格率同比降低情况</w:t>
            </w:r>
          </w:p>
        </w:tc>
        <w:tc>
          <w:tcPr>
            <w:tcW w:w="2268" w:type="dxa"/>
            <w:vAlign w:val="center"/>
          </w:tcPr>
          <w:p>
            <w:pPr>
              <w:pStyle w:val="12"/>
            </w:pPr>
            <w:r>
              <w:t>≥90%</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调查中满意和较满意人数占调查总数的比例</w:t>
            </w:r>
          </w:p>
        </w:tc>
        <w:tc>
          <w:tcPr>
            <w:tcW w:w="2268" w:type="dxa"/>
            <w:vAlign w:val="center"/>
          </w:tcPr>
          <w:p>
            <w:pPr>
              <w:pStyle w:val="12"/>
            </w:pPr>
            <w:r>
              <w:t>≥90%</w:t>
            </w:r>
          </w:p>
        </w:tc>
        <w:tc>
          <w:tcPr>
            <w:tcW w:w="1276" w:type="dxa"/>
            <w:vAlign w:val="center"/>
          </w:tcPr>
          <w:p>
            <w:pPr>
              <w:pStyle w:val="12"/>
            </w:pPr>
            <w:r>
              <w:t>省级专项资金文件及调查统计结果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5、关于提前下达2024年省级市场监管补助经费的通知（冀财行【2023】97号）绩效目标表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13032124P00000810004R</w:t>
            </w:r>
          </w:p>
        </w:tc>
        <w:tc>
          <w:tcPr>
            <w:tcW w:w="2835" w:type="dxa"/>
            <w:vAlign w:val="center"/>
          </w:tcPr>
          <w:p>
            <w:pPr>
              <w:pStyle w:val="10"/>
            </w:pPr>
            <w:r>
              <w:t>项目名称</w:t>
            </w:r>
          </w:p>
        </w:tc>
        <w:tc>
          <w:tcPr>
            <w:tcW w:w="6094" w:type="dxa"/>
            <w:gridSpan w:val="3"/>
            <w:vAlign w:val="center"/>
          </w:tcPr>
          <w:p>
            <w:pPr>
              <w:pStyle w:val="12"/>
            </w:pPr>
            <w:r>
              <w:t>关于提前下达2024年省级市场监管补助经费的通知（冀财行【2023】97号）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预算数13万元。其中：财政资金13万元，其他资金0万元。主要用于执法交通工具购置费、办公费等。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r>
              <w:rPr>
                <w:rFonts w:hint="eastAsia"/>
                <w:lang w:val="en-US" w:eastAsia="zh-CN"/>
              </w:rPr>
              <w:t>10</w:t>
            </w:r>
          </w:p>
        </w:tc>
        <w:tc>
          <w:tcPr>
            <w:tcW w:w="2835" w:type="dxa"/>
            <w:vAlign w:val="center"/>
          </w:tcPr>
          <w:p>
            <w:pPr>
              <w:pStyle w:val="13"/>
              <w:rPr>
                <w:rFonts w:hint="default" w:eastAsia="方正书宋_GBK"/>
                <w:lang w:val="en-US" w:eastAsia="zh-CN"/>
              </w:rPr>
            </w:pPr>
            <w:r>
              <w:rPr>
                <w:rFonts w:hint="eastAsia"/>
                <w:lang w:val="en-US" w:eastAsia="zh-CN"/>
              </w:rPr>
              <w:t>80</w:t>
            </w:r>
          </w:p>
        </w:tc>
        <w:tc>
          <w:tcPr>
            <w:tcW w:w="2551" w:type="dxa"/>
            <w:vAlign w:val="center"/>
          </w:tcPr>
          <w:p>
            <w:pPr>
              <w:pStyle w:val="13"/>
              <w:rPr>
                <w:rFonts w:hint="default" w:eastAsia="方正书宋_GBK"/>
                <w:lang w:val="en-US" w:eastAsia="zh-CN"/>
              </w:rPr>
            </w:pPr>
            <w:r>
              <w:rPr>
                <w:rFonts w:hint="eastAsia"/>
                <w:lang w:val="en-US" w:eastAsia="zh-CN"/>
              </w:rPr>
              <w:t>90</w:t>
            </w: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1.通过开展专项整治行动，净化市场经营环境，促进市场主体健康发展。</w:t>
            </w:r>
          </w:p>
          <w:p>
            <w:pPr>
              <w:pStyle w:val="12"/>
            </w:pPr>
            <w:r>
              <w:t>2.改善执法装备，提升基层市场监管部门执法能力。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购置执法交通工具数量</w:t>
            </w:r>
          </w:p>
        </w:tc>
        <w:tc>
          <w:tcPr>
            <w:tcW w:w="5386" w:type="dxa"/>
            <w:vAlign w:val="center"/>
          </w:tcPr>
          <w:p>
            <w:pPr>
              <w:pStyle w:val="12"/>
            </w:pPr>
            <w:r>
              <w:t>购置执法交通工具数量</w:t>
            </w:r>
          </w:p>
        </w:tc>
        <w:tc>
          <w:tcPr>
            <w:tcW w:w="2268" w:type="dxa"/>
            <w:vAlign w:val="center"/>
          </w:tcPr>
          <w:p>
            <w:pPr>
              <w:pStyle w:val="12"/>
            </w:pPr>
            <w:r>
              <w:t>1辆</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市场专项整治行动次数</w:t>
            </w:r>
          </w:p>
        </w:tc>
        <w:tc>
          <w:tcPr>
            <w:tcW w:w="5386" w:type="dxa"/>
            <w:vAlign w:val="center"/>
          </w:tcPr>
          <w:p>
            <w:pPr>
              <w:pStyle w:val="12"/>
            </w:pPr>
            <w:r>
              <w:t>每年对市场实施专项整治行动的次数</w:t>
            </w:r>
          </w:p>
        </w:tc>
        <w:tc>
          <w:tcPr>
            <w:tcW w:w="2268" w:type="dxa"/>
            <w:vAlign w:val="center"/>
          </w:tcPr>
          <w:p>
            <w:pPr>
              <w:pStyle w:val="12"/>
            </w:pPr>
            <w:r>
              <w:t>≥5次</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特种设备检定完成率</w:t>
            </w:r>
          </w:p>
        </w:tc>
        <w:tc>
          <w:tcPr>
            <w:tcW w:w="5386" w:type="dxa"/>
            <w:vAlign w:val="center"/>
          </w:tcPr>
          <w:p>
            <w:pPr>
              <w:pStyle w:val="12"/>
            </w:pPr>
            <w:r>
              <w:t>完成年初制定特种设备检定计划比率</w:t>
            </w:r>
          </w:p>
        </w:tc>
        <w:tc>
          <w:tcPr>
            <w:tcW w:w="2268" w:type="dxa"/>
            <w:vAlign w:val="center"/>
          </w:tcPr>
          <w:p>
            <w:pPr>
              <w:pStyle w:val="12"/>
            </w:pPr>
            <w:r>
              <w:t>≥95%</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购置执法交通工具验收合格率</w:t>
            </w:r>
          </w:p>
        </w:tc>
        <w:tc>
          <w:tcPr>
            <w:tcW w:w="5386" w:type="dxa"/>
            <w:vAlign w:val="center"/>
          </w:tcPr>
          <w:p>
            <w:pPr>
              <w:pStyle w:val="12"/>
            </w:pPr>
            <w:r>
              <w:t>购置执法交通工具验收合格率</w:t>
            </w:r>
          </w:p>
        </w:tc>
        <w:tc>
          <w:tcPr>
            <w:tcW w:w="2268" w:type="dxa"/>
            <w:vAlign w:val="center"/>
          </w:tcPr>
          <w:p>
            <w:pPr>
              <w:pStyle w:val="12"/>
            </w:pPr>
            <w:r>
              <w:t>100%</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市场专项整治行动计划完成率</w:t>
            </w:r>
          </w:p>
        </w:tc>
        <w:tc>
          <w:tcPr>
            <w:tcW w:w="5386" w:type="dxa"/>
            <w:vAlign w:val="center"/>
          </w:tcPr>
          <w:p>
            <w:pPr>
              <w:pStyle w:val="12"/>
            </w:pPr>
            <w:r>
              <w:t>完成年初制定市场专项整治行动计划比率</w:t>
            </w:r>
          </w:p>
        </w:tc>
        <w:tc>
          <w:tcPr>
            <w:tcW w:w="2268" w:type="dxa"/>
            <w:vAlign w:val="center"/>
          </w:tcPr>
          <w:p>
            <w:pPr>
              <w:pStyle w:val="12"/>
            </w:pPr>
            <w:r>
              <w:t>≥90%</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特种设备定检完成期限</w:t>
            </w:r>
          </w:p>
        </w:tc>
        <w:tc>
          <w:tcPr>
            <w:tcW w:w="5386" w:type="dxa"/>
            <w:vAlign w:val="center"/>
          </w:tcPr>
          <w:p>
            <w:pPr>
              <w:pStyle w:val="12"/>
            </w:pPr>
            <w:r>
              <w:t>特种设备定检完成期限</w:t>
            </w:r>
          </w:p>
        </w:tc>
        <w:tc>
          <w:tcPr>
            <w:tcW w:w="2268" w:type="dxa"/>
            <w:vAlign w:val="center"/>
          </w:tcPr>
          <w:p>
            <w:pPr>
              <w:pStyle w:val="12"/>
            </w:pPr>
            <w:r>
              <w:t>2024年底前</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购置执法交通工具时限</w:t>
            </w:r>
          </w:p>
        </w:tc>
        <w:tc>
          <w:tcPr>
            <w:tcW w:w="5386" w:type="dxa"/>
            <w:vAlign w:val="center"/>
          </w:tcPr>
          <w:p>
            <w:pPr>
              <w:pStyle w:val="12"/>
            </w:pPr>
            <w:r>
              <w:t>购置执法交通工具时限</w:t>
            </w:r>
          </w:p>
        </w:tc>
        <w:tc>
          <w:tcPr>
            <w:tcW w:w="2268" w:type="dxa"/>
            <w:vAlign w:val="center"/>
          </w:tcPr>
          <w:p>
            <w:pPr>
              <w:pStyle w:val="12"/>
            </w:pPr>
            <w:r>
              <w:t>2024年底前</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市场专项整治行动完成时限</w:t>
            </w:r>
          </w:p>
        </w:tc>
        <w:tc>
          <w:tcPr>
            <w:tcW w:w="5386" w:type="dxa"/>
            <w:vAlign w:val="center"/>
          </w:tcPr>
          <w:p>
            <w:pPr>
              <w:pStyle w:val="12"/>
            </w:pPr>
            <w:r>
              <w:t>市场专项整治行动完成时限</w:t>
            </w:r>
          </w:p>
        </w:tc>
        <w:tc>
          <w:tcPr>
            <w:tcW w:w="2268" w:type="dxa"/>
            <w:vAlign w:val="center"/>
          </w:tcPr>
          <w:p>
            <w:pPr>
              <w:pStyle w:val="12"/>
            </w:pPr>
            <w:r>
              <w:t>按计划要求时间</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单项市场专项整治行动成本</w:t>
            </w:r>
          </w:p>
        </w:tc>
        <w:tc>
          <w:tcPr>
            <w:tcW w:w="5386" w:type="dxa"/>
            <w:vAlign w:val="center"/>
          </w:tcPr>
          <w:p>
            <w:pPr>
              <w:pStyle w:val="12"/>
            </w:pPr>
            <w:r>
              <w:t>单项市场专项整治行动成本</w:t>
            </w:r>
          </w:p>
        </w:tc>
        <w:tc>
          <w:tcPr>
            <w:tcW w:w="2268" w:type="dxa"/>
            <w:vAlign w:val="center"/>
          </w:tcPr>
          <w:p>
            <w:pPr>
              <w:pStyle w:val="12"/>
            </w:pPr>
            <w:r>
              <w:t>≤5万元</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购置单辆执法交通工具成本</w:t>
            </w:r>
          </w:p>
        </w:tc>
        <w:tc>
          <w:tcPr>
            <w:tcW w:w="5386" w:type="dxa"/>
            <w:vAlign w:val="center"/>
          </w:tcPr>
          <w:p>
            <w:pPr>
              <w:pStyle w:val="12"/>
            </w:pPr>
            <w:r>
              <w:t>购置单辆执法交通工具成本</w:t>
            </w:r>
          </w:p>
        </w:tc>
        <w:tc>
          <w:tcPr>
            <w:tcW w:w="2268" w:type="dxa"/>
            <w:vAlign w:val="center"/>
          </w:tcPr>
          <w:p>
            <w:pPr>
              <w:pStyle w:val="12"/>
            </w:pPr>
            <w:r>
              <w:t>≤15万元</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万台特种设备死亡率</w:t>
            </w:r>
          </w:p>
        </w:tc>
        <w:tc>
          <w:tcPr>
            <w:tcW w:w="5386" w:type="dxa"/>
            <w:vAlign w:val="center"/>
          </w:tcPr>
          <w:p>
            <w:pPr>
              <w:pStyle w:val="12"/>
            </w:pPr>
            <w:r>
              <w:t>每万台特种设备造成的死亡人数</w:t>
            </w:r>
          </w:p>
        </w:tc>
        <w:tc>
          <w:tcPr>
            <w:tcW w:w="2268" w:type="dxa"/>
            <w:vAlign w:val="center"/>
          </w:tcPr>
          <w:p>
            <w:pPr>
              <w:pStyle w:val="12"/>
            </w:pPr>
            <w:r>
              <w:t>&lt;0.36人</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重大案件发生次数</w:t>
            </w:r>
          </w:p>
        </w:tc>
        <w:tc>
          <w:tcPr>
            <w:tcW w:w="5386" w:type="dxa"/>
            <w:vAlign w:val="center"/>
          </w:tcPr>
          <w:p>
            <w:pPr>
              <w:pStyle w:val="12"/>
            </w:pPr>
            <w:r>
              <w:t>每年发生重大案件次数</w:t>
            </w:r>
          </w:p>
        </w:tc>
        <w:tc>
          <w:tcPr>
            <w:tcW w:w="2268" w:type="dxa"/>
            <w:vAlign w:val="center"/>
          </w:tcPr>
          <w:p>
            <w:pPr>
              <w:pStyle w:val="12"/>
            </w:pPr>
            <w:r>
              <w:t>无重大案件发生</w:t>
            </w:r>
          </w:p>
        </w:tc>
        <w:tc>
          <w:tcPr>
            <w:tcW w:w="1276" w:type="dxa"/>
            <w:vAlign w:val="center"/>
          </w:tcPr>
          <w:p>
            <w:pPr>
              <w:pStyle w:val="12"/>
            </w:pPr>
            <w:r>
              <w:t>省级专项资金文件及年初工作计划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社会反馈意见对市场监管工作满意度</w:t>
            </w:r>
          </w:p>
        </w:tc>
        <w:tc>
          <w:tcPr>
            <w:tcW w:w="2268" w:type="dxa"/>
            <w:vAlign w:val="center"/>
          </w:tcPr>
          <w:p>
            <w:pPr>
              <w:pStyle w:val="12"/>
            </w:pPr>
            <w:r>
              <w:t>≥90%</w:t>
            </w:r>
          </w:p>
        </w:tc>
        <w:tc>
          <w:tcPr>
            <w:tcW w:w="1276" w:type="dxa"/>
            <w:vAlign w:val="center"/>
          </w:tcPr>
          <w:p>
            <w:pPr>
              <w:pStyle w:val="12"/>
            </w:pPr>
            <w:r>
              <w:t>省级专项资金文件及调查统计结果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6、检测实验室建设经费绩效目标表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13032124P00331810054B</w:t>
            </w:r>
          </w:p>
        </w:tc>
        <w:tc>
          <w:tcPr>
            <w:tcW w:w="2835" w:type="dxa"/>
            <w:vAlign w:val="center"/>
          </w:tcPr>
          <w:p>
            <w:pPr>
              <w:pStyle w:val="10"/>
            </w:pPr>
            <w:r>
              <w:t>项目名称</w:t>
            </w:r>
          </w:p>
        </w:tc>
        <w:tc>
          <w:tcPr>
            <w:tcW w:w="6094" w:type="dxa"/>
            <w:gridSpan w:val="3"/>
            <w:vAlign w:val="center"/>
          </w:tcPr>
          <w:p>
            <w:pPr>
              <w:pStyle w:val="12"/>
            </w:pPr>
            <w:r>
              <w:t>检测实验室建设经费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40.50</w:t>
            </w:r>
          </w:p>
        </w:tc>
        <w:tc>
          <w:tcPr>
            <w:tcW w:w="2835" w:type="dxa"/>
            <w:vAlign w:val="center"/>
          </w:tcPr>
          <w:p>
            <w:pPr>
              <w:pStyle w:val="10"/>
            </w:pPr>
            <w:r>
              <w:t>其中：财政    资金</w:t>
            </w:r>
          </w:p>
        </w:tc>
        <w:tc>
          <w:tcPr>
            <w:tcW w:w="2551" w:type="dxa"/>
            <w:vAlign w:val="center"/>
          </w:tcPr>
          <w:p>
            <w:pPr>
              <w:pStyle w:val="12"/>
            </w:pPr>
            <w:r>
              <w:t>40.50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预算数40.5万元。其中：财政资金40.5万元，其他资金0万元。用于实验室改造、购置实验室设备、完善检测实验室等。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r>
              <w:rPr>
                <w:rFonts w:hint="eastAsia"/>
                <w:lang w:val="en-US" w:eastAsia="zh-CN"/>
              </w:rPr>
              <w:t>25</w:t>
            </w:r>
          </w:p>
        </w:tc>
        <w:tc>
          <w:tcPr>
            <w:tcW w:w="2835" w:type="dxa"/>
            <w:vAlign w:val="center"/>
          </w:tcPr>
          <w:p>
            <w:pPr>
              <w:pStyle w:val="13"/>
              <w:rPr>
                <w:rFonts w:hint="default" w:eastAsia="方正书宋_GBK"/>
                <w:lang w:val="en-US" w:eastAsia="zh-CN"/>
              </w:rPr>
            </w:pPr>
            <w:r>
              <w:rPr>
                <w:rFonts w:hint="eastAsia"/>
                <w:lang w:val="en-US" w:eastAsia="zh-CN"/>
              </w:rPr>
              <w:t>50</w:t>
            </w:r>
          </w:p>
        </w:tc>
        <w:tc>
          <w:tcPr>
            <w:tcW w:w="2551" w:type="dxa"/>
            <w:vAlign w:val="center"/>
          </w:tcPr>
          <w:p>
            <w:pPr>
              <w:pStyle w:val="13"/>
              <w:rPr>
                <w:rFonts w:hint="default" w:eastAsia="方正书宋_GBK"/>
                <w:lang w:val="en-US" w:eastAsia="zh-CN"/>
              </w:rPr>
            </w:pPr>
            <w:r>
              <w:rPr>
                <w:rFonts w:hint="eastAsia"/>
                <w:lang w:val="en-US" w:eastAsia="zh-CN"/>
              </w:rPr>
              <w:t>80</w:t>
            </w: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1.通过完善实验室建设，扶持全县检验检测认证事业发展,增强品牌意识。</w:t>
            </w:r>
          </w:p>
          <w:p>
            <w:pPr>
              <w:pStyle w:val="12"/>
            </w:pPr>
            <w:r>
              <w:t>2.通过开展服务商标注册,形成创新能力强、服务水平高、市场竞争力强的知名品牌,充分发挥质量认证在市场经济条件下传递信任、服务于经济发展方面的作用。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改造实验室数量</w:t>
            </w:r>
          </w:p>
        </w:tc>
        <w:tc>
          <w:tcPr>
            <w:tcW w:w="5386" w:type="dxa"/>
            <w:vAlign w:val="center"/>
          </w:tcPr>
          <w:p>
            <w:pPr>
              <w:pStyle w:val="12"/>
            </w:pPr>
            <w:r>
              <w:t>改造实验室数量</w:t>
            </w:r>
          </w:p>
        </w:tc>
        <w:tc>
          <w:tcPr>
            <w:tcW w:w="2268" w:type="dxa"/>
            <w:vAlign w:val="center"/>
          </w:tcPr>
          <w:p>
            <w:pPr>
              <w:pStyle w:val="12"/>
            </w:pPr>
            <w:r>
              <w:t>≥9间</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购置设备数量</w:t>
            </w:r>
          </w:p>
        </w:tc>
        <w:tc>
          <w:tcPr>
            <w:tcW w:w="5386" w:type="dxa"/>
            <w:vAlign w:val="center"/>
          </w:tcPr>
          <w:p>
            <w:pPr>
              <w:pStyle w:val="12"/>
            </w:pPr>
            <w:r>
              <w:t>反映购置设备的数量</w:t>
            </w:r>
          </w:p>
        </w:tc>
        <w:tc>
          <w:tcPr>
            <w:tcW w:w="2268" w:type="dxa"/>
            <w:vAlign w:val="center"/>
          </w:tcPr>
          <w:p>
            <w:pPr>
              <w:pStyle w:val="12"/>
            </w:pPr>
            <w:r>
              <w:t>≥20个</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配套设施完成率</w:t>
            </w:r>
          </w:p>
        </w:tc>
        <w:tc>
          <w:tcPr>
            <w:tcW w:w="5386" w:type="dxa"/>
            <w:vAlign w:val="center"/>
          </w:tcPr>
          <w:p>
            <w:pPr>
              <w:pStyle w:val="12"/>
            </w:pPr>
            <w:r>
              <w:t>实际完成工配套量占计划完成配套设施量的比率</w:t>
            </w:r>
          </w:p>
        </w:tc>
        <w:tc>
          <w:tcPr>
            <w:tcW w:w="2268" w:type="dxa"/>
            <w:vAlign w:val="center"/>
          </w:tcPr>
          <w:p>
            <w:pPr>
              <w:pStyle w:val="12"/>
            </w:pPr>
            <w:r>
              <w:t>≥80%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设备合格率</w:t>
            </w:r>
          </w:p>
        </w:tc>
        <w:tc>
          <w:tcPr>
            <w:tcW w:w="5386" w:type="dxa"/>
            <w:vAlign w:val="center"/>
          </w:tcPr>
          <w:p>
            <w:pPr>
              <w:pStyle w:val="12"/>
            </w:pPr>
            <w:r>
              <w:t>采购设备合格率</w:t>
            </w:r>
          </w:p>
        </w:tc>
        <w:tc>
          <w:tcPr>
            <w:tcW w:w="2268" w:type="dxa"/>
            <w:vAlign w:val="center"/>
          </w:tcPr>
          <w:p>
            <w:pPr>
              <w:pStyle w:val="12"/>
            </w:pPr>
            <w:r>
              <w:t>100%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设备正常运转率</w:t>
            </w:r>
          </w:p>
        </w:tc>
        <w:tc>
          <w:tcPr>
            <w:tcW w:w="5386" w:type="dxa"/>
            <w:vAlign w:val="center"/>
          </w:tcPr>
          <w:p>
            <w:pPr>
              <w:pStyle w:val="12"/>
            </w:pPr>
            <w:r>
              <w:t>反映购置设备正常运转情况</w:t>
            </w:r>
          </w:p>
        </w:tc>
        <w:tc>
          <w:tcPr>
            <w:tcW w:w="2268" w:type="dxa"/>
            <w:vAlign w:val="center"/>
          </w:tcPr>
          <w:p>
            <w:pPr>
              <w:pStyle w:val="12"/>
            </w:pPr>
            <w:r>
              <w:t>100%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按计划完工率</w:t>
            </w:r>
          </w:p>
        </w:tc>
        <w:tc>
          <w:tcPr>
            <w:tcW w:w="5386" w:type="dxa"/>
            <w:vAlign w:val="center"/>
          </w:tcPr>
          <w:p>
            <w:pPr>
              <w:pStyle w:val="12"/>
            </w:pPr>
            <w:r>
              <w:t>实验室改造完成时间</w:t>
            </w:r>
          </w:p>
        </w:tc>
        <w:tc>
          <w:tcPr>
            <w:tcW w:w="2268" w:type="dxa"/>
            <w:vAlign w:val="center"/>
          </w:tcPr>
          <w:p>
            <w:pPr>
              <w:pStyle w:val="12"/>
            </w:pPr>
            <w:r>
              <w:t>2024年度</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实验室改造成本</w:t>
            </w:r>
          </w:p>
        </w:tc>
        <w:tc>
          <w:tcPr>
            <w:tcW w:w="5386" w:type="dxa"/>
            <w:vAlign w:val="center"/>
          </w:tcPr>
          <w:p>
            <w:pPr>
              <w:pStyle w:val="12"/>
            </w:pPr>
            <w:r>
              <w:t>改造实验室成本</w:t>
            </w:r>
          </w:p>
        </w:tc>
        <w:tc>
          <w:tcPr>
            <w:tcW w:w="2268" w:type="dxa"/>
            <w:vAlign w:val="center"/>
          </w:tcPr>
          <w:p>
            <w:pPr>
              <w:pStyle w:val="12"/>
            </w:pPr>
            <w:r>
              <w:t>≤3万元</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专用设备购置成本</w:t>
            </w:r>
          </w:p>
        </w:tc>
        <w:tc>
          <w:tcPr>
            <w:tcW w:w="5386" w:type="dxa"/>
            <w:vAlign w:val="center"/>
          </w:tcPr>
          <w:p>
            <w:pPr>
              <w:pStyle w:val="12"/>
            </w:pPr>
            <w:r>
              <w:t>燃气表检定装置购置成本</w:t>
            </w:r>
          </w:p>
        </w:tc>
        <w:tc>
          <w:tcPr>
            <w:tcW w:w="2268" w:type="dxa"/>
            <w:vAlign w:val="center"/>
          </w:tcPr>
          <w:p>
            <w:pPr>
              <w:pStyle w:val="12"/>
            </w:pPr>
            <w:r>
              <w:t>≤27.5万元</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办公设备购置成本</w:t>
            </w:r>
          </w:p>
        </w:tc>
        <w:tc>
          <w:tcPr>
            <w:tcW w:w="5386" w:type="dxa"/>
            <w:vAlign w:val="center"/>
          </w:tcPr>
          <w:p>
            <w:pPr>
              <w:pStyle w:val="12"/>
            </w:pPr>
            <w:r>
              <w:t>购置电脑、打印机、样品柜等成本</w:t>
            </w:r>
          </w:p>
        </w:tc>
        <w:tc>
          <w:tcPr>
            <w:tcW w:w="2268" w:type="dxa"/>
            <w:vAlign w:val="center"/>
          </w:tcPr>
          <w:p>
            <w:pPr>
              <w:pStyle w:val="12"/>
            </w:pPr>
            <w:r>
              <w:t>≤8万元</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检定证书成本</w:t>
            </w:r>
          </w:p>
        </w:tc>
        <w:tc>
          <w:tcPr>
            <w:tcW w:w="5386" w:type="dxa"/>
            <w:vAlign w:val="center"/>
          </w:tcPr>
          <w:p>
            <w:pPr>
              <w:pStyle w:val="12"/>
            </w:pPr>
            <w:r>
              <w:t>出具检定证书成本</w:t>
            </w:r>
          </w:p>
        </w:tc>
        <w:tc>
          <w:tcPr>
            <w:tcW w:w="2268" w:type="dxa"/>
            <w:vAlign w:val="center"/>
          </w:tcPr>
          <w:p>
            <w:pPr>
              <w:pStyle w:val="12"/>
            </w:pPr>
            <w:r>
              <w:t>≤2万元</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检测数据准确度</w:t>
            </w:r>
          </w:p>
        </w:tc>
        <w:tc>
          <w:tcPr>
            <w:tcW w:w="5386" w:type="dxa"/>
            <w:vAlign w:val="center"/>
          </w:tcPr>
          <w:p>
            <w:pPr>
              <w:pStyle w:val="12"/>
            </w:pPr>
            <w:r>
              <w:t>准确数据量占总检测数据量的比例</w:t>
            </w:r>
          </w:p>
        </w:tc>
        <w:tc>
          <w:tcPr>
            <w:tcW w:w="2268" w:type="dxa"/>
            <w:vAlign w:val="center"/>
          </w:tcPr>
          <w:p>
            <w:pPr>
              <w:pStyle w:val="12"/>
            </w:pPr>
            <w:r>
              <w:t>≥95%</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提升管理水平及业务技能</w:t>
            </w:r>
          </w:p>
        </w:tc>
        <w:tc>
          <w:tcPr>
            <w:tcW w:w="5386" w:type="dxa"/>
            <w:vAlign w:val="center"/>
          </w:tcPr>
          <w:p>
            <w:pPr>
              <w:pStyle w:val="12"/>
            </w:pPr>
            <w:r>
              <w:t>提升管理水平及业务技能</w:t>
            </w:r>
          </w:p>
        </w:tc>
        <w:tc>
          <w:tcPr>
            <w:tcW w:w="2268" w:type="dxa"/>
            <w:vAlign w:val="center"/>
          </w:tcPr>
          <w:p>
            <w:pPr>
              <w:pStyle w:val="12"/>
            </w:pPr>
            <w:r>
              <w:t>≥70%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受益对象对检验结果满意度</w:t>
            </w:r>
          </w:p>
        </w:tc>
        <w:tc>
          <w:tcPr>
            <w:tcW w:w="2268" w:type="dxa"/>
            <w:vAlign w:val="center"/>
          </w:tcPr>
          <w:p>
            <w:pPr>
              <w:pStyle w:val="12"/>
            </w:pPr>
            <w:r>
              <w:t>≥90%</w:t>
            </w:r>
          </w:p>
        </w:tc>
        <w:tc>
          <w:tcPr>
            <w:tcW w:w="1276" w:type="dxa"/>
            <w:vAlign w:val="center"/>
          </w:tcPr>
          <w:p>
            <w:pPr>
              <w:pStyle w:val="12"/>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7、煤炭、成品油、化肥抽检经费绩效目标表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13032123P003319100072</w:t>
            </w:r>
          </w:p>
        </w:tc>
        <w:tc>
          <w:tcPr>
            <w:tcW w:w="2835" w:type="dxa"/>
            <w:vAlign w:val="center"/>
          </w:tcPr>
          <w:p>
            <w:pPr>
              <w:pStyle w:val="10"/>
            </w:pPr>
            <w:r>
              <w:t>项目名称</w:t>
            </w:r>
          </w:p>
        </w:tc>
        <w:tc>
          <w:tcPr>
            <w:tcW w:w="6094" w:type="dxa"/>
            <w:gridSpan w:val="3"/>
            <w:vAlign w:val="center"/>
          </w:tcPr>
          <w:p>
            <w:pPr>
              <w:pStyle w:val="12"/>
            </w:pPr>
            <w:r>
              <w:t>煤炭、成品油、化肥抽检经费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w:t>
            </w:r>
            <w:r>
              <w:rPr>
                <w:rFonts w:hint="eastAsia"/>
                <w:lang w:val="en-US" w:eastAsia="zh-CN"/>
              </w:rPr>
              <w:t>3</w:t>
            </w:r>
            <w:r>
              <w:t>万元。其中：财政资金1</w:t>
            </w:r>
            <w:r>
              <w:rPr>
                <w:rFonts w:hint="eastAsia"/>
                <w:lang w:val="en-US" w:eastAsia="zh-CN"/>
              </w:rPr>
              <w:t>3</w:t>
            </w:r>
            <w:r>
              <w:t>万元，其他资金0万元。主要用于煤炭、成品油、化肥抽样检测费。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r>
              <w:rPr>
                <w:rFonts w:hint="eastAsia"/>
                <w:lang w:val="en-US" w:eastAsia="zh-CN"/>
              </w:rPr>
              <w:t>25</w:t>
            </w:r>
          </w:p>
        </w:tc>
        <w:tc>
          <w:tcPr>
            <w:tcW w:w="2835" w:type="dxa"/>
            <w:vAlign w:val="center"/>
          </w:tcPr>
          <w:p>
            <w:pPr>
              <w:pStyle w:val="13"/>
              <w:rPr>
                <w:rFonts w:hint="default" w:eastAsia="方正书宋_GBK"/>
                <w:lang w:val="en-US" w:eastAsia="zh-CN"/>
              </w:rPr>
            </w:pPr>
            <w:r>
              <w:rPr>
                <w:rFonts w:hint="eastAsia"/>
                <w:lang w:val="en-US" w:eastAsia="zh-CN"/>
              </w:rPr>
              <w:t>50</w:t>
            </w:r>
          </w:p>
        </w:tc>
        <w:tc>
          <w:tcPr>
            <w:tcW w:w="2551" w:type="dxa"/>
            <w:vAlign w:val="center"/>
          </w:tcPr>
          <w:p>
            <w:pPr>
              <w:pStyle w:val="13"/>
              <w:rPr>
                <w:rFonts w:hint="default" w:eastAsia="方正书宋_GBK"/>
                <w:lang w:val="en-US" w:eastAsia="zh-CN"/>
              </w:rPr>
            </w:pPr>
            <w:r>
              <w:rPr>
                <w:rFonts w:hint="eastAsia"/>
                <w:lang w:val="en-US" w:eastAsia="zh-CN"/>
              </w:rPr>
              <w:t>80</w:t>
            </w: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1.通过对流通领域重点商品农资、成品油、煤炭的多批次抽检，限制不合格商品流入我县。</w:t>
            </w:r>
          </w:p>
          <w:p>
            <w:pPr>
              <w:pStyle w:val="12"/>
            </w:pPr>
            <w:r>
              <w:t>2.通过处罚经营不合格产品的单位和个人，不断提升我县流通领域商品质量水平，改善空气质量，保护农民利益，更好的维护正常的市场经济秩序。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抽检企业数量</w:t>
            </w:r>
          </w:p>
        </w:tc>
        <w:tc>
          <w:tcPr>
            <w:tcW w:w="5386" w:type="dxa"/>
            <w:vAlign w:val="center"/>
          </w:tcPr>
          <w:p>
            <w:pPr>
              <w:pStyle w:val="12"/>
            </w:pPr>
            <w:r>
              <w:t>年抽检企业数量</w:t>
            </w:r>
          </w:p>
        </w:tc>
        <w:tc>
          <w:tcPr>
            <w:tcW w:w="2268" w:type="dxa"/>
            <w:vAlign w:val="center"/>
          </w:tcPr>
          <w:p>
            <w:pPr>
              <w:pStyle w:val="12"/>
            </w:pPr>
            <w:r>
              <w:t>≥10家</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抽检批次</w:t>
            </w:r>
          </w:p>
        </w:tc>
        <w:tc>
          <w:tcPr>
            <w:tcW w:w="5386" w:type="dxa"/>
            <w:vAlign w:val="center"/>
          </w:tcPr>
          <w:p>
            <w:pPr>
              <w:pStyle w:val="12"/>
            </w:pPr>
            <w:r>
              <w:t>成品油、煤碳、化肥抽检批次</w:t>
            </w:r>
          </w:p>
        </w:tc>
        <w:tc>
          <w:tcPr>
            <w:tcW w:w="2268" w:type="dxa"/>
            <w:vAlign w:val="center"/>
          </w:tcPr>
          <w:p>
            <w:pPr>
              <w:pStyle w:val="12"/>
            </w:pPr>
            <w:r>
              <w:t>≥10批次</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商品抽检率</w:t>
            </w:r>
          </w:p>
        </w:tc>
        <w:tc>
          <w:tcPr>
            <w:tcW w:w="5386" w:type="dxa"/>
            <w:vAlign w:val="center"/>
          </w:tcPr>
          <w:p>
            <w:pPr>
              <w:pStyle w:val="12"/>
            </w:pPr>
            <w:r>
              <w:t>反映商品抽检完成情况，抽检批次完成数占计划抽检数比率</w:t>
            </w:r>
          </w:p>
        </w:tc>
        <w:tc>
          <w:tcPr>
            <w:tcW w:w="2268" w:type="dxa"/>
            <w:vAlign w:val="center"/>
          </w:tcPr>
          <w:p>
            <w:pPr>
              <w:pStyle w:val="12"/>
            </w:pPr>
            <w:r>
              <w:t>≥90%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检测合格率</w:t>
            </w:r>
          </w:p>
        </w:tc>
        <w:tc>
          <w:tcPr>
            <w:tcW w:w="5386" w:type="dxa"/>
            <w:vAlign w:val="center"/>
          </w:tcPr>
          <w:p>
            <w:pPr>
              <w:pStyle w:val="12"/>
            </w:pPr>
            <w:r>
              <w:t>抽检产品、商品的合格率占总产品、商品数比率</w:t>
            </w:r>
          </w:p>
        </w:tc>
        <w:tc>
          <w:tcPr>
            <w:tcW w:w="2268" w:type="dxa"/>
            <w:vAlign w:val="center"/>
          </w:tcPr>
          <w:p>
            <w:pPr>
              <w:pStyle w:val="12"/>
            </w:pPr>
            <w:r>
              <w:t>≥80%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检验完成及时性</w:t>
            </w:r>
          </w:p>
        </w:tc>
        <w:tc>
          <w:tcPr>
            <w:tcW w:w="5386" w:type="dxa"/>
            <w:vAlign w:val="center"/>
          </w:tcPr>
          <w:p>
            <w:pPr>
              <w:pStyle w:val="12"/>
            </w:pPr>
            <w:r>
              <w:t>按年度计划时限完成抽检工作</w:t>
            </w:r>
          </w:p>
        </w:tc>
        <w:tc>
          <w:tcPr>
            <w:tcW w:w="2268" w:type="dxa"/>
            <w:vAlign w:val="center"/>
          </w:tcPr>
          <w:p>
            <w:pPr>
              <w:pStyle w:val="12"/>
            </w:pPr>
            <w:r>
              <w:t>100%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批次检测费用</w:t>
            </w:r>
          </w:p>
        </w:tc>
        <w:tc>
          <w:tcPr>
            <w:tcW w:w="5386" w:type="dxa"/>
            <w:vAlign w:val="center"/>
          </w:tcPr>
          <w:p>
            <w:pPr>
              <w:pStyle w:val="12"/>
            </w:pPr>
            <w:r>
              <w:t>每批次的检验成本</w:t>
            </w:r>
          </w:p>
        </w:tc>
        <w:tc>
          <w:tcPr>
            <w:tcW w:w="2268" w:type="dxa"/>
            <w:vAlign w:val="center"/>
          </w:tcPr>
          <w:p>
            <w:pPr>
              <w:pStyle w:val="12"/>
            </w:pPr>
            <w:r>
              <w:t>≤1000元/批次</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农资、成品油、煤炭不合格降低率</w:t>
            </w:r>
          </w:p>
        </w:tc>
        <w:tc>
          <w:tcPr>
            <w:tcW w:w="5386" w:type="dxa"/>
            <w:vAlign w:val="center"/>
          </w:tcPr>
          <w:p>
            <w:pPr>
              <w:pStyle w:val="12"/>
            </w:pPr>
            <w:r>
              <w:t>农资、农产品、成品油、煤炭等抽检不合格率同比降低情况同去年不合格率比率</w:t>
            </w:r>
          </w:p>
        </w:tc>
        <w:tc>
          <w:tcPr>
            <w:tcW w:w="2268" w:type="dxa"/>
            <w:vAlign w:val="center"/>
          </w:tcPr>
          <w:p>
            <w:pPr>
              <w:pStyle w:val="12"/>
            </w:pPr>
            <w:r>
              <w:t>≥90%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环境改善率</w:t>
            </w:r>
          </w:p>
        </w:tc>
        <w:tc>
          <w:tcPr>
            <w:tcW w:w="5386" w:type="dxa"/>
            <w:vAlign w:val="center"/>
          </w:tcPr>
          <w:p>
            <w:pPr>
              <w:pStyle w:val="12"/>
            </w:pPr>
            <w:r>
              <w:t>改善空气质量，预防大气污染，提高人居环境质量。</w:t>
            </w:r>
          </w:p>
        </w:tc>
        <w:tc>
          <w:tcPr>
            <w:tcW w:w="2268" w:type="dxa"/>
            <w:vAlign w:val="center"/>
          </w:tcPr>
          <w:p>
            <w:pPr>
              <w:pStyle w:val="12"/>
            </w:pPr>
            <w:r>
              <w:t>≥90%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检验对象满意度</w:t>
            </w:r>
          </w:p>
        </w:tc>
        <w:tc>
          <w:tcPr>
            <w:tcW w:w="5386" w:type="dxa"/>
            <w:vAlign w:val="center"/>
          </w:tcPr>
          <w:p>
            <w:pPr>
              <w:pStyle w:val="12"/>
            </w:pPr>
            <w:r>
              <w:t>检验服务对象对检验结果满意度</w:t>
            </w:r>
          </w:p>
        </w:tc>
        <w:tc>
          <w:tcPr>
            <w:tcW w:w="2268" w:type="dxa"/>
            <w:vAlign w:val="center"/>
          </w:tcPr>
          <w:p>
            <w:pPr>
              <w:pStyle w:val="12"/>
            </w:pPr>
            <w:r>
              <w:t>≥90%</w:t>
            </w:r>
          </w:p>
        </w:tc>
        <w:tc>
          <w:tcPr>
            <w:tcW w:w="1276" w:type="dxa"/>
            <w:vAlign w:val="center"/>
          </w:tcPr>
          <w:p>
            <w:pPr>
              <w:pStyle w:val="12"/>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8、煤质检查站工作经费（木头凳检查站）绩效目标表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13032123P00331910008M</w:t>
            </w:r>
          </w:p>
        </w:tc>
        <w:tc>
          <w:tcPr>
            <w:tcW w:w="2835" w:type="dxa"/>
            <w:vAlign w:val="center"/>
          </w:tcPr>
          <w:p>
            <w:pPr>
              <w:pStyle w:val="10"/>
            </w:pPr>
            <w:r>
              <w:t>项目名称</w:t>
            </w:r>
          </w:p>
        </w:tc>
        <w:tc>
          <w:tcPr>
            <w:tcW w:w="6094" w:type="dxa"/>
            <w:gridSpan w:val="3"/>
            <w:vAlign w:val="center"/>
          </w:tcPr>
          <w:p>
            <w:pPr>
              <w:pStyle w:val="12"/>
            </w:pPr>
            <w:r>
              <w:t>煤质检查站工作经费（木头凳检查站）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w:t>
            </w:r>
            <w:r>
              <w:rPr>
                <w:rFonts w:hint="eastAsia"/>
                <w:lang w:val="en-US" w:eastAsia="zh-CN"/>
              </w:rPr>
              <w:t>10</w:t>
            </w:r>
            <w:r>
              <w:t>万元。其中：财政资金</w:t>
            </w:r>
            <w:r>
              <w:rPr>
                <w:rFonts w:hint="eastAsia"/>
                <w:lang w:val="en-US" w:eastAsia="zh-CN"/>
              </w:rPr>
              <w:t>10</w:t>
            </w:r>
            <w:r>
              <w:t>万元，其他资金0万元。主要用于煤质检查站工作人员交通补助和伙食补助费用。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r>
              <w:rPr>
                <w:rFonts w:hint="eastAsia"/>
                <w:lang w:val="en-US" w:eastAsia="zh-CN"/>
              </w:rPr>
              <w:t>25</w:t>
            </w:r>
          </w:p>
        </w:tc>
        <w:tc>
          <w:tcPr>
            <w:tcW w:w="2835" w:type="dxa"/>
            <w:vAlign w:val="center"/>
          </w:tcPr>
          <w:p>
            <w:pPr>
              <w:pStyle w:val="13"/>
              <w:rPr>
                <w:rFonts w:hint="default" w:eastAsia="方正书宋_GBK"/>
                <w:lang w:val="en-US" w:eastAsia="zh-CN"/>
              </w:rPr>
            </w:pPr>
            <w:r>
              <w:rPr>
                <w:rFonts w:hint="eastAsia"/>
                <w:lang w:val="en-US" w:eastAsia="zh-CN"/>
              </w:rPr>
              <w:t>50</w:t>
            </w:r>
          </w:p>
        </w:tc>
        <w:tc>
          <w:tcPr>
            <w:tcW w:w="2551" w:type="dxa"/>
            <w:vAlign w:val="center"/>
          </w:tcPr>
          <w:p>
            <w:pPr>
              <w:pStyle w:val="13"/>
              <w:rPr>
                <w:rFonts w:hint="default" w:eastAsia="方正书宋_GBK"/>
                <w:lang w:val="en-US" w:eastAsia="zh-CN"/>
              </w:rPr>
            </w:pPr>
            <w:r>
              <w:rPr>
                <w:rFonts w:hint="eastAsia"/>
                <w:lang w:val="en-US" w:eastAsia="zh-CN"/>
              </w:rPr>
              <w:t>80</w:t>
            </w: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1.通过深入持续的入省散煤质量检查工作，建立权责清晰科学长效的工作体系，严控不合格散煤输入我省。</w:t>
            </w:r>
          </w:p>
          <w:p>
            <w:pPr>
              <w:pStyle w:val="12"/>
            </w:pPr>
            <w:r>
              <w:t>2.通过散煤管控治理，实现燃煤质量的明显好转，促进我省空气质量的不断提升。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木头凳煤质检查站人数</w:t>
            </w:r>
          </w:p>
        </w:tc>
        <w:tc>
          <w:tcPr>
            <w:tcW w:w="2268" w:type="dxa"/>
            <w:vAlign w:val="center"/>
          </w:tcPr>
          <w:p>
            <w:pPr>
              <w:pStyle w:val="12"/>
            </w:pPr>
            <w:r>
              <w:t>5人</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检查站数量</w:t>
            </w:r>
          </w:p>
        </w:tc>
        <w:tc>
          <w:tcPr>
            <w:tcW w:w="5386" w:type="dxa"/>
            <w:vAlign w:val="center"/>
          </w:tcPr>
          <w:p>
            <w:pPr>
              <w:pStyle w:val="12"/>
            </w:pPr>
            <w:r>
              <w:t>媒质检查站数量</w:t>
            </w:r>
          </w:p>
        </w:tc>
        <w:tc>
          <w:tcPr>
            <w:tcW w:w="2268" w:type="dxa"/>
            <w:vAlign w:val="center"/>
          </w:tcPr>
          <w:p>
            <w:pPr>
              <w:pStyle w:val="12"/>
            </w:pPr>
            <w:r>
              <w:t>1个</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各项日常工作保障率</w:t>
            </w:r>
          </w:p>
        </w:tc>
        <w:tc>
          <w:tcPr>
            <w:tcW w:w="2268" w:type="dxa"/>
            <w:vAlign w:val="center"/>
          </w:tcPr>
          <w:p>
            <w:pPr>
              <w:pStyle w:val="12"/>
            </w:pPr>
            <w:r>
              <w:t>≥95%</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煤检工作达标率</w:t>
            </w:r>
          </w:p>
        </w:tc>
        <w:tc>
          <w:tcPr>
            <w:tcW w:w="5386" w:type="dxa"/>
            <w:vAlign w:val="center"/>
          </w:tcPr>
          <w:p>
            <w:pPr>
              <w:pStyle w:val="12"/>
            </w:pPr>
            <w:r>
              <w:t>反映散煤质量检查工作达标情况</w:t>
            </w:r>
          </w:p>
        </w:tc>
        <w:tc>
          <w:tcPr>
            <w:tcW w:w="2268" w:type="dxa"/>
            <w:vAlign w:val="center"/>
          </w:tcPr>
          <w:p>
            <w:pPr>
              <w:pStyle w:val="12"/>
            </w:pPr>
            <w:r>
              <w:t>100%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煤检工作完成及时性</w:t>
            </w:r>
          </w:p>
        </w:tc>
        <w:tc>
          <w:tcPr>
            <w:tcW w:w="5386" w:type="dxa"/>
            <w:vAlign w:val="center"/>
          </w:tcPr>
          <w:p>
            <w:pPr>
              <w:pStyle w:val="12"/>
            </w:pPr>
            <w:r>
              <w:t>散煤检查工作的及时程度</w:t>
            </w:r>
          </w:p>
        </w:tc>
        <w:tc>
          <w:tcPr>
            <w:tcW w:w="2268" w:type="dxa"/>
            <w:vAlign w:val="center"/>
          </w:tcPr>
          <w:p>
            <w:pPr>
              <w:pStyle w:val="12"/>
            </w:pPr>
            <w:r>
              <w:t>100%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交通补助标准</w:t>
            </w:r>
          </w:p>
        </w:tc>
        <w:tc>
          <w:tcPr>
            <w:tcW w:w="5386" w:type="dxa"/>
            <w:vAlign w:val="center"/>
          </w:tcPr>
          <w:p>
            <w:pPr>
              <w:pStyle w:val="12"/>
            </w:pPr>
            <w:r>
              <w:t>反映交通补助的标准</w:t>
            </w:r>
          </w:p>
        </w:tc>
        <w:tc>
          <w:tcPr>
            <w:tcW w:w="2268" w:type="dxa"/>
            <w:vAlign w:val="center"/>
          </w:tcPr>
          <w:p>
            <w:pPr>
              <w:pStyle w:val="12"/>
            </w:pPr>
            <w:r>
              <w:t>≤50元/人/天</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伙食补助标准</w:t>
            </w:r>
          </w:p>
        </w:tc>
        <w:tc>
          <w:tcPr>
            <w:tcW w:w="5386" w:type="dxa"/>
            <w:vAlign w:val="center"/>
          </w:tcPr>
          <w:p>
            <w:pPr>
              <w:pStyle w:val="12"/>
            </w:pPr>
            <w:r>
              <w:t>反映伙食费的补助标准</w:t>
            </w:r>
          </w:p>
        </w:tc>
        <w:tc>
          <w:tcPr>
            <w:tcW w:w="2268" w:type="dxa"/>
            <w:vAlign w:val="center"/>
          </w:tcPr>
          <w:p>
            <w:pPr>
              <w:pStyle w:val="12"/>
            </w:pPr>
            <w:r>
              <w:t>≤25元/人/天</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提高散煤质量检查工作效率</w:t>
            </w:r>
          </w:p>
        </w:tc>
        <w:tc>
          <w:tcPr>
            <w:tcW w:w="5386" w:type="dxa"/>
            <w:vAlign w:val="center"/>
          </w:tcPr>
          <w:p>
            <w:pPr>
              <w:pStyle w:val="12"/>
            </w:pPr>
            <w:r>
              <w:t>提高散煤质量检查工作效率，实现燃煤质量的明显好转，更好的改善空气质量</w:t>
            </w:r>
          </w:p>
        </w:tc>
        <w:tc>
          <w:tcPr>
            <w:tcW w:w="2268" w:type="dxa"/>
            <w:vAlign w:val="center"/>
          </w:tcPr>
          <w:p>
            <w:pPr>
              <w:pStyle w:val="12"/>
            </w:pPr>
            <w:r>
              <w:t>≥30%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调查中满意和较满意人数占调查总数的比例</w:t>
            </w:r>
          </w:p>
        </w:tc>
        <w:tc>
          <w:tcPr>
            <w:tcW w:w="2268" w:type="dxa"/>
            <w:vAlign w:val="center"/>
          </w:tcPr>
          <w:p>
            <w:pPr>
              <w:pStyle w:val="12"/>
            </w:pPr>
            <w:r>
              <w:t>≥90%</w:t>
            </w:r>
          </w:p>
        </w:tc>
        <w:tc>
          <w:tcPr>
            <w:tcW w:w="1276" w:type="dxa"/>
            <w:vAlign w:val="center"/>
          </w:tcPr>
          <w:p>
            <w:pPr>
              <w:pStyle w:val="12"/>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9、普法宣传及人民调解工作经费绩效目标表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13032123P003319100020</w:t>
            </w:r>
          </w:p>
        </w:tc>
        <w:tc>
          <w:tcPr>
            <w:tcW w:w="2835" w:type="dxa"/>
            <w:vAlign w:val="center"/>
          </w:tcPr>
          <w:p>
            <w:pPr>
              <w:pStyle w:val="10"/>
            </w:pPr>
            <w:r>
              <w:t>项目名称</w:t>
            </w:r>
          </w:p>
        </w:tc>
        <w:tc>
          <w:tcPr>
            <w:tcW w:w="6094" w:type="dxa"/>
            <w:gridSpan w:val="3"/>
            <w:vAlign w:val="center"/>
          </w:tcPr>
          <w:p>
            <w:pPr>
              <w:pStyle w:val="12"/>
            </w:pPr>
            <w:r>
              <w:t>普法宣传及人民调解工作经费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预算数5万元。其中：财政资金5万元，其他资金0万元。主要用于普法宣传活动公车运行维护费、调解委员会人员工资等。</w:t>
            </w:r>
            <w:r>
              <w:tab/>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r>
              <w:rPr>
                <w:rFonts w:hint="eastAsia"/>
                <w:lang w:val="en-US" w:eastAsia="zh-CN"/>
              </w:rPr>
              <w:t>25</w:t>
            </w:r>
          </w:p>
        </w:tc>
        <w:tc>
          <w:tcPr>
            <w:tcW w:w="2835" w:type="dxa"/>
            <w:vAlign w:val="center"/>
          </w:tcPr>
          <w:p>
            <w:pPr>
              <w:pStyle w:val="13"/>
              <w:rPr>
                <w:rFonts w:hint="default" w:eastAsia="方正书宋_GBK"/>
                <w:lang w:val="en-US" w:eastAsia="zh-CN"/>
              </w:rPr>
            </w:pPr>
            <w:r>
              <w:rPr>
                <w:rFonts w:hint="eastAsia"/>
                <w:lang w:val="en-US" w:eastAsia="zh-CN"/>
              </w:rPr>
              <w:t>50</w:t>
            </w:r>
          </w:p>
        </w:tc>
        <w:tc>
          <w:tcPr>
            <w:tcW w:w="2551" w:type="dxa"/>
            <w:vAlign w:val="center"/>
          </w:tcPr>
          <w:p>
            <w:pPr>
              <w:pStyle w:val="13"/>
              <w:rPr>
                <w:rFonts w:hint="default" w:eastAsia="方正书宋_GBK"/>
                <w:lang w:val="en-US" w:eastAsia="zh-CN"/>
              </w:rPr>
            </w:pPr>
            <w:r>
              <w:rPr>
                <w:rFonts w:hint="eastAsia"/>
                <w:lang w:val="en-US" w:eastAsia="zh-CN"/>
              </w:rPr>
              <w:t>80</w:t>
            </w: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1.通过法律宣传，进一步提高全民的法律意识和法律素质，自觉形成全社会尊法学法守法用法的浓厚氛围，为构建富裕美丽幸福新青龙创造良好的法治环境。</w:t>
            </w:r>
          </w:p>
          <w:p>
            <w:pPr>
              <w:pStyle w:val="12"/>
            </w:pPr>
            <w:r>
              <w:t>2.通过对消费者矛盾纠纷的调解处置，做到切实加强人民调解组织网络和队伍建设、健全完善人民调解工作制度、强化矛盾纠纷预防和化解工作、健全完善人民调解、行政调解和司法调解衔接机制、强化人民调解工作的组织领导和保障机制。</w:t>
            </w:r>
          </w:p>
          <w:p>
            <w:pPr>
              <w:pStyle w:val="12"/>
            </w:pPr>
            <w:r>
              <w:t>3.通过对消费者矛盾纠纷的调解处置，有效化解消费矛盾纠纷，提高执法工作效率。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普法宣传活动次数</w:t>
            </w:r>
          </w:p>
        </w:tc>
        <w:tc>
          <w:tcPr>
            <w:tcW w:w="5386" w:type="dxa"/>
            <w:vAlign w:val="center"/>
          </w:tcPr>
          <w:p>
            <w:pPr>
              <w:pStyle w:val="12"/>
            </w:pPr>
            <w:r>
              <w:t>普法宣传次数</w:t>
            </w:r>
          </w:p>
        </w:tc>
        <w:tc>
          <w:tcPr>
            <w:tcW w:w="2268" w:type="dxa"/>
            <w:vAlign w:val="center"/>
          </w:tcPr>
          <w:p>
            <w:pPr>
              <w:pStyle w:val="12"/>
            </w:pPr>
            <w:r>
              <w:t>≥5次</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职工人数</w:t>
            </w:r>
          </w:p>
        </w:tc>
        <w:tc>
          <w:tcPr>
            <w:tcW w:w="5386" w:type="dxa"/>
            <w:vAlign w:val="center"/>
          </w:tcPr>
          <w:p>
            <w:pPr>
              <w:pStyle w:val="12"/>
            </w:pPr>
            <w:r>
              <w:t>人民调解委员会职工人数</w:t>
            </w:r>
          </w:p>
        </w:tc>
        <w:tc>
          <w:tcPr>
            <w:tcW w:w="2268" w:type="dxa"/>
            <w:vAlign w:val="center"/>
          </w:tcPr>
          <w:p>
            <w:pPr>
              <w:pStyle w:val="12"/>
            </w:pPr>
            <w:r>
              <w:t>3人</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区域覆盖率</w:t>
            </w:r>
          </w:p>
        </w:tc>
        <w:tc>
          <w:tcPr>
            <w:tcW w:w="5386" w:type="dxa"/>
            <w:vAlign w:val="center"/>
          </w:tcPr>
          <w:p>
            <w:pPr>
              <w:pStyle w:val="12"/>
            </w:pPr>
            <w:r>
              <w:t>反映普法宣传区域覆盖情况</w:t>
            </w:r>
          </w:p>
        </w:tc>
        <w:tc>
          <w:tcPr>
            <w:tcW w:w="2268" w:type="dxa"/>
            <w:vAlign w:val="center"/>
          </w:tcPr>
          <w:p>
            <w:pPr>
              <w:pStyle w:val="12"/>
            </w:pPr>
            <w:r>
              <w:t>≥90%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宣传活动完成率</w:t>
            </w:r>
          </w:p>
        </w:tc>
        <w:tc>
          <w:tcPr>
            <w:tcW w:w="5386" w:type="dxa"/>
            <w:vAlign w:val="center"/>
          </w:tcPr>
          <w:p>
            <w:pPr>
              <w:pStyle w:val="12"/>
            </w:pPr>
            <w:r>
              <w:t>宣传活动完成次数与计划开展次数的比率</w:t>
            </w:r>
          </w:p>
        </w:tc>
        <w:tc>
          <w:tcPr>
            <w:tcW w:w="2268" w:type="dxa"/>
            <w:vAlign w:val="center"/>
          </w:tcPr>
          <w:p>
            <w:pPr>
              <w:pStyle w:val="12"/>
            </w:pPr>
            <w:r>
              <w:t>≥90%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消费投诉办结率</w:t>
            </w:r>
          </w:p>
        </w:tc>
        <w:tc>
          <w:tcPr>
            <w:tcW w:w="5386" w:type="dxa"/>
            <w:vAlign w:val="center"/>
          </w:tcPr>
          <w:p>
            <w:pPr>
              <w:pStyle w:val="12"/>
            </w:pPr>
            <w:r>
              <w:t>反映消费投诉的办结情况，办结消费投诉数占总投诉数的比率</w:t>
            </w:r>
          </w:p>
        </w:tc>
        <w:tc>
          <w:tcPr>
            <w:tcW w:w="2268" w:type="dxa"/>
            <w:vAlign w:val="center"/>
          </w:tcPr>
          <w:p>
            <w:pPr>
              <w:pStyle w:val="12"/>
            </w:pPr>
            <w:r>
              <w:t>≥90%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宣传时间</w:t>
            </w:r>
          </w:p>
        </w:tc>
        <w:tc>
          <w:tcPr>
            <w:tcW w:w="5386" w:type="dxa"/>
            <w:vAlign w:val="center"/>
          </w:tcPr>
          <w:p>
            <w:pPr>
              <w:pStyle w:val="12"/>
            </w:pPr>
            <w:r>
              <w:t>普法宣传活动完成时间</w:t>
            </w:r>
          </w:p>
        </w:tc>
        <w:tc>
          <w:tcPr>
            <w:tcW w:w="2268" w:type="dxa"/>
            <w:vAlign w:val="center"/>
          </w:tcPr>
          <w:p>
            <w:pPr>
              <w:pStyle w:val="12"/>
            </w:pPr>
            <w:r>
              <w:t>2024年度</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w:t>
            </w:r>
          </w:p>
        </w:tc>
        <w:tc>
          <w:tcPr>
            <w:tcW w:w="5386" w:type="dxa"/>
            <w:vAlign w:val="center"/>
          </w:tcPr>
          <w:p>
            <w:pPr>
              <w:pStyle w:val="12"/>
            </w:pPr>
            <w:r>
              <w:t>调解委员会人员工资数</w:t>
            </w:r>
          </w:p>
        </w:tc>
        <w:tc>
          <w:tcPr>
            <w:tcW w:w="2268" w:type="dxa"/>
            <w:vAlign w:val="center"/>
          </w:tcPr>
          <w:p>
            <w:pPr>
              <w:pStyle w:val="12"/>
            </w:pPr>
            <w:r>
              <w:t>1500元/月</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人员经费执行月数</w:t>
            </w:r>
          </w:p>
        </w:tc>
        <w:tc>
          <w:tcPr>
            <w:tcW w:w="5386" w:type="dxa"/>
            <w:vAlign w:val="center"/>
          </w:tcPr>
          <w:p>
            <w:pPr>
              <w:pStyle w:val="12"/>
            </w:pPr>
            <w:r>
              <w:t>发放人员工资月数</w:t>
            </w:r>
          </w:p>
        </w:tc>
        <w:tc>
          <w:tcPr>
            <w:tcW w:w="2268" w:type="dxa"/>
            <w:vAlign w:val="center"/>
          </w:tcPr>
          <w:p>
            <w:pPr>
              <w:pStyle w:val="12"/>
            </w:pPr>
            <w:r>
              <w:t>≤13个月</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运行维护费</w:t>
            </w:r>
          </w:p>
        </w:tc>
        <w:tc>
          <w:tcPr>
            <w:tcW w:w="5386" w:type="dxa"/>
            <w:vAlign w:val="center"/>
          </w:tcPr>
          <w:p>
            <w:pPr>
              <w:pStyle w:val="12"/>
            </w:pPr>
            <w:r>
              <w:t>普法宣传活动用执法车费用</w:t>
            </w:r>
          </w:p>
        </w:tc>
        <w:tc>
          <w:tcPr>
            <w:tcW w:w="2268" w:type="dxa"/>
            <w:vAlign w:val="center"/>
          </w:tcPr>
          <w:p>
            <w:pPr>
              <w:pStyle w:val="12"/>
            </w:pPr>
            <w:r>
              <w:t>≤3万元</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法律法规知晓率</w:t>
            </w:r>
          </w:p>
        </w:tc>
        <w:tc>
          <w:tcPr>
            <w:tcW w:w="5386" w:type="dxa"/>
            <w:vAlign w:val="center"/>
          </w:tcPr>
          <w:p>
            <w:pPr>
              <w:pStyle w:val="12"/>
            </w:pPr>
            <w:r>
              <w:t>反映政策宣贯效果</w:t>
            </w:r>
          </w:p>
        </w:tc>
        <w:tc>
          <w:tcPr>
            <w:tcW w:w="2268" w:type="dxa"/>
            <w:vAlign w:val="center"/>
          </w:tcPr>
          <w:p>
            <w:pPr>
              <w:pStyle w:val="12"/>
            </w:pPr>
            <w:r>
              <w:t>≥90%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消费者投诉案件下降率</w:t>
            </w:r>
          </w:p>
        </w:tc>
        <w:tc>
          <w:tcPr>
            <w:tcW w:w="5386" w:type="dxa"/>
            <w:vAlign w:val="center"/>
          </w:tcPr>
          <w:p>
            <w:pPr>
              <w:pStyle w:val="12"/>
            </w:pPr>
            <w:r>
              <w:t>消费者投诉案件下降比率</w:t>
            </w:r>
          </w:p>
        </w:tc>
        <w:tc>
          <w:tcPr>
            <w:tcW w:w="2268" w:type="dxa"/>
            <w:vAlign w:val="center"/>
          </w:tcPr>
          <w:p>
            <w:pPr>
              <w:pStyle w:val="12"/>
            </w:pPr>
            <w:r>
              <w:t>≥10%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调查中满意和较满意人数占调查总数的比例</w:t>
            </w:r>
          </w:p>
        </w:tc>
        <w:tc>
          <w:tcPr>
            <w:tcW w:w="2268" w:type="dxa"/>
            <w:vAlign w:val="center"/>
          </w:tcPr>
          <w:p>
            <w:pPr>
              <w:pStyle w:val="12"/>
            </w:pPr>
            <w:r>
              <w:t>≥90%</w:t>
            </w:r>
          </w:p>
        </w:tc>
        <w:tc>
          <w:tcPr>
            <w:tcW w:w="1276" w:type="dxa"/>
            <w:vAlign w:val="center"/>
          </w:tcPr>
          <w:p>
            <w:pPr>
              <w:pStyle w:val="12"/>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10、企业监管“双随机</w:t>
      </w:r>
      <w:r>
        <w:rPr>
          <w:rFonts w:hint="eastAsia" w:ascii="方正仿宋_GBK" w:hAnsi="方正仿宋_GBK" w:eastAsia="方正仿宋_GBK" w:cs="方正仿宋_GBK"/>
          <w:b/>
          <w:color w:val="000000"/>
          <w:sz w:val="28"/>
          <w:lang w:eastAsia="zh-CN"/>
        </w:rPr>
        <w:t>、</w:t>
      </w:r>
      <w:r>
        <w:rPr>
          <w:rFonts w:ascii="方正仿宋_GBK" w:hAnsi="方正仿宋_GBK" w:eastAsia="方正仿宋_GBK" w:cs="方正仿宋_GBK"/>
          <w:b/>
          <w:color w:val="000000"/>
          <w:sz w:val="28"/>
        </w:rPr>
        <w:t>一公开”工作经费绩效目标表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13032123P00331910003K</w:t>
            </w:r>
          </w:p>
        </w:tc>
        <w:tc>
          <w:tcPr>
            <w:tcW w:w="2835" w:type="dxa"/>
            <w:vAlign w:val="center"/>
          </w:tcPr>
          <w:p>
            <w:pPr>
              <w:pStyle w:val="10"/>
            </w:pPr>
            <w:r>
              <w:t>项目名称</w:t>
            </w:r>
          </w:p>
        </w:tc>
        <w:tc>
          <w:tcPr>
            <w:tcW w:w="6094" w:type="dxa"/>
            <w:gridSpan w:val="3"/>
            <w:vAlign w:val="center"/>
          </w:tcPr>
          <w:p>
            <w:pPr>
              <w:pStyle w:val="12"/>
            </w:pPr>
            <w:r>
              <w:t>企业监管“双随机</w:t>
            </w:r>
            <w:r>
              <w:rPr>
                <w:rFonts w:hint="eastAsia"/>
                <w:lang w:eastAsia="zh-CN"/>
              </w:rPr>
              <w:t>、</w:t>
            </w:r>
            <w:r>
              <w:t>一公开”工作经费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预算数2万元。其中：财政资金2万元，其他资金0万元。主要用于对市场主体年报的办公费、宣传印刷费、燃油费等。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r>
              <w:rPr>
                <w:rFonts w:hint="eastAsia"/>
                <w:lang w:val="en-US" w:eastAsia="zh-CN"/>
              </w:rPr>
              <w:t>25</w:t>
            </w:r>
          </w:p>
        </w:tc>
        <w:tc>
          <w:tcPr>
            <w:tcW w:w="2835" w:type="dxa"/>
            <w:vAlign w:val="center"/>
          </w:tcPr>
          <w:p>
            <w:pPr>
              <w:pStyle w:val="13"/>
              <w:rPr>
                <w:rFonts w:hint="default" w:eastAsia="方正书宋_GBK"/>
                <w:lang w:val="en-US" w:eastAsia="zh-CN"/>
              </w:rPr>
            </w:pPr>
            <w:r>
              <w:rPr>
                <w:rFonts w:hint="eastAsia"/>
                <w:lang w:val="en-US" w:eastAsia="zh-CN"/>
              </w:rPr>
              <w:t>50</w:t>
            </w:r>
          </w:p>
        </w:tc>
        <w:tc>
          <w:tcPr>
            <w:tcW w:w="2551" w:type="dxa"/>
            <w:vAlign w:val="center"/>
          </w:tcPr>
          <w:p>
            <w:pPr>
              <w:pStyle w:val="13"/>
              <w:rPr>
                <w:rFonts w:hint="default" w:eastAsia="方正书宋_GBK"/>
                <w:lang w:val="en-US" w:eastAsia="zh-CN"/>
              </w:rPr>
            </w:pPr>
            <w:r>
              <w:rPr>
                <w:rFonts w:hint="eastAsia"/>
                <w:lang w:val="en-US" w:eastAsia="zh-CN"/>
              </w:rPr>
              <w:t>80</w:t>
            </w: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1.通过宣传、培训、抽查、列入经营异常名录，使全县市场主体在法定时间内全部进行年报公示。</w:t>
            </w:r>
          </w:p>
          <w:p>
            <w:pPr>
              <w:pStyle w:val="12"/>
            </w:pPr>
            <w:r>
              <w:t>2.通过将未年报市场主体列入经营异常，限制其经营活动，对违法市场主体产生震慑作用，维护市场良好运行秩序。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培训次数</w:t>
            </w:r>
          </w:p>
        </w:tc>
        <w:tc>
          <w:tcPr>
            <w:tcW w:w="5386" w:type="dxa"/>
            <w:vAlign w:val="center"/>
          </w:tcPr>
          <w:p>
            <w:pPr>
              <w:pStyle w:val="12"/>
            </w:pPr>
            <w:r>
              <w:t>对各执法单位进行法制培训</w:t>
            </w:r>
          </w:p>
        </w:tc>
        <w:tc>
          <w:tcPr>
            <w:tcW w:w="2268" w:type="dxa"/>
            <w:vAlign w:val="center"/>
          </w:tcPr>
          <w:p>
            <w:pPr>
              <w:pStyle w:val="12"/>
            </w:pPr>
            <w:r>
              <w:t>≤5次</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年报审计户数</w:t>
            </w:r>
          </w:p>
        </w:tc>
        <w:tc>
          <w:tcPr>
            <w:tcW w:w="5386" w:type="dxa"/>
            <w:vAlign w:val="center"/>
          </w:tcPr>
          <w:p>
            <w:pPr>
              <w:pStyle w:val="12"/>
            </w:pPr>
            <w:r>
              <w:t>根据需求对企业进行年报审计，抽查企业占总企业的比例</w:t>
            </w:r>
          </w:p>
        </w:tc>
        <w:tc>
          <w:tcPr>
            <w:tcW w:w="2268" w:type="dxa"/>
            <w:vAlign w:val="center"/>
          </w:tcPr>
          <w:p>
            <w:pPr>
              <w:pStyle w:val="12"/>
            </w:pPr>
            <w:r>
              <w:t>6%</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宣传卡片数量</w:t>
            </w:r>
          </w:p>
        </w:tc>
        <w:tc>
          <w:tcPr>
            <w:tcW w:w="5386" w:type="dxa"/>
            <w:vAlign w:val="center"/>
          </w:tcPr>
          <w:p>
            <w:pPr>
              <w:pStyle w:val="12"/>
            </w:pPr>
            <w:r>
              <w:t>宣传“双随机</w:t>
            </w:r>
            <w:r>
              <w:rPr>
                <w:rFonts w:hint="eastAsia"/>
                <w:lang w:eastAsia="zh-CN"/>
              </w:rPr>
              <w:t>、</w:t>
            </w:r>
            <w:r>
              <w:t>一公开”资料的印制数量</w:t>
            </w:r>
          </w:p>
        </w:tc>
        <w:tc>
          <w:tcPr>
            <w:tcW w:w="2268" w:type="dxa"/>
            <w:vAlign w:val="center"/>
          </w:tcPr>
          <w:p>
            <w:pPr>
              <w:pStyle w:val="12"/>
            </w:pPr>
            <w:r>
              <w:t>≤17000份</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市场主体年报完成率</w:t>
            </w:r>
          </w:p>
        </w:tc>
        <w:tc>
          <w:tcPr>
            <w:tcW w:w="5386" w:type="dxa"/>
            <w:vAlign w:val="center"/>
          </w:tcPr>
          <w:p>
            <w:pPr>
              <w:pStyle w:val="12"/>
            </w:pPr>
            <w:r>
              <w:t>完成年报的市场主体数量占全部市场主体数量的比率</w:t>
            </w:r>
          </w:p>
        </w:tc>
        <w:tc>
          <w:tcPr>
            <w:tcW w:w="2268" w:type="dxa"/>
            <w:vAlign w:val="center"/>
          </w:tcPr>
          <w:p>
            <w:pPr>
              <w:pStyle w:val="12"/>
            </w:pPr>
            <w:r>
              <w:t>≥97%</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市场主体抽查率</w:t>
            </w:r>
          </w:p>
        </w:tc>
        <w:tc>
          <w:tcPr>
            <w:tcW w:w="5386" w:type="dxa"/>
            <w:vAlign w:val="center"/>
          </w:tcPr>
          <w:p>
            <w:pPr>
              <w:pStyle w:val="12"/>
            </w:pPr>
            <w:r>
              <w:t>抽查企业数占计划抽查企业个数的比率</w:t>
            </w:r>
          </w:p>
        </w:tc>
        <w:tc>
          <w:tcPr>
            <w:tcW w:w="2268" w:type="dxa"/>
            <w:vAlign w:val="center"/>
          </w:tcPr>
          <w:p>
            <w:pPr>
              <w:pStyle w:val="12"/>
            </w:pPr>
            <w:r>
              <w:t>≥70%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宣传册验收合格率</w:t>
            </w:r>
          </w:p>
        </w:tc>
        <w:tc>
          <w:tcPr>
            <w:tcW w:w="2268" w:type="dxa"/>
            <w:vAlign w:val="center"/>
          </w:tcPr>
          <w:p>
            <w:pPr>
              <w:pStyle w:val="12"/>
            </w:pPr>
            <w:r>
              <w:t>100%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培训时间</w:t>
            </w:r>
          </w:p>
        </w:tc>
        <w:tc>
          <w:tcPr>
            <w:tcW w:w="5386" w:type="dxa"/>
            <w:vAlign w:val="center"/>
          </w:tcPr>
          <w:p>
            <w:pPr>
              <w:pStyle w:val="12"/>
            </w:pPr>
            <w:r>
              <w:t>对执法单位法制培训时间</w:t>
            </w:r>
          </w:p>
        </w:tc>
        <w:tc>
          <w:tcPr>
            <w:tcW w:w="2268" w:type="dxa"/>
            <w:vAlign w:val="center"/>
          </w:tcPr>
          <w:p>
            <w:pPr>
              <w:pStyle w:val="12"/>
            </w:pPr>
            <w:r>
              <w:t>2024年10月前完成</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年报完成时间</w:t>
            </w:r>
          </w:p>
        </w:tc>
        <w:tc>
          <w:tcPr>
            <w:tcW w:w="5386" w:type="dxa"/>
            <w:vAlign w:val="center"/>
          </w:tcPr>
          <w:p>
            <w:pPr>
              <w:pStyle w:val="12"/>
            </w:pPr>
            <w:r>
              <w:t>企业完成年报时间</w:t>
            </w:r>
          </w:p>
        </w:tc>
        <w:tc>
          <w:tcPr>
            <w:tcW w:w="2268" w:type="dxa"/>
            <w:vAlign w:val="center"/>
          </w:tcPr>
          <w:p>
            <w:pPr>
              <w:pStyle w:val="12"/>
            </w:pPr>
            <w:r>
              <w:t>2024年6月前完成</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宣传卡片单位成本</w:t>
            </w:r>
          </w:p>
        </w:tc>
        <w:tc>
          <w:tcPr>
            <w:tcW w:w="5386" w:type="dxa"/>
            <w:vAlign w:val="center"/>
          </w:tcPr>
          <w:p>
            <w:pPr>
              <w:pStyle w:val="12"/>
            </w:pPr>
            <w:r>
              <w:t>印制宣传卡片的单位成本</w:t>
            </w:r>
          </w:p>
        </w:tc>
        <w:tc>
          <w:tcPr>
            <w:tcW w:w="2268" w:type="dxa"/>
            <w:vAlign w:val="center"/>
          </w:tcPr>
          <w:p>
            <w:pPr>
              <w:pStyle w:val="12"/>
            </w:pPr>
            <w:r>
              <w:t>≤0.3元/份</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其他办公成本</w:t>
            </w:r>
          </w:p>
        </w:tc>
        <w:tc>
          <w:tcPr>
            <w:tcW w:w="5386" w:type="dxa"/>
            <w:vAlign w:val="center"/>
          </w:tcPr>
          <w:p>
            <w:pPr>
              <w:pStyle w:val="12"/>
            </w:pPr>
            <w:r>
              <w:t>用于跨部门抽查办公费、燃油费等</w:t>
            </w:r>
          </w:p>
        </w:tc>
        <w:tc>
          <w:tcPr>
            <w:tcW w:w="2268" w:type="dxa"/>
            <w:vAlign w:val="center"/>
          </w:tcPr>
          <w:p>
            <w:pPr>
              <w:pStyle w:val="12"/>
            </w:pPr>
            <w:r>
              <w:t>≤1.5万元</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社会发展稳定率</w:t>
            </w:r>
          </w:p>
        </w:tc>
        <w:tc>
          <w:tcPr>
            <w:tcW w:w="5386" w:type="dxa"/>
            <w:vAlign w:val="center"/>
          </w:tcPr>
          <w:p>
            <w:pPr>
              <w:pStyle w:val="12"/>
            </w:pPr>
            <w:r>
              <w:t>推进了基层执法监管的公平性、规范性和有效性，同时切实降低制度性交易成本，更加有利于营造公平竞争的市场环境和法治化便利化的营商环境。</w:t>
            </w:r>
          </w:p>
        </w:tc>
        <w:tc>
          <w:tcPr>
            <w:tcW w:w="2268" w:type="dxa"/>
            <w:vAlign w:val="center"/>
          </w:tcPr>
          <w:p>
            <w:pPr>
              <w:pStyle w:val="12"/>
            </w:pPr>
            <w:r>
              <w:t>≥95%</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市场主体满意度效益指标</w:t>
            </w:r>
          </w:p>
        </w:tc>
        <w:tc>
          <w:tcPr>
            <w:tcW w:w="5386" w:type="dxa"/>
            <w:vAlign w:val="center"/>
          </w:tcPr>
          <w:p>
            <w:pPr>
              <w:pStyle w:val="12"/>
            </w:pPr>
            <w:r>
              <w:t>调查市场主体中满意度比率</w:t>
            </w:r>
          </w:p>
        </w:tc>
        <w:tc>
          <w:tcPr>
            <w:tcW w:w="2268" w:type="dxa"/>
            <w:vAlign w:val="center"/>
          </w:tcPr>
          <w:p>
            <w:pPr>
              <w:pStyle w:val="12"/>
            </w:pPr>
            <w:r>
              <w:t>≥90%</w:t>
            </w:r>
          </w:p>
        </w:tc>
        <w:tc>
          <w:tcPr>
            <w:tcW w:w="1276" w:type="dxa"/>
            <w:vAlign w:val="center"/>
          </w:tcPr>
          <w:p>
            <w:pPr>
              <w:pStyle w:val="12"/>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11、食品安全工作经费绩效目标表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13032123P00331910006E</w:t>
            </w:r>
          </w:p>
        </w:tc>
        <w:tc>
          <w:tcPr>
            <w:tcW w:w="2835" w:type="dxa"/>
            <w:vAlign w:val="center"/>
          </w:tcPr>
          <w:p>
            <w:pPr>
              <w:pStyle w:val="10"/>
            </w:pPr>
            <w:r>
              <w:t>项目名称</w:t>
            </w:r>
          </w:p>
        </w:tc>
        <w:tc>
          <w:tcPr>
            <w:tcW w:w="6094" w:type="dxa"/>
            <w:gridSpan w:val="3"/>
            <w:vAlign w:val="center"/>
          </w:tcPr>
          <w:p>
            <w:pPr>
              <w:pStyle w:val="12"/>
            </w:pPr>
            <w:r>
              <w:t>食品安全工作经费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49.61</w:t>
            </w:r>
          </w:p>
        </w:tc>
        <w:tc>
          <w:tcPr>
            <w:tcW w:w="2835" w:type="dxa"/>
            <w:vAlign w:val="center"/>
          </w:tcPr>
          <w:p>
            <w:pPr>
              <w:pStyle w:val="10"/>
            </w:pPr>
            <w:r>
              <w:t>其中：财政    资金</w:t>
            </w:r>
          </w:p>
        </w:tc>
        <w:tc>
          <w:tcPr>
            <w:tcW w:w="2551" w:type="dxa"/>
            <w:vAlign w:val="center"/>
          </w:tcPr>
          <w:p>
            <w:pPr>
              <w:pStyle w:val="12"/>
            </w:pPr>
            <w:r>
              <w:t>49.61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w:t>
            </w:r>
            <w:r>
              <w:rPr>
                <w:rFonts w:hint="eastAsia"/>
                <w:lang w:val="en-US" w:eastAsia="zh-CN"/>
              </w:rPr>
              <w:t>49</w:t>
            </w:r>
            <w:r>
              <w:t>.61万元。其中：财政资金</w:t>
            </w:r>
            <w:r>
              <w:rPr>
                <w:rFonts w:hint="eastAsia"/>
                <w:lang w:val="en-US" w:eastAsia="zh-CN"/>
              </w:rPr>
              <w:t>49</w:t>
            </w:r>
            <w:r>
              <w:t>.61万元，其他资金0万元。主要用于食品检测费。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r>
              <w:rPr>
                <w:rFonts w:hint="eastAsia"/>
                <w:lang w:val="en-US" w:eastAsia="zh-CN"/>
              </w:rPr>
              <w:t>25</w:t>
            </w:r>
          </w:p>
        </w:tc>
        <w:tc>
          <w:tcPr>
            <w:tcW w:w="2835" w:type="dxa"/>
            <w:vAlign w:val="center"/>
          </w:tcPr>
          <w:p>
            <w:pPr>
              <w:pStyle w:val="13"/>
              <w:rPr>
                <w:rFonts w:hint="default" w:eastAsia="方正书宋_GBK"/>
                <w:lang w:val="en-US" w:eastAsia="zh-CN"/>
              </w:rPr>
            </w:pPr>
            <w:r>
              <w:rPr>
                <w:rFonts w:hint="eastAsia"/>
                <w:lang w:val="en-US" w:eastAsia="zh-CN"/>
              </w:rPr>
              <w:t>50</w:t>
            </w:r>
          </w:p>
        </w:tc>
        <w:tc>
          <w:tcPr>
            <w:tcW w:w="2551" w:type="dxa"/>
            <w:vAlign w:val="center"/>
          </w:tcPr>
          <w:p>
            <w:pPr>
              <w:pStyle w:val="13"/>
              <w:rPr>
                <w:rFonts w:hint="default" w:eastAsia="方正书宋_GBK"/>
                <w:lang w:val="en-US" w:eastAsia="zh-CN"/>
              </w:rPr>
            </w:pPr>
            <w:r>
              <w:rPr>
                <w:rFonts w:hint="eastAsia"/>
                <w:lang w:val="en-US" w:eastAsia="zh-CN"/>
              </w:rPr>
              <w:t>80</w:t>
            </w: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1.通过完成国家、省、市关于食品安全城市创建考核工作任务，为维护良好的市场竞争环境提供有力的法律保障。</w:t>
            </w:r>
          </w:p>
          <w:p>
            <w:pPr>
              <w:pStyle w:val="12"/>
            </w:pPr>
            <w:r>
              <w:t>2.通过加大食品安全工作执法力度，确保食品生产、流通、消费环节不出现重大事故。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检查监督频次</w:t>
            </w:r>
          </w:p>
        </w:tc>
        <w:tc>
          <w:tcPr>
            <w:tcW w:w="5386" w:type="dxa"/>
            <w:vAlign w:val="center"/>
          </w:tcPr>
          <w:p>
            <w:pPr>
              <w:pStyle w:val="12"/>
            </w:pPr>
            <w:r>
              <w:t>食品生产经营单位的日常监督管理频次</w:t>
            </w:r>
          </w:p>
        </w:tc>
        <w:tc>
          <w:tcPr>
            <w:tcW w:w="2268" w:type="dxa"/>
            <w:vAlign w:val="center"/>
          </w:tcPr>
          <w:p>
            <w:pPr>
              <w:pStyle w:val="12"/>
            </w:pPr>
            <w:r>
              <w:t>≥225次</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食品安全抽检次数</w:t>
            </w:r>
          </w:p>
        </w:tc>
        <w:tc>
          <w:tcPr>
            <w:tcW w:w="5386" w:type="dxa"/>
            <w:vAlign w:val="center"/>
          </w:tcPr>
          <w:p>
            <w:pPr>
              <w:pStyle w:val="12"/>
            </w:pPr>
            <w:r>
              <w:t>食品安全抽检次数</w:t>
            </w:r>
          </w:p>
        </w:tc>
        <w:tc>
          <w:tcPr>
            <w:tcW w:w="2268" w:type="dxa"/>
            <w:vAlign w:val="center"/>
          </w:tcPr>
          <w:p>
            <w:pPr>
              <w:pStyle w:val="12"/>
            </w:pPr>
            <w:r>
              <w:t>≥189批次</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重大活动保障人次</w:t>
            </w:r>
          </w:p>
        </w:tc>
        <w:tc>
          <w:tcPr>
            <w:tcW w:w="5386" w:type="dxa"/>
            <w:vAlign w:val="center"/>
          </w:tcPr>
          <w:p>
            <w:pPr>
              <w:pStyle w:val="12"/>
            </w:pPr>
            <w:r>
              <w:t>省级领导、重大活动、两会食品安全的保障人次</w:t>
            </w:r>
          </w:p>
        </w:tc>
        <w:tc>
          <w:tcPr>
            <w:tcW w:w="2268" w:type="dxa"/>
            <w:vAlign w:val="center"/>
          </w:tcPr>
          <w:p>
            <w:pPr>
              <w:pStyle w:val="12"/>
            </w:pPr>
            <w:r>
              <w:t>≥3000人次</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商品抽检率</w:t>
            </w:r>
          </w:p>
        </w:tc>
        <w:tc>
          <w:tcPr>
            <w:tcW w:w="5386" w:type="dxa"/>
            <w:vAlign w:val="center"/>
          </w:tcPr>
          <w:p>
            <w:pPr>
              <w:pStyle w:val="12"/>
            </w:pPr>
            <w:r>
              <w:t>反映商品抽检完成情况，抽检批次完成数占计划抽检数比率</w:t>
            </w:r>
          </w:p>
        </w:tc>
        <w:tc>
          <w:tcPr>
            <w:tcW w:w="2268" w:type="dxa"/>
            <w:vAlign w:val="center"/>
          </w:tcPr>
          <w:p>
            <w:pPr>
              <w:pStyle w:val="12"/>
            </w:pPr>
            <w:r>
              <w:t>≥90%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检测合格率</w:t>
            </w:r>
          </w:p>
        </w:tc>
        <w:tc>
          <w:tcPr>
            <w:tcW w:w="5386" w:type="dxa"/>
            <w:vAlign w:val="center"/>
          </w:tcPr>
          <w:p>
            <w:pPr>
              <w:pStyle w:val="12"/>
            </w:pPr>
            <w:r>
              <w:t>抽检产品、商品的合格率占总产品、商品数比率</w:t>
            </w:r>
          </w:p>
        </w:tc>
        <w:tc>
          <w:tcPr>
            <w:tcW w:w="2268" w:type="dxa"/>
            <w:vAlign w:val="center"/>
          </w:tcPr>
          <w:p>
            <w:pPr>
              <w:pStyle w:val="12"/>
            </w:pPr>
            <w:r>
              <w:t>≥80%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按工作计划，按时完成</w:t>
            </w:r>
          </w:p>
        </w:tc>
        <w:tc>
          <w:tcPr>
            <w:tcW w:w="2268" w:type="dxa"/>
            <w:vAlign w:val="center"/>
          </w:tcPr>
          <w:p>
            <w:pPr>
              <w:pStyle w:val="12"/>
            </w:pPr>
            <w:r>
              <w:t>2024年度</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抽检单位成本</w:t>
            </w:r>
          </w:p>
        </w:tc>
        <w:tc>
          <w:tcPr>
            <w:tcW w:w="5386" w:type="dxa"/>
            <w:vAlign w:val="center"/>
          </w:tcPr>
          <w:p>
            <w:pPr>
              <w:pStyle w:val="12"/>
            </w:pPr>
            <w:r>
              <w:t>抽检单位成本</w:t>
            </w:r>
          </w:p>
        </w:tc>
        <w:tc>
          <w:tcPr>
            <w:tcW w:w="2268" w:type="dxa"/>
            <w:vAlign w:val="center"/>
          </w:tcPr>
          <w:p>
            <w:pPr>
              <w:pStyle w:val="12"/>
            </w:pPr>
            <w:r>
              <w:t>≤720元/份</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不发生重大食品安全事故率</w:t>
            </w:r>
          </w:p>
        </w:tc>
        <w:tc>
          <w:tcPr>
            <w:tcW w:w="5386" w:type="dxa"/>
            <w:vAlign w:val="center"/>
          </w:tcPr>
          <w:p>
            <w:pPr>
              <w:pStyle w:val="12"/>
            </w:pPr>
            <w:r>
              <w:t>保障食品安全，不发生重大食品安全事故</w:t>
            </w:r>
          </w:p>
        </w:tc>
        <w:tc>
          <w:tcPr>
            <w:tcW w:w="2268" w:type="dxa"/>
            <w:vAlign w:val="center"/>
          </w:tcPr>
          <w:p>
            <w:pPr>
              <w:pStyle w:val="12"/>
            </w:pPr>
            <w:r>
              <w:t>100%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群众满意度效益指标</w:t>
            </w:r>
          </w:p>
        </w:tc>
        <w:tc>
          <w:tcPr>
            <w:tcW w:w="5386" w:type="dxa"/>
            <w:vAlign w:val="center"/>
          </w:tcPr>
          <w:p>
            <w:pPr>
              <w:pStyle w:val="12"/>
            </w:pPr>
            <w:r>
              <w:t>调查群众中满意度比率</w:t>
            </w:r>
          </w:p>
        </w:tc>
        <w:tc>
          <w:tcPr>
            <w:tcW w:w="2268" w:type="dxa"/>
            <w:vAlign w:val="center"/>
          </w:tcPr>
          <w:p>
            <w:pPr>
              <w:pStyle w:val="12"/>
            </w:pPr>
            <w:r>
              <w:t>≥90%</w:t>
            </w:r>
          </w:p>
        </w:tc>
        <w:tc>
          <w:tcPr>
            <w:tcW w:w="1276" w:type="dxa"/>
            <w:vAlign w:val="center"/>
          </w:tcPr>
          <w:p>
            <w:pPr>
              <w:pStyle w:val="12"/>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12、知识产权宣传经费绩效目标表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13032124P00331910065G</w:t>
            </w:r>
          </w:p>
        </w:tc>
        <w:tc>
          <w:tcPr>
            <w:tcW w:w="2835" w:type="dxa"/>
            <w:vAlign w:val="center"/>
          </w:tcPr>
          <w:p>
            <w:pPr>
              <w:pStyle w:val="10"/>
            </w:pPr>
            <w:r>
              <w:t>项目名称</w:t>
            </w:r>
          </w:p>
        </w:tc>
        <w:tc>
          <w:tcPr>
            <w:tcW w:w="6094" w:type="dxa"/>
            <w:gridSpan w:val="3"/>
            <w:vAlign w:val="center"/>
          </w:tcPr>
          <w:p>
            <w:pPr>
              <w:pStyle w:val="12"/>
            </w:pPr>
            <w:r>
              <w:t>知识产权宣传经费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预算数3万元。其中：财政资金3万元，其他资金0万元。主要用于知识产权宣传过程中发生的印刷费、宣传用车燃油费、广告宣传费。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r>
              <w:rPr>
                <w:rFonts w:hint="eastAsia"/>
                <w:lang w:val="en-US" w:eastAsia="zh-CN"/>
              </w:rPr>
              <w:t>25</w:t>
            </w:r>
          </w:p>
        </w:tc>
        <w:tc>
          <w:tcPr>
            <w:tcW w:w="2835" w:type="dxa"/>
            <w:vAlign w:val="center"/>
          </w:tcPr>
          <w:p>
            <w:pPr>
              <w:pStyle w:val="13"/>
              <w:rPr>
                <w:rFonts w:hint="default" w:eastAsia="方正书宋_GBK"/>
                <w:lang w:val="en-US" w:eastAsia="zh-CN"/>
              </w:rPr>
            </w:pPr>
            <w:r>
              <w:rPr>
                <w:rFonts w:hint="eastAsia"/>
                <w:lang w:val="en-US" w:eastAsia="zh-CN"/>
              </w:rPr>
              <w:t>50</w:t>
            </w:r>
          </w:p>
        </w:tc>
        <w:tc>
          <w:tcPr>
            <w:tcW w:w="2551" w:type="dxa"/>
            <w:vAlign w:val="center"/>
          </w:tcPr>
          <w:p>
            <w:pPr>
              <w:pStyle w:val="13"/>
              <w:rPr>
                <w:rFonts w:hint="default" w:eastAsia="方正书宋_GBK"/>
                <w:lang w:val="en-US" w:eastAsia="zh-CN"/>
              </w:rPr>
            </w:pPr>
            <w:r>
              <w:rPr>
                <w:rFonts w:hint="eastAsia"/>
                <w:lang w:val="en-US" w:eastAsia="zh-CN"/>
              </w:rPr>
              <w:t>80</w:t>
            </w: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1.通过知识产权宣传活动，提高企业对知识产权保护意识，不断提升知识产权创造质量。</w:t>
            </w:r>
          </w:p>
          <w:p>
            <w:pPr>
              <w:pStyle w:val="12"/>
            </w:pPr>
            <w:r>
              <w:t>2.通过知识产权宣传活动，提高公众对知识产权领域认知率，改善市场营销环境，持续提升知识产权保护效果。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知识产权宣传对接企业数</w:t>
            </w:r>
          </w:p>
        </w:tc>
        <w:tc>
          <w:tcPr>
            <w:tcW w:w="5386" w:type="dxa"/>
            <w:vAlign w:val="center"/>
          </w:tcPr>
          <w:p>
            <w:pPr>
              <w:pStyle w:val="12"/>
            </w:pPr>
            <w:r>
              <w:t>反映每年针知识产权信息进企业促创新对接企业数量</w:t>
            </w:r>
          </w:p>
        </w:tc>
        <w:tc>
          <w:tcPr>
            <w:tcW w:w="2268" w:type="dxa"/>
            <w:vAlign w:val="center"/>
          </w:tcPr>
          <w:p>
            <w:pPr>
              <w:pStyle w:val="12"/>
            </w:pPr>
            <w:r>
              <w:t>≥160家</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知识产权宣传册印刷数量</w:t>
            </w:r>
          </w:p>
        </w:tc>
        <w:tc>
          <w:tcPr>
            <w:tcW w:w="5386" w:type="dxa"/>
            <w:vAlign w:val="center"/>
          </w:tcPr>
          <w:p>
            <w:pPr>
              <w:pStyle w:val="12"/>
            </w:pPr>
            <w:r>
              <w:t>知识产权宣传册印刷数量</w:t>
            </w:r>
          </w:p>
        </w:tc>
        <w:tc>
          <w:tcPr>
            <w:tcW w:w="2268" w:type="dxa"/>
            <w:vAlign w:val="center"/>
          </w:tcPr>
          <w:p>
            <w:pPr>
              <w:pStyle w:val="12"/>
            </w:pPr>
            <w:r>
              <w:t>≥1000本</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宣传条幅数</w:t>
            </w:r>
          </w:p>
        </w:tc>
        <w:tc>
          <w:tcPr>
            <w:tcW w:w="5386" w:type="dxa"/>
            <w:vAlign w:val="center"/>
          </w:tcPr>
          <w:p>
            <w:pPr>
              <w:pStyle w:val="12"/>
            </w:pPr>
            <w:r>
              <w:t>印刷宣传用条幅数量</w:t>
            </w:r>
          </w:p>
        </w:tc>
        <w:tc>
          <w:tcPr>
            <w:tcW w:w="2268" w:type="dxa"/>
            <w:vAlign w:val="center"/>
          </w:tcPr>
          <w:p>
            <w:pPr>
              <w:pStyle w:val="12"/>
            </w:pPr>
            <w:r>
              <w:t>≥100条</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宣传用车数量</w:t>
            </w:r>
          </w:p>
        </w:tc>
        <w:tc>
          <w:tcPr>
            <w:tcW w:w="5386" w:type="dxa"/>
            <w:vAlign w:val="center"/>
          </w:tcPr>
          <w:p>
            <w:pPr>
              <w:pStyle w:val="12"/>
            </w:pPr>
            <w:r>
              <w:t>知识产权宣传用车数量</w:t>
            </w:r>
          </w:p>
        </w:tc>
        <w:tc>
          <w:tcPr>
            <w:tcW w:w="2268" w:type="dxa"/>
            <w:vAlign w:val="center"/>
          </w:tcPr>
          <w:p>
            <w:pPr>
              <w:pStyle w:val="12"/>
            </w:pPr>
            <w:r>
              <w:t>≤2辆</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宣传用滚动大屏数量</w:t>
            </w:r>
          </w:p>
        </w:tc>
        <w:tc>
          <w:tcPr>
            <w:tcW w:w="5386" w:type="dxa"/>
            <w:vAlign w:val="center"/>
          </w:tcPr>
          <w:p>
            <w:pPr>
              <w:pStyle w:val="12"/>
            </w:pPr>
            <w:r>
              <w:t>知识产权宣传用广场滚动大屏数量</w:t>
            </w:r>
          </w:p>
        </w:tc>
        <w:tc>
          <w:tcPr>
            <w:tcW w:w="2268" w:type="dxa"/>
            <w:vAlign w:val="center"/>
          </w:tcPr>
          <w:p>
            <w:pPr>
              <w:pStyle w:val="12"/>
            </w:pPr>
            <w:r>
              <w:t>2块</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宣传册合格率</w:t>
            </w:r>
          </w:p>
        </w:tc>
        <w:tc>
          <w:tcPr>
            <w:tcW w:w="5386" w:type="dxa"/>
            <w:vAlign w:val="center"/>
          </w:tcPr>
          <w:p>
            <w:pPr>
              <w:pStyle w:val="12"/>
            </w:pPr>
            <w:r>
              <w:t>宣传册合格数量占印刷总数量的比率</w:t>
            </w:r>
          </w:p>
        </w:tc>
        <w:tc>
          <w:tcPr>
            <w:tcW w:w="2268" w:type="dxa"/>
            <w:vAlign w:val="center"/>
          </w:tcPr>
          <w:p>
            <w:pPr>
              <w:pStyle w:val="12"/>
            </w:pPr>
            <w:r>
              <w:t>≥90%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车辆运行安全率</w:t>
            </w:r>
          </w:p>
        </w:tc>
        <w:tc>
          <w:tcPr>
            <w:tcW w:w="5386" w:type="dxa"/>
            <w:vAlign w:val="center"/>
          </w:tcPr>
          <w:p>
            <w:pPr>
              <w:pStyle w:val="12"/>
            </w:pPr>
            <w:r>
              <w:t>反映宣传车辆运行的安全率</w:t>
            </w:r>
          </w:p>
        </w:tc>
        <w:tc>
          <w:tcPr>
            <w:tcW w:w="2268" w:type="dxa"/>
            <w:vAlign w:val="center"/>
          </w:tcPr>
          <w:p>
            <w:pPr>
              <w:pStyle w:val="12"/>
            </w:pPr>
            <w:r>
              <w:t>100%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知识产权宣传完成时间</w:t>
            </w:r>
          </w:p>
        </w:tc>
        <w:tc>
          <w:tcPr>
            <w:tcW w:w="2268" w:type="dxa"/>
            <w:vAlign w:val="center"/>
          </w:tcPr>
          <w:p>
            <w:pPr>
              <w:pStyle w:val="12"/>
            </w:pPr>
            <w:r>
              <w:t>2024年度</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宣传册印刷支出</w:t>
            </w:r>
          </w:p>
        </w:tc>
        <w:tc>
          <w:tcPr>
            <w:tcW w:w="2268" w:type="dxa"/>
            <w:vAlign w:val="center"/>
          </w:tcPr>
          <w:p>
            <w:pPr>
              <w:pStyle w:val="12"/>
            </w:pPr>
            <w:r>
              <w:t>≤2元/本</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宣传用大屏使用费</w:t>
            </w:r>
          </w:p>
        </w:tc>
        <w:tc>
          <w:tcPr>
            <w:tcW w:w="2268" w:type="dxa"/>
            <w:vAlign w:val="center"/>
          </w:tcPr>
          <w:p>
            <w:pPr>
              <w:pStyle w:val="12"/>
            </w:pPr>
            <w:r>
              <w:t>≤2000元/块</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宣传条幅印刷费用</w:t>
            </w:r>
          </w:p>
        </w:tc>
        <w:tc>
          <w:tcPr>
            <w:tcW w:w="2268" w:type="dxa"/>
            <w:vAlign w:val="center"/>
          </w:tcPr>
          <w:p>
            <w:pPr>
              <w:pStyle w:val="12"/>
            </w:pPr>
            <w:r>
              <w:t>≤40元/条</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燃油费</w:t>
            </w:r>
          </w:p>
        </w:tc>
        <w:tc>
          <w:tcPr>
            <w:tcW w:w="5386" w:type="dxa"/>
            <w:vAlign w:val="center"/>
          </w:tcPr>
          <w:p>
            <w:pPr>
              <w:pStyle w:val="12"/>
            </w:pPr>
            <w:r>
              <w:t>反映为宣传工作而使用车辆费用</w:t>
            </w:r>
          </w:p>
        </w:tc>
        <w:tc>
          <w:tcPr>
            <w:tcW w:w="2268" w:type="dxa"/>
            <w:vAlign w:val="center"/>
          </w:tcPr>
          <w:p>
            <w:pPr>
              <w:pStyle w:val="12"/>
            </w:pPr>
            <w:r>
              <w:t>≤2万元</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知识产权知晓率</w:t>
            </w:r>
          </w:p>
        </w:tc>
        <w:tc>
          <w:tcPr>
            <w:tcW w:w="5386" w:type="dxa"/>
            <w:vAlign w:val="center"/>
          </w:tcPr>
          <w:p>
            <w:pPr>
              <w:pStyle w:val="12"/>
            </w:pPr>
            <w:r>
              <w:t>反映公众对知识产权领域知晓比率</w:t>
            </w:r>
          </w:p>
        </w:tc>
        <w:tc>
          <w:tcPr>
            <w:tcW w:w="2268" w:type="dxa"/>
            <w:vAlign w:val="center"/>
          </w:tcPr>
          <w:p>
            <w:pPr>
              <w:pStyle w:val="12"/>
            </w:pPr>
            <w:r>
              <w:t>≥60%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知识产权案件下降率</w:t>
            </w:r>
          </w:p>
        </w:tc>
        <w:tc>
          <w:tcPr>
            <w:tcW w:w="5386" w:type="dxa"/>
            <w:vAlign w:val="center"/>
          </w:tcPr>
          <w:p>
            <w:pPr>
              <w:pStyle w:val="12"/>
            </w:pPr>
            <w:r>
              <w:t>反映知识产权方面案件的下降比率</w:t>
            </w:r>
          </w:p>
        </w:tc>
        <w:tc>
          <w:tcPr>
            <w:tcW w:w="2268" w:type="dxa"/>
            <w:vAlign w:val="center"/>
          </w:tcPr>
          <w:p>
            <w:pPr>
              <w:pStyle w:val="12"/>
            </w:pPr>
            <w:r>
              <w:t>≥30%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调查中满意和较满意人数占调查总数的比例</w:t>
            </w:r>
          </w:p>
        </w:tc>
        <w:tc>
          <w:tcPr>
            <w:tcW w:w="2268" w:type="dxa"/>
            <w:vAlign w:val="center"/>
          </w:tcPr>
          <w:p>
            <w:pPr>
              <w:pStyle w:val="12"/>
            </w:pPr>
            <w:r>
              <w:t>≥90%</w:t>
            </w:r>
          </w:p>
        </w:tc>
        <w:tc>
          <w:tcPr>
            <w:tcW w:w="1276" w:type="dxa"/>
            <w:vAlign w:val="center"/>
          </w:tcPr>
          <w:p>
            <w:pPr>
              <w:pStyle w:val="12"/>
            </w:pPr>
            <w:r>
              <w:t>2024年初工作计划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13、执法办案工作经费绩效目标表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13032123P00331910005T</w:t>
            </w:r>
          </w:p>
        </w:tc>
        <w:tc>
          <w:tcPr>
            <w:tcW w:w="2835" w:type="dxa"/>
            <w:vAlign w:val="center"/>
          </w:tcPr>
          <w:p>
            <w:pPr>
              <w:pStyle w:val="10"/>
            </w:pPr>
            <w:r>
              <w:t>项目名称</w:t>
            </w:r>
          </w:p>
        </w:tc>
        <w:tc>
          <w:tcPr>
            <w:tcW w:w="6094" w:type="dxa"/>
            <w:gridSpan w:val="3"/>
            <w:vAlign w:val="center"/>
          </w:tcPr>
          <w:p>
            <w:pPr>
              <w:pStyle w:val="12"/>
            </w:pPr>
            <w:r>
              <w:t>执法办案工作经费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17.60</w:t>
            </w:r>
          </w:p>
        </w:tc>
        <w:tc>
          <w:tcPr>
            <w:tcW w:w="2835" w:type="dxa"/>
            <w:vAlign w:val="center"/>
          </w:tcPr>
          <w:p>
            <w:pPr>
              <w:pStyle w:val="10"/>
            </w:pPr>
            <w:r>
              <w:t>其中：财政    资金</w:t>
            </w:r>
          </w:p>
        </w:tc>
        <w:tc>
          <w:tcPr>
            <w:tcW w:w="2551" w:type="dxa"/>
            <w:vAlign w:val="center"/>
          </w:tcPr>
          <w:p>
            <w:pPr>
              <w:pStyle w:val="12"/>
            </w:pPr>
            <w:r>
              <w:t>17.60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预算数1</w:t>
            </w:r>
            <w:r>
              <w:rPr>
                <w:rFonts w:hint="eastAsia"/>
                <w:lang w:val="en-US" w:eastAsia="zh-CN"/>
              </w:rPr>
              <w:t>7.6</w:t>
            </w:r>
            <w:r>
              <w:t>万元。其中：财政资金</w:t>
            </w:r>
            <w:r>
              <w:rPr>
                <w:rFonts w:hint="eastAsia"/>
                <w:lang w:val="en-US" w:eastAsia="zh-CN"/>
              </w:rPr>
              <w:t>17.6</w:t>
            </w:r>
            <w:r>
              <w:t>万元，其他资金0万元。主要用于执法办案过程中发生的执法用车燃油费。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r>
              <w:rPr>
                <w:rFonts w:hint="eastAsia"/>
                <w:lang w:val="en-US" w:eastAsia="zh-CN"/>
              </w:rPr>
              <w:t>25</w:t>
            </w:r>
          </w:p>
        </w:tc>
        <w:tc>
          <w:tcPr>
            <w:tcW w:w="2835" w:type="dxa"/>
            <w:vAlign w:val="center"/>
          </w:tcPr>
          <w:p>
            <w:pPr>
              <w:pStyle w:val="13"/>
              <w:rPr>
                <w:rFonts w:hint="default" w:eastAsia="方正书宋_GBK"/>
                <w:lang w:val="en-US" w:eastAsia="zh-CN"/>
              </w:rPr>
            </w:pPr>
            <w:r>
              <w:rPr>
                <w:rFonts w:hint="eastAsia"/>
                <w:lang w:val="en-US" w:eastAsia="zh-CN"/>
              </w:rPr>
              <w:t>50</w:t>
            </w:r>
          </w:p>
        </w:tc>
        <w:tc>
          <w:tcPr>
            <w:tcW w:w="2551" w:type="dxa"/>
            <w:vAlign w:val="center"/>
          </w:tcPr>
          <w:p>
            <w:pPr>
              <w:pStyle w:val="13"/>
              <w:rPr>
                <w:rFonts w:hint="default" w:eastAsia="方正书宋_GBK"/>
                <w:lang w:val="en-US" w:eastAsia="zh-CN"/>
              </w:rPr>
            </w:pPr>
            <w:r>
              <w:rPr>
                <w:rFonts w:hint="eastAsia"/>
                <w:lang w:val="en-US" w:eastAsia="zh-CN"/>
              </w:rPr>
              <w:t>80</w:t>
            </w: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1.通过组织开展专项执法行动，依法查处各类市场违法行为。</w:t>
            </w:r>
          </w:p>
          <w:p>
            <w:pPr>
              <w:pStyle w:val="12"/>
            </w:pPr>
            <w:r>
              <w:t>2.通过查处严重损害群众利益和破坏市场秩序的大案要案，维护公平竞争的市场秩序。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执法监督检查企业数</w:t>
            </w:r>
          </w:p>
        </w:tc>
        <w:tc>
          <w:tcPr>
            <w:tcW w:w="5386" w:type="dxa"/>
            <w:vAlign w:val="center"/>
          </w:tcPr>
          <w:p>
            <w:pPr>
              <w:pStyle w:val="12"/>
            </w:pPr>
            <w:r>
              <w:t>反映市场监管部门对企业开展执法检查企业数量</w:t>
            </w:r>
          </w:p>
        </w:tc>
        <w:tc>
          <w:tcPr>
            <w:tcW w:w="2268" w:type="dxa"/>
            <w:vAlign w:val="center"/>
          </w:tcPr>
          <w:p>
            <w:pPr>
              <w:pStyle w:val="12"/>
            </w:pPr>
            <w:r>
              <w:t>≥300户</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执法用车数量</w:t>
            </w:r>
          </w:p>
        </w:tc>
        <w:tc>
          <w:tcPr>
            <w:tcW w:w="5386" w:type="dxa"/>
            <w:vAlign w:val="center"/>
          </w:tcPr>
          <w:p>
            <w:pPr>
              <w:pStyle w:val="12"/>
            </w:pPr>
            <w:r>
              <w:t>执法办案过程中所需的执法用车数量</w:t>
            </w:r>
          </w:p>
        </w:tc>
        <w:tc>
          <w:tcPr>
            <w:tcW w:w="2268" w:type="dxa"/>
            <w:vAlign w:val="center"/>
          </w:tcPr>
          <w:p>
            <w:pPr>
              <w:pStyle w:val="12"/>
            </w:pPr>
            <w:r>
              <w:t>≤10辆</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执法案件查处率</w:t>
            </w:r>
          </w:p>
        </w:tc>
        <w:tc>
          <w:tcPr>
            <w:tcW w:w="5386" w:type="dxa"/>
            <w:vAlign w:val="center"/>
          </w:tcPr>
          <w:p>
            <w:pPr>
              <w:pStyle w:val="12"/>
            </w:pPr>
            <w:r>
              <w:t>反映对各类违法案件查处工作情况，查处案件数占受理案件数比率</w:t>
            </w:r>
          </w:p>
        </w:tc>
        <w:tc>
          <w:tcPr>
            <w:tcW w:w="2268" w:type="dxa"/>
            <w:vAlign w:val="center"/>
          </w:tcPr>
          <w:p>
            <w:pPr>
              <w:pStyle w:val="12"/>
            </w:pPr>
            <w:r>
              <w:t>≥90%</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车辆运行安全率</w:t>
            </w:r>
          </w:p>
        </w:tc>
        <w:tc>
          <w:tcPr>
            <w:tcW w:w="5386" w:type="dxa"/>
            <w:vAlign w:val="center"/>
          </w:tcPr>
          <w:p>
            <w:pPr>
              <w:pStyle w:val="12"/>
            </w:pPr>
            <w:r>
              <w:t>反映执法车辆运行的安全率</w:t>
            </w:r>
          </w:p>
        </w:tc>
        <w:tc>
          <w:tcPr>
            <w:tcW w:w="2268" w:type="dxa"/>
            <w:vAlign w:val="center"/>
          </w:tcPr>
          <w:p>
            <w:pPr>
              <w:pStyle w:val="12"/>
            </w:pPr>
            <w:r>
              <w:t>100%</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执法案件完成时间</w:t>
            </w:r>
          </w:p>
        </w:tc>
        <w:tc>
          <w:tcPr>
            <w:tcW w:w="2268" w:type="dxa"/>
            <w:vAlign w:val="center"/>
          </w:tcPr>
          <w:p>
            <w:pPr>
              <w:pStyle w:val="12"/>
            </w:pPr>
            <w:r>
              <w:t>2024年度</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燃油费</w:t>
            </w:r>
          </w:p>
        </w:tc>
        <w:tc>
          <w:tcPr>
            <w:tcW w:w="5386" w:type="dxa"/>
            <w:vAlign w:val="center"/>
          </w:tcPr>
          <w:p>
            <w:pPr>
              <w:pStyle w:val="12"/>
            </w:pPr>
            <w:r>
              <w:t>反映为工作而使用执法用车费用</w:t>
            </w:r>
          </w:p>
        </w:tc>
        <w:tc>
          <w:tcPr>
            <w:tcW w:w="2268" w:type="dxa"/>
            <w:vAlign w:val="center"/>
          </w:tcPr>
          <w:p>
            <w:pPr>
              <w:pStyle w:val="12"/>
            </w:pPr>
            <w:r>
              <w:t>≤1.6万元/辆</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执法办案行为投诉率</w:t>
            </w:r>
          </w:p>
        </w:tc>
        <w:tc>
          <w:tcPr>
            <w:tcW w:w="5386" w:type="dxa"/>
            <w:vAlign w:val="center"/>
          </w:tcPr>
          <w:p>
            <w:pPr>
              <w:pStyle w:val="12"/>
            </w:pPr>
            <w:r>
              <w:t>被投诉的执法办案行为次数占执法办案总数的比率</w:t>
            </w:r>
          </w:p>
        </w:tc>
        <w:tc>
          <w:tcPr>
            <w:tcW w:w="2268" w:type="dxa"/>
            <w:vAlign w:val="center"/>
          </w:tcPr>
          <w:p>
            <w:pPr>
              <w:pStyle w:val="12"/>
            </w:pPr>
            <w:r>
              <w:t>≤5%</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违法案件下降率（%）</w:t>
            </w:r>
          </w:p>
        </w:tc>
        <w:tc>
          <w:tcPr>
            <w:tcW w:w="5386" w:type="dxa"/>
            <w:vAlign w:val="center"/>
          </w:tcPr>
          <w:p>
            <w:pPr>
              <w:pStyle w:val="12"/>
            </w:pPr>
            <w:r>
              <w:t>违法案件数量同比下降率</w:t>
            </w:r>
          </w:p>
        </w:tc>
        <w:tc>
          <w:tcPr>
            <w:tcW w:w="2268" w:type="dxa"/>
            <w:vAlign w:val="center"/>
          </w:tcPr>
          <w:p>
            <w:pPr>
              <w:pStyle w:val="12"/>
            </w:pPr>
            <w:r>
              <w:t>≥3%</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调查中满意和较满意人数占调查总数的比例</w:t>
            </w:r>
          </w:p>
        </w:tc>
        <w:tc>
          <w:tcPr>
            <w:tcW w:w="2268" w:type="dxa"/>
            <w:vAlign w:val="center"/>
          </w:tcPr>
          <w:p>
            <w:pPr>
              <w:pStyle w:val="12"/>
            </w:pPr>
            <w:r>
              <w:t>≥90%</w:t>
            </w:r>
          </w:p>
        </w:tc>
        <w:tc>
          <w:tcPr>
            <w:tcW w:w="1276" w:type="dxa"/>
            <w:vAlign w:val="center"/>
          </w:tcPr>
          <w:p>
            <w:pPr>
              <w:pStyle w:val="12"/>
            </w:pPr>
            <w:r>
              <w:t>调查统计结果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14、执法服装购置费绩效目标表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13032123P00331910010L</w:t>
            </w:r>
          </w:p>
        </w:tc>
        <w:tc>
          <w:tcPr>
            <w:tcW w:w="2835" w:type="dxa"/>
            <w:vAlign w:val="center"/>
          </w:tcPr>
          <w:p>
            <w:pPr>
              <w:pStyle w:val="10"/>
            </w:pPr>
            <w:r>
              <w:t>项目名称</w:t>
            </w:r>
          </w:p>
        </w:tc>
        <w:tc>
          <w:tcPr>
            <w:tcW w:w="6094" w:type="dxa"/>
            <w:gridSpan w:val="3"/>
            <w:vAlign w:val="center"/>
          </w:tcPr>
          <w:p>
            <w:pPr>
              <w:pStyle w:val="12"/>
            </w:pPr>
            <w:r>
              <w:t>执法服装购置费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21.00</w:t>
            </w:r>
          </w:p>
        </w:tc>
        <w:tc>
          <w:tcPr>
            <w:tcW w:w="2835" w:type="dxa"/>
            <w:vAlign w:val="center"/>
          </w:tcPr>
          <w:p>
            <w:pPr>
              <w:pStyle w:val="10"/>
            </w:pPr>
            <w:r>
              <w:t>其中：财政    资金</w:t>
            </w:r>
          </w:p>
        </w:tc>
        <w:tc>
          <w:tcPr>
            <w:tcW w:w="2551" w:type="dxa"/>
            <w:vAlign w:val="center"/>
          </w:tcPr>
          <w:p>
            <w:pPr>
              <w:pStyle w:val="12"/>
            </w:pPr>
            <w:r>
              <w:t>21.00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预算数21万元。其中：财政资金21万元，其他资金0万元。用于执法服装购置费。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rPr>
                <w:rFonts w:hint="default" w:eastAsia="方正书宋_GBK"/>
                <w:lang w:val="en-US" w:eastAsia="zh-CN"/>
              </w:rPr>
            </w:pPr>
            <w:r>
              <w:rPr>
                <w:rFonts w:hint="eastAsia"/>
                <w:lang w:val="en-US" w:eastAsia="zh-CN"/>
              </w:rPr>
              <w:t>25</w:t>
            </w:r>
          </w:p>
        </w:tc>
        <w:tc>
          <w:tcPr>
            <w:tcW w:w="2835" w:type="dxa"/>
            <w:vAlign w:val="center"/>
          </w:tcPr>
          <w:p>
            <w:pPr>
              <w:pStyle w:val="13"/>
              <w:rPr>
                <w:rFonts w:hint="default" w:eastAsia="方正书宋_GBK"/>
                <w:lang w:val="en-US" w:eastAsia="zh-CN"/>
              </w:rPr>
            </w:pPr>
            <w:r>
              <w:rPr>
                <w:rFonts w:hint="eastAsia"/>
                <w:lang w:val="en-US" w:eastAsia="zh-CN"/>
              </w:rPr>
              <w:t>50</w:t>
            </w:r>
          </w:p>
        </w:tc>
        <w:tc>
          <w:tcPr>
            <w:tcW w:w="2551" w:type="dxa"/>
            <w:vAlign w:val="center"/>
          </w:tcPr>
          <w:p>
            <w:pPr>
              <w:pStyle w:val="13"/>
              <w:rPr>
                <w:rFonts w:hint="default" w:eastAsia="方正书宋_GBK"/>
                <w:lang w:val="en-US" w:eastAsia="zh-CN"/>
              </w:rPr>
            </w:pPr>
            <w:r>
              <w:rPr>
                <w:rFonts w:hint="eastAsia"/>
                <w:lang w:val="en-US" w:eastAsia="zh-CN"/>
              </w:rPr>
              <w:t>80</w:t>
            </w:r>
          </w:p>
        </w:tc>
        <w:tc>
          <w:tcPr>
            <w:tcW w:w="3543"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1.通过统一执法服装，更好地树立执法队伍形象，提高执法工作的正规性与严肃性，增强市场监管广大干部职工的确责任感、使命感和职业荣誉感。</w:t>
            </w:r>
          </w:p>
          <w:p>
            <w:pPr>
              <w:pStyle w:val="12"/>
            </w:pPr>
            <w:r>
              <w:t>2.通过统一执法服装，加大执法力度，维护法律尊严，更有效地打击市场违法行为。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配备执法服装职工人数</w:t>
            </w:r>
          </w:p>
        </w:tc>
        <w:tc>
          <w:tcPr>
            <w:tcW w:w="2268" w:type="dxa"/>
            <w:vAlign w:val="center"/>
          </w:tcPr>
          <w:p>
            <w:pPr>
              <w:pStyle w:val="12"/>
            </w:pPr>
            <w:r>
              <w:t>104人</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保障部门</w:t>
            </w:r>
          </w:p>
        </w:tc>
        <w:tc>
          <w:tcPr>
            <w:tcW w:w="5386" w:type="dxa"/>
            <w:vAlign w:val="center"/>
          </w:tcPr>
          <w:p>
            <w:pPr>
              <w:pStyle w:val="12"/>
            </w:pPr>
            <w:r>
              <w:t>配备执法服装部门个数</w:t>
            </w:r>
          </w:p>
        </w:tc>
        <w:tc>
          <w:tcPr>
            <w:tcW w:w="2268" w:type="dxa"/>
            <w:vAlign w:val="center"/>
          </w:tcPr>
          <w:p>
            <w:pPr>
              <w:pStyle w:val="12"/>
            </w:pPr>
            <w:r>
              <w:t>22个</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执法服装质量合格率</w:t>
            </w:r>
          </w:p>
        </w:tc>
        <w:tc>
          <w:tcPr>
            <w:tcW w:w="5386" w:type="dxa"/>
            <w:vAlign w:val="center"/>
          </w:tcPr>
          <w:p>
            <w:pPr>
              <w:pStyle w:val="12"/>
            </w:pPr>
            <w:r>
              <w:t>配备执法服装质量合格比率</w:t>
            </w:r>
          </w:p>
        </w:tc>
        <w:tc>
          <w:tcPr>
            <w:tcW w:w="2268" w:type="dxa"/>
            <w:vAlign w:val="center"/>
          </w:tcPr>
          <w:p>
            <w:pPr>
              <w:pStyle w:val="12"/>
            </w:pPr>
            <w:r>
              <w:t>100%</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执法服装配备率</w:t>
            </w:r>
          </w:p>
        </w:tc>
        <w:tc>
          <w:tcPr>
            <w:tcW w:w="5386" w:type="dxa"/>
            <w:vAlign w:val="center"/>
          </w:tcPr>
          <w:p>
            <w:pPr>
              <w:pStyle w:val="12"/>
            </w:pPr>
            <w:r>
              <w:t>完成计划配备执法服装的人员比例</w:t>
            </w:r>
          </w:p>
        </w:tc>
        <w:tc>
          <w:tcPr>
            <w:tcW w:w="2268" w:type="dxa"/>
            <w:vAlign w:val="center"/>
          </w:tcPr>
          <w:p>
            <w:pPr>
              <w:pStyle w:val="12"/>
            </w:pPr>
            <w:r>
              <w:t>≥95%</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执法服装配备完成时间</w:t>
            </w:r>
          </w:p>
        </w:tc>
        <w:tc>
          <w:tcPr>
            <w:tcW w:w="2268" w:type="dxa"/>
            <w:vAlign w:val="center"/>
          </w:tcPr>
          <w:p>
            <w:pPr>
              <w:pStyle w:val="12"/>
            </w:pPr>
            <w:r>
              <w:t>2024年12月底之前</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反映男职工每人每年各季服装成本总额</w:t>
            </w:r>
          </w:p>
        </w:tc>
        <w:tc>
          <w:tcPr>
            <w:tcW w:w="2268" w:type="dxa"/>
            <w:vAlign w:val="center"/>
          </w:tcPr>
          <w:p>
            <w:pPr>
              <w:pStyle w:val="12"/>
            </w:pPr>
            <w:r>
              <w:t>≤4040元/人</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反映女职工每人每年各季服装成本总额</w:t>
            </w:r>
          </w:p>
        </w:tc>
        <w:tc>
          <w:tcPr>
            <w:tcW w:w="2268" w:type="dxa"/>
            <w:vAlign w:val="center"/>
          </w:tcPr>
          <w:p>
            <w:pPr>
              <w:pStyle w:val="12"/>
            </w:pPr>
            <w:r>
              <w:t>≤4030元/人</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执法办案行为投诉率</w:t>
            </w:r>
          </w:p>
        </w:tc>
        <w:tc>
          <w:tcPr>
            <w:tcW w:w="5386" w:type="dxa"/>
            <w:vAlign w:val="center"/>
          </w:tcPr>
          <w:p>
            <w:pPr>
              <w:pStyle w:val="12"/>
            </w:pPr>
            <w:r>
              <w:t>被投诉的执法办案行为次数占执法办案总数的比率</w:t>
            </w:r>
          </w:p>
        </w:tc>
        <w:tc>
          <w:tcPr>
            <w:tcW w:w="2268" w:type="dxa"/>
            <w:vAlign w:val="center"/>
          </w:tcPr>
          <w:p>
            <w:pPr>
              <w:pStyle w:val="12"/>
            </w:pPr>
            <w:r>
              <w:t>≤5%</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违法案件下降率（%）</w:t>
            </w:r>
          </w:p>
        </w:tc>
        <w:tc>
          <w:tcPr>
            <w:tcW w:w="5386" w:type="dxa"/>
            <w:vAlign w:val="center"/>
          </w:tcPr>
          <w:p>
            <w:pPr>
              <w:pStyle w:val="12"/>
            </w:pPr>
            <w:r>
              <w:t>违法案件数量同比下降率</w:t>
            </w:r>
          </w:p>
        </w:tc>
        <w:tc>
          <w:tcPr>
            <w:tcW w:w="2268" w:type="dxa"/>
            <w:vAlign w:val="center"/>
          </w:tcPr>
          <w:p>
            <w:pPr>
              <w:pStyle w:val="12"/>
            </w:pPr>
            <w:r>
              <w:t>≥3%</w:t>
            </w:r>
          </w:p>
        </w:tc>
        <w:tc>
          <w:tcPr>
            <w:tcW w:w="1276" w:type="dxa"/>
            <w:vAlign w:val="center"/>
          </w:tcPr>
          <w:p>
            <w:pPr>
              <w:pStyle w:val="12"/>
            </w:pPr>
            <w:r>
              <w:t>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调查中满意和较满意人数占调查总数的比例</w:t>
            </w:r>
          </w:p>
        </w:tc>
        <w:tc>
          <w:tcPr>
            <w:tcW w:w="2268" w:type="dxa"/>
            <w:vAlign w:val="center"/>
          </w:tcPr>
          <w:p>
            <w:pPr>
              <w:pStyle w:val="12"/>
            </w:pPr>
            <w:r>
              <w:t>≥90%</w:t>
            </w:r>
          </w:p>
        </w:tc>
        <w:tc>
          <w:tcPr>
            <w:tcW w:w="1276" w:type="dxa"/>
            <w:vAlign w:val="center"/>
          </w:tcPr>
          <w:p>
            <w:pPr>
              <w:pStyle w:val="12"/>
            </w:pPr>
            <w:r>
              <w:t>调查统计结果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424001青龙满族自治县市场监督管理局本级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46.00</w:t>
            </w:r>
          </w:p>
        </w:tc>
        <w:tc>
          <w:tcPr>
            <w:tcW w:w="964" w:type="dxa"/>
            <w:vAlign w:val="center"/>
          </w:tcPr>
          <w:p>
            <w:pPr>
              <w:pStyle w:val="15"/>
            </w:pPr>
            <w:r>
              <w:t>46.00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青龙满族自治县市场监督管理局本级小计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46.00</w:t>
            </w:r>
          </w:p>
        </w:tc>
        <w:tc>
          <w:tcPr>
            <w:tcW w:w="964" w:type="dxa"/>
            <w:vAlign w:val="center"/>
          </w:tcPr>
          <w:p>
            <w:pPr>
              <w:pStyle w:val="15"/>
            </w:pPr>
            <w:r>
              <w:t>46.00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关于提前下达2024年省级市场监管补助经费的通知（冀财行【2023】97号）</w:t>
            </w:r>
          </w:p>
        </w:tc>
        <w:tc>
          <w:tcPr>
            <w:tcW w:w="964" w:type="dxa"/>
            <w:vAlign w:val="center"/>
          </w:tcPr>
          <w:p>
            <w:pPr>
              <w:pStyle w:val="11"/>
            </w:pPr>
            <w:r>
              <w:t>13.00</w:t>
            </w:r>
          </w:p>
        </w:tc>
        <w:tc>
          <w:tcPr>
            <w:tcW w:w="1134" w:type="dxa"/>
            <w:vAlign w:val="center"/>
          </w:tcPr>
          <w:p>
            <w:pPr>
              <w:pStyle w:val="12"/>
            </w:pPr>
            <w:r>
              <w:t>轿车</w:t>
            </w:r>
          </w:p>
        </w:tc>
        <w:tc>
          <w:tcPr>
            <w:tcW w:w="1134" w:type="dxa"/>
            <w:vAlign w:val="center"/>
          </w:tcPr>
          <w:p>
            <w:pPr>
              <w:pStyle w:val="12"/>
            </w:pPr>
            <w:r>
              <w:t>A02030501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食品安全工作经费</w:t>
            </w:r>
          </w:p>
        </w:tc>
        <w:tc>
          <w:tcPr>
            <w:tcW w:w="964" w:type="dxa"/>
            <w:vAlign w:val="center"/>
          </w:tcPr>
          <w:p>
            <w:pPr>
              <w:pStyle w:val="11"/>
            </w:pPr>
            <w:r>
              <w:t>49.61</w:t>
            </w:r>
          </w:p>
        </w:tc>
        <w:tc>
          <w:tcPr>
            <w:tcW w:w="1134" w:type="dxa"/>
            <w:vAlign w:val="center"/>
          </w:tcPr>
          <w:p>
            <w:pPr>
              <w:pStyle w:val="12"/>
            </w:pPr>
            <w:r>
              <w:t>技术测试和分析服务</w:t>
            </w:r>
          </w:p>
        </w:tc>
        <w:tc>
          <w:tcPr>
            <w:tcW w:w="1134" w:type="dxa"/>
            <w:vAlign w:val="center"/>
          </w:tcPr>
          <w:p>
            <w:pPr>
              <w:pStyle w:val="12"/>
            </w:pPr>
            <w:r>
              <w:t>C19010000</w:t>
            </w:r>
          </w:p>
        </w:tc>
        <w:tc>
          <w:tcPr>
            <w:tcW w:w="709" w:type="dxa"/>
            <w:vAlign w:val="center"/>
          </w:tcPr>
          <w:p>
            <w:pPr>
              <w:pStyle w:val="13"/>
            </w:pPr>
            <w:r>
              <w:t>批次</w:t>
            </w:r>
          </w:p>
        </w:tc>
        <w:tc>
          <w:tcPr>
            <w:tcW w:w="850" w:type="dxa"/>
            <w:vAlign w:val="center"/>
          </w:tcPr>
          <w:p>
            <w:pPr>
              <w:pStyle w:val="11"/>
            </w:pPr>
            <w:r>
              <w:t>500</w:t>
            </w:r>
          </w:p>
        </w:tc>
        <w:tc>
          <w:tcPr>
            <w:tcW w:w="850" w:type="dxa"/>
            <w:vAlign w:val="center"/>
          </w:tcPr>
          <w:p>
            <w:pPr>
              <w:pStyle w:val="11"/>
            </w:pPr>
            <w:r>
              <w:t>0.07</w:t>
            </w:r>
          </w:p>
        </w:tc>
        <w:tc>
          <w:tcPr>
            <w:tcW w:w="964" w:type="dxa"/>
            <w:vAlign w:val="center"/>
          </w:tcPr>
          <w:p>
            <w:pPr>
              <w:pStyle w:val="11"/>
            </w:pPr>
            <w:r>
              <w:t>36.00</w:t>
            </w:r>
          </w:p>
        </w:tc>
        <w:tc>
          <w:tcPr>
            <w:tcW w:w="964" w:type="dxa"/>
            <w:vAlign w:val="center"/>
          </w:tcPr>
          <w:p>
            <w:pPr>
              <w:pStyle w:val="11"/>
            </w:pPr>
            <w:r>
              <w:t>36.00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36.00</w:t>
            </w:r>
          </w:p>
        </w:tc>
      </w:tr>
    </w:tbl>
    <w:p>
      <w:pPr>
        <w:spacing w:before="0" w:after="0" w:line="500" w:lineRule="exact"/>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500" w:lineRule="exact"/>
        <w:ind w:firstLine="420"/>
        <w:jc w:val="left"/>
        <w:outlineLvl w:val="9"/>
        <w:rPr>
          <w:rFonts w:ascii="方正书宋_GBK" w:hAnsi="方正书宋_GBK" w:eastAsia="方正书宋_GBK" w:cs="方正书宋_GBK"/>
          <w:color w:val="000000"/>
          <w:sz w:val="21"/>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七、国有资产信息</w:t>
      </w:r>
    </w:p>
    <w:p>
      <w:pPr>
        <w:spacing w:before="10" w:after="10" w:line="240" w:lineRule="auto"/>
        <w:ind w:firstLine="640"/>
        <w:jc w:val="left"/>
        <w:outlineLvl w:val="5"/>
        <w:rPr>
          <w:rFonts w:ascii="黑体" w:hAnsi="黑体" w:eastAsia="黑体" w:cs="黑体"/>
          <w:color w:val="000000"/>
          <w:sz w:val="32"/>
        </w:rPr>
      </w:pPr>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w:t>
      </w:r>
      <w:r>
        <w:rPr>
          <w:rFonts w:hint="eastAsia" w:eastAsia="方正仿宋_GBK" w:cs="Times New Roman"/>
          <w:b w:val="0"/>
          <w:color w:val="000000"/>
          <w:sz w:val="28"/>
          <w:lang w:eastAsia="zh-CN"/>
        </w:rPr>
        <w:t>市场监督管理</w:t>
      </w:r>
      <w:r>
        <w:rPr>
          <w:rFonts w:ascii="Times New Roman" w:hAnsi="Times New Roman" w:eastAsia="方正仿宋_GBK" w:cs="Times New Roman"/>
          <w:b w:val="0"/>
          <w:color w:val="000000"/>
          <w:sz w:val="28"/>
        </w:rPr>
        <w:t>局本级上年末固定资产金额为1313.90万元（详见下表）。本年度拟购置固定资产总额为</w:t>
      </w:r>
      <w:r>
        <w:rPr>
          <w:rFonts w:hint="eastAsia" w:eastAsia="方正仿宋_GBK" w:cs="Times New Roman"/>
          <w:b w:val="0"/>
          <w:color w:val="000000"/>
          <w:sz w:val="28"/>
          <w:lang w:val="en-US" w:eastAsia="zh-CN"/>
        </w:rPr>
        <w:t>45.5</w:t>
      </w:r>
      <w:r>
        <w:rPr>
          <w:rFonts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val="en-US" w:eastAsia="zh-CN"/>
        </w:rPr>
        <w:t>其中执法轿车1台，合计10万元；台式电脑8台，每台0.5万元，合计4万元；A4黑白打印机2台，每台0.15万元，合计0.3万元；多功能打印复印一体机1台，合计1万元；办公桌10个，每个0.15万元，合计1.5万元；空调3套，每套0.4万元，合计1.2万元；音速喷嘴法燃气表误差检定装置1台，合计21.5万元；燃气表整机密封性检测装置1台，合计6万元</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val="en-US" w:eastAsia="zh-CN"/>
        </w:rPr>
        <w:t>以上总计45.5万元</w:t>
      </w:r>
      <w:r>
        <w:rPr>
          <w:rFonts w:ascii="Times New Roman" w:hAnsi="Times New Roman" w:eastAsia="方正仿宋_GBK" w:cs="Times New Roman"/>
          <w:b w:val="0"/>
          <w:color w:val="000000"/>
          <w:sz w:val="28"/>
        </w:rPr>
        <w:t>。</w:t>
      </w:r>
    </w:p>
    <w:p>
      <w:pPr>
        <w:spacing w:before="0" w:after="0" w:line="500" w:lineRule="exact"/>
        <w:ind w:firstLine="560"/>
        <w:jc w:val="left"/>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424001青龙满族自治县市场监督管理局本级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1313.90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7569.31</w:t>
            </w:r>
          </w:p>
        </w:tc>
        <w:tc>
          <w:tcPr>
            <w:tcW w:w="2835" w:type="dxa"/>
            <w:vAlign w:val="center"/>
          </w:tcPr>
          <w:p>
            <w:pPr>
              <w:pStyle w:val="11"/>
            </w:pPr>
            <w:r>
              <w:t>438.57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7569.31</w:t>
            </w:r>
          </w:p>
        </w:tc>
        <w:tc>
          <w:tcPr>
            <w:tcW w:w="2835" w:type="dxa"/>
            <w:vAlign w:val="center"/>
          </w:tcPr>
          <w:p>
            <w:pPr>
              <w:pStyle w:val="11"/>
            </w:pPr>
            <w:r>
              <w:t>438.57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2、车辆（台、辆）</w:t>
            </w:r>
          </w:p>
        </w:tc>
        <w:tc>
          <w:tcPr>
            <w:tcW w:w="2835" w:type="dxa"/>
            <w:vAlign w:val="center"/>
          </w:tcPr>
          <w:p>
            <w:pPr>
              <w:pStyle w:val="13"/>
            </w:pPr>
            <w:r>
              <w:t>10</w:t>
            </w:r>
          </w:p>
        </w:tc>
        <w:tc>
          <w:tcPr>
            <w:tcW w:w="2835" w:type="dxa"/>
            <w:vAlign w:val="center"/>
          </w:tcPr>
          <w:p>
            <w:pPr>
              <w:pStyle w:val="11"/>
            </w:pPr>
            <w:r>
              <w:t>150.71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118.00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2213</w:t>
            </w:r>
          </w:p>
        </w:tc>
        <w:tc>
          <w:tcPr>
            <w:tcW w:w="2835" w:type="dxa"/>
            <w:vAlign w:val="center"/>
          </w:tcPr>
          <w:p>
            <w:pPr>
              <w:pStyle w:val="11"/>
            </w:pPr>
            <w:r>
              <w:t>606.62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ascii="Times New Roman" w:hAnsi="Times New Roman"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bookmarkStart w:id="1" w:name="_GoBack"/>
      <w:bookmarkEnd w:id="1"/>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w:t>
      </w:r>
      <w:r>
        <w:rPr>
          <w:rFonts w:hint="eastAsia" w:eastAsia="方正仿宋_GBK" w:cs="Times New Roman"/>
          <w:b w:val="0"/>
          <w:color w:val="000000"/>
          <w:sz w:val="28"/>
          <w:lang w:eastAsia="zh-CN"/>
        </w:rPr>
        <w:t>各</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单位以前年度办公用房面积及价值录入有误（价值中包含土地价值），本年依据国有资产系统数据对办公用房数量及价值进行更正</w:t>
      </w:r>
      <w:r>
        <w:rPr>
          <w:rFonts w:ascii="Times New Roman" w:hAnsi="Times New Roman" w:eastAsia="方正仿宋_GBK" w:cs="Times New Roman"/>
          <w:b w:val="0"/>
          <w:color w:val="000000"/>
          <w:sz w:val="28"/>
        </w:rPr>
        <w:t>。</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IwYmE2NjI2MzMzODQzMWU5MTNmMmQ3NjYwYjRlYzEifQ=="/>
  </w:docVars>
  <w:rsids>
    <w:rsidRoot w:val="00000000"/>
    <w:rsid w:val="015A2EC6"/>
    <w:rsid w:val="054A15F9"/>
    <w:rsid w:val="08A748F7"/>
    <w:rsid w:val="0DBB4BDC"/>
    <w:rsid w:val="0E732C48"/>
    <w:rsid w:val="15C57D38"/>
    <w:rsid w:val="16D03928"/>
    <w:rsid w:val="1D9B2734"/>
    <w:rsid w:val="1DBB1C06"/>
    <w:rsid w:val="21891A63"/>
    <w:rsid w:val="2C1F6A8C"/>
    <w:rsid w:val="2F8530AA"/>
    <w:rsid w:val="30D51E0F"/>
    <w:rsid w:val="3E9230EE"/>
    <w:rsid w:val="3EDE3DFF"/>
    <w:rsid w:val="40ED1D2D"/>
    <w:rsid w:val="432270BE"/>
    <w:rsid w:val="4CFF4044"/>
    <w:rsid w:val="6208709F"/>
    <w:rsid w:val="625642AF"/>
    <w:rsid w:val="67BC2E06"/>
    <w:rsid w:val="6CB16AD5"/>
    <w:rsid w:val="7C1414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2024-02-05T17:03:50Z</dcterms:created>
  <dcterms:modified xsi:type="dcterms:W3CDTF">2024-02-05T09:03:50Z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2024-02-05T17:03:50Z</dcterms:created>
  <dcterms:modified xsi:type="dcterms:W3CDTF">2024-02-05T09:03:50Z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2024-02-05T17:03:51Z</dcterms:created>
  <dcterms:modified xsi:type="dcterms:W3CDTF">2024-02-05T09:03:51Z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2024-02-05T17:03:51Z</dcterms:created>
  <dcterms:modified xsi:type="dcterms:W3CDTF">2024-02-05T09:03:51Z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2024-02-05T17:03:49Z</dcterms:created>
  <dcterms:modified xsi:type="dcterms:W3CDTF">2024-02-05T09:03:48Z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2024-02-05T17:03:51Z</dcterms:created>
  <dcterms:modified xsi:type="dcterms:W3CDTF">2024-02-05T09:03:51Z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2024-02-05T17:03:52Z</dcterms:created>
  <dcterms:modified xsi:type="dcterms:W3CDTF">2024-02-05T09:03:52Z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2024-02-05T17:03:52Z</dcterms:created>
  <dcterms:modified xsi:type="dcterms:W3CDTF">2024-02-05T09:03:52Z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2024-02-05T17:03:52Z</dcterms:created>
  <dcterms:modified xsi:type="dcterms:W3CDTF">2024-02-05T09:03:52Z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2024-02-05T17:03:46Z</dcterms:created>
  <dcterms:modified xsi:type="dcterms:W3CDTF">2024-02-05T09:03:45Z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2024-02-05T17:03:53Z</dcterms:created>
  <dcterms:modified xsi:type="dcterms:W3CDTF">2024-02-05T09:03:53Z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2024-02-05T17:03:53Z</dcterms:created>
  <dcterms:modified xsi:type="dcterms:W3CDTF">2024-02-05T09:03:53Z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2024-02-05T17:03:48Z</dcterms:created>
  <dcterms:modified xsi:type="dcterms:W3CDTF">2024-02-05T09:03:48Z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2024-02-05T17:03:49Z</dcterms:created>
  <dcterms:modified xsi:type="dcterms:W3CDTF">2024-02-05T09:03:49Z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2024-02-05T17:03:42Z</dcterms:created>
  <dcterms:modified xsi:type="dcterms:W3CDTF">2024-02-05T09:03:42Z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2024-02-05T17:03:49Z</dcterms:created>
  <dcterms:modified xsi:type="dcterms:W3CDTF">2024-02-05T09:03:49Z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2024-02-05T17:03:50Z</dcterms:created>
  <dcterms:modified xsi:type="dcterms:W3CDTF">2024-02-05T09:03:49Z</dcterms:modified>
</cp:coreProperties>
</file>

<file path=customXml/itemProps1.xml><?xml version="1.0" encoding="utf-8"?>
<ds:datastoreItem xmlns:ds="http://schemas.openxmlformats.org/officeDocument/2006/customXml" ds:itemID="{e99f6373-c6ad-40de-b631-9d67a6c74d8b}">
  <ds:schemaRefs/>
</ds:datastoreItem>
</file>

<file path=customXml/itemProps10.xml><?xml version="1.0" encoding="utf-8"?>
<ds:datastoreItem xmlns:ds="http://schemas.openxmlformats.org/officeDocument/2006/customXml" ds:itemID="{0d63e529-0347-4cad-8414-68e512a33e8c}">
  <ds:schemaRefs/>
</ds:datastoreItem>
</file>

<file path=customXml/itemProps11.xml><?xml version="1.0" encoding="utf-8"?>
<ds:datastoreItem xmlns:ds="http://schemas.openxmlformats.org/officeDocument/2006/customXml" ds:itemID="{b9f0140c-c683-4449-965c-4ceb8d9bba96}">
  <ds:schemaRefs/>
</ds:datastoreItem>
</file>

<file path=customXml/itemProps12.xml><?xml version="1.0" encoding="utf-8"?>
<ds:datastoreItem xmlns:ds="http://schemas.openxmlformats.org/officeDocument/2006/customXml" ds:itemID="{f4b7c0b4-e6f1-4949-80bc-cff770e53feb}">
  <ds:schemaRefs/>
</ds:datastoreItem>
</file>

<file path=customXml/itemProps13.xml><?xml version="1.0" encoding="utf-8"?>
<ds:datastoreItem xmlns:ds="http://schemas.openxmlformats.org/officeDocument/2006/customXml" ds:itemID="{f690018f-d9c4-4ec8-afdf-ec065b4674ea}">
  <ds:schemaRefs/>
</ds:datastoreItem>
</file>

<file path=customXml/itemProps14.xml><?xml version="1.0" encoding="utf-8"?>
<ds:datastoreItem xmlns:ds="http://schemas.openxmlformats.org/officeDocument/2006/customXml" ds:itemID="{b3c22d3f-97b1-4bc1-966f-a9476ba0d556}">
  <ds:schemaRefs/>
</ds:datastoreItem>
</file>

<file path=customXml/itemProps15.xml><?xml version="1.0" encoding="utf-8"?>
<ds:datastoreItem xmlns:ds="http://schemas.openxmlformats.org/officeDocument/2006/customXml" ds:itemID="{5695dc29-90aa-4b47-ac19-eb8f68ac519f}">
  <ds:schemaRefs/>
</ds:datastoreItem>
</file>

<file path=customXml/itemProps16.xml><?xml version="1.0" encoding="utf-8"?>
<ds:datastoreItem xmlns:ds="http://schemas.openxmlformats.org/officeDocument/2006/customXml" ds:itemID="{bc7a2dbb-e9d9-40cf-89d2-80a65e653fbc}">
  <ds:schemaRefs/>
</ds:datastoreItem>
</file>

<file path=customXml/itemProps17.xml><?xml version="1.0" encoding="utf-8"?>
<ds:datastoreItem xmlns:ds="http://schemas.openxmlformats.org/officeDocument/2006/customXml" ds:itemID="{5247f5b8-74fe-4000-8fda-362520f68847}">
  <ds:schemaRefs/>
</ds:datastoreItem>
</file>

<file path=customXml/itemProps18.xml><?xml version="1.0" encoding="utf-8"?>
<ds:datastoreItem xmlns:ds="http://schemas.openxmlformats.org/officeDocument/2006/customXml" ds:itemID="{c268a8fd-054d-4e85-9f38-b698f4fccee6}">
  <ds:schemaRefs/>
</ds:datastoreItem>
</file>

<file path=customXml/itemProps19.xml><?xml version="1.0" encoding="utf-8"?>
<ds:datastoreItem xmlns:ds="http://schemas.openxmlformats.org/officeDocument/2006/customXml" ds:itemID="{a8af63f0-9846-42e3-afe7-a1ead7fa8149}">
  <ds:schemaRefs/>
</ds:datastoreItem>
</file>

<file path=customXml/itemProps2.xml><?xml version="1.0" encoding="utf-8"?>
<ds:datastoreItem xmlns:ds="http://schemas.openxmlformats.org/officeDocument/2006/customXml" ds:itemID="{15d69e09-c5f6-4d9c-802c-d196825d93c6}">
  <ds:schemaRefs/>
</ds:datastoreItem>
</file>

<file path=customXml/itemProps20.xml><?xml version="1.0" encoding="utf-8"?>
<ds:datastoreItem xmlns:ds="http://schemas.openxmlformats.org/officeDocument/2006/customXml" ds:itemID="{199eac71-d3b2-402d-beae-ce706574634a}">
  <ds:schemaRefs/>
</ds:datastoreItem>
</file>

<file path=customXml/itemProps21.xml><?xml version="1.0" encoding="utf-8"?>
<ds:datastoreItem xmlns:ds="http://schemas.openxmlformats.org/officeDocument/2006/customXml" ds:itemID="{36baca3a-460a-4d29-a5c9-2a0829a2cf3d}">
  <ds:schemaRefs/>
</ds:datastoreItem>
</file>

<file path=customXml/itemProps22.xml><?xml version="1.0" encoding="utf-8"?>
<ds:datastoreItem xmlns:ds="http://schemas.openxmlformats.org/officeDocument/2006/customXml" ds:itemID="{4092eb0e-133e-421a-a865-dc931f2587ae}">
  <ds:schemaRefs/>
</ds:datastoreItem>
</file>

<file path=customXml/itemProps23.xml><?xml version="1.0" encoding="utf-8"?>
<ds:datastoreItem xmlns:ds="http://schemas.openxmlformats.org/officeDocument/2006/customXml" ds:itemID="{86868814-6090-4c13-b67c-05b77cb3eaed}">
  <ds:schemaRefs/>
</ds:datastoreItem>
</file>

<file path=customXml/itemProps24.xml><?xml version="1.0" encoding="utf-8"?>
<ds:datastoreItem xmlns:ds="http://schemas.openxmlformats.org/officeDocument/2006/customXml" ds:itemID="{a314c477-4eaa-4a06-8e5f-4b45e98576c2}">
  <ds:schemaRefs/>
</ds:datastoreItem>
</file>

<file path=customXml/itemProps25.xml><?xml version="1.0" encoding="utf-8"?>
<ds:datastoreItem xmlns:ds="http://schemas.openxmlformats.org/officeDocument/2006/customXml" ds:itemID="{86ee755e-adc0-42e7-8e76-04858d08f1c1}">
  <ds:schemaRefs/>
</ds:datastoreItem>
</file>

<file path=customXml/itemProps26.xml><?xml version="1.0" encoding="utf-8"?>
<ds:datastoreItem xmlns:ds="http://schemas.openxmlformats.org/officeDocument/2006/customXml" ds:itemID="{f2c9cfdf-6594-4bd3-94f3-9cffc10c95aa}">
  <ds:schemaRefs/>
</ds:datastoreItem>
</file>

<file path=customXml/itemProps27.xml><?xml version="1.0" encoding="utf-8"?>
<ds:datastoreItem xmlns:ds="http://schemas.openxmlformats.org/officeDocument/2006/customXml" ds:itemID="{fc066d31-ab52-41a5-856d-2db7a4459268}">
  <ds:schemaRefs/>
</ds:datastoreItem>
</file>

<file path=customXml/itemProps28.xml><?xml version="1.0" encoding="utf-8"?>
<ds:datastoreItem xmlns:ds="http://schemas.openxmlformats.org/officeDocument/2006/customXml" ds:itemID="{02dea123-b4d1-4225-b596-6f710c190a96}">
  <ds:schemaRefs/>
</ds:datastoreItem>
</file>

<file path=customXml/itemProps29.xml><?xml version="1.0" encoding="utf-8"?>
<ds:datastoreItem xmlns:ds="http://schemas.openxmlformats.org/officeDocument/2006/customXml" ds:itemID="{262f0dff-a31f-4033-955c-91b039280fec}">
  <ds:schemaRefs/>
</ds:datastoreItem>
</file>

<file path=customXml/itemProps3.xml><?xml version="1.0" encoding="utf-8"?>
<ds:datastoreItem xmlns:ds="http://schemas.openxmlformats.org/officeDocument/2006/customXml" ds:itemID="{e93436c9-646c-4bc4-beab-e5eeb71548c4}">
  <ds:schemaRefs/>
</ds:datastoreItem>
</file>

<file path=customXml/itemProps30.xml><?xml version="1.0" encoding="utf-8"?>
<ds:datastoreItem xmlns:ds="http://schemas.openxmlformats.org/officeDocument/2006/customXml" ds:itemID="{1bf54fae-d0e5-443d-8e47-d198f7543048}">
  <ds:schemaRefs/>
</ds:datastoreItem>
</file>

<file path=customXml/itemProps31.xml><?xml version="1.0" encoding="utf-8"?>
<ds:datastoreItem xmlns:ds="http://schemas.openxmlformats.org/officeDocument/2006/customXml" ds:itemID="{91640391-0d93-4ad8-85d8-1d1dd12f2196}">
  <ds:schemaRefs/>
</ds:datastoreItem>
</file>

<file path=customXml/itemProps32.xml><?xml version="1.0" encoding="utf-8"?>
<ds:datastoreItem xmlns:ds="http://schemas.openxmlformats.org/officeDocument/2006/customXml" ds:itemID="{f17de71c-5304-42fd-8f3f-98040e3e6d2f}">
  <ds:schemaRefs/>
</ds:datastoreItem>
</file>

<file path=customXml/itemProps33.xml><?xml version="1.0" encoding="utf-8"?>
<ds:datastoreItem xmlns:ds="http://schemas.openxmlformats.org/officeDocument/2006/customXml" ds:itemID="{c8cb5daf-6a2f-4787-8a3e-962e3f21d681}">
  <ds:schemaRefs/>
</ds:datastoreItem>
</file>

<file path=customXml/itemProps34.xml><?xml version="1.0" encoding="utf-8"?>
<ds:datastoreItem xmlns:ds="http://schemas.openxmlformats.org/officeDocument/2006/customXml" ds:itemID="{1df56cc6-73e0-486d-9a1b-a74a7c2e0b91}">
  <ds:schemaRefs/>
</ds:datastoreItem>
</file>

<file path=customXml/itemProps4.xml><?xml version="1.0" encoding="utf-8"?>
<ds:datastoreItem xmlns:ds="http://schemas.openxmlformats.org/officeDocument/2006/customXml" ds:itemID="{5ae4b595-e445-4c0b-86ed-ca6aaadb8ac8}">
  <ds:schemaRefs/>
</ds:datastoreItem>
</file>

<file path=customXml/itemProps5.xml><?xml version="1.0" encoding="utf-8"?>
<ds:datastoreItem xmlns:ds="http://schemas.openxmlformats.org/officeDocument/2006/customXml" ds:itemID="{6ed7b82d-e880-43ee-b9e4-2650dce07429}">
  <ds:schemaRefs/>
</ds:datastoreItem>
</file>

<file path=customXml/itemProps6.xml><?xml version="1.0" encoding="utf-8"?>
<ds:datastoreItem xmlns:ds="http://schemas.openxmlformats.org/officeDocument/2006/customXml" ds:itemID="{d53b7646-f015-45ad-bcdf-0ca33357f212}">
  <ds:schemaRefs/>
</ds:datastoreItem>
</file>

<file path=customXml/itemProps7.xml><?xml version="1.0" encoding="utf-8"?>
<ds:datastoreItem xmlns:ds="http://schemas.openxmlformats.org/officeDocument/2006/customXml" ds:itemID="{4563c513-238b-49de-93f4-b27ef7a64ba6}">
  <ds:schemaRefs/>
</ds:datastoreItem>
</file>

<file path=customXml/itemProps8.xml><?xml version="1.0" encoding="utf-8"?>
<ds:datastoreItem xmlns:ds="http://schemas.openxmlformats.org/officeDocument/2006/customXml" ds:itemID="{2ae7cba4-0806-4ab9-9775-d5a8a4ec5010}">
  <ds:schemaRefs/>
</ds:datastoreItem>
</file>

<file path=customXml/itemProps9.xml><?xml version="1.0" encoding="utf-8"?>
<ds:datastoreItem xmlns:ds="http://schemas.openxmlformats.org/officeDocument/2006/customXml" ds:itemID="{cace0b99-dbab-4f94-a0ac-0024ccbcd0dc}">
  <ds:schemaRefs/>
</ds:datastoreItem>
</file>

<file path=docProps/app.xml><?xml version="1.0" encoding="utf-8"?>
<Properties xmlns="http://schemas.openxmlformats.org/officeDocument/2006/extended-properties" xmlns:vt="http://schemas.openxmlformats.org/officeDocument/2006/docPropsVTypes">
  <Pages>67</Pages>
  <Words>18276</Words>
  <Characters>21988</Characters>
  <TotalTime>22</TotalTime>
  <ScaleCrop>false</ScaleCrop>
  <LinksUpToDate>false</LinksUpToDate>
  <CharactersWithSpaces>22233</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2024-02-05T17:03:00Z</dcterms:created>
  <dc:creator>Administrator</dc:creator>
  <cp:lastModifiedBy>Administrator</cp:lastModifiedBy>
  <dcterms:modified xsi:type="dcterms:W3CDTF">2024-02-19T07:34:23Z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57CC80CF33224F91A375F36F8766D8F4</vt:lpwstr>
  </property>
</Properties>
</file>