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bookmarkStart w:id="9" w:name="_GoBack"/>
      <w:bookmarkEnd w:id="9"/>
    </w:p>
    <w:p>
      <w:pPr>
        <w:spacing w:before="2" w:line="240" w:lineRule="auto"/>
        <w:ind w:right="0"/>
        <w:rPr>
          <w:rFonts w:hint="default" w:ascii="Times New Roman" w:hAnsi="Times New Roman" w:eastAsia="Times New Roman" w:cs="Times New Roman"/>
          <w:sz w:val="21"/>
          <w:szCs w:val="21"/>
        </w:rPr>
      </w:pPr>
    </w:p>
    <w:p>
      <w:pPr>
        <w:pStyle w:val="2"/>
        <w:spacing w:line="540" w:lineRule="exact"/>
        <w:ind w:right="0"/>
        <w:jc w:val="center"/>
        <w:rPr>
          <w:rFonts w:hint="default" w:ascii="宋体" w:hAnsi="宋体" w:eastAsia="宋体" w:cs="宋体"/>
        </w:rPr>
      </w:pPr>
      <w:r>
        <w:rPr>
          <w:rFonts w:hint="default" w:ascii="宋体" w:hAnsi="宋体" w:eastAsia="宋体" w:cs="宋体"/>
        </w:rPr>
        <w:t>2021</w:t>
      </w:r>
      <w:r>
        <w:rPr>
          <w:rFonts w:hint="default" w:ascii="宋体" w:hAnsi="宋体" w:eastAsia="宋体" w:cs="宋体"/>
          <w:spacing w:val="-90"/>
        </w:rPr>
        <w:t xml:space="preserve"> </w:t>
      </w:r>
      <w:r>
        <w:rPr>
          <w:rFonts w:hint="default" w:ascii="宋体" w:hAnsi="宋体" w:eastAsia="宋体" w:cs="宋体"/>
        </w:rPr>
        <w:t>年</w:t>
      </w:r>
      <w:r>
        <w:rPr>
          <w:rFonts w:hint="eastAsia" w:ascii="宋体" w:hAnsi="宋体" w:eastAsia="宋体" w:cs="宋体"/>
          <w:lang w:eastAsia="zh-CN"/>
        </w:rPr>
        <w:t>单位</w:t>
      </w:r>
      <w:r>
        <w:rPr>
          <w:rFonts w:hint="default" w:ascii="宋体" w:hAnsi="宋体" w:eastAsia="宋体" w:cs="宋体"/>
        </w:rPr>
        <w:t>预算信息公开目录</w:t>
      </w:r>
    </w:p>
    <w:p>
      <w:pPr>
        <w:spacing w:before="0" w:line="240" w:lineRule="auto"/>
        <w:ind w:right="0"/>
        <w:rPr>
          <w:rFonts w:hint="default" w:ascii="宋体" w:hAnsi="宋体" w:eastAsia="宋体" w:cs="宋体"/>
          <w:sz w:val="60"/>
          <w:szCs w:val="60"/>
        </w:rPr>
      </w:pPr>
    </w:p>
    <w:p>
      <w:pPr>
        <w:tabs>
          <w:tab w:val="left" w:pos="1523"/>
        </w:tabs>
        <w:spacing w:before="0"/>
        <w:ind w:left="16" w:right="0" w:firstLine="0"/>
        <w:jc w:val="center"/>
        <w:rPr>
          <w:rFonts w:hint="default" w:ascii="宋体" w:hAnsi="宋体" w:eastAsia="宋体" w:cs="宋体"/>
          <w:sz w:val="30"/>
          <w:szCs w:val="30"/>
        </w:rPr>
      </w:pPr>
      <w:r>
        <w:rPr>
          <w:rFonts w:hint="default" w:ascii="宋体" w:hAnsi="宋体" w:eastAsia="宋体" w:cs="宋体"/>
          <w:sz w:val="30"/>
          <w:szCs w:val="30"/>
        </w:rPr>
        <w:t>第一部分</w:t>
      </w:r>
      <w:r>
        <w:rPr>
          <w:rFonts w:hint="default" w:ascii="宋体" w:hAnsi="宋体" w:eastAsia="宋体" w:cs="宋体"/>
          <w:sz w:val="30"/>
          <w:szCs w:val="30"/>
        </w:rPr>
        <w:tab/>
      </w:r>
      <w:r>
        <w:rPr>
          <w:rFonts w:hint="eastAsia" w:ascii="宋体" w:hAnsi="宋体" w:eastAsia="宋体" w:cs="宋体"/>
          <w:sz w:val="30"/>
          <w:szCs w:val="30"/>
          <w:lang w:eastAsia="zh-CN"/>
        </w:rPr>
        <w:t>单位</w:t>
      </w:r>
      <w:r>
        <w:rPr>
          <w:rFonts w:hint="default" w:ascii="宋体" w:hAnsi="宋体" w:eastAsia="宋体" w:cs="宋体"/>
          <w:sz w:val="30"/>
          <w:szCs w:val="30"/>
        </w:rPr>
        <w:t>预算</w:t>
      </w:r>
    </w:p>
    <w:p>
      <w:pPr>
        <w:spacing w:before="11" w:line="240" w:lineRule="auto"/>
        <w:ind w:right="0"/>
        <w:rPr>
          <w:rFonts w:hint="default" w:ascii="宋体" w:hAnsi="宋体" w:eastAsia="宋体" w:cs="宋体"/>
          <w:sz w:val="17"/>
          <w:szCs w:val="17"/>
        </w:rPr>
      </w:pPr>
    </w:p>
    <w:p>
      <w:pPr>
        <w:spacing w:before="13"/>
        <w:ind w:left="119" w:right="0" w:firstLine="0"/>
        <w:jc w:val="left"/>
        <w:rPr>
          <w:rFonts w:hint="default" w:ascii="宋体" w:hAnsi="宋体" w:eastAsia="宋体" w:cs="宋体"/>
          <w:sz w:val="28"/>
          <w:szCs w:val="28"/>
        </w:rPr>
      </w:pPr>
      <w:r>
        <w:rPr>
          <w:rFonts w:hint="eastAsia" w:ascii="宋体" w:hAnsi="宋体" w:eastAsia="宋体" w:cs="宋体"/>
          <w:b/>
          <w:bCs/>
          <w:sz w:val="28"/>
          <w:szCs w:val="28"/>
          <w:lang w:eastAsia="zh-CN"/>
        </w:rPr>
        <w:t>单位</w:t>
      </w:r>
      <w:r>
        <w:rPr>
          <w:rFonts w:hint="default" w:ascii="宋体" w:hAnsi="宋体" w:eastAsia="宋体" w:cs="宋体"/>
          <w:b/>
          <w:bCs/>
          <w:sz w:val="28"/>
          <w:szCs w:val="28"/>
        </w:rPr>
        <w:t>预算公开表</w:t>
      </w:r>
    </w:p>
    <w:sdt>
      <w:sdtPr>
        <w:id w:val="1"/>
        <w:docPartObj>
          <w:docPartGallery w:val="Table of Contents"/>
          <w:docPartUnique/>
        </w:docPartObj>
      </w:sdtPr>
      <w:sdtContent>
        <w:p>
          <w:pPr>
            <w:pStyle w:val="8"/>
            <w:tabs>
              <w:tab w:val="right" w:leader="dot" w:pos="14912"/>
            </w:tabs>
            <w:spacing w:before="230" w:line="240" w:lineRule="auto"/>
            <w:ind w:right="0"/>
            <w:jc w:val="left"/>
            <w:rPr>
              <w:rFonts w:hint="default" w:ascii="Times New Roman" w:hAnsi="Times New Roman" w:eastAsia="Times New Roman" w:cs="Times New Roman"/>
            </w:rPr>
          </w:pPr>
          <w:r>
            <w:fldChar w:fldCharType="begin"/>
          </w:r>
          <w:r>
            <w:instrText xml:space="preserve"> HYPERLINK \l "_TOC_250008" </w:instrText>
          </w:r>
          <w:r>
            <w:fldChar w:fldCharType="separate"/>
          </w:r>
          <w:r>
            <w:rPr>
              <w:rFonts w:hint="eastAsia"/>
              <w:lang w:eastAsia="zh-CN"/>
            </w:rPr>
            <w:t>单位</w:t>
          </w:r>
          <w:r>
            <w:t>预算收支总表</w:t>
          </w:r>
          <w:r>
            <w:rPr>
              <w:rFonts w:hint="default" w:ascii="Times New Roman" w:hAnsi="Times New Roman" w:eastAsia="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"_TOC_250007" </w:instrText>
          </w:r>
          <w:r>
            <w:fldChar w:fldCharType="separate"/>
          </w:r>
          <w:r>
            <w:rPr>
              <w:rFonts w:hint="eastAsia"/>
              <w:lang w:eastAsia="zh-CN"/>
            </w:rPr>
            <w:t>单位</w:t>
          </w:r>
          <w:r>
            <w:t>预算收入总表</w:t>
          </w:r>
          <w:r>
            <w:rPr>
              <w:rFonts w:hint="default" w:ascii="Times New Roman" w:hAnsi="Times New Roman" w:eastAsia="Times New Roman" w:cs="Times New Roman"/>
            </w:rPr>
            <w:tab/>
          </w:r>
          <w:r>
            <w:rPr>
              <w:rFonts w:hint="default" w:ascii="Times New Roman" w:hAnsi="Times New Roman" w:eastAsia="Times New Roman" w:cs="Times New Roman"/>
            </w:rPr>
            <w:t>3</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"_TOC_250006" </w:instrText>
          </w:r>
          <w:r>
            <w:fldChar w:fldCharType="separate"/>
          </w:r>
          <w:r>
            <w:rPr>
              <w:rFonts w:hint="eastAsia"/>
              <w:lang w:eastAsia="zh-CN"/>
            </w:rPr>
            <w:t>单位</w:t>
          </w:r>
          <w:r>
            <w:t>预算支出总表</w:t>
          </w:r>
          <w:r>
            <w:rPr>
              <w:rFonts w:hint="default" w:ascii="Times New Roman" w:hAnsi="Times New Roman" w:eastAsia="Times New Roman" w:cs="Times New Roman"/>
            </w:rPr>
            <w:tab/>
          </w:r>
          <w:r>
            <w:rPr>
              <w:rFonts w:hint="default" w:ascii="Times New Roman" w:hAnsi="Times New Roman" w:eastAsia="Times New Roman" w:cs="Times New Roman"/>
            </w:rPr>
            <w:t>7</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"_TOC_250005" </w:instrText>
          </w:r>
          <w:r>
            <w:fldChar w:fldCharType="separate"/>
          </w:r>
          <w:r>
            <w:rPr>
              <w:rFonts w:hint="eastAsia"/>
              <w:lang w:eastAsia="zh-CN"/>
            </w:rPr>
            <w:t>单位</w:t>
          </w:r>
          <w:r>
            <w:t>预算财政拨款收支总表</w:t>
          </w:r>
          <w:r>
            <w:rPr>
              <w:rFonts w:hint="default" w:ascii="Times New Roman" w:hAnsi="Times New Roman" w:eastAsia="Times New Roman" w:cs="Times New Roman"/>
            </w:rPr>
            <w:tab/>
          </w:r>
          <w:r>
            <w:rPr>
              <w:rFonts w:hint="default" w:ascii="Times New Roman" w:hAnsi="Times New Roman" w:eastAsia="Times New Roman" w:cs="Times New Roman"/>
            </w:rPr>
            <w:t>10</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"_TOC_250004" </w:instrText>
          </w:r>
          <w:r>
            <w:fldChar w:fldCharType="separate"/>
          </w:r>
          <w:r>
            <w:rPr>
              <w:rFonts w:hint="eastAsia"/>
              <w:lang w:eastAsia="zh-CN"/>
            </w:rPr>
            <w:t>单位</w:t>
          </w:r>
          <w:r>
            <w:t>预算一般公共预算财政拨款支出表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13</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"_TOC_250003" </w:instrText>
          </w:r>
          <w:r>
            <w:fldChar w:fldCharType="separate"/>
          </w:r>
          <w:r>
            <w:rPr>
              <w:rFonts w:hint="eastAsia"/>
              <w:lang w:eastAsia="zh-CN"/>
            </w:rPr>
            <w:t>单位</w:t>
          </w:r>
          <w:r>
            <w:t>预算一般公共预算财政拨款基本支出表</w:t>
          </w:r>
          <w:r>
            <w:rPr>
              <w:rFonts w:hint="default" w:ascii="Times New Roman" w:hAnsi="Times New Roman" w:eastAsia="Times New Roman" w:cs="Times New Roman"/>
            </w:rPr>
            <w:tab/>
          </w:r>
          <w:r>
            <w:rPr>
              <w:rFonts w:hint="default" w:ascii="Times New Roman" w:hAnsi="Times New Roman" w:eastAsia="Times New Roman" w:cs="Times New Roman"/>
            </w:rPr>
            <w:t>16</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"_TOC_250002" </w:instrText>
          </w:r>
          <w:r>
            <w:fldChar w:fldCharType="separate"/>
          </w:r>
          <w:r>
            <w:rPr>
              <w:rFonts w:hint="eastAsia"/>
              <w:lang w:eastAsia="zh-CN"/>
            </w:rPr>
            <w:t>单位</w:t>
          </w:r>
          <w:r>
            <w:t>预算政府基金预算财政拨款支出表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18</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"_TOC_250001" </w:instrText>
          </w:r>
          <w:r>
            <w:fldChar w:fldCharType="separate"/>
          </w:r>
          <w:r>
            <w:rPr>
              <w:rFonts w:hint="eastAsia"/>
              <w:lang w:eastAsia="zh-CN"/>
            </w:rPr>
            <w:t>单位</w:t>
          </w:r>
          <w:r>
            <w:t>预算国有资本经营预算财政拨款支出表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19</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"_TOC_250000" </w:instrText>
          </w:r>
          <w:r>
            <w:fldChar w:fldCharType="separate"/>
          </w:r>
          <w:r>
            <w:rPr>
              <w:rFonts w:hint="eastAsia"/>
              <w:lang w:eastAsia="zh-CN"/>
            </w:rPr>
            <w:t>单位</w:t>
          </w:r>
          <w:r>
            <w:t>预算财政拨款“三公”经费支出表</w:t>
          </w:r>
          <w:r>
            <w:rPr>
              <w:rFonts w:hint="default" w:ascii="Times New Roman" w:hAnsi="Times New Roman" w:eastAsia="Times New Roman" w:cs="Times New Roman"/>
            </w:rPr>
            <w:tab/>
          </w:r>
          <w:r>
            <w:rPr>
              <w:rFonts w:hint="default" w:ascii="Times New Roman" w:hAnsi="Times New Roman" w:eastAsia="Times New Roman" w:cs="Times New Roman"/>
            </w:rPr>
            <w:t>20</w:t>
          </w:r>
          <w:r>
            <w:rPr>
              <w:rFonts w:hint="default" w:ascii="Times New Roman" w:hAnsi="Times New Roman" w:eastAsia="Times New Roman" w:cs="Times New Roman"/>
            </w:rPr>
            <w:fldChar w:fldCharType="end"/>
          </w:r>
        </w:p>
        <w:p>
          <w:pPr>
            <w:pStyle w:val="7"/>
            <w:spacing w:line="240" w:lineRule="auto"/>
            <w:ind w:right="0"/>
            <w:jc w:val="left"/>
            <w:rPr>
              <w:b w:val="0"/>
              <w:bCs w:val="0"/>
            </w:rPr>
          </w:pPr>
          <w:r>
            <w:rPr>
              <w:rFonts w:hint="eastAsia"/>
              <w:lang w:eastAsia="zh-CN"/>
            </w:rPr>
            <w:t>单位</w:t>
          </w:r>
          <w:r>
            <w:t>预算信息公开情况说明</w:t>
          </w:r>
        </w:p>
      </w:sdtContent>
    </w:sdt>
    <w:p>
      <w:pPr>
        <w:spacing w:after="0" w:line="240" w:lineRule="auto"/>
        <w:jc w:val="left"/>
        <w:sectPr>
          <w:type w:val="continuous"/>
          <w:pgSz w:w="16840" w:h="11910" w:orient="landscape"/>
          <w:pgMar w:top="1100" w:right="920" w:bottom="280" w:left="900" w:header="720" w:footer="720" w:gutter="0"/>
          <w:cols w:space="720" w:num="1"/>
        </w:sectPr>
      </w:pPr>
    </w:p>
    <w:p>
      <w:pPr>
        <w:pStyle w:val="6"/>
        <w:tabs>
          <w:tab w:val="right" w:leader="dot" w:pos="14472"/>
        </w:tabs>
        <w:spacing w:before="541" w:line="240" w:lineRule="auto"/>
        <w:ind w:left="104" w:right="0"/>
        <w:jc w:val="left"/>
        <w:rPr>
          <w:rFonts w:hint="default" w:ascii="Times New Roman" w:hAnsi="Times New Roman" w:eastAsia="Times New Roman" w:cs="Times New Roman"/>
        </w:rPr>
      </w:pPr>
      <w:r>
        <w:t>一、</w:t>
      </w:r>
      <w:r>
        <w:rPr>
          <w:rFonts w:hint="eastAsia"/>
          <w:lang w:eastAsia="zh-CN"/>
        </w:rPr>
        <w:t>单位</w:t>
      </w:r>
      <w:r>
        <w:t>职责及机构设置情况</w:t>
      </w:r>
      <w:r>
        <w:rPr>
          <w:rFonts w:hint="default" w:ascii="Times New Roman" w:hAnsi="Times New Roman" w:eastAsia="Times New Roman" w:cs="Times New Roman"/>
        </w:rPr>
        <w:tab/>
      </w:r>
      <w:r>
        <w:rPr>
          <w:rFonts w:hint="default" w:ascii="Times New Roman" w:hAnsi="Times New Roman" w:eastAsia="Times New Roman" w:cs="Times New Roman"/>
        </w:rPr>
        <w:t>21</w:t>
      </w:r>
    </w:p>
    <w:p>
      <w:pPr>
        <w:pStyle w:val="6"/>
        <w:tabs>
          <w:tab w:val="right" w:leader="dot" w:pos="14472"/>
        </w:tabs>
        <w:spacing w:before="210" w:line="240" w:lineRule="auto"/>
        <w:ind w:left="104" w:right="0"/>
        <w:jc w:val="left"/>
        <w:rPr>
          <w:rFonts w:hint="default" w:ascii="Times New Roman" w:hAnsi="Times New Roman" w:eastAsia="Times New Roman" w:cs="Times New Roman"/>
        </w:rPr>
      </w:pPr>
      <w:r>
        <w:t>二、</w:t>
      </w:r>
      <w:r>
        <w:rPr>
          <w:rFonts w:hint="eastAsia"/>
          <w:lang w:eastAsia="zh-CN"/>
        </w:rPr>
        <w:t>单位</w:t>
      </w:r>
      <w:r>
        <w:t>预算安排的总体情况</w:t>
      </w:r>
      <w:r>
        <w:rPr>
          <w:rFonts w:hint="default" w:ascii="Times New Roman" w:hAnsi="Times New Roman" w:eastAsia="Times New Roman" w:cs="Times New Roman"/>
        </w:rPr>
        <w:tab/>
      </w:r>
      <w:r>
        <w:rPr>
          <w:rFonts w:hint="default" w:ascii="Times New Roman" w:hAnsi="Times New Roman" w:eastAsia="Times New Roman" w:cs="Times New Roman"/>
        </w:rPr>
        <w:t>22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三、机关运行经费安排情况</w:t>
      </w:r>
      <w:r>
        <w:rPr>
          <w:rFonts w:hint="default" w:ascii="Times New Roman" w:hAnsi="Times New Roman" w:eastAsia="Times New Roman" w:cs="Times New Roman"/>
        </w:rPr>
        <w:tab/>
      </w:r>
      <w:r>
        <w:rPr>
          <w:rFonts w:hint="default" w:ascii="Times New Roman" w:hAnsi="Times New Roman" w:eastAsia="Times New Roman" w:cs="Times New Roman"/>
        </w:rPr>
        <w:t>23</w:t>
      </w:r>
    </w:p>
    <w:p>
      <w:pPr>
        <w:pStyle w:val="6"/>
        <w:tabs>
          <w:tab w:val="right" w:leader="dot" w:pos="14471"/>
        </w:tabs>
        <w:spacing w:before="212" w:line="240" w:lineRule="auto"/>
        <w:ind w:left="104" w:right="0"/>
        <w:jc w:val="left"/>
        <w:rPr>
          <w:rFonts w:hint="default" w:ascii="Times New Roman" w:hAnsi="Times New Roman" w:eastAsia="Times New Roman" w:cs="Times New Roman"/>
        </w:rPr>
      </w:pPr>
      <w:r>
        <w:t>四、财政拨款</w:t>
      </w:r>
      <w:r>
        <w:rPr>
          <w:rFonts w:hint="default" w:ascii="宋体" w:hAnsi="宋体" w:eastAsia="宋体" w:cs="宋体"/>
        </w:rPr>
        <w:t>“</w:t>
      </w:r>
      <w:r>
        <w:t>三公</w:t>
      </w:r>
      <w:r>
        <w:rPr>
          <w:rFonts w:hint="default" w:ascii="宋体" w:hAnsi="宋体" w:eastAsia="宋体" w:cs="宋体"/>
        </w:rPr>
        <w:t>”</w:t>
      </w:r>
      <w:r>
        <w:t>经费预算情况及增减变化原因</w:t>
      </w:r>
      <w:r>
        <w:rPr>
          <w:rFonts w:hint="default" w:ascii="Times New Roman" w:hAnsi="Times New Roman" w:eastAsia="Times New Roman" w:cs="Times New Roman"/>
        </w:rPr>
        <w:tab/>
      </w:r>
      <w:r>
        <w:rPr>
          <w:rFonts w:hint="default" w:ascii="Times New Roman" w:hAnsi="Times New Roman" w:eastAsia="Times New Roman" w:cs="Times New Roman"/>
        </w:rPr>
        <w:t>24</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五、预算绩效信息</w:t>
      </w:r>
      <w:r>
        <w:rPr>
          <w:rFonts w:hint="default" w:ascii="Times New Roman" w:hAnsi="Times New Roman" w:eastAsia="Times New Roman" w:cs="Times New Roman"/>
        </w:rPr>
        <w:tab/>
      </w:r>
      <w:r>
        <w:rPr>
          <w:rFonts w:hint="default" w:ascii="Times New Roman" w:hAnsi="Times New Roman" w:eastAsia="Times New Roman" w:cs="Times New Roman"/>
        </w:rPr>
        <w:t>24</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六、政府采购预算情况</w:t>
      </w:r>
      <w:r>
        <w:rPr>
          <w:rFonts w:hint="default" w:ascii="Times New Roman" w:hAnsi="Times New Roman" w:eastAsia="Times New Roman" w:cs="Times New Roman"/>
        </w:rPr>
        <w:tab/>
      </w:r>
      <w:r>
        <w:rPr>
          <w:rFonts w:hint="default" w:ascii="Times New Roman" w:hAnsi="Times New Roman" w:eastAsia="Times New Roman" w:cs="Times New Roman"/>
        </w:rPr>
        <w:t>41</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七、国有资产信息</w:t>
      </w:r>
      <w:r>
        <w:rPr>
          <w:rFonts w:hint="default" w:ascii="Times New Roman" w:hAnsi="Times New Roman" w:eastAsia="Times New Roman" w:cs="Times New Roman"/>
        </w:rPr>
        <w:tab/>
      </w:r>
      <w:r>
        <w:rPr>
          <w:rFonts w:hint="default" w:ascii="Times New Roman" w:hAnsi="Times New Roman" w:eastAsia="Times New Roman" w:cs="Times New Roman"/>
        </w:rPr>
        <w:t>42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八、名词解释</w:t>
      </w:r>
      <w:r>
        <w:rPr>
          <w:rFonts w:hint="default" w:ascii="Times New Roman" w:hAnsi="Times New Roman" w:eastAsia="Times New Roman" w:cs="Times New Roman"/>
        </w:rPr>
        <w:tab/>
      </w:r>
      <w:r>
        <w:rPr>
          <w:rFonts w:hint="default" w:ascii="Times New Roman" w:hAnsi="Times New Roman" w:eastAsia="Times New Roman" w:cs="Times New Roman"/>
        </w:rPr>
        <w:t>42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九、其他需要说明的事项</w:t>
      </w:r>
      <w:r>
        <w:rPr>
          <w:rFonts w:hint="default" w:ascii="Times New Roman" w:hAnsi="Times New Roman" w:eastAsia="Times New Roman" w:cs="Times New Roman"/>
        </w:rPr>
        <w:tab/>
      </w:r>
      <w:r>
        <w:rPr>
          <w:rFonts w:hint="default" w:ascii="Times New Roman" w:hAnsi="Times New Roman" w:eastAsia="Times New Roman" w:cs="Times New Roman"/>
        </w:rPr>
        <w:t>43</w:t>
      </w:r>
    </w:p>
    <w:p>
      <w:pPr>
        <w:spacing w:after="0" w:line="240" w:lineRule="auto"/>
        <w:jc w:val="left"/>
        <w:rPr>
          <w:rFonts w:hint="default" w:ascii="Times New Roman" w:hAnsi="Times New Roman" w:eastAsia="Times New Roman" w:cs="Times New Roman"/>
        </w:rPr>
        <w:sectPr>
          <w:pgSz w:w="16840" w:h="11910" w:orient="landscape"/>
          <w:pgMar w:top="1100" w:right="920" w:bottom="280" w:left="1340" w:header="720" w:footer="720" w:gutter="0"/>
          <w:cols w:space="720" w:num="1"/>
        </w:sectPr>
      </w:pPr>
    </w:p>
    <w:p>
      <w:pPr>
        <w:spacing w:before="0" w:line="240" w:lineRule="auto"/>
        <w:ind w:right="0"/>
        <w:rPr>
          <w:rFonts w:hint="default" w:ascii="Times New Roman" w:hAnsi="Times New Roman" w:eastAsia="Times New Roman" w:cs="Times New Roman"/>
          <w:sz w:val="72"/>
          <w:szCs w:val="72"/>
        </w:rPr>
      </w:pPr>
    </w:p>
    <w:p>
      <w:pPr>
        <w:spacing w:before="0" w:line="240" w:lineRule="auto"/>
        <w:ind w:right="0"/>
        <w:rPr>
          <w:rFonts w:hint="default" w:ascii="Times New Roman" w:hAnsi="Times New Roman" w:eastAsia="Times New Roman" w:cs="Times New Roman"/>
          <w:sz w:val="72"/>
          <w:szCs w:val="72"/>
        </w:rPr>
      </w:pPr>
    </w:p>
    <w:p>
      <w:pPr>
        <w:spacing w:before="0" w:line="240" w:lineRule="auto"/>
        <w:ind w:right="0"/>
        <w:rPr>
          <w:rFonts w:hint="default" w:ascii="Times New Roman" w:hAnsi="Times New Roman" w:eastAsia="Times New Roman" w:cs="Times New Roman"/>
          <w:sz w:val="72"/>
          <w:szCs w:val="72"/>
        </w:rPr>
      </w:pPr>
    </w:p>
    <w:p>
      <w:pPr>
        <w:spacing w:before="7" w:line="240" w:lineRule="auto"/>
        <w:ind w:right="0"/>
        <w:rPr>
          <w:rFonts w:hint="default" w:ascii="Times New Roman" w:hAnsi="Times New Roman" w:eastAsia="Times New Roman" w:cs="Times New Roman"/>
          <w:sz w:val="71"/>
          <w:szCs w:val="71"/>
        </w:rPr>
      </w:pPr>
    </w:p>
    <w:p>
      <w:pPr>
        <w:tabs>
          <w:tab w:val="left" w:pos="6358"/>
        </w:tabs>
        <w:spacing w:before="0"/>
        <w:ind w:left="2759" w:right="0" w:firstLine="0"/>
        <w:jc w:val="left"/>
        <w:rPr>
          <w:rFonts w:hint="default" w:ascii="方正小标宋繁体" w:hAnsi="方正小标宋繁体" w:eastAsia="方正小标宋繁体" w:cs="方正小标宋繁体"/>
          <w:sz w:val="72"/>
          <w:szCs w:val="72"/>
        </w:rPr>
      </w:pPr>
      <w:r>
        <w:rPr>
          <w:rFonts w:hint="default" w:ascii="方正小标宋繁体" w:hAnsi="方正小标宋繁体" w:eastAsia="方正小标宋繁体" w:cs="方正小标宋繁体"/>
          <w:sz w:val="72"/>
          <w:szCs w:val="72"/>
        </w:rPr>
        <w:t>第一部分</w:t>
      </w:r>
      <w:r>
        <w:rPr>
          <w:rFonts w:hint="default" w:ascii="方正小标宋繁体" w:hAnsi="方正小标宋繁体" w:eastAsia="方正小标宋繁体" w:cs="方正小标宋繁体"/>
          <w:sz w:val="72"/>
          <w:szCs w:val="72"/>
        </w:rPr>
        <w:tab/>
      </w:r>
      <w:r>
        <w:rPr>
          <w:rFonts w:hint="eastAsia" w:ascii="方正小标宋繁体" w:hAnsi="方正小标宋繁体" w:eastAsia="方正小标宋繁体" w:cs="方正小标宋繁体"/>
          <w:sz w:val="72"/>
          <w:szCs w:val="72"/>
          <w:lang w:eastAsia="zh-CN"/>
        </w:rPr>
        <w:t>单位</w:t>
      </w:r>
      <w:r>
        <w:rPr>
          <w:rFonts w:hint="default" w:ascii="方正小标宋繁体" w:hAnsi="方正小标宋繁体" w:eastAsia="方正小标宋繁体" w:cs="方正小标宋繁体"/>
          <w:sz w:val="72"/>
          <w:szCs w:val="72"/>
        </w:rPr>
        <w:t>预算</w:t>
      </w:r>
    </w:p>
    <w:p>
      <w:pPr>
        <w:spacing w:after="0"/>
        <w:jc w:val="left"/>
        <w:rPr>
          <w:rFonts w:hint="default" w:ascii="方正小标宋繁体" w:hAnsi="方正小标宋繁体" w:eastAsia="方正小标宋繁体" w:cs="方正小标宋繁体"/>
          <w:sz w:val="72"/>
          <w:szCs w:val="72"/>
        </w:rPr>
        <w:sectPr>
          <w:footerReference r:id="rId5" w:type="default"/>
          <w:footerReference r:id="rId6" w:type="even"/>
          <w:pgSz w:w="16840" w:h="11910" w:orient="landscape"/>
          <w:pgMar w:top="1100" w:right="920" w:bottom="1160" w:left="2420" w:header="0" w:footer="977" w:gutter="0"/>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6840" w:h="11910" w:orient="landscape"/>
          <w:pgMar w:top="1100" w:right="2420" w:bottom="1120" w:left="900" w:header="0" w:footer="937" w:gutter="0"/>
          <w:cols w:space="720" w:num="1"/>
        </w:sectPr>
      </w:pPr>
    </w:p>
    <w:p>
      <w:pPr>
        <w:spacing w:before="7" w:line="240" w:lineRule="auto"/>
        <w:ind w:right="0"/>
        <w:rPr>
          <w:rFonts w:hint="default" w:ascii="Times New Roman" w:hAnsi="Times New Roman" w:eastAsia="Times New Roman" w:cs="Times New Roman"/>
          <w:sz w:val="26"/>
          <w:szCs w:val="26"/>
        </w:rPr>
      </w:pPr>
    </w:p>
    <w:p>
      <w:pPr>
        <w:pStyle w:val="3"/>
        <w:spacing w:line="477" w:lineRule="exact"/>
        <w:ind w:right="299"/>
        <w:jc w:val="center"/>
      </w:pPr>
      <w:bookmarkStart w:id="0" w:name="_TOC_250008"/>
      <w:bookmarkEnd w:id="0"/>
      <w:r>
        <w:rPr>
          <w:rFonts w:hint="eastAsia"/>
          <w:lang w:eastAsia="zh-CN"/>
        </w:rPr>
        <w:t>单位</w:t>
      </w:r>
      <w:r>
        <w:t>预算收支总表</w:t>
      </w:r>
    </w:p>
    <w:p>
      <w:pPr>
        <w:tabs>
          <w:tab w:val="left" w:pos="5499"/>
          <w:tab w:val="left" w:pos="12755"/>
        </w:tabs>
        <w:spacing w:before="82" w:after="25"/>
        <w:ind w:left="0" w:right="299"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5" w:type="dxa"/>
        <w:tblLayout w:type="fixed"/>
        <w:tblCellMar>
          <w:top w:w="0" w:type="dxa"/>
          <w:left w:w="0" w:type="dxa"/>
          <w:bottom w:w="0" w:type="dxa"/>
          <w:right w:w="0" w:type="dxa"/>
        </w:tblCellMar>
      </w:tblPr>
      <w:tblGrid>
        <w:gridCol w:w="850"/>
        <w:gridCol w:w="4535"/>
        <w:gridCol w:w="2126"/>
        <w:gridCol w:w="4535"/>
        <w:gridCol w:w="2126"/>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938.96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一、一般公共服务支出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428.80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二、外交支出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三、国防支出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四、公共安全支出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五、事业收入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五、教育支出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六、事业单位经营收入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六、科学技术支出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七、上级补助收入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八、附属单位上缴收入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八、社会保障和就业支出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120.10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九、其他收入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九、社会保险基金支出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十、卫生健康支出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十一、节能环保支出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十二、城乡社区支出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十三、农林水支出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221.23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十四、交通运输支出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十六、商业服务业等支出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十七、金融支出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十八、援助其他地区支出</w:t>
            </w:r>
          </w:p>
        </w:tc>
        <w:tc>
          <w:tcPr>
            <w:tcW w:w="2126"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22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040"/>
          <w:tab w:val="left" w:pos="13296"/>
        </w:tabs>
        <w:spacing w:before="0" w:after="25" w:line="351" w:lineRule="exact"/>
        <w:ind w:left="5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425" w:type="dxa"/>
        <w:tblLayout w:type="fixed"/>
        <w:tblCellMar>
          <w:top w:w="0" w:type="dxa"/>
          <w:left w:w="0" w:type="dxa"/>
          <w:bottom w:w="0" w:type="dxa"/>
          <w:right w:w="0" w:type="dxa"/>
        </w:tblCellMar>
      </w:tblPr>
      <w:tblGrid>
        <w:gridCol w:w="850"/>
        <w:gridCol w:w="4535"/>
        <w:gridCol w:w="2126"/>
        <w:gridCol w:w="4535"/>
        <w:gridCol w:w="2126"/>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二十、住房保障支出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二十四、预备费</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二十五、其他支出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二十六、转移性支出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二十七、债务还本支出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二十八、债务付息支出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本年收入合计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本年支出合计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b/>
                <w:w w:val="95"/>
                <w:sz w:val="21"/>
              </w:rPr>
              <w:t>994.95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上年结转结余</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年终结转结余</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b/>
                <w:w w:val="95"/>
                <w:sz w:val="21"/>
              </w:rPr>
              <w:t>994.95</w:t>
            </w:r>
          </w:p>
        </w:tc>
      </w:tr>
    </w:tbl>
    <w:p>
      <w:pPr>
        <w:spacing w:after="0" w:line="240" w:lineRule="auto"/>
        <w:jc w:val="right"/>
        <w:rPr>
          <w:rFonts w:hint="default" w:ascii="宋体" w:hAnsi="宋体" w:eastAsia="宋体" w:cs="宋体"/>
          <w:sz w:val="21"/>
          <w:szCs w:val="21"/>
        </w:rPr>
        <w:sectPr>
          <w:pgSz w:w="16840" w:h="11910" w:orient="landscape"/>
          <w:pgMar w:top="1100" w:right="1220" w:bottom="1120" w:left="900" w:header="0" w:footer="93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99"/>
        <w:jc w:val="center"/>
      </w:pPr>
      <w:bookmarkStart w:id="1" w:name="_TOC_250007"/>
      <w:bookmarkEnd w:id="1"/>
      <w:r>
        <w:rPr>
          <w:rFonts w:hint="eastAsia"/>
          <w:lang w:eastAsia="zh-CN"/>
        </w:rPr>
        <w:t>单位</w:t>
      </w:r>
      <w:r>
        <w:t>预算收入总表</w:t>
      </w:r>
    </w:p>
    <w:p>
      <w:pPr>
        <w:tabs>
          <w:tab w:val="left" w:pos="6251"/>
          <w:tab w:val="left" w:pos="13155"/>
        </w:tabs>
        <w:spacing w:before="82" w:after="25"/>
        <w:ind w:left="0" w:right="9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991" w:type="dxa"/>
            <w:tcBorders>
              <w:top w:val="single" w:color="000000" w:sz="6" w:space="0"/>
              <w:left w:val="single" w:color="000000" w:sz="6" w:space="0"/>
              <w:bottom w:val="single" w:color="000000" w:sz="6" w:space="0"/>
              <w:right w:val="single" w:color="000000" w:sz="6" w:space="0"/>
            </w:tcBorders>
          </w:tcP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一般公共服务 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2010102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20103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政府办公厅</w:t>
            </w:r>
          </w:p>
          <w:p>
            <w:pPr>
              <w:pStyle w:val="13"/>
              <w:spacing w:before="25"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（室）及相关 机构事务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281.71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281.71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281.71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2010302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131.49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131.49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131.49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2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0"/>
              <w:jc w:val="center"/>
              <w:rPr>
                <w:rFonts w:hint="default" w:ascii="宋体" w:hAnsi="宋体" w:eastAsia="宋体" w:cs="宋体"/>
                <w:sz w:val="21"/>
                <w:szCs w:val="21"/>
              </w:rPr>
            </w:pPr>
            <w:r>
              <w:rPr>
                <w:rFonts w:ascii="宋体"/>
                <w:sz w:val="21"/>
              </w:rPr>
              <w:t>10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left="100" w:right="0"/>
              <w:jc w:val="left"/>
              <w:rPr>
                <w:rFonts w:hint="default" w:ascii="宋体" w:hAnsi="宋体" w:eastAsia="宋体" w:cs="宋体"/>
                <w:sz w:val="21"/>
                <w:szCs w:val="21"/>
              </w:rPr>
            </w:pPr>
            <w:r>
              <w:rPr>
                <w:rFonts w:ascii="宋体"/>
                <w:sz w:val="21"/>
              </w:rPr>
              <w:t>2010399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其他政府办公 厅（室）及相 关机构事务支 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2012902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footerReference r:id="rId7" w:type="default"/>
          <w:footerReference r:id="rId8" w:type="even"/>
          <w:pgSz w:w="16840" w:h="11910" w:orient="landscape"/>
          <w:pgMar w:top="1100" w:right="920" w:bottom="1160" w:left="1020" w:header="0" w:footer="977" w:gutter="0"/>
          <w:pgNumType w:start="3"/>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593"/>
          <w:tab w:val="left" w:pos="13497"/>
        </w:tabs>
        <w:spacing w:before="0" w:after="25" w:line="351" w:lineRule="exact"/>
        <w:ind w:left="3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2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13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20131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党委办公厅</w:t>
            </w:r>
          </w:p>
          <w:p>
            <w:pPr>
              <w:pStyle w:val="13"/>
              <w:spacing w:before="25"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（室）及相关 机构事务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2013102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15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社会保障和就 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20805</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行政事业单位 养老支出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17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2080501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行政单位离退 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2080502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事业单位离退 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19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2080505</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机关事业单位 基本养老保险 缴费支出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20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2080506</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机关事业单位 职业年金缴费 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59.22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59.22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473"/>
          <w:tab w:val="left" w:pos="13377"/>
        </w:tabs>
        <w:spacing w:before="0" w:after="25" w:line="351" w:lineRule="exact"/>
        <w:ind w:left="22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25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2100408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基本公共卫生 服务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26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21011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行政事业单位 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25.57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31.95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50.00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35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2110499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其他自然生态 保护支出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37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21208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国有土地使用 权出让收入安 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38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2120899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其他国有土地 使用权出让收 入安排的支出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2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593"/>
          <w:tab w:val="left" w:pos="13497"/>
        </w:tabs>
        <w:spacing w:before="0" w:after="25" w:line="351" w:lineRule="exact"/>
        <w:ind w:left="3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2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45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224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灾害防治及应 急管理支出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49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2240202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119"/>
        <w:jc w:val="center"/>
      </w:pPr>
      <w:bookmarkStart w:id="2" w:name="_TOC_250006"/>
      <w:bookmarkEnd w:id="2"/>
      <w:r>
        <w:rPr>
          <w:rFonts w:hint="eastAsia"/>
          <w:lang w:eastAsia="zh-CN"/>
        </w:rPr>
        <w:t>单位</w:t>
      </w:r>
      <w:r>
        <w:t>预算支出总表</w:t>
      </w:r>
    </w:p>
    <w:p>
      <w:pPr>
        <w:tabs>
          <w:tab w:val="left" w:pos="6789"/>
          <w:tab w:val="left" w:pos="13126"/>
        </w:tabs>
        <w:spacing w:before="82" w:after="25"/>
        <w:ind w:left="0" w:right="11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992"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850.66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144.29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一般公共服务支出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428.80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413.20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15.60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政府办公厅（室）及相关机构事务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425.80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413.20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281.71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281.71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9.60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9.60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131.49</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131.49</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2010399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其他政府办公厅（室）及相关机构事务支出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党委办公厅（室）及相关机构事务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社会保障和就业支出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行政事业单位养老支出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行政单位离退休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事业单位离退休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4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45"/>
          <w:tab w:val="left" w:pos="13482"/>
        </w:tabs>
        <w:spacing w:before="0" w:after="25" w:line="351" w:lineRule="exact"/>
        <w:ind w:left="356"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4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85.53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17.20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59.22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57.52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基本公共卫生服务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57.52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57.52</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25.57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31.95</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50.00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50.00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其他自然生态保护支出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005"/>
          <w:tab w:val="left" w:pos="13342"/>
        </w:tabs>
        <w:spacing w:before="0" w:after="25" w:line="351" w:lineRule="exact"/>
        <w:ind w:left="216"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灾害防治及应急管理支出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4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1"/>
        <w:jc w:val="center"/>
      </w:pPr>
      <w:bookmarkStart w:id="3" w:name="_TOC_250005"/>
      <w:bookmarkEnd w:id="3"/>
      <w:r>
        <w:rPr>
          <w:rFonts w:hint="eastAsia"/>
          <w:lang w:eastAsia="zh-CN"/>
        </w:rPr>
        <w:t>单位</w:t>
      </w:r>
      <w:r>
        <w:t>预算财政拨款收支总表</w:t>
      </w:r>
    </w:p>
    <w:p>
      <w:pPr>
        <w:tabs>
          <w:tab w:val="left" w:pos="6478"/>
          <w:tab w:val="left" w:pos="13607"/>
        </w:tabs>
        <w:spacing w:before="82" w:after="25"/>
        <w:ind w:left="0" w:right="1"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一、一般公共预算拨款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938.96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428.80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428.80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二、政府性基金预算拨款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二、外交支出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三、国防支出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四、公共安全支出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五、教育支出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六、科学技术支出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十、卫生健康支出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59.22</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55.00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33" w:right="0"/>
              <w:jc w:val="left"/>
              <w:rPr>
                <w:rFonts w:hint="default" w:ascii="宋体" w:hAnsi="宋体" w:eastAsia="宋体" w:cs="宋体"/>
                <w:sz w:val="21"/>
                <w:szCs w:val="21"/>
              </w:rPr>
            </w:pPr>
            <w:r>
              <w:rPr>
                <w:rFonts w:ascii="宋体"/>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十三、农林水支出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十七、金融支出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713"/>
          <w:tab w:val="left" w:pos="13842"/>
        </w:tabs>
        <w:spacing w:before="0" w:after="25" w:line="351" w:lineRule="exact"/>
        <w:ind w:left="235"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16.00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二十四、预备费</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二十五、其他支出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60" w:right="0"/>
              <w:jc w:val="left"/>
              <w:rPr>
                <w:rFonts w:hint="default" w:ascii="宋体" w:hAnsi="宋体" w:eastAsia="宋体" w:cs="宋体"/>
                <w:sz w:val="21"/>
                <w:szCs w:val="21"/>
              </w:rPr>
            </w:pPr>
            <w:r>
              <w:rPr>
                <w:rFonts w:hint="default" w:ascii="宋体" w:hAnsi="宋体" w:eastAsia="宋体" w:cs="宋体"/>
                <w:b/>
                <w:bCs/>
                <w:sz w:val="21"/>
                <w:szCs w:val="21"/>
              </w:rPr>
              <w:t>本年收入合计</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60" w:right="0"/>
              <w:jc w:val="left"/>
              <w:rPr>
                <w:rFonts w:hint="default" w:ascii="宋体" w:hAnsi="宋体" w:eastAsia="宋体" w:cs="宋体"/>
                <w:sz w:val="21"/>
                <w:szCs w:val="21"/>
              </w:rPr>
            </w:pPr>
            <w:r>
              <w:rPr>
                <w:rFonts w:hint="default" w:ascii="宋体" w:hAnsi="宋体" w:eastAsia="宋体" w:cs="宋体"/>
                <w:b/>
                <w:bCs/>
                <w:sz w:val="21"/>
                <w:szCs w:val="21"/>
              </w:rPr>
              <w:t>本年支出合计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938.96</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28" w:right="0"/>
              <w:jc w:val="left"/>
              <w:rPr>
                <w:rFonts w:hint="default" w:ascii="宋体" w:hAnsi="宋体" w:eastAsia="宋体" w:cs="宋体"/>
                <w:sz w:val="21"/>
                <w:szCs w:val="21"/>
              </w:rPr>
            </w:pPr>
            <w:r>
              <w:rPr>
                <w:rFonts w:ascii="宋体"/>
                <w:b/>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年初财政拨款结转和结余</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一、一般公共预算拨款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二、政府性基金预算拨款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713"/>
          <w:tab w:val="left" w:pos="13842"/>
        </w:tabs>
        <w:spacing w:before="0" w:after="25" w:line="351" w:lineRule="exact"/>
        <w:ind w:left="235"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676" w:right="0"/>
              <w:jc w:val="left"/>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收入总计</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2" w:right="0"/>
              <w:jc w:val="left"/>
              <w:rPr>
                <w:rFonts w:hint="default" w:ascii="宋体" w:hAnsi="宋体" w:eastAsia="宋体" w:cs="宋体"/>
                <w:sz w:val="21"/>
                <w:szCs w:val="21"/>
              </w:rPr>
            </w:pPr>
            <w:r>
              <w:rPr>
                <w:rFonts w:ascii="宋体"/>
                <w:b/>
                <w:sz w:val="21"/>
              </w:rPr>
              <w:t>938.96</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28" w:right="0"/>
              <w:jc w:val="left"/>
              <w:rPr>
                <w:rFonts w:hint="default" w:ascii="宋体" w:hAnsi="宋体" w:eastAsia="宋体" w:cs="宋体"/>
                <w:sz w:val="21"/>
                <w:szCs w:val="21"/>
              </w:rPr>
            </w:pPr>
            <w:r>
              <w:rPr>
                <w:rFonts w:ascii="宋体"/>
                <w:b/>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259"/>
        <w:jc w:val="center"/>
      </w:pPr>
      <w:bookmarkStart w:id="4" w:name="_TOC_250004"/>
      <w:bookmarkEnd w:id="4"/>
      <w:r>
        <w:rPr>
          <w:rFonts w:hint="eastAsia"/>
          <w:lang w:eastAsia="zh-CN"/>
        </w:rPr>
        <w:t>单位</w:t>
      </w:r>
      <w:r>
        <w:t>预算一般公共预算财政拨款支出表</w:t>
      </w:r>
    </w:p>
    <w:p>
      <w:pPr>
        <w:tabs>
          <w:tab w:val="left" w:pos="6903"/>
          <w:tab w:val="left" w:pos="12812"/>
        </w:tabs>
        <w:spacing w:before="82" w:after="25"/>
        <w:ind w:left="0" w:right="25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938.96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850.66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88.30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一般公共服务支出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428.80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413.20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政府办公厅（室）及相关机构事务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425.80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413.20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281.71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281.71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9.60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9.60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131.49</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131.49</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2010399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其他政府办公厅（室）及相关机构事务支出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党委办公厅（室）及相关机构事务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社会保障和就业支出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120.10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行政事业单位养老支出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5"/>
              <w:jc w:val="right"/>
              <w:rPr>
                <w:rFonts w:hint="default" w:ascii="宋体" w:hAnsi="宋体" w:eastAsia="宋体" w:cs="宋体"/>
                <w:sz w:val="21"/>
                <w:szCs w:val="21"/>
              </w:rPr>
            </w:pPr>
            <w:r>
              <w:rPr>
                <w:rFonts w:ascii="宋体"/>
                <w:sz w:val="21"/>
              </w:rPr>
              <w:t>108.07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行政单位离退休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4.27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事业单位离退休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255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1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416"/>
          <w:tab w:val="left" w:pos="13325"/>
        </w:tabs>
        <w:spacing w:before="0" w:after="25" w:line="351" w:lineRule="exact"/>
        <w:ind w:left="51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85.53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机关事业单位职业年金缴费支出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59.22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57.52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1.70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1.27</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基本公共卫生服务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1.27</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行政事业单位医疗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57.52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57.52</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25.57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25.57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31.95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31.95</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0.43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0.43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0.43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0.43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50.00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其他自然生态保护支出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18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36"/>
          <w:tab w:val="left" w:pos="13045"/>
        </w:tabs>
        <w:spacing w:before="0" w:after="25" w:line="351" w:lineRule="exact"/>
        <w:ind w:left="23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灾害防治及应急管理支出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16.00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r>
    </w:tbl>
    <w:p>
      <w:pPr>
        <w:spacing w:after="0" w:line="240" w:lineRule="auto"/>
        <w:jc w:val="righ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left="278" w:right="0"/>
        <w:jc w:val="center"/>
      </w:pPr>
      <w:bookmarkStart w:id="5" w:name="_TOC_250003"/>
      <w:bookmarkEnd w:id="5"/>
      <w:r>
        <w:rPr>
          <w:rFonts w:hint="eastAsia"/>
          <w:lang w:eastAsia="zh-CN"/>
        </w:rPr>
        <w:t>单位</w:t>
      </w:r>
      <w:r>
        <w:t>预算一般公共预算财政拨款基本支出表</w:t>
      </w:r>
    </w:p>
    <w:p>
      <w:pPr>
        <w:tabs>
          <w:tab w:val="left" w:pos="7182"/>
          <w:tab w:val="left" w:pos="13091"/>
        </w:tabs>
        <w:spacing w:before="82" w:after="25"/>
        <w:ind w:left="279"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802" w:right="0"/>
              <w:jc w:val="left"/>
              <w:rPr>
                <w:rFonts w:hint="default" w:ascii="宋体" w:hAnsi="宋体" w:eastAsia="宋体" w:cs="宋体"/>
                <w:sz w:val="21"/>
                <w:szCs w:val="21"/>
              </w:rPr>
            </w:pPr>
            <w:r>
              <w:rPr>
                <w:rFonts w:hint="default" w:ascii="宋体" w:hAnsi="宋体" w:eastAsia="宋体" w:cs="宋体"/>
                <w:b/>
                <w:bCs/>
                <w:sz w:val="21"/>
                <w:szCs w:val="21"/>
              </w:rPr>
              <w:t>支出</w:t>
            </w:r>
            <w:r>
              <w:rPr>
                <w:rFonts w:hint="eastAsia" w:ascii="宋体" w:hAnsi="宋体" w:eastAsia="宋体" w:cs="宋体"/>
                <w:b/>
                <w:bCs/>
                <w:sz w:val="21"/>
                <w:szCs w:val="21"/>
                <w:lang w:eastAsia="zh-CN"/>
              </w:rPr>
              <w:t>单位</w:t>
            </w:r>
            <w:r>
              <w:rPr>
                <w:rFonts w:hint="default" w:ascii="宋体" w:hAnsi="宋体" w:eastAsia="宋体" w:cs="宋体"/>
                <w:b/>
                <w:bCs/>
                <w:sz w:val="21"/>
                <w:szCs w:val="21"/>
              </w:rPr>
              <w:t>经济分类科目</w:t>
            </w:r>
          </w:p>
        </w:tc>
        <w:tc>
          <w:tcPr>
            <w:tcW w:w="7652" w:type="dxa"/>
            <w:gridSpan w:val="3"/>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一般公共预算基本支出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人员经费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公用经费</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850.66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765.63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工资福利支出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748.26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748.26</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基本工资</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180.58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180.58</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津贴补贴</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289.91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289.91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奖金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sz w:val="21"/>
              </w:rPr>
              <w:t>8.95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8.95</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绩效工资</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67.04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67.04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85.53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职业年金缴费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城镇职工基本医疗保险缴费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55.30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55.30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其他社会保障缴费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4.64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4.64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其他工资福利支出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0.50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0.50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商品和服务支出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83.03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83.03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16.90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16.90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sz w:val="21"/>
              </w:rPr>
              <w:t>0.05</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0.05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电费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邮电费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1.50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差旅费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22.05</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22.05</w:t>
            </w:r>
          </w:p>
        </w:tc>
      </w:tr>
    </w:tbl>
    <w:p>
      <w:pPr>
        <w:spacing w:after="0" w:line="240" w:lineRule="auto"/>
        <w:jc w:val="right"/>
        <w:rPr>
          <w:rFonts w:hint="default" w:ascii="宋体" w:hAnsi="宋体" w:eastAsia="宋体" w:cs="宋体"/>
          <w:sz w:val="21"/>
          <w:szCs w:val="21"/>
        </w:rPr>
        <w:sectPr>
          <w:pgSz w:w="16840" w:h="11910" w:orient="landscape"/>
          <w:pgMar w:top="1100" w:right="118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36"/>
          <w:tab w:val="left" w:pos="13045"/>
        </w:tabs>
        <w:spacing w:before="0" w:after="25" w:line="351" w:lineRule="exact"/>
        <w:ind w:left="23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802" w:right="0"/>
              <w:jc w:val="left"/>
              <w:rPr>
                <w:rFonts w:hint="default" w:ascii="宋体" w:hAnsi="宋体" w:eastAsia="宋体" w:cs="宋体"/>
                <w:sz w:val="21"/>
                <w:szCs w:val="21"/>
              </w:rPr>
            </w:pPr>
            <w:r>
              <w:rPr>
                <w:rFonts w:hint="default" w:ascii="宋体" w:hAnsi="宋体" w:eastAsia="宋体" w:cs="宋体"/>
                <w:b/>
                <w:bCs/>
                <w:sz w:val="21"/>
                <w:szCs w:val="21"/>
              </w:rPr>
              <w:t>支出</w:t>
            </w:r>
            <w:r>
              <w:rPr>
                <w:rFonts w:hint="eastAsia" w:ascii="宋体" w:hAnsi="宋体" w:eastAsia="宋体" w:cs="宋体"/>
                <w:b/>
                <w:bCs/>
                <w:sz w:val="21"/>
                <w:szCs w:val="21"/>
                <w:lang w:eastAsia="zh-CN"/>
              </w:rPr>
              <w:t>单位</w:t>
            </w:r>
            <w:r>
              <w:rPr>
                <w:rFonts w:hint="default" w:ascii="宋体" w:hAnsi="宋体" w:eastAsia="宋体" w:cs="宋体"/>
                <w:b/>
                <w:bCs/>
                <w:sz w:val="21"/>
                <w:szCs w:val="21"/>
              </w:rPr>
              <w:t>经济分类科目</w:t>
            </w:r>
          </w:p>
        </w:tc>
        <w:tc>
          <w:tcPr>
            <w:tcW w:w="7652" w:type="dxa"/>
            <w:gridSpan w:val="3"/>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一般公共预算基本支出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人员经费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公用经费</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维修(护)费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12.89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sz w:val="21"/>
              </w:rPr>
              <w:t>12.89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公务接待费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3.00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30226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劳务费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30239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其他交通费用</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14.64</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14.64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对个人和家庭的补助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17.37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17.37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退休费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5"/>
              <w:jc w:val="right"/>
              <w:rPr>
                <w:rFonts w:hint="default" w:ascii="宋体" w:hAnsi="宋体" w:eastAsia="宋体" w:cs="宋体"/>
                <w:sz w:val="21"/>
                <w:szCs w:val="21"/>
              </w:rPr>
            </w:pPr>
            <w:r>
              <w:rPr>
                <w:rFonts w:ascii="宋体"/>
                <w:sz w:val="21"/>
              </w:rPr>
              <w:t>5.34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5.34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生活补助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资本性支出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31002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办公设备购置</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bl>
    <w:p>
      <w:pPr>
        <w:spacing w:after="0" w:line="240" w:lineRule="auto"/>
        <w:jc w:val="righ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left="278" w:right="0"/>
        <w:jc w:val="center"/>
      </w:pPr>
      <w:bookmarkStart w:id="6" w:name="_TOC_250002"/>
      <w:bookmarkEnd w:id="6"/>
      <w:r>
        <w:rPr>
          <w:rFonts w:hint="eastAsia"/>
          <w:lang w:eastAsia="zh-CN"/>
        </w:rPr>
        <w:t>单位</w:t>
      </w:r>
      <w:r>
        <w:t>预算政府基金预算财政拨款支出表</w:t>
      </w:r>
    </w:p>
    <w:p>
      <w:pPr>
        <w:tabs>
          <w:tab w:val="left" w:pos="7182"/>
          <w:tab w:val="left" w:pos="13091"/>
        </w:tabs>
        <w:spacing w:before="82" w:after="25"/>
        <w:ind w:left="279"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国有土地使用权出让收入安排的支出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sz w:val="21"/>
              </w:rPr>
              <w:t>55.99</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其他国有土地使用权出让收入安排的支出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r>
    </w:tbl>
    <w:p>
      <w:pPr>
        <w:spacing w:after="0" w:line="240" w:lineRule="auto"/>
        <w:jc w:val="right"/>
        <w:rPr>
          <w:rFonts w:hint="default" w:ascii="宋体" w:hAnsi="宋体" w:eastAsia="宋体" w:cs="宋体"/>
          <w:sz w:val="21"/>
          <w:szCs w:val="21"/>
        </w:rPr>
        <w:sectPr>
          <w:pgSz w:w="16840" w:h="11910" w:orient="landscape"/>
          <w:pgMar w:top="1100" w:right="1180" w:bottom="1160" w:left="90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259"/>
        <w:jc w:val="center"/>
      </w:pPr>
      <w:bookmarkStart w:id="7" w:name="_TOC_250001"/>
      <w:bookmarkEnd w:id="7"/>
      <w:r>
        <w:rPr>
          <w:rFonts w:hint="eastAsia"/>
          <w:lang w:eastAsia="zh-CN"/>
        </w:rPr>
        <w:t>单位</w:t>
      </w:r>
      <w:r>
        <w:t>预算国有资本经营预算财政拨款支出表</w:t>
      </w:r>
    </w:p>
    <w:p>
      <w:pPr>
        <w:tabs>
          <w:tab w:val="left" w:pos="6903"/>
          <w:tab w:val="left" w:pos="12812"/>
        </w:tabs>
        <w:spacing w:before="82" w:after="25"/>
        <w:ind w:left="0" w:right="25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tc>
        <w:tc>
          <w:tcPr>
            <w:tcW w:w="2550"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r>
    </w:tbl>
    <w:p>
      <w:pPr>
        <w:spacing w:before="0" w:line="260" w:lineRule="exact"/>
        <w:ind w:left="259" w:right="0" w:firstLine="0"/>
        <w:jc w:val="left"/>
        <w:rPr>
          <w:rFonts w:hint="default" w:ascii="宋体" w:hAnsi="宋体" w:eastAsia="宋体" w:cs="宋体"/>
          <w:sz w:val="21"/>
          <w:szCs w:val="21"/>
        </w:rPr>
      </w:pPr>
      <w:r>
        <w:rPr>
          <w:rFonts w:hint="default" w:ascii="宋体" w:hAnsi="宋体" w:eastAsia="宋体" w:cs="宋体"/>
          <w:sz w:val="21"/>
          <w:szCs w:val="21"/>
        </w:rPr>
        <w:t>注：无国有资本经营预算财政拨款预算，空表列示。</w:t>
      </w:r>
    </w:p>
    <w:p>
      <w:pPr>
        <w:spacing w:after="0" w:line="260" w:lineRule="exact"/>
        <w:jc w:val="lef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5" w:line="240" w:lineRule="auto"/>
        <w:ind w:right="0"/>
        <w:rPr>
          <w:rFonts w:hint="default" w:ascii="宋体" w:hAnsi="宋体" w:eastAsia="宋体" w:cs="宋体"/>
          <w:sz w:val="23"/>
          <w:szCs w:val="23"/>
        </w:rPr>
      </w:pPr>
    </w:p>
    <w:p>
      <w:pPr>
        <w:pStyle w:val="3"/>
        <w:spacing w:line="477" w:lineRule="exact"/>
        <w:ind w:left="318" w:right="0"/>
        <w:jc w:val="center"/>
      </w:pPr>
      <w:bookmarkStart w:id="8" w:name="_TOC_250000"/>
      <w:bookmarkEnd w:id="8"/>
      <w:r>
        <w:rPr>
          <w:rFonts w:hint="eastAsia"/>
          <w:lang w:eastAsia="zh-CN"/>
        </w:rPr>
        <w:t>单位</w:t>
      </w:r>
      <w:r>
        <w:t>预算财政拨款“三公”经费支出表</w:t>
      </w:r>
    </w:p>
    <w:p>
      <w:pPr>
        <w:tabs>
          <w:tab w:val="left" w:pos="7588"/>
          <w:tab w:val="left" w:pos="13073"/>
        </w:tabs>
        <w:spacing w:before="82" w:after="25"/>
        <w:ind w:left="318"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425" w:type="dxa"/>
        <w:tblLayout w:type="fixed"/>
        <w:tblCellMar>
          <w:top w:w="0" w:type="dxa"/>
          <w:left w:w="0" w:type="dxa"/>
          <w:bottom w:w="0" w:type="dxa"/>
          <w:right w:w="0" w:type="dxa"/>
        </w:tblCellMar>
      </w:tblPr>
      <w:tblGrid>
        <w:gridCol w:w="850"/>
        <w:gridCol w:w="3798"/>
        <w:gridCol w:w="2381"/>
        <w:gridCol w:w="2382"/>
        <w:gridCol w:w="2381"/>
        <w:gridCol w:w="238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3798"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tabs>
                <w:tab w:val="left" w:pos="422"/>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9524" w:type="dxa"/>
            <w:gridSpan w:val="4"/>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资 金 性</w:t>
            </w:r>
            <w:r>
              <w:rPr>
                <w:rFonts w:hint="default" w:ascii="宋体" w:hAnsi="宋体" w:eastAsia="宋体" w:cs="宋体"/>
                <w:b/>
                <w:bCs/>
                <w:spacing w:val="-3"/>
                <w:sz w:val="21"/>
                <w:szCs w:val="21"/>
              </w:rPr>
              <w:t xml:space="preserve"> </w:t>
            </w:r>
            <w:r>
              <w:rPr>
                <w:rFonts w:hint="default" w:ascii="宋体" w:hAnsi="宋体" w:eastAsia="宋体" w:cs="宋体"/>
                <w:b/>
                <w:bCs/>
                <w:sz w:val="21"/>
                <w:szCs w:val="21"/>
              </w:rPr>
              <w:t>质</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3798" w:type="dxa"/>
            <w:vMerge w:val="continue"/>
            <w:tcBorders>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382" w:type="dxa"/>
            <w:tcBorders>
              <w:top w:val="single" w:color="000000" w:sz="6" w:space="0"/>
              <w:left w:val="single" w:color="000000" w:sz="6" w:space="0"/>
              <w:bottom w:val="single" w:color="000000" w:sz="6" w:space="0"/>
              <w:right w:val="single" w:color="000000" w:sz="6" w:space="0"/>
            </w:tcBorders>
          </w:tcPr>
          <w:p>
            <w:pPr>
              <w:pStyle w:val="13"/>
              <w:spacing w:line="261" w:lineRule="auto"/>
              <w:ind w:left="760" w:right="551" w:hanging="210"/>
              <w:jc w:val="left"/>
              <w:rPr>
                <w:rFonts w:hint="default" w:ascii="宋体" w:hAnsi="宋体" w:eastAsia="宋体" w:cs="宋体"/>
                <w:sz w:val="21"/>
                <w:szCs w:val="21"/>
              </w:rPr>
            </w:pPr>
            <w:r>
              <w:rPr>
                <w:rFonts w:hint="default" w:ascii="宋体" w:hAnsi="宋体" w:eastAsia="宋体" w:cs="宋体"/>
                <w:b/>
                <w:bCs/>
                <w:w w:val="95"/>
                <w:sz w:val="21"/>
                <w:szCs w:val="21"/>
              </w:rPr>
              <w:t xml:space="preserve">一般公共预算 </w:t>
            </w:r>
            <w:r>
              <w:rPr>
                <w:rFonts w:hint="default" w:ascii="宋体" w:hAnsi="宋体" w:eastAsia="宋体" w:cs="宋体"/>
                <w:b/>
                <w:bCs/>
                <w:sz w:val="21"/>
                <w:szCs w:val="21"/>
              </w:rPr>
              <w:t>财政拨款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261" w:lineRule="auto"/>
              <w:ind w:left="760" w:right="654" w:hanging="105"/>
              <w:jc w:val="left"/>
              <w:rPr>
                <w:rFonts w:hint="default" w:ascii="宋体" w:hAnsi="宋体" w:eastAsia="宋体" w:cs="宋体"/>
                <w:sz w:val="21"/>
                <w:szCs w:val="21"/>
              </w:rPr>
            </w:pPr>
            <w:r>
              <w:rPr>
                <w:rFonts w:hint="default" w:ascii="宋体" w:hAnsi="宋体" w:eastAsia="宋体" w:cs="宋体"/>
                <w:b/>
                <w:bCs/>
                <w:sz w:val="21"/>
                <w:szCs w:val="21"/>
              </w:rPr>
              <w:t>政府性基金 预算拨款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261" w:lineRule="auto"/>
              <w:ind w:left="550" w:right="549"/>
              <w:jc w:val="left"/>
              <w:rPr>
                <w:rFonts w:hint="default" w:ascii="宋体" w:hAnsi="宋体" w:eastAsia="宋体" w:cs="宋体"/>
                <w:sz w:val="21"/>
                <w:szCs w:val="21"/>
              </w:rPr>
            </w:pPr>
            <w:r>
              <w:rPr>
                <w:rFonts w:hint="default" w:ascii="宋体" w:hAnsi="宋体" w:eastAsia="宋体" w:cs="宋体"/>
                <w:b/>
                <w:bCs/>
                <w:sz w:val="21"/>
                <w:szCs w:val="21"/>
              </w:rPr>
              <w:t>国有资本经营 预算财政拨款</w:t>
            </w: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ascii="宋体"/>
                <w:b/>
                <w:sz w:val="21"/>
              </w:rPr>
              <w:t>1</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2</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ascii="宋体"/>
                <w:b/>
                <w:sz w:val="21"/>
              </w:rPr>
              <w:t>3</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4</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1</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9"/>
              <w:jc w:val="right"/>
              <w:rPr>
                <w:rFonts w:hint="default" w:ascii="宋体" w:hAnsi="宋体" w:eastAsia="宋体" w:cs="宋体"/>
                <w:sz w:val="21"/>
                <w:szCs w:val="21"/>
              </w:rPr>
            </w:pPr>
            <w:r>
              <w:rPr>
                <w:rFonts w:ascii="宋体"/>
                <w:b/>
                <w:w w:val="95"/>
                <w:sz w:val="21"/>
              </w:rPr>
              <w:t>3.00</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00"/>
              <w:jc w:val="right"/>
              <w:rPr>
                <w:rFonts w:hint="default" w:ascii="宋体" w:hAnsi="宋体" w:eastAsia="宋体" w:cs="宋体"/>
                <w:sz w:val="21"/>
                <w:szCs w:val="21"/>
              </w:rPr>
            </w:pPr>
            <w:r>
              <w:rPr>
                <w:rFonts w:ascii="宋体"/>
                <w:b/>
                <w:w w:val="95"/>
                <w:sz w:val="21"/>
              </w:rPr>
              <w:t>3.00</w:t>
            </w: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2</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一、因公出国（境）费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3</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4</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521" w:right="0"/>
              <w:jc w:val="left"/>
              <w:rPr>
                <w:rFonts w:hint="default" w:ascii="宋体" w:hAnsi="宋体" w:eastAsia="宋体" w:cs="宋体"/>
                <w:sz w:val="21"/>
                <w:szCs w:val="21"/>
              </w:rPr>
            </w:pPr>
            <w:r>
              <w:rPr>
                <w:rFonts w:hint="default" w:ascii="宋体" w:hAnsi="宋体" w:eastAsia="宋体" w:cs="宋体"/>
                <w:sz w:val="21"/>
                <w:szCs w:val="21"/>
              </w:rPr>
              <w:t>其中：公务用车购置费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5</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150" w:right="0"/>
              <w:jc w:val="left"/>
              <w:rPr>
                <w:rFonts w:hint="default" w:ascii="宋体" w:hAnsi="宋体" w:eastAsia="宋体" w:cs="宋体"/>
                <w:sz w:val="21"/>
                <w:szCs w:val="21"/>
              </w:rPr>
            </w:pPr>
            <w:r>
              <w:rPr>
                <w:rFonts w:hint="default" w:ascii="宋体" w:hAnsi="宋体" w:eastAsia="宋体" w:cs="宋体"/>
                <w:sz w:val="21"/>
                <w:szCs w:val="21"/>
              </w:rPr>
              <w:t>公务用车运行维护费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6</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三、公务接待费</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7"/>
              <w:jc w:val="right"/>
              <w:rPr>
                <w:rFonts w:hint="default" w:ascii="宋体" w:hAnsi="宋体" w:eastAsia="宋体" w:cs="宋体"/>
                <w:sz w:val="21"/>
                <w:szCs w:val="21"/>
              </w:rPr>
            </w:pPr>
            <w:r>
              <w:rPr>
                <w:rFonts w:ascii="宋体"/>
                <w:sz w:val="21"/>
              </w:rPr>
              <w:t>3.00</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9"/>
              <w:jc w:val="right"/>
              <w:rPr>
                <w:rFonts w:hint="default" w:ascii="宋体" w:hAnsi="宋体" w:eastAsia="宋体" w:cs="宋体"/>
                <w:sz w:val="21"/>
                <w:szCs w:val="21"/>
              </w:rPr>
            </w:pPr>
            <w:r>
              <w:rPr>
                <w:rFonts w:ascii="宋体"/>
                <w:sz w:val="21"/>
              </w:rPr>
              <w:t>3.00</w:t>
            </w: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220" w:bottom="1160" w:left="900" w:header="0" w:footer="977" w:gutter="0"/>
          <w:cols w:space="720" w:num="1"/>
        </w:sectPr>
      </w:pPr>
    </w:p>
    <w:p>
      <w:pPr>
        <w:spacing w:before="4" w:line="240" w:lineRule="auto"/>
        <w:ind w:right="0"/>
        <w:rPr>
          <w:rFonts w:hint="default" w:ascii="方正小标宋繁体" w:hAnsi="方正小标宋繁体" w:eastAsia="方正小标宋繁体" w:cs="方正小标宋繁体"/>
          <w:sz w:val="27"/>
          <w:szCs w:val="27"/>
        </w:rPr>
      </w:pPr>
    </w:p>
    <w:p>
      <w:pPr>
        <w:pStyle w:val="2"/>
        <w:spacing w:line="561" w:lineRule="exact"/>
        <w:ind w:left="3449" w:right="230"/>
        <w:jc w:val="left"/>
      </w:pPr>
      <w:r>
        <w:t>祖山镇 2021</w:t>
      </w:r>
      <w:r>
        <w:rPr>
          <w:spacing w:val="-12"/>
        </w:rPr>
        <w:t xml:space="preserve"> </w:t>
      </w:r>
      <w:r>
        <w:t>年</w:t>
      </w:r>
      <w:r>
        <w:rPr>
          <w:rFonts w:hint="eastAsia"/>
          <w:lang w:eastAsia="zh-CN"/>
        </w:rPr>
        <w:t>单位</w:t>
      </w:r>
      <w:r>
        <w:t>预算信息公开情况说明</w:t>
      </w:r>
    </w:p>
    <w:p>
      <w:pPr>
        <w:pStyle w:val="6"/>
        <w:spacing w:before="261" w:line="290" w:lineRule="auto"/>
        <w:ind w:right="230" w:firstLine="560"/>
        <w:jc w:val="left"/>
      </w:pPr>
      <w:r>
        <w:rPr>
          <w:spacing w:val="-7"/>
          <w:w w:val="99"/>
        </w:rPr>
        <w:t>按照</w:t>
      </w:r>
      <w:r>
        <w:rPr>
          <w:rFonts w:hint="eastAsia"/>
          <w:spacing w:val="-7"/>
          <w:w w:val="99"/>
          <w:lang w:eastAsia="zh-CN"/>
        </w:rPr>
        <w:t>《中华人民共和国预算法》</w:t>
      </w:r>
      <w:r>
        <w:rPr>
          <w:spacing w:val="-7"/>
          <w:w w:val="99"/>
        </w:rPr>
        <w:t>、《地方预决算公开操作规程》和《河北省省级预算公开办法》规定，现将祖山镇</w:t>
      </w:r>
      <w:r>
        <w:rPr>
          <w:w w:val="99"/>
        </w:rPr>
        <w:t xml:space="preserve"> </w:t>
      </w:r>
      <w:r>
        <w:rPr>
          <w:rFonts w:hint="default" w:ascii="Times New Roman" w:hAnsi="Times New Roman" w:eastAsia="Times New Roman" w:cs="Times New Roman"/>
          <w:spacing w:val="-1"/>
          <w:w w:val="99"/>
        </w:rPr>
        <w:t>2021</w:t>
      </w:r>
      <w:r>
        <w:rPr>
          <w:rFonts w:hint="default" w:ascii="Times New Roman" w:hAnsi="Times New Roman" w:eastAsia="Times New Roman" w:cs="Times New Roman"/>
          <w:spacing w:val="-34"/>
          <w:w w:val="99"/>
        </w:rPr>
        <w:t xml:space="preserve"> </w:t>
      </w:r>
      <w:r>
        <w:rPr>
          <w:w w:val="99"/>
        </w:rPr>
        <w:t>年</w:t>
      </w:r>
      <w:r>
        <w:rPr>
          <w:rFonts w:hint="eastAsia"/>
          <w:w w:val="99"/>
          <w:lang w:eastAsia="zh-CN"/>
        </w:rPr>
        <w:t>单位</w:t>
      </w:r>
      <w:r>
        <w:rPr>
          <w:w w:val="99"/>
        </w:rPr>
        <w:t xml:space="preserve">预算公 </w:t>
      </w:r>
      <w:r>
        <w:t>开如下：</w:t>
      </w:r>
    </w:p>
    <w:p>
      <w:pPr>
        <w:pStyle w:val="5"/>
        <w:spacing w:before="174" w:line="240" w:lineRule="auto"/>
        <w:ind w:right="230"/>
        <w:jc w:val="left"/>
      </w:pPr>
      <w:r>
        <w:t>一、</w:t>
      </w:r>
      <w:r>
        <w:rPr>
          <w:rFonts w:hint="eastAsia"/>
          <w:lang w:eastAsia="zh-CN"/>
        </w:rPr>
        <w:t>单位</w:t>
      </w:r>
      <w:r>
        <w:t>职责及机构设置情况</w:t>
      </w:r>
    </w:p>
    <w:p>
      <w:pPr>
        <w:spacing w:before="8" w:line="240" w:lineRule="auto"/>
        <w:ind w:right="0"/>
        <w:rPr>
          <w:rFonts w:hint="default" w:ascii="宋体" w:hAnsi="宋体" w:eastAsia="宋体" w:cs="宋体"/>
          <w:sz w:val="27"/>
          <w:szCs w:val="27"/>
        </w:rPr>
      </w:pPr>
    </w:p>
    <w:p>
      <w:pPr>
        <w:spacing w:before="0"/>
        <w:ind w:left="763" w:right="230" w:firstLine="0"/>
        <w:jc w:val="left"/>
        <w:rPr>
          <w:rFonts w:hint="default" w:ascii="宋体" w:hAnsi="宋体" w:eastAsia="宋体" w:cs="宋体"/>
          <w:sz w:val="32"/>
          <w:szCs w:val="32"/>
        </w:rPr>
      </w:pPr>
      <w:r>
        <w:rPr>
          <w:rFonts w:hint="eastAsia" w:ascii="宋体" w:hAnsi="宋体" w:eastAsia="宋体" w:cs="宋体"/>
          <w:b/>
          <w:bCs/>
          <w:sz w:val="32"/>
          <w:szCs w:val="32"/>
          <w:lang w:eastAsia="zh-CN"/>
        </w:rPr>
        <w:t>单位</w:t>
      </w:r>
      <w:r>
        <w:rPr>
          <w:rFonts w:hint="default" w:ascii="宋体" w:hAnsi="宋体" w:eastAsia="宋体" w:cs="宋体"/>
          <w:b/>
          <w:bCs/>
          <w:sz w:val="32"/>
          <w:szCs w:val="32"/>
        </w:rPr>
        <w:t>职责：</w:t>
      </w:r>
    </w:p>
    <w:p>
      <w:pPr>
        <w:pStyle w:val="6"/>
        <w:spacing w:before="208" w:line="290" w:lineRule="auto"/>
        <w:ind w:left="680" w:right="230" w:hanging="1"/>
        <w:jc w:val="left"/>
      </w:pPr>
      <w:r>
        <w:rPr>
          <w:spacing w:val="-6"/>
          <w:w w:val="99"/>
        </w:rPr>
        <w:t>根据《祖山镇职能配置、内设机构和人员编制规定》，</w:t>
      </w:r>
      <w:r>
        <w:rPr>
          <w:w w:val="99"/>
        </w:rPr>
        <w:t xml:space="preserve"> 祖山镇的主要职责是： </w:t>
      </w:r>
      <w:r>
        <w:rPr>
          <w:rFonts w:hint="eastAsia"/>
          <w:spacing w:val="-1"/>
          <w:lang w:eastAsia="zh-CN"/>
        </w:rPr>
        <w:t>单位</w:t>
      </w:r>
      <w:r>
        <w:rPr>
          <w:spacing w:val="-1"/>
        </w:rPr>
        <w:t>职责：宣传、贯彻执行党的路线、方针、政策和国家的法律法规，执行本级人民代表大会决议和上级国家行政机</w:t>
      </w:r>
    </w:p>
    <w:p>
      <w:pPr>
        <w:pStyle w:val="6"/>
        <w:spacing w:before="22" w:line="240" w:lineRule="auto"/>
        <w:ind w:right="230"/>
        <w:jc w:val="left"/>
      </w:pPr>
      <w:r>
        <w:t>关的决定和命令，其主要职责是：</w:t>
      </w:r>
    </w:p>
    <w:p>
      <w:pPr>
        <w:pStyle w:val="6"/>
        <w:spacing w:before="87" w:line="290" w:lineRule="auto"/>
        <w:ind w:right="0" w:firstLine="560"/>
        <w:jc w:val="left"/>
      </w:pPr>
      <w:r>
        <w:rPr>
          <w:spacing w:val="-3"/>
          <w:w w:val="99"/>
        </w:rPr>
        <w:t>（一）、促进经济发展。围绕</w:t>
      </w:r>
      <w:r>
        <w:rPr>
          <w:rFonts w:hint="default" w:ascii="Times New Roman" w:hAnsi="Times New Roman" w:eastAsia="Times New Roman" w:cs="Times New Roman"/>
          <w:spacing w:val="-3"/>
          <w:w w:val="99"/>
        </w:rPr>
        <w:t>“</w:t>
      </w:r>
      <w:r>
        <w:rPr>
          <w:spacing w:val="-3"/>
          <w:w w:val="99"/>
        </w:rPr>
        <w:t>工业强县、钢铁立县、开放活县、和谐兴县</w:t>
      </w:r>
      <w:r>
        <w:rPr>
          <w:rFonts w:hint="default" w:ascii="Times New Roman" w:hAnsi="Times New Roman" w:eastAsia="Times New Roman" w:cs="Times New Roman"/>
          <w:spacing w:val="-3"/>
          <w:w w:val="99"/>
        </w:rPr>
        <w:t>”</w:t>
      </w:r>
      <w:r>
        <w:rPr>
          <w:spacing w:val="-3"/>
          <w:w w:val="99"/>
        </w:rPr>
        <w:t>的发展战略，科学制定本镇产业发展规划，</w:t>
      </w:r>
      <w:r>
        <w:rPr>
          <w:w w:val="99"/>
        </w:rPr>
        <w:t xml:space="preserve"> </w:t>
      </w:r>
      <w:r>
        <w:t>谋划适应镇实际的经济发展模式；推进农业产业结构调整，努力提高农业产业化和农民进入市场的组织化水平，促进粮食 生产稳定发展，农民持续增收；营造良好的发展环境，促进招商引资和项目建设；增强农村集体经济实力，大力发展民营 经济，培育和发展农民专业合作组织和中介组织，壮大第二、第三产业，加快城镇化进程。</w:t>
      </w:r>
    </w:p>
    <w:p>
      <w:pPr>
        <w:pStyle w:val="6"/>
        <w:spacing w:before="22" w:line="290" w:lineRule="auto"/>
        <w:ind w:right="0" w:firstLine="560"/>
        <w:jc w:val="left"/>
      </w:pPr>
      <w:r>
        <w:rPr>
          <w:spacing w:val="-3"/>
          <w:w w:val="99"/>
        </w:rPr>
        <w:t>（二）、加强社会管理。组织、监督国家基本公共政策的实施，加强镇村财政资金监管，加强义务教育、公共卫生、</w:t>
      </w:r>
      <w:r>
        <w:rPr>
          <w:w w:val="99"/>
        </w:rPr>
        <w:t xml:space="preserve"> </w:t>
      </w:r>
      <w:r>
        <w:rPr>
          <w:spacing w:val="-4"/>
        </w:rPr>
        <w:t>计划生育、镇村建设等社会事务的行政管理，促进各项社会事业的发展；协助县直有关</w:t>
      </w:r>
      <w:r>
        <w:rPr>
          <w:rFonts w:hint="eastAsia"/>
          <w:spacing w:val="-4"/>
          <w:lang w:eastAsia="zh-CN"/>
        </w:rPr>
        <w:t>单位</w:t>
      </w:r>
      <w:r>
        <w:rPr>
          <w:spacing w:val="-4"/>
        </w:rPr>
        <w:t xml:space="preserve">做好国土资源管理、环境保护、 </w:t>
      </w:r>
      <w:r>
        <w:t>动物防疫、减灾救灾等工作；保障法律法规赋予公民的经济、政治、文化权利，落实公民在选举、决策、管理和监督方面 的民主权利，依法行政；加强农村党组织建设，依法推进村民组织自治，加强农村宣传文化工作，抓好农村的思想政治建</w:t>
      </w:r>
    </w:p>
    <w:p>
      <w:pPr>
        <w:spacing w:after="0" w:line="29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230"/>
        <w:jc w:val="left"/>
      </w:pPr>
      <w:r>
        <w:t>设和精神文明建设；制定文明生态村建设和构建和谐社会的相关措施，抓好组织实施。</w:t>
      </w:r>
    </w:p>
    <w:p>
      <w:pPr>
        <w:pStyle w:val="6"/>
        <w:spacing w:before="88" w:line="290" w:lineRule="auto"/>
        <w:ind w:right="230" w:firstLine="560"/>
        <w:jc w:val="left"/>
      </w:pPr>
      <w:r>
        <w:rPr>
          <w:spacing w:val="-4"/>
          <w:w w:val="99"/>
        </w:rPr>
        <w:t>（三）、提供公共服务。</w:t>
      </w:r>
      <w:r>
        <w:rPr>
          <w:rFonts w:hint="default" w:ascii="Times New Roman" w:hAnsi="Times New Roman" w:eastAsia="Times New Roman" w:cs="Times New Roman"/>
          <w:spacing w:val="-4"/>
          <w:w w:val="99"/>
        </w:rPr>
        <w:t>1</w:t>
      </w:r>
      <w:r>
        <w:rPr>
          <w:spacing w:val="-4"/>
          <w:w w:val="99"/>
        </w:rPr>
        <w:t>、生产保障。提供水利灌溉、道路运输、电力供应、农技推广、病虫害防治等生产性公共产</w:t>
      </w:r>
      <w:r>
        <w:rPr>
          <w:w w:val="99"/>
        </w:rPr>
        <w:t xml:space="preserve"> </w:t>
      </w:r>
      <w:r>
        <w:t>品；</w:t>
      </w:r>
      <w:r>
        <w:rPr>
          <w:rFonts w:hint="default" w:ascii="Times New Roman" w:hAnsi="Times New Roman" w:eastAsia="Times New Roman" w:cs="Times New Roman"/>
        </w:rPr>
        <w:t>2</w:t>
      </w:r>
      <w:r>
        <w:t>、教育保障。协助教育</w:t>
      </w:r>
      <w:r>
        <w:rPr>
          <w:rFonts w:hint="eastAsia"/>
          <w:lang w:eastAsia="zh-CN"/>
        </w:rPr>
        <w:t>单位</w:t>
      </w:r>
      <w:r>
        <w:t xml:space="preserve">普及九年义务制教育，加强对农村劳动力的职业培训，提高农民的科学文化素质和就业 </w:t>
      </w:r>
      <w:r>
        <w:rPr>
          <w:w w:val="95"/>
        </w:rPr>
        <w:t>本领；</w:t>
      </w:r>
      <w:r>
        <w:rPr>
          <w:rFonts w:hint="default" w:ascii="Times New Roman" w:hAnsi="Times New Roman" w:eastAsia="Times New Roman" w:cs="Times New Roman"/>
          <w:w w:val="95"/>
        </w:rPr>
        <w:t>3</w:t>
      </w:r>
      <w:r>
        <w:rPr>
          <w:w w:val="95"/>
        </w:rPr>
        <w:t>、医疗保障。农村医疗设施、医疗手段的完善和提高，农村医疗保险制度的建立和落实；</w:t>
      </w:r>
      <w:r>
        <w:rPr>
          <w:rFonts w:hint="default" w:ascii="Times New Roman" w:hAnsi="Times New Roman" w:eastAsia="Times New Roman" w:cs="Times New Roman"/>
          <w:w w:val="95"/>
        </w:rPr>
        <w:t>4</w:t>
      </w:r>
      <w:r>
        <w:rPr>
          <w:w w:val="95"/>
        </w:rPr>
        <w:t xml:space="preserve">、养老保障。福利院、 </w:t>
      </w:r>
      <w:r>
        <w:t>敬老院的建设，农村养老保险制度的推行；</w:t>
      </w:r>
      <w:r>
        <w:rPr>
          <w:rFonts w:hint="default" w:ascii="Times New Roman" w:hAnsi="Times New Roman" w:eastAsia="Times New Roman" w:cs="Times New Roman"/>
        </w:rPr>
        <w:t>5</w:t>
      </w:r>
      <w:r>
        <w:t>、生活保障。建设乡村社会各种生活基础设施。建立农村特困户的救助制度 和救助体系；</w:t>
      </w:r>
      <w:r>
        <w:rPr>
          <w:rFonts w:hint="default" w:ascii="Times New Roman" w:hAnsi="Times New Roman" w:eastAsia="Times New Roman" w:cs="Times New Roman"/>
        </w:rPr>
        <w:t>6</w:t>
      </w:r>
      <w:r>
        <w:t>、生育保障。为控制人口数量、提高人口素质和生殖健康提供各种优质服务。</w:t>
      </w:r>
    </w:p>
    <w:p>
      <w:pPr>
        <w:pStyle w:val="6"/>
        <w:spacing w:before="20" w:line="290" w:lineRule="auto"/>
        <w:ind w:right="0" w:firstLine="560"/>
        <w:jc w:val="left"/>
      </w:pPr>
      <w:r>
        <w:rPr>
          <w:spacing w:val="-3"/>
          <w:w w:val="99"/>
        </w:rPr>
        <w:t>（四）、维护农村稳定。贯彻执行国家法律法规和政策，增强农民法律意识，教育农民知法、懂法、守法；建立完善</w:t>
      </w:r>
      <w:r>
        <w:rPr>
          <w:w w:val="99"/>
        </w:rPr>
        <w:t xml:space="preserve"> </w:t>
      </w:r>
      <w:r>
        <w:rPr>
          <w:spacing w:val="-4"/>
        </w:rPr>
        <w:t xml:space="preserve">协调联动机制，搞好农村矛盾纠纷排查调处，加强社会治安综合治理，维护社会安全秩序；妥善处理突发性、群体性事件， </w:t>
      </w:r>
      <w:r>
        <w:t>协助司法机关打击各类刑事犯罪活动；保护社会公正，维护社会秩序和社会稳定。</w:t>
      </w:r>
    </w:p>
    <w:p>
      <w:pPr>
        <w:spacing w:before="3" w:line="240" w:lineRule="auto"/>
        <w:ind w:right="0"/>
        <w:rPr>
          <w:rFonts w:hint="default" w:ascii="方正仿宋繁体" w:hAnsi="方正仿宋繁体" w:eastAsia="方正仿宋繁体" w:cs="方正仿宋繁体"/>
          <w:sz w:val="35"/>
          <w:szCs w:val="35"/>
        </w:rPr>
      </w:pPr>
    </w:p>
    <w:p>
      <w:pPr>
        <w:spacing w:before="0"/>
        <w:ind w:left="763" w:right="230" w:firstLine="0"/>
        <w:jc w:val="left"/>
        <w:rPr>
          <w:rFonts w:hint="default" w:ascii="宋体" w:hAnsi="宋体" w:eastAsia="宋体" w:cs="宋体"/>
          <w:sz w:val="32"/>
          <w:szCs w:val="32"/>
        </w:rPr>
      </w:pPr>
      <w:r>
        <w:rPr>
          <w:rFonts w:hint="default" w:ascii="宋体" w:hAnsi="宋体" w:eastAsia="宋体" w:cs="宋体"/>
          <w:b/>
          <w:bCs/>
          <w:sz w:val="32"/>
          <w:szCs w:val="32"/>
        </w:rPr>
        <w:t>机构设置：</w:t>
      </w:r>
    </w:p>
    <w:p>
      <w:pPr>
        <w:pStyle w:val="5"/>
        <w:spacing w:before="157" w:line="240" w:lineRule="auto"/>
        <w:ind w:left="6220" w:right="6339"/>
        <w:jc w:val="center"/>
        <w:rPr>
          <w:rFonts w:hint="default" w:ascii="方正小标宋繁体" w:hAnsi="方正小标宋繁体" w:eastAsia="方正小标宋繁体" w:cs="方正小标宋繁体"/>
        </w:rPr>
      </w:pPr>
      <w:r>
        <w:rPr>
          <w:rFonts w:hint="eastAsia" w:ascii="方正小标宋繁体" w:hAnsi="方正小标宋繁体" w:eastAsia="方正小标宋繁体" w:cs="方正小标宋繁体"/>
          <w:lang w:eastAsia="zh-CN"/>
        </w:rPr>
        <w:t>单位</w:t>
      </w:r>
      <w:r>
        <w:rPr>
          <w:rFonts w:hint="default" w:ascii="方正小标宋繁体" w:hAnsi="方正小标宋繁体" w:eastAsia="方正小标宋繁体" w:cs="方正小标宋繁体"/>
        </w:rPr>
        <w:t>机构设置情况</w:t>
      </w:r>
    </w:p>
    <w:p>
      <w:pPr>
        <w:spacing w:before="12" w:line="240" w:lineRule="auto"/>
        <w:ind w:right="0"/>
        <w:rPr>
          <w:rFonts w:hint="default" w:ascii="方正小标宋繁体" w:hAnsi="方正小标宋繁体" w:eastAsia="方正小标宋繁体" w:cs="方正小标宋繁体"/>
          <w:sz w:val="7"/>
          <w:szCs w:val="7"/>
        </w:rPr>
      </w:pPr>
    </w:p>
    <w:tbl>
      <w:tblPr>
        <w:tblStyle w:val="9"/>
        <w:tblW w:w="0" w:type="auto"/>
        <w:tblInd w:w="779" w:type="dxa"/>
        <w:tblLayout w:type="fixed"/>
        <w:tblCellMar>
          <w:top w:w="0" w:type="dxa"/>
          <w:left w:w="0" w:type="dxa"/>
          <w:bottom w:w="0" w:type="dxa"/>
          <w:right w:w="0" w:type="dxa"/>
        </w:tblCellMar>
      </w:tblPr>
      <w:tblGrid>
        <w:gridCol w:w="5669"/>
        <w:gridCol w:w="1843"/>
        <w:gridCol w:w="2126"/>
        <w:gridCol w:w="3827"/>
      </w:tblGrid>
      <w:tr>
        <w:tblPrEx>
          <w:tblCellMar>
            <w:top w:w="0" w:type="dxa"/>
            <w:left w:w="0" w:type="dxa"/>
            <w:bottom w:w="0" w:type="dxa"/>
            <w:right w:w="0" w:type="dxa"/>
          </w:tblCellMar>
        </w:tblPrEx>
        <w:trPr>
          <w:trHeight w:val="582"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单位名称</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单位性质</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单位规格</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经费保障形式</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青龙满族自治县祖山镇人民政府本级</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行政</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财政拨款</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青龙满族自治县祖山镇人民政府事业</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事业</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财政性资金基本保证</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青龙满族自治县祖山镇人民政府转移支付</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事业</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财政性资金零补助</w:t>
            </w:r>
          </w:p>
        </w:tc>
      </w:tr>
    </w:tbl>
    <w:p>
      <w:pPr>
        <w:spacing w:before="4" w:line="240" w:lineRule="auto"/>
        <w:ind w:right="0"/>
        <w:rPr>
          <w:rFonts w:hint="default" w:ascii="方正小标宋繁体" w:hAnsi="方正小标宋繁体" w:eastAsia="方正小标宋繁体" w:cs="方正小标宋繁体"/>
          <w:sz w:val="13"/>
          <w:szCs w:val="13"/>
        </w:rPr>
      </w:pPr>
    </w:p>
    <w:p>
      <w:pPr>
        <w:spacing w:before="1"/>
        <w:ind w:left="759" w:right="230" w:firstLine="0"/>
        <w:jc w:val="left"/>
        <w:rPr>
          <w:rFonts w:hint="default" w:ascii="宋体" w:hAnsi="宋体" w:eastAsia="宋体" w:cs="宋体"/>
          <w:sz w:val="32"/>
          <w:szCs w:val="32"/>
        </w:rPr>
      </w:pPr>
      <w:r>
        <w:rPr>
          <w:rFonts w:hint="default" w:ascii="宋体" w:hAnsi="宋体" w:eastAsia="宋体" w:cs="宋体"/>
          <w:sz w:val="32"/>
          <w:szCs w:val="32"/>
        </w:rPr>
        <w:t>二、</w:t>
      </w:r>
      <w:r>
        <w:rPr>
          <w:rFonts w:hint="eastAsia" w:ascii="宋体" w:hAnsi="宋体" w:eastAsia="宋体" w:cs="宋体"/>
          <w:sz w:val="32"/>
          <w:szCs w:val="32"/>
          <w:lang w:eastAsia="zh-CN"/>
        </w:rPr>
        <w:t>单位</w:t>
      </w:r>
      <w:r>
        <w:rPr>
          <w:rFonts w:hint="default" w:ascii="宋体" w:hAnsi="宋体" w:eastAsia="宋体" w:cs="宋体"/>
          <w:sz w:val="32"/>
          <w:szCs w:val="32"/>
        </w:rPr>
        <w:t>预算安排的总体情况</w:t>
      </w:r>
    </w:p>
    <w:p>
      <w:pPr>
        <w:spacing w:after="0"/>
        <w:jc w:val="left"/>
        <w:rPr>
          <w:rFonts w:hint="default" w:ascii="宋体" w:hAnsi="宋体" w:eastAsia="宋体" w:cs="宋体"/>
          <w:sz w:val="32"/>
          <w:szCs w:val="32"/>
        </w:rPr>
        <w:sectPr>
          <w:pgSz w:w="16840" w:h="11910" w:orient="landscape"/>
          <w:pgMar w:top="1100" w:right="780" w:bottom="1160" w:left="900" w:header="0" w:footer="977" w:gutter="0"/>
          <w:cols w:space="720" w:num="1"/>
        </w:sectPr>
      </w:pPr>
    </w:p>
    <w:p>
      <w:pPr>
        <w:spacing w:before="9" w:line="240" w:lineRule="auto"/>
        <w:ind w:right="0"/>
        <w:rPr>
          <w:rFonts w:hint="default" w:ascii="宋体" w:hAnsi="宋体" w:eastAsia="宋体" w:cs="宋体"/>
          <w:sz w:val="25"/>
          <w:szCs w:val="25"/>
        </w:rPr>
      </w:pPr>
    </w:p>
    <w:p>
      <w:pPr>
        <w:pStyle w:val="6"/>
        <w:spacing w:line="387" w:lineRule="exact"/>
        <w:ind w:left="680" w:right="0"/>
        <w:jc w:val="left"/>
      </w:pPr>
      <w:r>
        <w:t>按照预算管理有关规定，目前我省</w:t>
      </w:r>
      <w:r>
        <w:rPr>
          <w:rFonts w:hint="eastAsia"/>
          <w:lang w:eastAsia="zh-CN"/>
        </w:rPr>
        <w:t>单位</w:t>
      </w:r>
      <w:r>
        <w:t>预算的编制实行综合预算管理，即全部收入和支出都反映在预算中。祖山镇机</w:t>
      </w:r>
    </w:p>
    <w:p>
      <w:pPr>
        <w:pStyle w:val="6"/>
        <w:spacing w:before="88" w:line="290" w:lineRule="auto"/>
        <w:ind w:left="680" w:right="90" w:hanging="561"/>
        <w:jc w:val="left"/>
      </w:pPr>
      <w:r>
        <w:t>关及所属事业单位的收支包含在</w:t>
      </w:r>
      <w:r>
        <w:rPr>
          <w:rFonts w:hint="eastAsia"/>
          <w:lang w:eastAsia="zh-CN"/>
        </w:rPr>
        <w:t>单位</w:t>
      </w:r>
      <w:r>
        <w:t xml:space="preserve">预算中。 </w:t>
      </w:r>
    </w:p>
    <w:p>
      <w:pPr>
        <w:pStyle w:val="6"/>
        <w:spacing w:before="88" w:line="240" w:lineRule="auto"/>
        <w:ind w:left="680" w:right="0"/>
        <w:jc w:val="left"/>
      </w:pPr>
      <w:r>
        <w:rPr>
          <w:rFonts w:hint="default" w:ascii="Times New Roman" w:hAnsi="Times New Roman" w:eastAsia="Times New Roman" w:cs="Times New Roman"/>
        </w:rPr>
        <w:t>1</w:t>
      </w:r>
      <w:r>
        <w:t>、收入说明</w:t>
      </w:r>
    </w:p>
    <w:p>
      <w:pPr>
        <w:pStyle w:val="6"/>
        <w:spacing w:before="88" w:line="240" w:lineRule="auto"/>
        <w:ind w:left="680" w:right="0"/>
        <w:jc w:val="left"/>
        <w:rPr>
          <w:rFonts w:hint="default" w:ascii="Times New Roman" w:hAnsi="Times New Roman" w:eastAsia="Times New Roman" w:cs="Times New Roman"/>
        </w:rPr>
      </w:pPr>
      <w:r>
        <w:t>反映本</w:t>
      </w:r>
      <w:r>
        <w:rPr>
          <w:rFonts w:hint="eastAsia"/>
          <w:lang w:eastAsia="zh-CN"/>
        </w:rPr>
        <w:t>单位</w:t>
      </w:r>
      <w:r>
        <w:t>当年全部收入。</w:t>
      </w:r>
      <w:r>
        <w:rPr>
          <w:rFonts w:hint="default" w:ascii="Times New Roman" w:hAnsi="Times New Roman" w:eastAsia="Times New Roman" w:cs="Times New Roman"/>
        </w:rPr>
        <w:t>2021</w:t>
      </w:r>
      <w:r>
        <w:rPr>
          <w:rFonts w:hint="default" w:ascii="Times New Roman" w:hAnsi="Times New Roman" w:eastAsia="Times New Roman" w:cs="Times New Roman"/>
          <w:spacing w:val="-5"/>
        </w:rPr>
        <w:t xml:space="preserve"> </w:t>
      </w:r>
      <w:r>
        <w:t>年预算收入</w:t>
      </w:r>
      <w:r>
        <w:rPr>
          <w:spacing w:val="-58"/>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5"/>
        </w:rPr>
        <w:t xml:space="preserve"> </w:t>
      </w:r>
      <w:r>
        <w:t>万元，其中：一般公共预算收入</w:t>
      </w:r>
      <w:r>
        <w:rPr>
          <w:spacing w:val="-59"/>
        </w:rPr>
        <w:t xml:space="preserve"> </w:t>
      </w:r>
      <w:r>
        <w:rPr>
          <w:rFonts w:hint="default" w:ascii="Times New Roman" w:hAnsi="Times New Roman" w:eastAsia="Times New Roman" w:cs="Times New Roman"/>
        </w:rPr>
        <w:t>94.73</w:t>
      </w:r>
      <w:r>
        <w:rPr>
          <w:rFonts w:hint="default" w:ascii="Times New Roman" w:hAnsi="Times New Roman" w:eastAsia="Times New Roman" w:cs="Times New Roman"/>
          <w:spacing w:val="-4"/>
        </w:rPr>
        <w:t xml:space="preserve"> </w:t>
      </w:r>
      <w:r>
        <w:t>万元，基金预算收入</w:t>
      </w:r>
      <w:r>
        <w:rPr>
          <w:spacing w:val="-59"/>
        </w:rPr>
        <w:t xml:space="preserve"> </w:t>
      </w:r>
      <w:r>
        <w:rPr>
          <w:rFonts w:hint="default" w:ascii="Times New Roman" w:hAnsi="Times New Roman" w:eastAsia="Times New Roman" w:cs="Times New Roman"/>
        </w:rPr>
        <w:t>55.99</w:t>
      </w:r>
    </w:p>
    <w:p>
      <w:pPr>
        <w:pStyle w:val="6"/>
        <w:spacing w:before="87" w:line="240" w:lineRule="auto"/>
        <w:ind w:right="0"/>
        <w:jc w:val="left"/>
      </w:pPr>
      <w:r>
        <w:t>万元，财政专户核拨收入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万元，国有资本经营收入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万元，其他来源收入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t>万元。</w:t>
      </w:r>
    </w:p>
    <w:p>
      <w:pPr>
        <w:pStyle w:val="6"/>
        <w:spacing w:before="88" w:line="240" w:lineRule="auto"/>
        <w:ind w:left="680" w:right="0"/>
        <w:jc w:val="left"/>
      </w:pPr>
      <w:r>
        <w:rPr>
          <w:rFonts w:hint="default" w:ascii="Times New Roman" w:hAnsi="Times New Roman" w:eastAsia="Times New Roman" w:cs="Times New Roman"/>
        </w:rPr>
        <w:t>2</w:t>
      </w:r>
      <w:r>
        <w:t>、支出说明</w:t>
      </w:r>
    </w:p>
    <w:p>
      <w:pPr>
        <w:pStyle w:val="6"/>
        <w:spacing w:before="88" w:line="240" w:lineRule="auto"/>
        <w:ind w:left="680" w:right="0"/>
        <w:jc w:val="left"/>
      </w:pPr>
      <w:r>
        <w:t>收支预算总表支出栏、基本支出表、项目支出表按经济分类和支出功能分类科目编制，反映祖山镇</w:t>
      </w:r>
      <w:r>
        <w:rPr>
          <w:spacing w:val="-75"/>
        </w:rPr>
        <w:t xml:space="preserve"> </w:t>
      </w:r>
      <w:r>
        <w:rPr>
          <w:rFonts w:hint="default" w:ascii="Times New Roman" w:hAnsi="Times New Roman" w:eastAsia="Times New Roman" w:cs="Times New Roman"/>
        </w:rPr>
        <w:t xml:space="preserve">2021 </w:t>
      </w:r>
      <w:r>
        <w:t>年度</w:t>
      </w:r>
      <w:r>
        <w:rPr>
          <w:rFonts w:hint="eastAsia"/>
          <w:lang w:eastAsia="zh-CN"/>
        </w:rPr>
        <w:t>单位</w:t>
      </w:r>
      <w:r>
        <w:t>预</w:t>
      </w:r>
    </w:p>
    <w:p>
      <w:pPr>
        <w:pStyle w:val="6"/>
        <w:spacing w:before="87" w:line="240" w:lineRule="auto"/>
        <w:ind w:right="0"/>
        <w:jc w:val="left"/>
      </w:pPr>
      <w:r>
        <w:t>算中支出预算的总体情况。</w:t>
      </w:r>
      <w:r>
        <w:rPr>
          <w:rFonts w:hint="default" w:ascii="Times New Roman" w:hAnsi="Times New Roman" w:eastAsia="Times New Roman" w:cs="Times New Roman"/>
        </w:rPr>
        <w:t>2021</w:t>
      </w:r>
      <w:r>
        <w:rPr>
          <w:rFonts w:hint="default" w:ascii="Times New Roman" w:hAnsi="Times New Roman" w:eastAsia="Times New Roman" w:cs="Times New Roman"/>
          <w:spacing w:val="-10"/>
        </w:rPr>
        <w:t xml:space="preserve"> </w:t>
      </w:r>
      <w:r>
        <w:t>年支出预算</w:t>
      </w:r>
      <w:r>
        <w:rPr>
          <w:spacing w:val="-63"/>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10"/>
        </w:rPr>
        <w:t xml:space="preserve"> </w:t>
      </w:r>
      <w:r>
        <w:t>万元，其中基本支出</w:t>
      </w:r>
      <w:r>
        <w:rPr>
          <w:spacing w:val="-63"/>
        </w:rPr>
        <w:t xml:space="preserve"> </w:t>
      </w:r>
      <w:r>
        <w:rPr>
          <w:rFonts w:hint="default" w:ascii="Times New Roman" w:hAnsi="Times New Roman" w:eastAsia="Times New Roman" w:cs="Times New Roman"/>
        </w:rPr>
        <w:t>940.73</w:t>
      </w:r>
      <w:r>
        <w:rPr>
          <w:rFonts w:hint="default" w:ascii="Times New Roman" w:hAnsi="Times New Roman" w:eastAsia="Times New Roman" w:cs="Times New Roman"/>
          <w:spacing w:val="-10"/>
        </w:rPr>
        <w:t xml:space="preserve"> </w:t>
      </w:r>
      <w:r>
        <w:t>万元，包括人员经费</w:t>
      </w:r>
      <w:r>
        <w:rPr>
          <w:spacing w:val="-63"/>
        </w:rPr>
        <w:t xml:space="preserve"> </w:t>
      </w:r>
      <w:r>
        <w:rPr>
          <w:rFonts w:hint="default" w:ascii="Times New Roman" w:hAnsi="Times New Roman" w:eastAsia="Times New Roman" w:cs="Times New Roman"/>
        </w:rPr>
        <w:t>775.89</w:t>
      </w:r>
      <w:r>
        <w:rPr>
          <w:rFonts w:hint="default" w:ascii="Times New Roman" w:hAnsi="Times New Roman" w:eastAsia="Times New Roman" w:cs="Times New Roman"/>
          <w:spacing w:val="-10"/>
        </w:rPr>
        <w:t xml:space="preserve"> </w:t>
      </w:r>
      <w:r>
        <w:t>万元和日常公</w:t>
      </w:r>
    </w:p>
    <w:p>
      <w:pPr>
        <w:pStyle w:val="6"/>
        <w:spacing w:before="88" w:line="290" w:lineRule="auto"/>
        <w:ind w:right="0"/>
        <w:jc w:val="left"/>
      </w:pPr>
      <w:r>
        <w:t>用经费</w:t>
      </w:r>
      <w:r>
        <w:rPr>
          <w:spacing w:val="-59"/>
        </w:rPr>
        <w:t xml:space="preserve"> </w:t>
      </w:r>
      <w:r>
        <w:rPr>
          <w:rFonts w:hint="default" w:ascii="Times New Roman" w:hAnsi="Times New Roman" w:eastAsia="Times New Roman" w:cs="Times New Roman"/>
        </w:rPr>
        <w:t>76.54</w:t>
      </w:r>
      <w:r>
        <w:rPr>
          <w:rFonts w:hint="default" w:ascii="Times New Roman" w:hAnsi="Times New Roman" w:eastAsia="Times New Roman" w:cs="Times New Roman"/>
          <w:spacing w:val="-5"/>
        </w:rPr>
        <w:t xml:space="preserve"> </w:t>
      </w:r>
      <w:r>
        <w:t>万元；项目支出</w:t>
      </w:r>
      <w:r>
        <w:rPr>
          <w:spacing w:val="-59"/>
        </w:rPr>
        <w:t xml:space="preserve"> </w:t>
      </w:r>
      <w:r>
        <w:rPr>
          <w:rFonts w:hint="default" w:ascii="Times New Roman" w:hAnsi="Times New Roman" w:eastAsia="Times New Roman" w:cs="Times New Roman"/>
        </w:rPr>
        <w:t>88.30</w:t>
      </w:r>
      <w:r>
        <w:rPr>
          <w:rFonts w:hint="default" w:ascii="Times New Roman" w:hAnsi="Times New Roman" w:eastAsia="Times New Roman" w:cs="Times New Roman"/>
          <w:spacing w:val="-7"/>
        </w:rPr>
        <w:t xml:space="preserve"> </w:t>
      </w:r>
      <w:r>
        <w:t>万元，主要为主要为团委项目、党建项目、政府性基金解决山神庙和英武山村民失地 补助项目等。</w:t>
      </w:r>
    </w:p>
    <w:p>
      <w:pPr>
        <w:pStyle w:val="6"/>
        <w:spacing w:before="21" w:line="240" w:lineRule="auto"/>
        <w:ind w:left="680" w:right="0"/>
        <w:jc w:val="left"/>
      </w:pPr>
      <w:r>
        <w:rPr>
          <w:rFonts w:hint="default" w:ascii="Times New Roman" w:hAnsi="Times New Roman" w:eastAsia="Times New Roman" w:cs="Times New Roman"/>
        </w:rPr>
        <w:t>3</w:t>
      </w:r>
      <w:r>
        <w:t>、比上年增减情况</w:t>
      </w:r>
    </w:p>
    <w:p>
      <w:pPr>
        <w:pStyle w:val="6"/>
        <w:spacing w:before="88" w:line="240" w:lineRule="auto"/>
        <w:ind w:left="680" w:right="0"/>
        <w:jc w:val="left"/>
      </w:pPr>
      <w:r>
        <w:rPr>
          <w:rFonts w:hint="default" w:ascii="Times New Roman" w:hAnsi="Times New Roman" w:eastAsia="Times New Roman" w:cs="Times New Roman"/>
        </w:rPr>
        <w:t>2021</w:t>
      </w:r>
      <w:r>
        <w:rPr>
          <w:rFonts w:hint="default" w:ascii="Times New Roman" w:hAnsi="Times New Roman" w:eastAsia="Times New Roman" w:cs="Times New Roman"/>
          <w:spacing w:val="-4"/>
        </w:rPr>
        <w:t xml:space="preserve"> </w:t>
      </w:r>
      <w:r>
        <w:t>年预算收支安排</w:t>
      </w:r>
      <w:r>
        <w:rPr>
          <w:spacing w:val="-57"/>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5"/>
        </w:rPr>
        <w:t xml:space="preserve"> </w:t>
      </w:r>
      <w:r>
        <w:t>万元，较</w:t>
      </w:r>
      <w:r>
        <w:rPr>
          <w:spacing w:val="-59"/>
        </w:rPr>
        <w:t xml:space="preserve"> </w:t>
      </w:r>
      <w:r>
        <w:rPr>
          <w:rFonts w:hint="default" w:ascii="Times New Roman" w:hAnsi="Times New Roman" w:eastAsia="Times New Roman" w:cs="Times New Roman"/>
        </w:rPr>
        <w:t>2020</w:t>
      </w:r>
      <w:r>
        <w:rPr>
          <w:rFonts w:hint="default" w:ascii="Times New Roman" w:hAnsi="Times New Roman" w:eastAsia="Times New Roman" w:cs="Times New Roman"/>
          <w:spacing w:val="-4"/>
        </w:rPr>
        <w:t xml:space="preserve"> </w:t>
      </w:r>
      <w:r>
        <w:t>年预算减少</w:t>
      </w:r>
      <w:r>
        <w:rPr>
          <w:spacing w:val="-57"/>
        </w:rPr>
        <w:t xml:space="preserve"> </w:t>
      </w:r>
      <w:r>
        <w:rPr>
          <w:rFonts w:hint="default" w:ascii="Times New Roman" w:hAnsi="Times New Roman" w:eastAsia="Times New Roman" w:cs="Times New Roman"/>
        </w:rPr>
        <w:t>38.74</w:t>
      </w:r>
      <w:r>
        <w:rPr>
          <w:rFonts w:hint="default" w:ascii="Times New Roman" w:hAnsi="Times New Roman" w:eastAsia="Times New Roman" w:cs="Times New Roman"/>
          <w:spacing w:val="-3"/>
        </w:rPr>
        <w:t xml:space="preserve"> </w:t>
      </w:r>
      <w:r>
        <w:t>万元，其中：基本支出增加</w:t>
      </w:r>
      <w:r>
        <w:rPr>
          <w:spacing w:val="-57"/>
        </w:rPr>
        <w:t xml:space="preserve"> </w:t>
      </w:r>
      <w:r>
        <w:rPr>
          <w:rFonts w:hint="default" w:ascii="Times New Roman" w:hAnsi="Times New Roman" w:eastAsia="Times New Roman" w:cs="Times New Roman"/>
        </w:rPr>
        <w:t>33.56</w:t>
      </w:r>
      <w:r>
        <w:rPr>
          <w:rFonts w:hint="default" w:ascii="Times New Roman" w:hAnsi="Times New Roman" w:eastAsia="Times New Roman" w:cs="Times New Roman"/>
          <w:spacing w:val="-3"/>
        </w:rPr>
        <w:t xml:space="preserve"> </w:t>
      </w:r>
      <w:r>
        <w:t>万元，主要为增加了</w:t>
      </w:r>
    </w:p>
    <w:p>
      <w:pPr>
        <w:pStyle w:val="6"/>
        <w:spacing w:before="88" w:line="240" w:lineRule="auto"/>
        <w:ind w:right="0"/>
        <w:jc w:val="left"/>
      </w:pPr>
      <w:r>
        <w:t>人员经费支出；项目支出减少</w:t>
      </w:r>
      <w:r>
        <w:rPr>
          <w:spacing w:val="-70"/>
        </w:rPr>
        <w:t xml:space="preserve"> </w:t>
      </w:r>
      <w:r>
        <w:rPr>
          <w:rFonts w:hint="default" w:ascii="Times New Roman" w:hAnsi="Times New Roman" w:eastAsia="Times New Roman" w:cs="Times New Roman"/>
        </w:rPr>
        <w:t xml:space="preserve">206.7 </w:t>
      </w:r>
      <w:r>
        <w:t>万元，主要是减少了转移支付革命老区资金。</w:t>
      </w:r>
    </w:p>
    <w:p>
      <w:pPr>
        <w:spacing w:before="0" w:line="240" w:lineRule="auto"/>
        <w:ind w:right="0"/>
        <w:rPr>
          <w:rFonts w:hint="default" w:ascii="方正仿宋繁体" w:hAnsi="方正仿宋繁体" w:eastAsia="方正仿宋繁体" w:cs="方正仿宋繁体"/>
          <w:sz w:val="28"/>
          <w:szCs w:val="28"/>
        </w:rPr>
      </w:pPr>
    </w:p>
    <w:p>
      <w:pPr>
        <w:spacing w:before="0" w:line="240" w:lineRule="auto"/>
        <w:ind w:right="0"/>
        <w:rPr>
          <w:rFonts w:hint="default" w:ascii="方正仿宋繁体" w:hAnsi="方正仿宋繁体" w:eastAsia="方正仿宋繁体" w:cs="方正仿宋繁体"/>
          <w:sz w:val="28"/>
          <w:szCs w:val="28"/>
        </w:rPr>
      </w:pPr>
    </w:p>
    <w:p>
      <w:pPr>
        <w:spacing w:before="4" w:line="240" w:lineRule="auto"/>
        <w:ind w:right="0"/>
        <w:rPr>
          <w:rFonts w:hint="default" w:ascii="方正仿宋繁体" w:hAnsi="方正仿宋繁体" w:eastAsia="方正仿宋繁体" w:cs="方正仿宋繁体"/>
          <w:sz w:val="28"/>
          <w:szCs w:val="28"/>
        </w:rPr>
      </w:pPr>
    </w:p>
    <w:p>
      <w:pPr>
        <w:pStyle w:val="5"/>
        <w:spacing w:before="0" w:line="240" w:lineRule="auto"/>
        <w:ind w:right="0"/>
        <w:jc w:val="left"/>
      </w:pPr>
      <w:r>
        <w:t>三、机关运行经费安排情况</w:t>
      </w:r>
    </w:p>
    <w:p>
      <w:pPr>
        <w:spacing w:after="0" w:line="240" w:lineRule="auto"/>
        <w:jc w:val="left"/>
        <w:sectPr>
          <w:pgSz w:w="16840" w:h="11910" w:orient="landscape"/>
          <w:pgMar w:top="1100" w:right="920" w:bottom="1160" w:left="900" w:header="0" w:footer="977" w:gutter="0"/>
          <w:cols w:space="720" w:num="1"/>
        </w:sectPr>
      </w:pPr>
    </w:p>
    <w:p>
      <w:pPr>
        <w:spacing w:before="4" w:line="240" w:lineRule="auto"/>
        <w:ind w:right="0"/>
        <w:rPr>
          <w:rFonts w:hint="default" w:ascii="宋体" w:hAnsi="宋体" w:eastAsia="宋体" w:cs="宋体"/>
          <w:sz w:val="25"/>
          <w:szCs w:val="25"/>
        </w:rPr>
      </w:pPr>
    </w:p>
    <w:p>
      <w:pPr>
        <w:spacing w:line="500" w:lineRule="exact"/>
        <w:ind w:firstLine="640" w:firstLineChars="200"/>
        <w:rPr>
          <w:rFonts w:eastAsia="方正仿宋_GBK"/>
          <w:color w:val="000000"/>
          <w:sz w:val="32"/>
          <w:szCs w:val="28"/>
          <w:lang w:eastAsia="zh-CN"/>
        </w:rPr>
      </w:pPr>
      <w:r>
        <w:rPr>
          <w:rFonts w:hint="eastAsia" w:eastAsia="方正仿宋_GBK"/>
          <w:color w:val="000000"/>
          <w:sz w:val="32"/>
          <w:szCs w:val="28"/>
          <w:lang w:eastAsia="zh-CN"/>
        </w:rPr>
        <w:t>202</w:t>
      </w:r>
      <w:r>
        <w:rPr>
          <w:rFonts w:hint="eastAsia" w:eastAsia="方正仿宋_GBK"/>
          <w:color w:val="000000"/>
          <w:sz w:val="32"/>
          <w:szCs w:val="28"/>
          <w:lang w:val="en-US" w:eastAsia="zh-CN"/>
        </w:rPr>
        <w:t>1</w:t>
      </w:r>
      <w:r>
        <w:rPr>
          <w:rFonts w:hint="eastAsia" w:eastAsia="方正仿宋_GBK"/>
          <w:color w:val="000000"/>
          <w:sz w:val="32"/>
          <w:szCs w:val="28"/>
          <w:lang w:eastAsia="zh-CN"/>
        </w:rPr>
        <w:t>年，我单位机关运行经费共计安排</w:t>
      </w:r>
      <w:r>
        <w:rPr>
          <w:rFonts w:hint="eastAsia" w:eastAsia="方正仿宋_GBK"/>
          <w:color w:val="000000"/>
          <w:sz w:val="32"/>
          <w:szCs w:val="28"/>
          <w:lang w:val="en-US" w:eastAsia="zh-CN"/>
        </w:rPr>
        <w:t>83.03</w:t>
      </w:r>
      <w:r>
        <w:rPr>
          <w:rFonts w:hint="eastAsia" w:eastAsia="方正仿宋_GBK"/>
          <w:color w:val="000000"/>
          <w:sz w:val="32"/>
          <w:szCs w:val="28"/>
          <w:lang w:eastAsia="zh-CN"/>
        </w:rPr>
        <w:t>万元，主要用于办公费</w:t>
      </w:r>
      <w:r>
        <w:rPr>
          <w:rFonts w:hint="eastAsia" w:eastAsia="方正仿宋_GBK"/>
          <w:color w:val="000000"/>
          <w:sz w:val="32"/>
          <w:szCs w:val="28"/>
          <w:lang w:val="en-US" w:eastAsia="zh-CN"/>
        </w:rPr>
        <w:t>16.90</w:t>
      </w:r>
      <w:r>
        <w:rPr>
          <w:rFonts w:hint="eastAsia" w:eastAsia="方正仿宋_GBK"/>
          <w:color w:val="000000"/>
          <w:sz w:val="32"/>
          <w:szCs w:val="28"/>
          <w:lang w:eastAsia="zh-CN"/>
        </w:rPr>
        <w:t>万元，电费</w:t>
      </w:r>
      <w:r>
        <w:rPr>
          <w:rFonts w:hint="eastAsia" w:eastAsia="方正仿宋_GBK"/>
          <w:color w:val="000000"/>
          <w:sz w:val="32"/>
          <w:szCs w:val="28"/>
          <w:lang w:val="en-US" w:eastAsia="zh-CN"/>
        </w:rPr>
        <w:t>10</w:t>
      </w:r>
      <w:r>
        <w:rPr>
          <w:rFonts w:hint="eastAsia" w:eastAsia="方正仿宋_GBK"/>
          <w:color w:val="000000"/>
          <w:sz w:val="32"/>
          <w:szCs w:val="28"/>
          <w:lang w:eastAsia="zh-CN"/>
        </w:rPr>
        <w:t>万元，差旅费</w:t>
      </w:r>
      <w:r>
        <w:rPr>
          <w:rFonts w:hint="eastAsia" w:eastAsia="方正仿宋_GBK"/>
          <w:color w:val="000000"/>
          <w:sz w:val="32"/>
          <w:szCs w:val="28"/>
          <w:lang w:val="en-US" w:eastAsia="zh-CN"/>
        </w:rPr>
        <w:t>22.05</w:t>
      </w:r>
      <w:r>
        <w:rPr>
          <w:rFonts w:hint="eastAsia" w:eastAsia="方正仿宋_GBK"/>
          <w:color w:val="000000"/>
          <w:sz w:val="32"/>
          <w:szCs w:val="28"/>
          <w:lang w:eastAsia="zh-CN"/>
        </w:rPr>
        <w:t>万元。维修（护）费</w:t>
      </w:r>
      <w:r>
        <w:rPr>
          <w:rFonts w:hint="eastAsia" w:eastAsia="方正仿宋_GBK"/>
          <w:color w:val="000000"/>
          <w:sz w:val="32"/>
          <w:szCs w:val="28"/>
          <w:lang w:val="en-US" w:eastAsia="zh-CN"/>
        </w:rPr>
        <w:t>12.89</w:t>
      </w:r>
      <w:r>
        <w:rPr>
          <w:rFonts w:hint="eastAsia" w:eastAsia="方正仿宋_GBK"/>
          <w:color w:val="000000"/>
          <w:sz w:val="32"/>
          <w:szCs w:val="28"/>
          <w:lang w:eastAsia="zh-CN"/>
        </w:rPr>
        <w:t>万元，公务接待费</w:t>
      </w:r>
      <w:r>
        <w:rPr>
          <w:rFonts w:hint="eastAsia" w:eastAsia="方正仿宋_GBK"/>
          <w:color w:val="000000"/>
          <w:sz w:val="32"/>
          <w:szCs w:val="28"/>
          <w:lang w:val="en-US" w:eastAsia="zh-CN"/>
        </w:rPr>
        <w:t>3.5</w:t>
      </w:r>
      <w:r>
        <w:rPr>
          <w:rFonts w:hint="eastAsia" w:eastAsia="方正仿宋_GBK"/>
          <w:color w:val="000000"/>
          <w:sz w:val="32"/>
          <w:szCs w:val="28"/>
          <w:lang w:eastAsia="zh-CN"/>
        </w:rPr>
        <w:t>万元，劳务费</w:t>
      </w:r>
      <w:r>
        <w:rPr>
          <w:rFonts w:hint="eastAsia" w:eastAsia="方正仿宋_GBK"/>
          <w:color w:val="000000"/>
          <w:sz w:val="32"/>
          <w:szCs w:val="28"/>
          <w:lang w:val="en-US" w:eastAsia="zh-CN"/>
        </w:rPr>
        <w:t>2万元，</w:t>
      </w:r>
      <w:r>
        <w:rPr>
          <w:rFonts w:hint="eastAsia" w:eastAsia="方正仿宋_GBK"/>
          <w:color w:val="000000"/>
          <w:sz w:val="32"/>
          <w:szCs w:val="28"/>
          <w:lang w:eastAsia="zh-CN"/>
        </w:rPr>
        <w:t>邮电费</w:t>
      </w:r>
      <w:r>
        <w:rPr>
          <w:rFonts w:hint="eastAsia" w:eastAsia="方正仿宋_GBK"/>
          <w:color w:val="000000"/>
          <w:sz w:val="32"/>
          <w:szCs w:val="28"/>
          <w:lang w:val="en-US" w:eastAsia="zh-CN"/>
        </w:rPr>
        <w:t>3</w:t>
      </w:r>
      <w:r>
        <w:rPr>
          <w:rFonts w:hint="eastAsia" w:eastAsia="方正仿宋_GBK"/>
          <w:color w:val="000000"/>
          <w:sz w:val="32"/>
          <w:szCs w:val="28"/>
          <w:lang w:eastAsia="zh-CN"/>
        </w:rPr>
        <w:t>万元，水费</w:t>
      </w:r>
      <w:r>
        <w:rPr>
          <w:rFonts w:hint="eastAsia" w:eastAsia="方正仿宋_GBK"/>
          <w:color w:val="000000"/>
          <w:sz w:val="32"/>
          <w:szCs w:val="28"/>
          <w:lang w:val="en-US" w:eastAsia="zh-CN"/>
        </w:rPr>
        <w:t>0.05万元，</w:t>
      </w:r>
      <w:r>
        <w:rPr>
          <w:rFonts w:hint="eastAsia" w:eastAsia="方正仿宋_GBK"/>
          <w:color w:val="000000"/>
          <w:sz w:val="32"/>
          <w:szCs w:val="28"/>
          <w:lang w:eastAsia="zh-CN"/>
        </w:rPr>
        <w:t>其他交通费用</w:t>
      </w:r>
      <w:r>
        <w:rPr>
          <w:rFonts w:hint="eastAsia" w:eastAsia="方正仿宋_GBK"/>
          <w:color w:val="000000"/>
          <w:sz w:val="32"/>
          <w:szCs w:val="28"/>
          <w:lang w:val="en-US" w:eastAsia="zh-CN"/>
        </w:rPr>
        <w:t>14.64</w:t>
      </w:r>
      <w:r>
        <w:rPr>
          <w:rFonts w:hint="eastAsia" w:eastAsia="方正仿宋_GBK"/>
          <w:color w:val="000000"/>
          <w:sz w:val="32"/>
          <w:szCs w:val="28"/>
          <w:lang w:eastAsia="zh-CN"/>
        </w:rPr>
        <w:t>万元。</w:t>
      </w:r>
    </w:p>
    <w:p>
      <w:pPr>
        <w:pStyle w:val="5"/>
        <w:spacing w:before="240" w:line="240" w:lineRule="auto"/>
        <w:ind w:right="230"/>
        <w:jc w:val="left"/>
      </w:pPr>
      <w:r>
        <w:t>四、财政拨款</w:t>
      </w:r>
      <w:r>
        <w:rPr>
          <w:rFonts w:hint="default" w:ascii="Times New Roman" w:hAnsi="Times New Roman" w:eastAsia="Times New Roman" w:cs="Times New Roman"/>
          <w:sz w:val="24"/>
          <w:szCs w:val="24"/>
        </w:rPr>
        <w:t>“</w:t>
      </w:r>
      <w:r>
        <w:t>三公</w:t>
      </w:r>
      <w:r>
        <w:rPr>
          <w:rFonts w:hint="default" w:ascii="Times New Roman" w:hAnsi="Times New Roman" w:eastAsia="Times New Roman" w:cs="Times New Roman"/>
          <w:sz w:val="24"/>
          <w:szCs w:val="24"/>
        </w:rPr>
        <w:t>”</w:t>
      </w:r>
      <w:r>
        <w:t>经费预算情况及增减变化原因</w:t>
      </w:r>
    </w:p>
    <w:p>
      <w:pPr>
        <w:spacing w:before="4" w:line="240" w:lineRule="auto"/>
        <w:ind w:right="0"/>
        <w:rPr>
          <w:rFonts w:hint="default" w:ascii="宋体" w:hAnsi="宋体" w:eastAsia="宋体" w:cs="宋体"/>
          <w:sz w:val="27"/>
          <w:szCs w:val="27"/>
        </w:rPr>
      </w:pPr>
    </w:p>
    <w:p>
      <w:pPr>
        <w:pStyle w:val="6"/>
        <w:spacing w:line="240" w:lineRule="auto"/>
        <w:ind w:left="1099" w:right="230"/>
        <w:jc w:val="left"/>
      </w:pPr>
      <w:r>
        <w:rPr>
          <w:rFonts w:hint="default" w:ascii="Times New Roman" w:hAnsi="Times New Roman" w:eastAsia="Times New Roman" w:cs="Times New Roman"/>
        </w:rPr>
        <w:t>2021</w:t>
      </w:r>
      <w:r>
        <w:rPr>
          <w:rFonts w:hint="default" w:ascii="Times New Roman" w:hAnsi="Times New Roman" w:eastAsia="Times New Roman" w:cs="Times New Roman"/>
          <w:spacing w:val="-4"/>
        </w:rPr>
        <w:t xml:space="preserve"> </w:t>
      </w:r>
      <w:r>
        <w:t>年，我</w:t>
      </w:r>
      <w:r>
        <w:rPr>
          <w:rFonts w:hint="eastAsia"/>
          <w:lang w:eastAsia="zh-CN"/>
        </w:rPr>
        <w:t>单位</w:t>
      </w:r>
      <w:r>
        <w:t>财政拨款</w:t>
      </w:r>
      <w:r>
        <w:rPr>
          <w:rFonts w:hint="default" w:ascii="Times New Roman" w:hAnsi="Times New Roman" w:eastAsia="Times New Roman" w:cs="Times New Roman"/>
        </w:rPr>
        <w:t>“</w:t>
      </w:r>
      <w:r>
        <w:t>三公</w:t>
      </w:r>
      <w:r>
        <w:rPr>
          <w:rFonts w:hint="default" w:ascii="Times New Roman" w:hAnsi="Times New Roman" w:eastAsia="Times New Roman" w:cs="Times New Roman"/>
        </w:rPr>
        <w:t>”</w:t>
      </w:r>
      <w:r>
        <w:t>经费预算安排</w:t>
      </w:r>
      <w:r>
        <w:rPr>
          <w:spacing w:val="-58"/>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5"/>
        </w:rPr>
        <w:t xml:space="preserve"> </w:t>
      </w:r>
      <w:r>
        <w:t>万元，其中因公出国（境）费</w:t>
      </w:r>
      <w:r>
        <w:rPr>
          <w:spacing w:val="-59"/>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万元，同比无变化，原因是无因</w:t>
      </w:r>
    </w:p>
    <w:p>
      <w:pPr>
        <w:pStyle w:val="6"/>
        <w:spacing w:before="88" w:line="240" w:lineRule="auto"/>
        <w:ind w:right="0"/>
        <w:jc w:val="left"/>
      </w:pPr>
      <w:r>
        <w:rPr>
          <w:spacing w:val="-4"/>
        </w:rPr>
        <w:t>公出国（境）安排；公务用车购置及运维费</w:t>
      </w:r>
      <w:r>
        <w:rPr>
          <w:spacing w:val="-56"/>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rPr>
          <w:spacing w:val="-3"/>
        </w:rPr>
        <w:t>万元（其中：公务用车购置费为</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rPr>
          <w:spacing w:val="-3"/>
        </w:rPr>
        <w:t>万元，公务用车运维费</w:t>
      </w:r>
      <w:r>
        <w:rPr>
          <w:spacing w:val="-56"/>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2"/>
        </w:rPr>
        <w:t xml:space="preserve"> </w:t>
      </w:r>
      <w:r>
        <w:t>万元</w:t>
      </w:r>
      <w:r>
        <w:rPr>
          <w:rFonts w:hint="default" w:ascii="Times New Roman" w:hAnsi="Times New Roman" w:eastAsia="Times New Roman" w:cs="Times New Roman"/>
        </w:rPr>
        <w:t>)</w:t>
      </w:r>
      <w:r>
        <w:t>，同比减少</w:t>
      </w:r>
    </w:p>
    <w:p>
      <w:pPr>
        <w:pStyle w:val="6"/>
        <w:spacing w:before="87" w:line="240" w:lineRule="auto"/>
        <w:ind w:right="230"/>
        <w:jc w:val="left"/>
      </w:pPr>
      <w:r>
        <w:rPr>
          <w:rFonts w:hint="default" w:ascii="Times New Roman" w:hAnsi="Times New Roman" w:eastAsia="Times New Roman" w:cs="Times New Roman"/>
        </w:rPr>
        <w:t>0</w:t>
      </w:r>
      <w:r>
        <w:rPr>
          <w:rFonts w:hint="default" w:ascii="Times New Roman" w:hAnsi="Times New Roman" w:eastAsia="Times New Roman" w:cs="Times New Roman"/>
          <w:spacing w:val="-21"/>
        </w:rPr>
        <w:t xml:space="preserve"> </w:t>
      </w:r>
      <w:r>
        <w:t>万元，原因是我</w:t>
      </w:r>
      <w:r>
        <w:rPr>
          <w:rFonts w:hint="eastAsia"/>
          <w:lang w:eastAsia="zh-CN"/>
        </w:rPr>
        <w:t>单位</w:t>
      </w:r>
      <w:r>
        <w:t>认真贯彻落实中央</w:t>
      </w:r>
      <w:r>
        <w:rPr>
          <w:rFonts w:hint="eastAsia" w:ascii="Times New Roman" w:hAnsi="Times New Roman" w:eastAsia="宋体" w:cs="Times New Roman"/>
          <w:lang w:eastAsia="zh-CN"/>
        </w:rPr>
        <w:t>八项规定</w:t>
      </w:r>
      <w:r>
        <w:t>要求，严格执行公务用车管理办法，严格控制公务用车运维费；公务</w:t>
      </w:r>
    </w:p>
    <w:p>
      <w:pPr>
        <w:pStyle w:val="6"/>
        <w:spacing w:before="88" w:line="290" w:lineRule="auto"/>
        <w:ind w:right="341"/>
        <w:jc w:val="left"/>
      </w:pPr>
      <w:r>
        <w:rPr>
          <w:w w:val="99"/>
        </w:rPr>
        <w:t>接待费</w:t>
      </w:r>
      <w:r>
        <w:rPr>
          <w:spacing w:val="-47"/>
          <w:w w:val="99"/>
        </w:rPr>
        <w:t xml:space="preserve"> </w:t>
      </w:r>
      <w:r>
        <w:rPr>
          <w:rFonts w:hint="default" w:ascii="Times New Roman" w:hAnsi="Times New Roman" w:eastAsia="Times New Roman" w:cs="Times New Roman"/>
          <w:w w:val="99"/>
        </w:rPr>
        <w:t xml:space="preserve">3 </w:t>
      </w:r>
      <w:r>
        <w:rPr>
          <w:spacing w:val="-3"/>
          <w:w w:val="99"/>
        </w:rPr>
        <w:t>万元，同比无变化，我</w:t>
      </w:r>
      <w:r>
        <w:rPr>
          <w:rFonts w:hint="eastAsia"/>
          <w:spacing w:val="-3"/>
          <w:w w:val="99"/>
          <w:lang w:eastAsia="zh-CN"/>
        </w:rPr>
        <w:t>单位</w:t>
      </w:r>
      <w:r>
        <w:rPr>
          <w:spacing w:val="-3"/>
          <w:w w:val="99"/>
        </w:rPr>
        <w:t>严格落实了《党政机关厉行节约反对浪费条例》，规范公务接待活动，严格审批、严</w:t>
      </w:r>
      <w:r>
        <w:rPr>
          <w:w w:val="99"/>
        </w:rPr>
        <w:t xml:space="preserve"> </w:t>
      </w:r>
      <w:r>
        <w:t>控标准，大力压缩公务接待费支出。</w:t>
      </w:r>
    </w:p>
    <w:p>
      <w:pPr>
        <w:pStyle w:val="5"/>
        <w:spacing w:before="174" w:line="240" w:lineRule="auto"/>
        <w:ind w:right="230"/>
        <w:jc w:val="left"/>
      </w:pPr>
      <w:r>
        <w:t>五、预算绩效信息</w:t>
      </w:r>
    </w:p>
    <w:p>
      <w:pPr>
        <w:spacing w:before="8" w:line="240" w:lineRule="auto"/>
        <w:ind w:right="0"/>
        <w:rPr>
          <w:rFonts w:hint="default" w:ascii="宋体" w:hAnsi="宋体" w:eastAsia="宋体" w:cs="宋体"/>
          <w:sz w:val="27"/>
          <w:szCs w:val="27"/>
        </w:rPr>
      </w:pPr>
    </w:p>
    <w:p>
      <w:pPr>
        <w:spacing w:before="0"/>
        <w:ind w:left="763" w:right="230" w:firstLine="0"/>
        <w:jc w:val="left"/>
        <w:rPr>
          <w:rFonts w:hint="default" w:ascii="宋体" w:hAnsi="宋体" w:eastAsia="宋体" w:cs="宋体"/>
          <w:sz w:val="32"/>
          <w:szCs w:val="32"/>
        </w:rPr>
      </w:pPr>
      <w:r>
        <w:rPr>
          <w:rFonts w:hint="default" w:ascii="宋体" w:hAnsi="宋体" w:eastAsia="宋体" w:cs="宋体"/>
          <w:b/>
          <w:bCs/>
          <w:sz w:val="32"/>
          <w:szCs w:val="32"/>
        </w:rPr>
        <w:t>第一部分</w:t>
      </w:r>
      <w:r>
        <w:rPr>
          <w:rFonts w:hint="default" w:ascii="宋体" w:hAnsi="宋体" w:eastAsia="宋体" w:cs="宋体"/>
          <w:b/>
          <w:bCs/>
          <w:spacing w:val="-11"/>
          <w:sz w:val="32"/>
          <w:szCs w:val="32"/>
        </w:rPr>
        <w:t xml:space="preserve"> </w:t>
      </w:r>
      <w:r>
        <w:rPr>
          <w:rFonts w:hint="eastAsia" w:ascii="宋体" w:hAnsi="宋体" w:eastAsia="宋体" w:cs="宋体"/>
          <w:b/>
          <w:bCs/>
          <w:sz w:val="32"/>
          <w:szCs w:val="32"/>
          <w:lang w:eastAsia="zh-CN"/>
        </w:rPr>
        <w:t>单位</w:t>
      </w:r>
      <w:r>
        <w:rPr>
          <w:rFonts w:hint="default" w:ascii="宋体" w:hAnsi="宋体" w:eastAsia="宋体" w:cs="宋体"/>
          <w:b/>
          <w:bCs/>
          <w:sz w:val="32"/>
          <w:szCs w:val="32"/>
        </w:rPr>
        <w:t>整体绩效目标</w:t>
      </w:r>
    </w:p>
    <w:p>
      <w:pPr>
        <w:pStyle w:val="6"/>
        <w:spacing w:before="208" w:line="240" w:lineRule="auto"/>
        <w:ind w:left="680" w:right="230"/>
        <w:jc w:val="left"/>
      </w:pPr>
      <w:r>
        <w:t>（一）总体绩效目标</w:t>
      </w:r>
    </w:p>
    <w:p>
      <w:pPr>
        <w:pStyle w:val="6"/>
        <w:spacing w:before="88" w:line="290" w:lineRule="auto"/>
        <w:ind w:right="240" w:firstLine="560"/>
        <w:jc w:val="both"/>
      </w:pPr>
      <w:r>
        <w:rPr>
          <w:rFonts w:hint="default" w:ascii="Times New Roman" w:hAnsi="Times New Roman" w:eastAsia="Times New Roman" w:cs="Times New Roman"/>
        </w:rPr>
        <w:t xml:space="preserve">2021 </w:t>
      </w:r>
      <w:r>
        <w:rPr>
          <w:spacing w:val="-3"/>
        </w:rPr>
        <w:t xml:space="preserve">年是我镇加快发展、加速转型的攻坚时期，困难与希望同在，机遇与挑战并存。面对经济下行影响，我们必须善 </w:t>
      </w:r>
      <w:r>
        <w:rPr>
          <w:spacing w:val="-1"/>
        </w:rPr>
        <w:t>于在逆境中创造优势，善于在攻坚克难中创新发展，努力在新一轮竞争中抢占先机、赢得主动，争当领跑青龙发展的排头</w:t>
      </w:r>
      <w:r>
        <w:t xml:space="preserve"> 雁，誓做展示青龙形象的仪仗兵。</w:t>
      </w:r>
    </w:p>
    <w:p>
      <w:pPr>
        <w:pStyle w:val="6"/>
        <w:spacing w:before="22" w:line="240" w:lineRule="auto"/>
        <w:ind w:left="680" w:right="0"/>
        <w:jc w:val="left"/>
      </w:pPr>
      <w:r>
        <w:t>我镇</w:t>
      </w:r>
      <w:r>
        <w:rPr>
          <w:rFonts w:hint="default" w:ascii="Times New Roman" w:hAnsi="Times New Roman" w:eastAsia="Times New Roman" w:cs="Times New Roman"/>
        </w:rPr>
        <w:t>“</w:t>
      </w:r>
      <w:r>
        <w:t>十三五</w:t>
      </w:r>
      <w:r>
        <w:rPr>
          <w:rFonts w:hint="default" w:ascii="Times New Roman" w:hAnsi="Times New Roman" w:eastAsia="Times New Roman" w:cs="Times New Roman"/>
        </w:rPr>
        <w:t>”</w:t>
      </w:r>
      <w:r>
        <w:t>时期的指导思想是：认真贯彻落实习近平总书记系列重要讲话精神，坚持以思想解放为先导，以调整经</w:t>
      </w:r>
    </w:p>
    <w:p>
      <w:pPr>
        <w:spacing w:after="0" w:line="24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jc w:val="left"/>
      </w:pPr>
      <w:r>
        <w:t>济结构、转变发展方式为主线，深入实施一业带动，致力于精准扶贫，打造生态、富裕、魅力新祖山。</w:t>
      </w:r>
    </w:p>
    <w:p>
      <w:pPr>
        <w:pStyle w:val="6"/>
        <w:spacing w:before="88" w:line="290" w:lineRule="auto"/>
        <w:ind w:right="0" w:firstLine="560"/>
        <w:jc w:val="left"/>
      </w:pPr>
      <w:r>
        <w:rPr>
          <w:w w:val="95"/>
        </w:rPr>
        <w:t>我镇</w:t>
      </w:r>
      <w:r>
        <w:rPr>
          <w:rFonts w:hint="default" w:ascii="Times New Roman" w:hAnsi="Times New Roman" w:eastAsia="Times New Roman" w:cs="Times New Roman"/>
          <w:w w:val="95"/>
        </w:rPr>
        <w:t>“</w:t>
      </w:r>
      <w:r>
        <w:rPr>
          <w:w w:val="95"/>
        </w:rPr>
        <w:t>十三五</w:t>
      </w:r>
      <w:r>
        <w:rPr>
          <w:rFonts w:hint="default" w:ascii="Times New Roman" w:hAnsi="Times New Roman" w:eastAsia="Times New Roman" w:cs="Times New Roman"/>
          <w:w w:val="95"/>
        </w:rPr>
        <w:t>”</w:t>
      </w:r>
      <w:r>
        <w:rPr>
          <w:w w:val="95"/>
        </w:rPr>
        <w:t xml:space="preserve">时期的奋斗目标是：全部财政收入、固定资产投资、社会消费品零售总额等指标均翻一番以上；努力在 </w:t>
      </w:r>
      <w:r>
        <w:t>提升综合竞争力、特色小城镇建设、生态建设、提高人民幸福指数、经济社会协调发展等五个方面走在全县前列。</w:t>
      </w:r>
    </w:p>
    <w:p>
      <w:pPr>
        <w:pStyle w:val="6"/>
        <w:spacing w:before="21" w:line="240" w:lineRule="auto"/>
        <w:ind w:left="680" w:right="0"/>
        <w:jc w:val="left"/>
      </w:pPr>
      <w:r>
        <w:t>（二）分项绩效目标</w:t>
      </w:r>
    </w:p>
    <w:p>
      <w:pPr>
        <w:pStyle w:val="6"/>
        <w:tabs>
          <w:tab w:val="left" w:pos="2219"/>
        </w:tabs>
        <w:spacing w:before="88" w:line="290" w:lineRule="auto"/>
        <w:ind w:right="202" w:firstLine="560"/>
        <w:jc w:val="left"/>
      </w:pPr>
      <w:r>
        <w:rPr>
          <w:w w:val="95"/>
        </w:rPr>
        <w:t>人大监督</w:t>
      </w:r>
      <w:r>
        <w:rPr>
          <w:w w:val="95"/>
        </w:rPr>
        <w:tab/>
      </w:r>
      <w:r>
        <w:rPr>
          <w:w w:val="95"/>
        </w:rPr>
        <w:t>进行执法检查；围绕政府工作报告内容开展调查研究，开展专题询问和工作评议；对政府及直属</w:t>
      </w:r>
      <w:r>
        <w:rPr>
          <w:rFonts w:hint="eastAsia"/>
          <w:w w:val="95"/>
          <w:lang w:eastAsia="zh-CN"/>
        </w:rPr>
        <w:t>单位</w:t>
      </w:r>
      <w:r>
        <w:rPr>
          <w:w w:val="95"/>
        </w:rPr>
        <w:t xml:space="preserve">进 </w:t>
      </w:r>
      <w:r>
        <w:t>行监督。</w:t>
      </w:r>
    </w:p>
    <w:p>
      <w:pPr>
        <w:pStyle w:val="6"/>
        <w:tabs>
          <w:tab w:val="left" w:pos="2219"/>
        </w:tabs>
        <w:spacing w:before="21" w:line="290" w:lineRule="auto"/>
        <w:ind w:right="202" w:firstLine="560"/>
        <w:jc w:val="left"/>
      </w:pPr>
      <w:r>
        <w:rPr>
          <w:w w:val="95"/>
        </w:rPr>
        <w:t>人大会议</w:t>
      </w:r>
      <w:r>
        <w:rPr>
          <w:w w:val="95"/>
        </w:rPr>
        <w:tab/>
      </w:r>
      <w:r>
        <w:rPr>
          <w:w w:val="95"/>
        </w:rPr>
        <w:t xml:space="preserve">镇人民代表大会和人大主席团各种会议的筹备、会务工作，负责常委会文件起草、审核把关，主席团会 </w:t>
      </w:r>
      <w:r>
        <w:t>议决定事项、工作部署、重要文件及领导批示的传达和督办。</w:t>
      </w:r>
    </w:p>
    <w:p>
      <w:pPr>
        <w:pStyle w:val="6"/>
        <w:tabs>
          <w:tab w:val="left" w:pos="2639"/>
        </w:tabs>
        <w:spacing w:before="22" w:line="290" w:lineRule="auto"/>
        <w:ind w:right="202" w:firstLine="560"/>
        <w:jc w:val="left"/>
      </w:pPr>
      <w:r>
        <w:rPr>
          <w:w w:val="95"/>
        </w:rPr>
        <w:t>党风廉政建设</w:t>
      </w:r>
      <w:r>
        <w:rPr>
          <w:w w:val="95"/>
        </w:rPr>
        <w:tab/>
      </w:r>
      <w:r>
        <w:rPr>
          <w:spacing w:val="-1"/>
          <w:w w:val="95"/>
        </w:rPr>
        <w:t>组织协调全镇党风廉政建设和反腐败宣传、教育、课题研究、法规起草修订等工作；承担镇党委惩治</w:t>
      </w:r>
      <w:r>
        <w:rPr>
          <w:w w:val="95"/>
        </w:rPr>
        <w:t xml:space="preserve"> </w:t>
      </w:r>
      <w:r>
        <w:t>和预防腐败体系领导小组办公室的日常工作。</w:t>
      </w:r>
    </w:p>
    <w:p>
      <w:pPr>
        <w:pStyle w:val="6"/>
        <w:tabs>
          <w:tab w:val="left" w:pos="3899"/>
        </w:tabs>
        <w:spacing w:before="22" w:line="290" w:lineRule="auto"/>
        <w:ind w:right="202" w:firstLine="560"/>
        <w:jc w:val="left"/>
      </w:pPr>
      <w:r>
        <w:rPr>
          <w:w w:val="95"/>
        </w:rPr>
        <w:t>党员管理和党组织建设</w:t>
      </w:r>
      <w:r>
        <w:rPr>
          <w:w w:val="95"/>
        </w:rPr>
        <w:tab/>
      </w:r>
      <w:r>
        <w:rPr>
          <w:w w:val="95"/>
        </w:rPr>
        <w:t xml:space="preserve">负责全镇党组织建设；负责镇党委基层组织建设；指导全镇党员教育工作；主管党员的管 </w:t>
      </w:r>
      <w:r>
        <w:t>理和发展工作。</w:t>
      </w:r>
    </w:p>
    <w:p>
      <w:pPr>
        <w:pStyle w:val="6"/>
        <w:tabs>
          <w:tab w:val="left" w:pos="3059"/>
        </w:tabs>
        <w:spacing w:before="21" w:line="240" w:lineRule="auto"/>
        <w:ind w:left="680" w:right="0"/>
        <w:jc w:val="left"/>
      </w:pPr>
      <w:r>
        <w:rPr>
          <w:w w:val="95"/>
        </w:rPr>
        <w:t>征兵及民兵整组</w:t>
      </w:r>
      <w:r>
        <w:rPr>
          <w:w w:val="95"/>
        </w:rPr>
        <w:tab/>
      </w:r>
      <w:r>
        <w:t>负责全镇征兵工作及民兵整组</w:t>
      </w:r>
    </w:p>
    <w:p>
      <w:pPr>
        <w:pStyle w:val="6"/>
        <w:tabs>
          <w:tab w:val="left" w:pos="2219"/>
        </w:tabs>
        <w:spacing w:before="88" w:line="290" w:lineRule="auto"/>
        <w:ind w:right="202" w:firstLine="560"/>
        <w:jc w:val="left"/>
      </w:pPr>
      <w:r>
        <w:rPr>
          <w:w w:val="95"/>
        </w:rPr>
        <w:t>妇联工作</w:t>
      </w:r>
      <w:r>
        <w:rPr>
          <w:w w:val="95"/>
        </w:rPr>
        <w:tab/>
      </w:r>
      <w:r>
        <w:rPr>
          <w:w w:val="95"/>
        </w:rPr>
        <w:t xml:space="preserve">团结、教育全镇妇女及各类妇女组织同党中央在思想上、政治上、行动上保持高度一致，全面提高妇女 </w:t>
      </w:r>
      <w:r>
        <w:t>素质。</w:t>
      </w:r>
    </w:p>
    <w:p>
      <w:pPr>
        <w:pStyle w:val="6"/>
        <w:tabs>
          <w:tab w:val="left" w:pos="2639"/>
          <w:tab w:val="left" w:pos="3899"/>
        </w:tabs>
        <w:spacing w:before="21" w:line="290" w:lineRule="auto"/>
        <w:ind w:left="680" w:right="3980" w:hanging="1"/>
        <w:jc w:val="left"/>
      </w:pPr>
      <w:r>
        <w:rPr>
          <w:w w:val="95"/>
        </w:rPr>
        <w:t>共青团工作</w:t>
      </w:r>
      <w:r>
        <w:rPr>
          <w:w w:val="95"/>
        </w:rPr>
        <w:tab/>
      </w:r>
      <w:r>
        <w:rPr>
          <w:w w:val="95"/>
        </w:rPr>
        <w:t>领导全镇共青团工作；协助镇政府教育</w:t>
      </w:r>
      <w:r>
        <w:rPr>
          <w:rFonts w:hint="eastAsia"/>
          <w:w w:val="95"/>
          <w:lang w:eastAsia="zh-CN"/>
        </w:rPr>
        <w:t>单位</w:t>
      </w:r>
      <w:r>
        <w:rPr>
          <w:w w:val="95"/>
        </w:rPr>
        <w:t>做好学生教育管理工作。 党委系统公务内网建设</w:t>
      </w:r>
      <w:r>
        <w:rPr>
          <w:w w:val="95"/>
        </w:rPr>
        <w:tab/>
      </w:r>
      <w:r>
        <w:t>党委系统公务内网建设与维护。</w:t>
      </w:r>
    </w:p>
    <w:p>
      <w:pPr>
        <w:pStyle w:val="6"/>
        <w:tabs>
          <w:tab w:val="left" w:pos="2219"/>
        </w:tabs>
        <w:spacing w:before="22" w:line="240" w:lineRule="auto"/>
        <w:ind w:left="680" w:right="0"/>
        <w:jc w:val="left"/>
      </w:pPr>
      <w:r>
        <w:rPr>
          <w:w w:val="95"/>
        </w:rPr>
        <w:t>政府运行</w:t>
      </w:r>
      <w:r>
        <w:rPr>
          <w:w w:val="95"/>
        </w:rPr>
        <w:tab/>
      </w:r>
      <w:r>
        <w:t>政府日常工作、政务公开、政府会议管理、督察督办、政务联络等工作。</w:t>
      </w:r>
    </w:p>
    <w:p>
      <w:pPr>
        <w:spacing w:after="0" w:line="240" w:lineRule="auto"/>
        <w:jc w:val="left"/>
        <w:sectPr>
          <w:pgSz w:w="16840" w:h="11910" w:orient="landscape"/>
          <w:pgMar w:top="1100" w:right="92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tabs>
          <w:tab w:val="left" w:pos="2358"/>
        </w:tabs>
        <w:spacing w:line="393" w:lineRule="exact"/>
        <w:ind w:left="680" w:right="0"/>
        <w:jc w:val="left"/>
      </w:pPr>
      <w:r>
        <w:rPr>
          <w:w w:val="95"/>
        </w:rPr>
        <w:t>预决算编制</w:t>
      </w:r>
      <w:r>
        <w:rPr>
          <w:w w:val="95"/>
        </w:rPr>
        <w:tab/>
      </w:r>
      <w:r>
        <w:t>依据县级文件标准及本单位实际支出情况编制当年预决算</w:t>
      </w:r>
      <w:r>
        <w:rPr>
          <w:rFonts w:hint="default" w:ascii="Times New Roman" w:hAnsi="Times New Roman" w:eastAsia="Times New Roman" w:cs="Times New Roman"/>
        </w:rPr>
        <w:t>,</w:t>
      </w:r>
      <w:r>
        <w:t>做好收支管理活动</w:t>
      </w:r>
    </w:p>
    <w:p>
      <w:pPr>
        <w:pStyle w:val="6"/>
        <w:tabs>
          <w:tab w:val="left" w:pos="2219"/>
        </w:tabs>
        <w:spacing w:before="88" w:line="290" w:lineRule="auto"/>
        <w:ind w:left="680" w:right="1881"/>
        <w:jc w:val="left"/>
      </w:pPr>
      <w:r>
        <w:rPr>
          <w:w w:val="95"/>
        </w:rPr>
        <w:t>统计管理</w:t>
      </w:r>
      <w:r>
        <w:rPr>
          <w:w w:val="95"/>
        </w:rPr>
        <w:tab/>
      </w:r>
      <w:r>
        <w:rPr>
          <w:w w:val="95"/>
        </w:rPr>
        <w:t>做好专项统计调查，收集、整理统计数据，提供咨询建议，指导全镇统计专业队伍建设。 资产管理</w:t>
      </w:r>
      <w:r>
        <w:rPr>
          <w:w w:val="95"/>
        </w:rPr>
        <w:tab/>
      </w:r>
      <w:r>
        <w:t>管理本单位资产使用和处置情况</w:t>
      </w:r>
    </w:p>
    <w:p>
      <w:pPr>
        <w:pStyle w:val="6"/>
        <w:tabs>
          <w:tab w:val="left" w:pos="2219"/>
        </w:tabs>
        <w:spacing w:before="21" w:line="240" w:lineRule="auto"/>
        <w:ind w:left="680" w:right="0"/>
        <w:jc w:val="left"/>
      </w:pPr>
      <w:r>
        <w:rPr>
          <w:w w:val="95"/>
        </w:rPr>
        <w:t>综治工作</w:t>
      </w:r>
      <w:r>
        <w:rPr>
          <w:w w:val="95"/>
        </w:rPr>
        <w:tab/>
      </w:r>
      <w:r>
        <w:t>承担社会治安综合治理和司法行政工作职责。</w:t>
      </w:r>
    </w:p>
    <w:p>
      <w:pPr>
        <w:pStyle w:val="6"/>
        <w:tabs>
          <w:tab w:val="left" w:pos="2219"/>
        </w:tabs>
        <w:spacing w:before="88" w:line="290" w:lineRule="auto"/>
        <w:ind w:right="202" w:firstLine="560"/>
        <w:jc w:val="left"/>
      </w:pPr>
      <w:r>
        <w:rPr>
          <w:w w:val="95"/>
        </w:rPr>
        <w:t>社会事务</w:t>
      </w:r>
      <w:r>
        <w:rPr>
          <w:w w:val="95"/>
        </w:rPr>
        <w:tab/>
      </w:r>
      <w:r>
        <w:rPr>
          <w:w w:val="95"/>
        </w:rPr>
        <w:t xml:space="preserve">承担发展社会事业和加强社会管理职责。承担社会救助体系建设，负责城镇居民最低生活保障、五保供 </w:t>
      </w:r>
      <w:r>
        <w:t>养、医疗救助、优抚工作，基层政权建设。</w:t>
      </w:r>
    </w:p>
    <w:p>
      <w:pPr>
        <w:pStyle w:val="6"/>
        <w:tabs>
          <w:tab w:val="left" w:pos="2778"/>
          <w:tab w:val="left" w:pos="3479"/>
        </w:tabs>
        <w:spacing w:before="21" w:line="290" w:lineRule="auto"/>
        <w:ind w:left="680" w:right="8039" w:hanging="1"/>
        <w:jc w:val="left"/>
      </w:pPr>
      <w:r>
        <w:rPr>
          <w:w w:val="95"/>
        </w:rPr>
        <w:t>促进就业管理</w:t>
      </w:r>
      <w:r>
        <w:rPr>
          <w:w w:val="95"/>
        </w:rPr>
        <w:tab/>
      </w:r>
      <w:r>
        <w:rPr>
          <w:w w:val="95"/>
        </w:rPr>
        <w:t>提供就业信息，加大劳务输出数量 城镇居民养老保险</w:t>
      </w:r>
      <w:r>
        <w:rPr>
          <w:w w:val="95"/>
        </w:rPr>
        <w:tab/>
      </w:r>
      <w:r>
        <w:t>城镇居民养老保险收缴工作</w:t>
      </w:r>
    </w:p>
    <w:p>
      <w:pPr>
        <w:pStyle w:val="6"/>
        <w:tabs>
          <w:tab w:val="left" w:pos="2219"/>
        </w:tabs>
        <w:spacing w:before="22" w:line="290" w:lineRule="auto"/>
        <w:ind w:right="202" w:firstLine="560"/>
        <w:jc w:val="left"/>
      </w:pPr>
      <w:r>
        <w:rPr>
          <w:w w:val="95"/>
        </w:rPr>
        <w:t>医疗保障</w:t>
      </w:r>
      <w:r>
        <w:rPr>
          <w:w w:val="95"/>
        </w:rPr>
        <w:tab/>
      </w:r>
      <w:r>
        <w:rPr>
          <w:w w:val="95"/>
        </w:rPr>
        <w:t xml:space="preserve">通过建立和实施新型农村合作医疗、疾病应急救助、城镇居民大病保险以及公费医疗等制度，保障人民 </w:t>
      </w:r>
      <w:r>
        <w:t>群众公平享有所需医疗服务权益。</w:t>
      </w:r>
    </w:p>
    <w:p>
      <w:pPr>
        <w:pStyle w:val="6"/>
        <w:tabs>
          <w:tab w:val="left" w:pos="2639"/>
        </w:tabs>
        <w:spacing w:before="22" w:line="290" w:lineRule="auto"/>
        <w:ind w:right="202" w:firstLine="560"/>
        <w:jc w:val="left"/>
      </w:pPr>
      <w:r>
        <w:rPr>
          <w:w w:val="95"/>
        </w:rPr>
        <w:t>城镇规划建设</w:t>
      </w:r>
      <w:r>
        <w:rPr>
          <w:w w:val="95"/>
        </w:rPr>
        <w:tab/>
      </w:r>
      <w:r>
        <w:rPr>
          <w:spacing w:val="-1"/>
          <w:w w:val="95"/>
        </w:rPr>
        <w:t>负责村镇规划、建设、管理工作，加强基础设施建设，推进城镇一体化进程，搞好社会主义新农村建</w:t>
      </w:r>
      <w:r>
        <w:rPr>
          <w:w w:val="95"/>
        </w:rPr>
        <w:t xml:space="preserve"> </w:t>
      </w:r>
      <w:r>
        <w:t>设工作；负责村镇容貌、环境卫生管理等工作。</w:t>
      </w:r>
    </w:p>
    <w:p>
      <w:pPr>
        <w:pStyle w:val="6"/>
        <w:spacing w:before="21" w:line="290" w:lineRule="auto"/>
        <w:ind w:right="100" w:firstLine="560"/>
        <w:jc w:val="both"/>
      </w:pPr>
      <w:r>
        <w:t xml:space="preserve">组织全镇安全生产综合监督管理 承担全镇安全生产综合监督管理责任，依法行使综合监督管理职权；根据《安全 </w:t>
      </w:r>
      <w:r>
        <w:rPr>
          <w:spacing w:val="-6"/>
          <w:w w:val="99"/>
        </w:rPr>
        <w:t>生产法》、《安全生产违法行为行政处罚办法》等法律法规，依法开展执法检查工作，对发现的安全生产违法行为依法进行</w:t>
      </w:r>
      <w:r>
        <w:rPr>
          <w:w w:val="99"/>
        </w:rPr>
        <w:t xml:space="preserve"> </w:t>
      </w:r>
      <w:r>
        <w:t>行政处罚，遏制重特大事故发生，确保全镇安全生产形势稳定好转。</w:t>
      </w:r>
    </w:p>
    <w:p>
      <w:pPr>
        <w:pStyle w:val="6"/>
        <w:tabs>
          <w:tab w:val="left" w:pos="2639"/>
        </w:tabs>
        <w:spacing w:before="21" w:line="290" w:lineRule="auto"/>
        <w:ind w:right="202" w:firstLine="560"/>
        <w:jc w:val="left"/>
      </w:pPr>
      <w:r>
        <w:rPr>
          <w:w w:val="95"/>
        </w:rPr>
        <w:t>文化艺术管理</w:t>
      </w:r>
      <w:r>
        <w:rPr>
          <w:w w:val="95"/>
        </w:rPr>
        <w:tab/>
      </w:r>
      <w:r>
        <w:rPr>
          <w:spacing w:val="-1"/>
          <w:w w:val="95"/>
        </w:rPr>
        <w:t>管理和指导全镇文化建设，推进文化发展环境能力建设，提供公共文化服务、文化艺术资源建设和文</w:t>
      </w:r>
      <w:r>
        <w:rPr>
          <w:w w:val="95"/>
        </w:rPr>
        <w:t xml:space="preserve"> </w:t>
      </w:r>
      <w:r>
        <w:t>化艺术生产。</w:t>
      </w:r>
    </w:p>
    <w:p>
      <w:pPr>
        <w:pStyle w:val="6"/>
        <w:tabs>
          <w:tab w:val="left" w:pos="3479"/>
        </w:tabs>
        <w:spacing w:before="22" w:line="240" w:lineRule="auto"/>
        <w:ind w:left="680" w:right="0"/>
        <w:jc w:val="left"/>
      </w:pPr>
      <w:r>
        <w:rPr>
          <w:w w:val="95"/>
        </w:rPr>
        <w:t>人口和计划生育工作</w:t>
      </w:r>
      <w:r>
        <w:rPr>
          <w:w w:val="95"/>
        </w:rPr>
        <w:tab/>
      </w:r>
      <w:r>
        <w:t>负责人口和计划生育政策法规的宣传工作；负责优生、优育、节育服务；负责育龄妇女定期检</w:t>
      </w:r>
    </w:p>
    <w:p>
      <w:pPr>
        <w:spacing w:after="0" w:line="240" w:lineRule="auto"/>
        <w:jc w:val="left"/>
        <w:sectPr>
          <w:pgSz w:w="16840" w:h="11910" w:orient="landscape"/>
          <w:pgMar w:top="1100" w:right="92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jc w:val="both"/>
      </w:pPr>
      <w:r>
        <w:t>查，必备药品发放工作；负责人口和计划生育协会等工作；负责排查管理本辖区流动人口计划生育工作。</w:t>
      </w:r>
    </w:p>
    <w:p>
      <w:pPr>
        <w:pStyle w:val="6"/>
        <w:tabs>
          <w:tab w:val="left" w:pos="2639"/>
        </w:tabs>
        <w:spacing w:before="88" w:line="240" w:lineRule="auto"/>
        <w:ind w:left="680" w:right="230"/>
        <w:jc w:val="left"/>
      </w:pPr>
      <w:r>
        <w:rPr>
          <w:w w:val="95"/>
        </w:rPr>
        <w:t>村级财务管理</w:t>
      </w:r>
      <w:r>
        <w:rPr>
          <w:w w:val="95"/>
        </w:rPr>
        <w:tab/>
      </w:r>
      <w:r>
        <w:t>负责村级财务管理工作，实行资金、账目双代管</w:t>
      </w:r>
    </w:p>
    <w:p>
      <w:pPr>
        <w:pStyle w:val="6"/>
        <w:tabs>
          <w:tab w:val="left" w:pos="2079"/>
          <w:tab w:val="left" w:pos="2639"/>
        </w:tabs>
        <w:spacing w:before="88" w:line="290" w:lineRule="auto"/>
        <w:ind w:right="99" w:firstLine="560"/>
        <w:jc w:val="right"/>
      </w:pPr>
      <w:r>
        <w:rPr>
          <w:w w:val="95"/>
        </w:rPr>
        <w:t>村级事务管理</w:t>
      </w:r>
      <w:r>
        <w:rPr>
          <w:w w:val="95"/>
        </w:rPr>
        <w:tab/>
      </w:r>
      <w:r>
        <w:rPr>
          <w:w w:val="95"/>
        </w:rPr>
        <w:t>推进农村集体产权制度改革，完善农村土地承包制度，引导农村土地合理流转。创新农业经营主体。 农业综合服务</w:t>
      </w:r>
      <w:r>
        <w:rPr>
          <w:w w:val="95"/>
        </w:rPr>
        <w:tab/>
      </w:r>
      <w:r>
        <w:rPr>
          <w:spacing w:val="-4"/>
          <w:w w:val="95"/>
        </w:rPr>
        <w:t xml:space="preserve">负责种植业、畜牧业、林果业、农业机械、水利等技术推广服务工作。组织农业公共信息及培训教育、 </w:t>
      </w:r>
      <w:r>
        <w:rPr>
          <w:spacing w:val="-4"/>
        </w:rPr>
        <w:t>技术咨询等服务；组织农业病虫害、农业灾害的监测、预报、防治和处理；组织实施农作物、畜牧养殖、森林植物、果品、</w:t>
      </w:r>
    </w:p>
    <w:p>
      <w:pPr>
        <w:pStyle w:val="6"/>
        <w:spacing w:before="22" w:line="290" w:lineRule="auto"/>
        <w:ind w:right="239" w:hanging="1"/>
        <w:jc w:val="both"/>
      </w:pPr>
      <w:r>
        <w:rPr>
          <w:spacing w:val="-1"/>
        </w:rPr>
        <w:t>花卉、种苗及水生植物检疫防疫；组织护林防火、生态公益林管护及野生动植物、森林、湿地资源及农业环境的保护；负</w:t>
      </w:r>
      <w:r>
        <w:t xml:space="preserve"> </w:t>
      </w:r>
      <w:r>
        <w:rPr>
          <w:spacing w:val="-1"/>
        </w:rPr>
        <w:t>责农机安全生产监督管理和农业机械管理；组织协调水资源管理、监测、保护、节约和防汛抗旱技术服务工作，维护农村</w:t>
      </w:r>
      <w:r>
        <w:t xml:space="preserve"> 饮水安全，组织协调农业水利基本建设和水土保持。</w:t>
      </w:r>
    </w:p>
    <w:p>
      <w:pPr>
        <w:spacing w:before="6" w:line="240" w:lineRule="auto"/>
        <w:ind w:right="0"/>
        <w:rPr>
          <w:rFonts w:hint="default" w:ascii="方正仿宋繁体" w:hAnsi="方正仿宋繁体" w:eastAsia="方正仿宋繁体" w:cs="方正仿宋繁体"/>
          <w:sz w:val="35"/>
          <w:szCs w:val="35"/>
        </w:rPr>
      </w:pPr>
    </w:p>
    <w:p>
      <w:pPr>
        <w:pStyle w:val="6"/>
        <w:spacing w:line="290" w:lineRule="auto"/>
        <w:ind w:left="680" w:right="5330"/>
        <w:jc w:val="left"/>
      </w:pPr>
      <w:r>
        <w:t xml:space="preserve">（三）工作保障措施 </w:t>
      </w:r>
      <w:r>
        <w:rPr>
          <w:w w:val="95"/>
        </w:rPr>
        <w:t>一、大力推进项目建设和招商引资，力促投资实现新突破</w:t>
      </w:r>
    </w:p>
    <w:p>
      <w:pPr>
        <w:pStyle w:val="6"/>
        <w:spacing w:before="22" w:line="290" w:lineRule="auto"/>
        <w:ind w:right="0" w:firstLine="560"/>
        <w:jc w:val="left"/>
      </w:pPr>
      <w:r>
        <w:t>注重项目推进。以项目建设为纲，全年计划开工百万元以上项目</w:t>
      </w:r>
      <w:r>
        <w:rPr>
          <w:spacing w:val="-65"/>
        </w:rPr>
        <w:t xml:space="preserve"> </w:t>
      </w:r>
      <w:r>
        <w:rPr>
          <w:rFonts w:hint="default" w:ascii="Times New Roman" w:hAnsi="Times New Roman" w:eastAsia="Times New Roman" w:cs="Times New Roman"/>
        </w:rPr>
        <w:t>20</w:t>
      </w:r>
      <w:r>
        <w:rPr>
          <w:rFonts w:hint="default" w:ascii="Times New Roman" w:hAnsi="Times New Roman" w:eastAsia="Times New Roman" w:cs="Times New Roman"/>
          <w:spacing w:val="-10"/>
        </w:rPr>
        <w:t xml:space="preserve"> </w:t>
      </w:r>
      <w:r>
        <w:t>个，其中千万元以上项目</w:t>
      </w:r>
      <w:r>
        <w:rPr>
          <w:spacing w:val="-66"/>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10"/>
        </w:rPr>
        <w:t xml:space="preserve"> </w:t>
      </w:r>
      <w:r>
        <w:t>个，完成投资</w:t>
      </w:r>
      <w:r>
        <w:rPr>
          <w:spacing w:val="-64"/>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11"/>
        </w:rPr>
        <w:t xml:space="preserve"> </w:t>
      </w:r>
      <w:r>
        <w:t>亿元。 对庙沟铁矿扩建、鑫秋木业二期等重点在建项目，强化调度，攻坚克难，倒排工期，确保早日竣工投产。积极推动</w:t>
      </w:r>
      <w:r>
        <w:rPr>
          <w:rFonts w:hint="default" w:ascii="Times New Roman" w:hAnsi="Times New Roman" w:eastAsia="Times New Roman" w:cs="Times New Roman"/>
        </w:rPr>
        <w:t>“</w:t>
      </w:r>
      <w:r>
        <w:t>一业 带动</w:t>
      </w:r>
      <w:r>
        <w:rPr>
          <w:rFonts w:hint="default" w:ascii="Times New Roman" w:hAnsi="Times New Roman" w:eastAsia="Times New Roman" w:cs="Times New Roman"/>
        </w:rPr>
        <w:t>”</w:t>
      </w:r>
      <w:r>
        <w:t>，打造农旅综合体。对金光旭光伏发电项目，抓紧沟通对接，力争早日落地，取得实质性进展。</w:t>
      </w:r>
    </w:p>
    <w:p>
      <w:pPr>
        <w:pStyle w:val="6"/>
        <w:spacing w:before="21" w:line="290" w:lineRule="auto"/>
        <w:ind w:right="0" w:firstLine="560"/>
        <w:jc w:val="left"/>
      </w:pPr>
      <w:r>
        <w:rPr>
          <w:spacing w:val="-4"/>
        </w:rPr>
        <w:t xml:space="preserve">注重招商引资。充分发挥区位、资源、土地、税收、人文等方面比较优势，不遗余力引进立镇强镇的大项目、好项目。 </w:t>
      </w:r>
      <w:r>
        <w:t>特别注重招商引资精细化和针对性，认真研读县政府产业图谱和招商图谱，提高招商成功率和项目履约率。全年力争引进 市外资金</w:t>
      </w:r>
      <w:r>
        <w:rPr>
          <w:spacing w:val="-59"/>
        </w:rPr>
        <w:t xml:space="preserve"> </w:t>
      </w:r>
      <w:r>
        <w:rPr>
          <w:rFonts w:hint="default" w:ascii="Times New Roman" w:hAnsi="Times New Roman" w:eastAsia="Times New Roman" w:cs="Times New Roman"/>
        </w:rPr>
        <w:t xml:space="preserve">2 </w:t>
      </w:r>
      <w:r>
        <w:t>亿元。</w:t>
      </w:r>
    </w:p>
    <w:p>
      <w:pPr>
        <w:pStyle w:val="6"/>
        <w:spacing w:before="21" w:line="240" w:lineRule="auto"/>
        <w:ind w:left="680" w:right="230"/>
        <w:jc w:val="left"/>
      </w:pPr>
      <w:r>
        <w:t>（二）大力推进农村建设，力促农村经济取得新发展</w:t>
      </w:r>
    </w:p>
    <w:p>
      <w:pPr>
        <w:spacing w:after="0" w:line="240" w:lineRule="auto"/>
        <w:jc w:val="left"/>
        <w:sectPr>
          <w:pgSz w:w="16840" w:h="11910" w:orient="landscape"/>
          <w:pgMar w:top="1100" w:right="78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spacing w:line="393" w:lineRule="exact"/>
        <w:ind w:left="680" w:right="0"/>
        <w:jc w:val="left"/>
      </w:pPr>
      <w:r>
        <w:rPr>
          <w:spacing w:val="-4"/>
        </w:rPr>
        <w:t>着力发展现代农业。围绕打造</w:t>
      </w:r>
      <w:r>
        <w:rPr>
          <w:rFonts w:hint="default" w:ascii="Times New Roman" w:hAnsi="Times New Roman" w:eastAsia="Times New Roman" w:cs="Times New Roman"/>
          <w:spacing w:val="-4"/>
        </w:rPr>
        <w:t>“</w:t>
      </w:r>
      <w:r>
        <w:rPr>
          <w:spacing w:val="-4"/>
        </w:rPr>
        <w:t>肉鸡生产大县、绒山羊养殖大县、果品生产大县</w:t>
      </w:r>
      <w:r>
        <w:rPr>
          <w:rFonts w:hint="default" w:ascii="Times New Roman" w:hAnsi="Times New Roman" w:eastAsia="Times New Roman" w:cs="Times New Roman"/>
          <w:spacing w:val="-4"/>
        </w:rPr>
        <w:t>”</w:t>
      </w:r>
      <w:r>
        <w:rPr>
          <w:spacing w:val="-4"/>
        </w:rPr>
        <w:t xml:space="preserve">目标，力争年内新建标准化鸡舍 </w:t>
      </w:r>
      <w:r>
        <w:rPr>
          <w:rFonts w:hint="default" w:ascii="Times New Roman" w:hAnsi="Times New Roman" w:eastAsia="Times New Roman" w:cs="Times New Roman"/>
        </w:rPr>
        <w:t>4</w:t>
      </w:r>
      <w:r>
        <w:rPr>
          <w:rFonts w:hint="default" w:ascii="Times New Roman" w:hAnsi="Times New Roman" w:eastAsia="Times New Roman" w:cs="Times New Roman"/>
          <w:spacing w:val="-24"/>
        </w:rPr>
        <w:t xml:space="preserve"> </w:t>
      </w:r>
      <w:r>
        <w:t>栋、</w:t>
      </w:r>
    </w:p>
    <w:p>
      <w:pPr>
        <w:pStyle w:val="6"/>
        <w:spacing w:before="88" w:line="290" w:lineRule="auto"/>
        <w:ind w:right="230"/>
        <w:jc w:val="left"/>
      </w:pPr>
      <w:r>
        <w:t>规模化羊场</w:t>
      </w:r>
      <w:r>
        <w:rPr>
          <w:spacing w:val="-58"/>
        </w:rPr>
        <w:t xml:space="preserve"> </w:t>
      </w:r>
      <w:r>
        <w:rPr>
          <w:rFonts w:hint="default" w:ascii="Times New Roman" w:hAnsi="Times New Roman" w:eastAsia="Times New Roman" w:cs="Times New Roman"/>
        </w:rPr>
        <w:t>2</w:t>
      </w:r>
      <w:r>
        <w:rPr>
          <w:rFonts w:hint="default" w:ascii="Times New Roman" w:hAnsi="Times New Roman" w:eastAsia="Times New Roman" w:cs="Times New Roman"/>
          <w:spacing w:val="-4"/>
        </w:rPr>
        <w:t xml:space="preserve"> </w:t>
      </w:r>
      <w:r>
        <w:t>个、优质果品基地</w:t>
      </w:r>
      <w:r>
        <w:rPr>
          <w:spacing w:val="-58"/>
        </w:rPr>
        <w:t xml:space="preserve"> </w:t>
      </w:r>
      <w:r>
        <w:rPr>
          <w:rFonts w:hint="default" w:ascii="Times New Roman" w:hAnsi="Times New Roman" w:eastAsia="Times New Roman" w:cs="Times New Roman"/>
        </w:rPr>
        <w:t>3000</w:t>
      </w:r>
      <w:r>
        <w:rPr>
          <w:rFonts w:hint="default" w:ascii="Times New Roman" w:hAnsi="Times New Roman" w:eastAsia="Times New Roman" w:cs="Times New Roman"/>
          <w:spacing w:val="-4"/>
        </w:rPr>
        <w:t xml:space="preserve"> </w:t>
      </w:r>
      <w:r>
        <w:t>亩。大力推进蓝莓产业园及生态农业采摘园建设，培育野生平榛</w:t>
      </w:r>
      <w:r>
        <w:rPr>
          <w:spacing w:val="-58"/>
        </w:rPr>
        <w:t xml:space="preserve"> </w:t>
      </w:r>
      <w:r>
        <w:rPr>
          <w:rFonts w:hint="default" w:ascii="Times New Roman" w:hAnsi="Times New Roman" w:eastAsia="Times New Roman" w:cs="Times New Roman"/>
        </w:rPr>
        <w:t>600</w:t>
      </w:r>
      <w:r>
        <w:rPr>
          <w:rFonts w:hint="default" w:ascii="Times New Roman" w:hAnsi="Times New Roman" w:eastAsia="Times New Roman" w:cs="Times New Roman"/>
          <w:spacing w:val="-5"/>
        </w:rPr>
        <w:t xml:space="preserve"> </w:t>
      </w:r>
      <w:r>
        <w:t>亩。推进无公 害农产品生产和地理标志认证工作，努力打造冀东地区无公害农产品输出基地。</w:t>
      </w:r>
    </w:p>
    <w:p>
      <w:pPr>
        <w:pStyle w:val="6"/>
        <w:spacing w:before="21" w:line="290" w:lineRule="auto"/>
        <w:ind w:right="240" w:firstLine="560"/>
        <w:jc w:val="both"/>
      </w:pPr>
      <w:r>
        <w:rPr>
          <w:spacing w:val="-1"/>
        </w:rPr>
        <w:t>着力改善基础条件。深入开展美丽乡村建设，坚持重点推动，以点带面，突出抓好饮水安全、道路硬化等项目，改善</w:t>
      </w:r>
      <w:r>
        <w:t xml:space="preserve"> 农村生产生活条件。围绕农田水利、中小河流治理等重点，谋划包装一批水利项目，积极向上争取资金支持。</w:t>
      </w:r>
    </w:p>
    <w:p>
      <w:pPr>
        <w:pStyle w:val="6"/>
        <w:spacing w:before="22" w:line="290" w:lineRule="auto"/>
        <w:ind w:right="238" w:firstLine="560"/>
        <w:jc w:val="both"/>
      </w:pPr>
      <w:r>
        <w:t>着力推进</w:t>
      </w:r>
      <w:r>
        <w:rPr>
          <w:rFonts w:hint="eastAsia"/>
          <w:lang w:eastAsia="zh-CN"/>
        </w:rPr>
        <w:t>脱贫攻坚</w:t>
      </w:r>
      <w:r>
        <w:t>。紧紧围绕精准发力，大力发展特色产业，力争每个村培育一个主打产业，每个贫困户都有</w:t>
      </w:r>
      <w:r>
        <w:rPr>
          <w:spacing w:val="-105"/>
        </w:rPr>
        <w:t xml:space="preserve"> </w:t>
      </w:r>
      <w:r>
        <w:rPr>
          <w:rFonts w:hint="default" w:ascii="Times New Roman" w:hAnsi="Times New Roman" w:eastAsia="Times New Roman" w:cs="Times New Roman"/>
        </w:rPr>
        <w:t xml:space="preserve">1 </w:t>
      </w:r>
      <w:r>
        <w:t xml:space="preserve">个新 </w:t>
      </w:r>
      <w:r>
        <w:rPr>
          <w:spacing w:val="-1"/>
        </w:rPr>
        <w:t>上或入股的增收项目，努力实现年底脱贫摘帽。严格落实领导包村、机关干部包户对口帮扶机制，调动一切积极因素投入</w:t>
      </w:r>
      <w:r>
        <w:t xml:space="preserve"> </w:t>
      </w:r>
      <w:r>
        <w:rPr>
          <w:w w:val="95"/>
        </w:rPr>
        <w:t>扶贫开发。深入实施</w:t>
      </w:r>
      <w:r>
        <w:rPr>
          <w:rFonts w:hint="default" w:ascii="Times New Roman" w:hAnsi="Times New Roman" w:eastAsia="Times New Roman" w:cs="Times New Roman"/>
          <w:w w:val="95"/>
        </w:rPr>
        <w:t>“</w:t>
      </w:r>
      <w:r>
        <w:rPr>
          <w:w w:val="95"/>
        </w:rPr>
        <w:t>雨露计划</w:t>
      </w:r>
      <w:r>
        <w:rPr>
          <w:rFonts w:hint="default" w:ascii="Times New Roman" w:hAnsi="Times New Roman" w:eastAsia="Times New Roman" w:cs="Times New Roman"/>
          <w:w w:val="95"/>
        </w:rPr>
        <w:t>”</w:t>
      </w:r>
      <w:r>
        <w:rPr>
          <w:w w:val="95"/>
        </w:rPr>
        <w:t xml:space="preserve">，加大培训力度，切实提高贫困农民创业和就业技能。积极推进各村项目建设，参照出列 </w:t>
      </w:r>
      <w:r>
        <w:t>标准，倒排时间，挂图作战，争取三个贫困村年底实现脱贫摘帽。</w:t>
      </w:r>
    </w:p>
    <w:p>
      <w:pPr>
        <w:spacing w:before="6" w:line="240" w:lineRule="auto"/>
        <w:ind w:right="0"/>
        <w:rPr>
          <w:rFonts w:hint="default" w:ascii="方正仿宋繁体" w:hAnsi="方正仿宋繁体" w:eastAsia="方正仿宋繁体" w:cs="方正仿宋繁体"/>
          <w:sz w:val="35"/>
          <w:szCs w:val="35"/>
        </w:rPr>
      </w:pPr>
    </w:p>
    <w:p>
      <w:pPr>
        <w:pStyle w:val="6"/>
        <w:spacing w:line="290" w:lineRule="auto"/>
        <w:ind w:left="680" w:right="230"/>
        <w:jc w:val="left"/>
      </w:pPr>
      <w:r>
        <w:t xml:space="preserve">（三）大力推进特色城镇建设，力促城乡面貌再上新台阶 </w:t>
      </w:r>
      <w:r>
        <w:rPr>
          <w:spacing w:val="-1"/>
        </w:rPr>
        <w:t>推进城镇建设水平。加快祖山旅游文化产业聚集区建设步伐，借助满族风情街优势，努力打造集旅游、餐饮、土特产</w:t>
      </w:r>
    </w:p>
    <w:p>
      <w:pPr>
        <w:pStyle w:val="6"/>
        <w:spacing w:before="21" w:line="290" w:lineRule="auto"/>
        <w:ind w:right="233"/>
        <w:jc w:val="left"/>
      </w:pPr>
      <w:r>
        <w:rPr>
          <w:spacing w:val="-1"/>
        </w:rPr>
        <w:t>品开发于一体的京东地区最具代表性的满族风情特色小镇。加快木兰家园建设，打造一批主题鲜明、风格各异的民族特色</w:t>
      </w:r>
      <w:r>
        <w:t xml:space="preserve"> 小区。突出抓好镇区绿化、美化、净化工作，打造靓丽的城镇名片。</w:t>
      </w:r>
    </w:p>
    <w:p>
      <w:pPr>
        <w:pStyle w:val="6"/>
        <w:spacing w:before="22" w:line="290" w:lineRule="auto"/>
        <w:ind w:left="120" w:right="240" w:firstLine="560"/>
        <w:jc w:val="both"/>
      </w:pPr>
      <w:r>
        <w:t>提高镇村管理标准。以</w:t>
      </w:r>
      <w:r>
        <w:rPr>
          <w:rFonts w:hint="default" w:ascii="Times New Roman" w:hAnsi="Times New Roman" w:eastAsia="Times New Roman" w:cs="Times New Roman"/>
        </w:rPr>
        <w:t>“</w:t>
      </w:r>
      <w:r>
        <w:t>国家重点镇</w:t>
      </w:r>
      <w:r>
        <w:rPr>
          <w:rFonts w:hint="default" w:ascii="Times New Roman" w:hAnsi="Times New Roman" w:eastAsia="Times New Roman" w:cs="Times New Roman"/>
        </w:rPr>
        <w:t>”</w:t>
      </w:r>
      <w:r>
        <w:t>及</w:t>
      </w:r>
      <w:r>
        <w:rPr>
          <w:rFonts w:hint="default" w:ascii="Times New Roman" w:hAnsi="Times New Roman" w:eastAsia="Times New Roman" w:cs="Times New Roman"/>
        </w:rPr>
        <w:t>“</w:t>
      </w:r>
      <w:r>
        <w:t>特色小镇</w:t>
      </w:r>
      <w:r>
        <w:rPr>
          <w:rFonts w:hint="default" w:ascii="Times New Roman" w:hAnsi="Times New Roman" w:eastAsia="Times New Roman" w:cs="Times New Roman"/>
        </w:rPr>
        <w:t>”</w:t>
      </w:r>
      <w:r>
        <w:t xml:space="preserve">建设为载体，全面提升镇村精细化管理水平。健全镇区环卫管理机 </w:t>
      </w:r>
      <w:r>
        <w:rPr>
          <w:w w:val="95"/>
        </w:rPr>
        <w:t>制，垃圾实现定点存放、日产日清、全天保洁。加强镇区门店经营和广告牌匾管理，做到</w:t>
      </w:r>
      <w:r>
        <w:rPr>
          <w:rFonts w:hint="default" w:ascii="Times New Roman" w:hAnsi="Times New Roman" w:eastAsia="Times New Roman" w:cs="Times New Roman"/>
          <w:w w:val="95"/>
        </w:rPr>
        <w:t>“</w:t>
      </w:r>
      <w:r>
        <w:rPr>
          <w:w w:val="95"/>
        </w:rPr>
        <w:t>一店一牌、整齐划一</w:t>
      </w:r>
      <w:r>
        <w:rPr>
          <w:rFonts w:hint="default" w:ascii="Times New Roman" w:hAnsi="Times New Roman" w:eastAsia="Times New Roman" w:cs="Times New Roman"/>
          <w:w w:val="95"/>
        </w:rPr>
        <w:t>”</w:t>
      </w:r>
      <w:r>
        <w:rPr>
          <w:w w:val="95"/>
        </w:rPr>
        <w:t xml:space="preserve">。严厉打 </w:t>
      </w:r>
      <w:r>
        <w:rPr>
          <w:spacing w:val="-1"/>
        </w:rPr>
        <w:t>击侵街占道、店外经营、车辆乱停、乱贴乱画等不良行为。坚持规划刚性，依法查处未批先建、少批多建、私搭乱建等行</w:t>
      </w:r>
      <w:r>
        <w:t xml:space="preserve"> 为。</w:t>
      </w:r>
    </w:p>
    <w:p>
      <w:pPr>
        <w:spacing w:after="0" w:line="290" w:lineRule="auto"/>
        <w:jc w:val="both"/>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left="680" w:right="0"/>
        <w:jc w:val="left"/>
      </w:pPr>
      <w:r>
        <w:t>完善镇区基础设施。启动垃圾填埋场建设。实施镇区滨河景观提升项目，启动防洪大坝、河道清淤和截水坝建设。对</w:t>
      </w:r>
    </w:p>
    <w:p>
      <w:pPr>
        <w:pStyle w:val="6"/>
        <w:spacing w:before="88" w:line="240" w:lineRule="auto"/>
        <w:ind w:right="230"/>
        <w:jc w:val="left"/>
      </w:pPr>
      <w:r>
        <w:t>惠民路、主干公路、锦带街围成的三角居民聚集区谋划建设新民居，提高土地使用价值，增加镇区人口容量。</w:t>
      </w:r>
    </w:p>
    <w:p>
      <w:pPr>
        <w:pStyle w:val="6"/>
        <w:spacing w:before="88" w:line="290" w:lineRule="auto"/>
        <w:ind w:left="680" w:right="230" w:hanging="1"/>
        <w:jc w:val="left"/>
      </w:pPr>
      <w:r>
        <w:t xml:space="preserve">（四）大力推进商贸旅游业发展，力促三产拓展实现新提升 </w:t>
      </w:r>
      <w:r>
        <w:rPr>
          <w:spacing w:val="-1"/>
        </w:rPr>
        <w:t>做大特色旅游业。搞好统筹规划，加强山水林田路综合整治，实施花厂峪、安门口扶贫旅游富民项目，着力建设长城</w:t>
      </w:r>
    </w:p>
    <w:p>
      <w:pPr>
        <w:pStyle w:val="6"/>
        <w:spacing w:before="22" w:line="290" w:lineRule="auto"/>
        <w:ind w:right="233"/>
        <w:jc w:val="left"/>
      </w:pPr>
      <w:r>
        <w:rPr>
          <w:spacing w:val="-1"/>
        </w:rPr>
        <w:t>旅游产业带和农业休闲旅游庄园。推动花厂峪与祖山景区协调联动，大力发展采摘游、满族风情和休闲农家等乡村旅游项</w:t>
      </w:r>
      <w:r>
        <w:t xml:space="preserve"> 目。大力宣传</w:t>
      </w:r>
      <w:r>
        <w:rPr>
          <w:rFonts w:hint="default" w:ascii="Times New Roman" w:hAnsi="Times New Roman" w:eastAsia="Times New Roman" w:cs="Times New Roman"/>
        </w:rPr>
        <w:t>“</w:t>
      </w:r>
      <w:r>
        <w:t>祖山特色豆腐宴</w:t>
      </w:r>
      <w:r>
        <w:rPr>
          <w:rFonts w:hint="default" w:ascii="Times New Roman" w:hAnsi="Times New Roman" w:eastAsia="Times New Roman" w:cs="Times New Roman"/>
        </w:rPr>
        <w:t>”</w:t>
      </w:r>
      <w:r>
        <w:t>等满族特色名吃，让更多的人品味</w:t>
      </w:r>
      <w:r>
        <w:rPr>
          <w:rFonts w:hint="default" w:ascii="Times New Roman" w:hAnsi="Times New Roman" w:eastAsia="Times New Roman" w:cs="Times New Roman"/>
        </w:rPr>
        <w:t>“</w:t>
      </w:r>
      <w:r>
        <w:t>舌尖上的祖山</w:t>
      </w:r>
      <w:r>
        <w:rPr>
          <w:rFonts w:hint="default" w:ascii="Times New Roman" w:hAnsi="Times New Roman" w:eastAsia="Times New Roman" w:cs="Times New Roman"/>
        </w:rPr>
        <w:t>”</w:t>
      </w:r>
      <w:r>
        <w:t>。</w:t>
      </w:r>
    </w:p>
    <w:p>
      <w:pPr>
        <w:pStyle w:val="6"/>
        <w:spacing w:before="20" w:line="290" w:lineRule="auto"/>
        <w:ind w:right="0" w:firstLine="560"/>
        <w:jc w:val="left"/>
      </w:pPr>
      <w:r>
        <w:rPr>
          <w:spacing w:val="-4"/>
        </w:rPr>
        <w:t xml:space="preserve">做活商贸物流业。积极引进多行业、多领域的物流公司，提升人流、物流、资金流和信息流，不断繁荣商贸流通体系。 </w:t>
      </w:r>
      <w:r>
        <w:t>继续实施</w:t>
      </w:r>
      <w:r>
        <w:rPr>
          <w:rFonts w:hint="default" w:ascii="Times New Roman" w:hAnsi="Times New Roman" w:eastAsia="Times New Roman" w:cs="Times New Roman"/>
        </w:rPr>
        <w:t>“</w:t>
      </w:r>
      <w:r>
        <w:t>万村千乡、家电下乡、农超对接</w:t>
      </w:r>
      <w:r>
        <w:rPr>
          <w:rFonts w:hint="default" w:ascii="Times New Roman" w:hAnsi="Times New Roman" w:eastAsia="Times New Roman" w:cs="Times New Roman"/>
        </w:rPr>
        <w:t>”</w:t>
      </w:r>
      <w:r>
        <w:t xml:space="preserve">三大工程，年内新改建农家店 </w:t>
      </w:r>
      <w:r>
        <w:rPr>
          <w:rFonts w:hint="default" w:ascii="Times New Roman" w:hAnsi="Times New Roman" w:eastAsia="Times New Roman" w:cs="Times New Roman"/>
        </w:rPr>
        <w:t xml:space="preserve">5 </w:t>
      </w:r>
      <w:r>
        <w:t>家。改善提升祖山景区步游路、宾馆、厕所、 停车场等基础设施，进一步擦亮祖山景区品牌。</w:t>
      </w:r>
    </w:p>
    <w:p>
      <w:pPr>
        <w:pStyle w:val="6"/>
        <w:spacing w:before="21" w:line="290" w:lineRule="auto"/>
        <w:ind w:right="0" w:firstLine="560"/>
        <w:jc w:val="left"/>
      </w:pPr>
      <w:r>
        <w:t xml:space="preserve">做实新兴文化产业。发挥临港区位优势，以满族民俗风情、农村田园风光、自然山水风光和红色历史文化、奚族文化 </w:t>
      </w:r>
      <w:r>
        <w:rPr>
          <w:spacing w:val="-4"/>
        </w:rPr>
        <w:t xml:space="preserve">为依托，打响地域文化品牌。多角度、全方位宣传祖山景区和花厂峪优美自然风光和人文景观，提高旅游知名度和美誉度。 </w:t>
      </w:r>
      <w:r>
        <w:t>提升花厂峪红色旅游发展水平，积极争创</w:t>
      </w:r>
      <w:r>
        <w:rPr>
          <w:spacing w:val="-73"/>
        </w:rPr>
        <w:t xml:space="preserve"> </w:t>
      </w:r>
      <w:r>
        <w:rPr>
          <w:rFonts w:hint="default" w:ascii="Times New Roman" w:hAnsi="Times New Roman" w:eastAsia="Times New Roman" w:cs="Times New Roman"/>
        </w:rPr>
        <w:t xml:space="preserve">AAA </w:t>
      </w:r>
      <w:r>
        <w:t>级景区，推动文化产业快速发展。</w:t>
      </w:r>
    </w:p>
    <w:p>
      <w:pPr>
        <w:pStyle w:val="6"/>
        <w:spacing w:before="20" w:line="290" w:lineRule="auto"/>
        <w:ind w:left="680" w:right="371"/>
        <w:jc w:val="left"/>
      </w:pPr>
      <w:r>
        <w:t>（五）大力推进生态建设，力促魅力祖山再展新风采 持续抓好生态建设。坚持规模与质量并重，力争新增绿化面积</w:t>
      </w:r>
      <w:r>
        <w:rPr>
          <w:spacing w:val="-75"/>
        </w:rPr>
        <w:t xml:space="preserve"> </w:t>
      </w:r>
      <w:r>
        <w:rPr>
          <w:rFonts w:hint="default" w:ascii="Times New Roman" w:hAnsi="Times New Roman" w:eastAsia="Times New Roman" w:cs="Times New Roman"/>
        </w:rPr>
        <w:t xml:space="preserve">10 </w:t>
      </w:r>
      <w:r>
        <w:t>万平方米。实施</w:t>
      </w:r>
      <w:r>
        <w:rPr>
          <w:rFonts w:hint="default" w:ascii="Times New Roman" w:hAnsi="Times New Roman" w:eastAsia="Times New Roman" w:cs="Times New Roman"/>
        </w:rPr>
        <w:t>“</w:t>
      </w:r>
      <w:r>
        <w:t>生态家园</w:t>
      </w:r>
      <w:r>
        <w:rPr>
          <w:rFonts w:hint="default" w:ascii="Times New Roman" w:hAnsi="Times New Roman" w:eastAsia="Times New Roman" w:cs="Times New Roman"/>
        </w:rPr>
        <w:t>”</w:t>
      </w:r>
      <w:r>
        <w:t>工程，力争年内植树造</w:t>
      </w:r>
    </w:p>
    <w:p>
      <w:pPr>
        <w:pStyle w:val="6"/>
        <w:spacing w:before="21" w:line="290" w:lineRule="auto"/>
        <w:ind w:left="680" w:right="230" w:hanging="561"/>
        <w:jc w:val="left"/>
      </w:pPr>
      <w:r>
        <w:t>林</w:t>
      </w:r>
      <w:r>
        <w:rPr>
          <w:spacing w:val="-58"/>
        </w:rPr>
        <w:t xml:space="preserve"> </w:t>
      </w:r>
      <w:r>
        <w:rPr>
          <w:rFonts w:hint="default" w:ascii="Times New Roman" w:hAnsi="Times New Roman" w:eastAsia="Times New Roman" w:cs="Times New Roman"/>
        </w:rPr>
        <w:t>3000</w:t>
      </w:r>
      <w:r>
        <w:rPr>
          <w:rFonts w:hint="default" w:ascii="Times New Roman" w:hAnsi="Times New Roman" w:eastAsia="Times New Roman" w:cs="Times New Roman"/>
          <w:spacing w:val="-5"/>
        </w:rPr>
        <w:t xml:space="preserve"> </w:t>
      </w:r>
      <w:r>
        <w:t>亩，森林覆盖率达到</w:t>
      </w:r>
      <w:r>
        <w:rPr>
          <w:spacing w:val="-58"/>
        </w:rPr>
        <w:t xml:space="preserve"> </w:t>
      </w:r>
      <w:r>
        <w:rPr>
          <w:rFonts w:hint="default" w:ascii="Times New Roman" w:hAnsi="Times New Roman" w:eastAsia="Times New Roman" w:cs="Times New Roman"/>
        </w:rPr>
        <w:t>78%</w:t>
      </w:r>
      <w:r>
        <w:t>以上。实施起河流域两岸绿化工程，完成造林栽果</w:t>
      </w:r>
      <w:r>
        <w:rPr>
          <w:spacing w:val="-58"/>
        </w:rPr>
        <w:t xml:space="preserve"> </w:t>
      </w:r>
      <w:r>
        <w:rPr>
          <w:rFonts w:hint="default" w:ascii="Times New Roman" w:hAnsi="Times New Roman" w:eastAsia="Times New Roman" w:cs="Times New Roman"/>
        </w:rPr>
        <w:t>400</w:t>
      </w:r>
      <w:r>
        <w:rPr>
          <w:rFonts w:hint="default" w:ascii="Times New Roman" w:hAnsi="Times New Roman" w:eastAsia="Times New Roman" w:cs="Times New Roman"/>
          <w:spacing w:val="-5"/>
        </w:rPr>
        <w:t xml:space="preserve"> </w:t>
      </w:r>
      <w:r>
        <w:t xml:space="preserve">亩，打造水清岸绿的绿色廊道。 </w:t>
      </w:r>
      <w:r>
        <w:rPr>
          <w:spacing w:val="-1"/>
        </w:rPr>
        <w:t>大力抓好节能减排。加大监管力度，确保唐钢青龙炉料等企业脱硫设施正常运转。加强重点矿区、选厂、尾矿库和施</w:t>
      </w:r>
    </w:p>
    <w:p>
      <w:pPr>
        <w:pStyle w:val="6"/>
        <w:spacing w:before="22" w:line="240" w:lineRule="auto"/>
        <w:ind w:left="120" w:right="230"/>
        <w:jc w:val="left"/>
      </w:pPr>
      <w:r>
        <w:t>工工地综合整治，严格控制扬尘污染，确保空气质量二级以上天数达到</w:t>
      </w:r>
      <w:r>
        <w:rPr>
          <w:spacing w:val="-68"/>
        </w:rPr>
        <w:t xml:space="preserve"> </w:t>
      </w:r>
      <w:r>
        <w:rPr>
          <w:rFonts w:hint="default" w:ascii="Times New Roman" w:hAnsi="Times New Roman" w:eastAsia="Times New Roman" w:cs="Times New Roman"/>
        </w:rPr>
        <w:t xml:space="preserve">350 </w:t>
      </w:r>
      <w:r>
        <w:t>天以上。</w:t>
      </w:r>
    </w:p>
    <w:p>
      <w:pPr>
        <w:pStyle w:val="6"/>
        <w:spacing w:before="88" w:line="240" w:lineRule="auto"/>
        <w:ind w:left="680" w:right="230"/>
        <w:jc w:val="left"/>
      </w:pPr>
      <w:r>
        <w:t>（六）大力推进社会建设，力促人民生活实现新改善</w:t>
      </w:r>
    </w:p>
    <w:p>
      <w:pPr>
        <w:spacing w:after="0" w:line="24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firstLine="560"/>
        <w:jc w:val="left"/>
      </w:pPr>
      <w:r>
        <w:t>全面发展社会事业。稳步提升新农保参保率和城镇医疗参合率，让广大群众共享改革发展成果。做好低保审核申报和</w:t>
      </w:r>
    </w:p>
    <w:p>
      <w:pPr>
        <w:pStyle w:val="6"/>
        <w:spacing w:before="88" w:line="290" w:lineRule="auto"/>
        <w:ind w:right="233"/>
        <w:jc w:val="left"/>
      </w:pPr>
      <w:r>
        <w:rPr>
          <w:spacing w:val="-1"/>
        </w:rPr>
        <w:t>危房改造工作，确保民政资金专款专用。做好教育、卫生、计生改革工作。及时发放粮食直补、公益林生态效益补偿等专</w:t>
      </w:r>
      <w:r>
        <w:t xml:space="preserve"> 项资金。充分发挥农村</w:t>
      </w:r>
      <w:r>
        <w:rPr>
          <w:rFonts w:hint="default" w:ascii="Times New Roman" w:hAnsi="Times New Roman" w:eastAsia="Times New Roman" w:cs="Times New Roman"/>
        </w:rPr>
        <w:t>“</w:t>
      </w:r>
      <w:r>
        <w:t>一事一议</w:t>
      </w:r>
      <w:r>
        <w:rPr>
          <w:rFonts w:hint="default" w:ascii="Times New Roman" w:hAnsi="Times New Roman" w:eastAsia="Times New Roman" w:cs="Times New Roman"/>
        </w:rPr>
        <w:t>”</w:t>
      </w:r>
      <w:r>
        <w:t>财政补贴作用，抓好农村基础设施建设。</w:t>
      </w:r>
    </w:p>
    <w:p>
      <w:pPr>
        <w:pStyle w:val="6"/>
        <w:spacing w:before="20" w:line="290" w:lineRule="auto"/>
        <w:ind w:right="96" w:firstLine="560"/>
        <w:jc w:val="left"/>
      </w:pPr>
      <w:r>
        <w:t>切实维护和谐稳定。健全</w:t>
      </w:r>
      <w:r>
        <w:rPr>
          <w:rFonts w:hint="default" w:ascii="Times New Roman" w:hAnsi="Times New Roman" w:eastAsia="Times New Roman" w:cs="Times New Roman"/>
        </w:rPr>
        <w:t>“</w:t>
      </w:r>
      <w:r>
        <w:t>镇村组</w:t>
      </w:r>
      <w:r>
        <w:rPr>
          <w:rFonts w:hint="default" w:ascii="Times New Roman" w:hAnsi="Times New Roman" w:eastAsia="Times New Roman" w:cs="Times New Roman"/>
        </w:rPr>
        <w:t>”</w:t>
      </w:r>
      <w:r>
        <w:t>三级矛盾排查信息网络，严格落实</w:t>
      </w:r>
      <w:r>
        <w:rPr>
          <w:rFonts w:hint="default" w:ascii="Times New Roman" w:hAnsi="Times New Roman" w:eastAsia="Times New Roman" w:cs="Times New Roman"/>
        </w:rPr>
        <w:t>“</w:t>
      </w:r>
      <w:r>
        <w:t>八三</w:t>
      </w:r>
      <w:r>
        <w:rPr>
          <w:rFonts w:hint="default" w:ascii="Times New Roman" w:hAnsi="Times New Roman" w:eastAsia="Times New Roman" w:cs="Times New Roman"/>
        </w:rPr>
        <w:t>”</w:t>
      </w:r>
      <w:r>
        <w:t>工作法、</w:t>
      </w:r>
      <w:r>
        <w:rPr>
          <w:rFonts w:hint="default" w:ascii="Times New Roman" w:hAnsi="Times New Roman" w:eastAsia="Times New Roman" w:cs="Times New Roman"/>
        </w:rPr>
        <w:t>“</w:t>
      </w:r>
      <w:r>
        <w:t>六包一</w:t>
      </w:r>
      <w:r>
        <w:rPr>
          <w:rFonts w:hint="default" w:ascii="Times New Roman" w:hAnsi="Times New Roman" w:eastAsia="Times New Roman" w:cs="Times New Roman"/>
        </w:rPr>
        <w:t>”</w:t>
      </w:r>
      <w:r>
        <w:t xml:space="preserve">等信访工作机制，确保 </w:t>
      </w:r>
      <w:r>
        <w:rPr>
          <w:spacing w:val="-3"/>
        </w:rPr>
        <w:t>全年不发生越级集体访和非法访。开展食品药品隐患排查专项行动，保障群众</w:t>
      </w:r>
      <w:r>
        <w:rPr>
          <w:rFonts w:hint="default" w:ascii="Times New Roman" w:hAnsi="Times New Roman" w:eastAsia="Times New Roman" w:cs="Times New Roman"/>
          <w:spacing w:val="-3"/>
        </w:rPr>
        <w:t>“</w:t>
      </w:r>
      <w:r>
        <w:rPr>
          <w:spacing w:val="-3"/>
        </w:rPr>
        <w:t>舌尖</w:t>
      </w:r>
      <w:r>
        <w:rPr>
          <w:rFonts w:hint="default" w:ascii="Times New Roman" w:hAnsi="Times New Roman" w:eastAsia="Times New Roman" w:cs="Times New Roman"/>
          <w:spacing w:val="-3"/>
        </w:rPr>
        <w:t>”</w:t>
      </w:r>
      <w:r>
        <w:rPr>
          <w:spacing w:val="-3"/>
        </w:rPr>
        <w:t xml:space="preserve">上的安全。严格落实安全生产责任制， </w:t>
      </w:r>
      <w:r>
        <w:t>深入开展煤矿、非煤矿山、尾矿库、道路交通等重点行业领域专项整治，全面消除隐患，严防各类事故发生。加强突发公 共事件应急预警，有效防范和应对森林火灾、暴雨洪水、泥石流等灾害。</w:t>
      </w:r>
    </w:p>
    <w:p>
      <w:pPr>
        <w:spacing w:before="4" w:line="240" w:lineRule="auto"/>
        <w:ind w:right="0"/>
        <w:rPr>
          <w:rFonts w:hint="default" w:ascii="方正仿宋繁体" w:hAnsi="方正仿宋繁体" w:eastAsia="方正仿宋繁体" w:cs="方正仿宋繁体"/>
          <w:sz w:val="35"/>
          <w:szCs w:val="35"/>
        </w:rPr>
      </w:pPr>
    </w:p>
    <w:p>
      <w:pPr>
        <w:pStyle w:val="4"/>
        <w:tabs>
          <w:tab w:val="left" w:pos="2287"/>
        </w:tabs>
        <w:spacing w:line="357" w:lineRule="auto"/>
        <w:ind w:left="681" w:right="9797" w:firstLine="81"/>
        <w:jc w:val="left"/>
        <w:rPr>
          <w:b w:val="0"/>
          <w:bCs w:val="0"/>
        </w:rPr>
      </w:pPr>
      <w:r>
        <w:rPr>
          <w:w w:val="95"/>
        </w:rPr>
        <w:t>第二部分</w:t>
      </w:r>
      <w:r>
        <w:rPr>
          <w:w w:val="95"/>
        </w:rPr>
        <w:tab/>
      </w:r>
      <w:r>
        <w:t xml:space="preserve">专项资金绩效目标 </w:t>
      </w:r>
      <w:r>
        <w:rPr>
          <w:w w:val="95"/>
        </w:rPr>
        <w:t>第三部分</w:t>
      </w:r>
      <w:r>
        <w:rPr>
          <w:w w:val="95"/>
        </w:rPr>
        <w:tab/>
      </w:r>
      <w:r>
        <w:t>预算项目绩效目标</w:t>
      </w:r>
    </w:p>
    <w:p>
      <w:pPr>
        <w:spacing w:before="12" w:line="240" w:lineRule="auto"/>
        <w:ind w:right="0"/>
        <w:rPr>
          <w:rFonts w:hint="default" w:ascii="宋体" w:hAnsi="宋体" w:eastAsia="宋体" w:cs="宋体"/>
          <w:b/>
          <w:bCs/>
          <w:sz w:val="27"/>
          <w:szCs w:val="27"/>
        </w:rPr>
      </w:pPr>
    </w:p>
    <w:p>
      <w:pPr>
        <w:pStyle w:val="6"/>
        <w:spacing w:line="240" w:lineRule="auto"/>
        <w:ind w:left="681" w:right="23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1、人大代表之家工作经费绩效目标表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1.学习宣传培训，开展代表活动，密切联系群众，定期开展人大代表接访、走访、约访、回访等工作，接受群众监督，提出议案建议。</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2.发挥人大监督职能，推动各项事业有效开展。</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17"/>
                <w:szCs w:val="17"/>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组织代表参加活动次数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计划召开学习宣传培训活动 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开展调研的次数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计划开展调研的次数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完成调研报告数量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当年完成调研报告的数量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bl>
    <w:p>
      <w:pPr>
        <w:spacing w:after="0" w:line="240" w:lineRule="auto"/>
        <w:jc w:val="left"/>
        <w:rPr>
          <w:rFonts w:hint="default" w:ascii="宋体" w:hAnsi="宋体" w:eastAsia="宋体" w:cs="宋体"/>
          <w:sz w:val="21"/>
          <w:szCs w:val="21"/>
        </w:rPr>
        <w:sectPr>
          <w:pgSz w:w="16840" w:h="11910" w:orient="landscape"/>
          <w:pgMar w:top="1100" w:right="78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代表参加活动或培训覆盖率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联络机构、网络平台完成情 况占年初计划任务比率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做好协调组织工作，为代表 依法履职提供服务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学习宣传培训，开展代表活 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做好协调组织工作,为代表 依法履责提供服务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意见建议采纳率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人大代表提出建议,被采纳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会议服务工作满意率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镇人大代表和常委对代表工 作的满意程度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2、综治工作经费绩效目标表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12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61" w:lineRule="auto"/>
              <w:ind w:left="101" w:right="97"/>
              <w:jc w:val="left"/>
              <w:rPr>
                <w:rFonts w:hint="default" w:ascii="宋体" w:hAnsi="宋体" w:eastAsia="宋体" w:cs="宋体"/>
                <w:sz w:val="21"/>
                <w:szCs w:val="21"/>
              </w:rPr>
            </w:pPr>
            <w:r>
              <w:rPr>
                <w:rFonts w:hint="default" w:ascii="宋体" w:hAnsi="宋体" w:eastAsia="宋体" w:cs="宋体"/>
                <w:spacing w:val="-2"/>
                <w:sz w:val="21"/>
                <w:szCs w:val="21"/>
              </w:rPr>
              <w:t>1.通过贯彻执行国家的法律法规和政策，加大依法行政的力度，维护农业农村工作的稳定；加强法制宣传教育、提高公民的法律意识和素</w:t>
            </w:r>
            <w:r>
              <w:rPr>
                <w:rFonts w:hint="default" w:ascii="宋体" w:hAnsi="宋体" w:eastAsia="宋体" w:cs="宋体"/>
                <w:sz w:val="21"/>
                <w:szCs w:val="21"/>
              </w:rPr>
              <w:t xml:space="preserve"> 质，教育农民知法、懂法和守法。 </w:t>
            </w:r>
            <w:r>
              <w:rPr>
                <w:rFonts w:hint="default" w:ascii="宋体" w:hAnsi="宋体" w:eastAsia="宋体" w:cs="宋体"/>
                <w:spacing w:val="-2"/>
                <w:sz w:val="21"/>
                <w:szCs w:val="21"/>
              </w:rPr>
              <w:t>2.协助司法机关打击各类刑事犯罪活动，妥善处理突发性、群体性事件；搞好村级治安工作、村委会建设、完善村规民约，深化农村平安</w:t>
            </w:r>
            <w:r>
              <w:rPr>
                <w:rFonts w:hint="default" w:ascii="宋体" w:hAnsi="宋体" w:eastAsia="宋体" w:cs="宋体"/>
                <w:sz w:val="21"/>
                <w:szCs w:val="21"/>
              </w:rPr>
              <w:t xml:space="preserve"> 创建工作。</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19"/>
                <w:szCs w:val="19"/>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印刷宣传单</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反映印刷宣传单数量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≥2000</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维稳次数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反映下乡维稳的次数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协调督导事项化解率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化解事项占督导事项总数的 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各项工作按年度计划完成</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全年持续进行</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租车费支出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租车接信访人返青的费用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7"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民转刑</w:t>
            </w:r>
            <w:r>
              <w:rPr>
                <w:rFonts w:hint="default" w:ascii="Times New Roman" w:hAnsi="Times New Roman" w:eastAsia="Times New Roman" w:cs="Times New Roman"/>
                <w:sz w:val="24"/>
                <w:szCs w:val="24"/>
              </w:rPr>
              <w:t>”</w:t>
            </w:r>
            <w:r>
              <w:rPr>
                <w:rFonts w:hint="default" w:ascii="宋体" w:hAnsi="宋体" w:eastAsia="宋体" w:cs="宋体"/>
                <w:sz w:val="21"/>
                <w:szCs w:val="21"/>
              </w:rPr>
              <w:t>命案减少率(%)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42" w:lineRule="auto"/>
              <w:ind w:left="100" w:right="194"/>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民转刑</w:t>
            </w:r>
            <w:r>
              <w:rPr>
                <w:rFonts w:hint="default" w:ascii="Times New Roman" w:hAnsi="Times New Roman" w:eastAsia="Times New Roman" w:cs="Times New Roman"/>
                <w:sz w:val="24"/>
                <w:szCs w:val="24"/>
              </w:rPr>
              <w:t>”</w:t>
            </w:r>
            <w:r>
              <w:rPr>
                <w:rFonts w:hint="default" w:ascii="宋体" w:hAnsi="宋体" w:eastAsia="宋体" w:cs="宋体"/>
                <w:sz w:val="21"/>
                <w:szCs w:val="21"/>
              </w:rPr>
              <w:t>命案发生数量的减 少比率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立体化社会治安防控体系覆 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立体化社会治安防控体系在 镇村两级的覆盖情况</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对治安管理满意的人数査调 查总人数的比率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3、自然灾害综合风险普查工作经费绩效目标表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1.全面掌握我镇自然灾害风险防范情况。</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2.提升我镇抵御自然灾害综合防范能力。</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1" w:line="240" w:lineRule="auto"/>
              <w:ind w:right="0"/>
              <w:jc w:val="left"/>
              <w:rPr>
                <w:rFonts w:hint="default" w:ascii="方正仿宋繁体" w:hAnsi="方正仿宋繁体" w:eastAsia="方正仿宋繁体" w:cs="方正仿宋繁体"/>
                <w:sz w:val="20"/>
                <w:szCs w:val="20"/>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普查行政村个数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反映普查行政村个数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普查自然灾害类型</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本次普查涉及的自然灾害类 型个数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项</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受益人数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自然灾害普查受益人口数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≥22000</w:t>
            </w:r>
            <w:r>
              <w:rPr>
                <w:rFonts w:hint="default" w:ascii="宋体" w:hAnsi="宋体" w:eastAsia="宋体" w:cs="宋体"/>
                <w:spacing w:val="-57"/>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普查工作完成率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普查工作完成率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普查工作完成时间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12</w:t>
            </w:r>
            <w:r>
              <w:rPr>
                <w:rFonts w:hint="default" w:ascii="宋体" w:hAnsi="宋体" w:eastAsia="宋体" w:cs="宋体"/>
                <w:spacing w:val="-53"/>
                <w:sz w:val="21"/>
                <w:szCs w:val="21"/>
              </w:rPr>
              <w:t xml:space="preserve"> </w:t>
            </w:r>
            <w:r>
              <w:rPr>
                <w:rFonts w:hint="default" w:ascii="宋体" w:hAnsi="宋体" w:eastAsia="宋体" w:cs="宋体"/>
                <w:sz w:val="21"/>
                <w:szCs w:val="21"/>
              </w:rPr>
              <w:t>底前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宣传、办公费用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反映用于本次普查宣传费、 办公费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反映用于本次普查租车费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9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提升抵御自然灾害防范能力</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通过普查，提升抵御自然灾 害防能力，提交高质量普查 结果报告</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322" w:hRule="exact"/>
        </w:trPr>
        <w:tc>
          <w:tcPr>
            <w:tcW w:w="1417" w:type="dxa"/>
            <w:tcBorders>
              <w:top w:val="single" w:color="000000" w:sz="6" w:space="0"/>
              <w:left w:val="single" w:color="000000" w:sz="6" w:space="0"/>
              <w:bottom w:val="nil"/>
              <w:right w:val="single" w:color="000000" w:sz="6" w:space="0"/>
            </w:tcBorders>
          </w:tcPr>
          <w:p/>
        </w:tc>
        <w:tc>
          <w:tcPr>
            <w:tcW w:w="2268" w:type="dxa"/>
            <w:tcBorders>
              <w:top w:val="single" w:color="000000" w:sz="6" w:space="0"/>
              <w:left w:val="single" w:color="000000" w:sz="6" w:space="0"/>
              <w:bottom w:val="nil"/>
              <w:right w:val="single" w:color="000000" w:sz="6" w:space="0"/>
            </w:tcBorders>
          </w:tcPr>
          <w:p/>
        </w:tc>
        <w:tc>
          <w:tcPr>
            <w:tcW w:w="2834" w:type="dxa"/>
            <w:tcBorders>
              <w:top w:val="single" w:color="000000" w:sz="6" w:space="0"/>
              <w:left w:val="single" w:color="000000" w:sz="6" w:space="0"/>
              <w:bottom w:val="nil"/>
              <w:right w:val="single" w:color="000000" w:sz="6" w:space="0"/>
            </w:tcBorders>
          </w:tcPr>
          <w:p/>
        </w:tc>
        <w:tc>
          <w:tcPr>
            <w:tcW w:w="2836" w:type="dxa"/>
            <w:tcBorders>
              <w:top w:val="single" w:color="000000" w:sz="6" w:space="0"/>
              <w:left w:val="single" w:color="000000" w:sz="6" w:space="0"/>
              <w:bottom w:val="nil"/>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村民调查中，满意和较满意</w:t>
            </w:r>
          </w:p>
        </w:tc>
        <w:tc>
          <w:tcPr>
            <w:tcW w:w="2551" w:type="dxa"/>
            <w:tcBorders>
              <w:top w:val="single" w:color="000000" w:sz="6" w:space="0"/>
              <w:left w:val="single" w:color="000000" w:sz="6" w:space="0"/>
              <w:bottom w:val="nil"/>
              <w:right w:val="single" w:color="000000" w:sz="6" w:space="0"/>
            </w:tcBorders>
          </w:tcPr>
          <w:p/>
        </w:tc>
        <w:tc>
          <w:tcPr>
            <w:tcW w:w="2268" w:type="dxa"/>
            <w:tcBorders>
              <w:top w:val="single" w:color="000000" w:sz="6" w:space="0"/>
              <w:left w:val="single" w:color="000000" w:sz="6" w:space="0"/>
              <w:bottom w:val="nil"/>
              <w:right w:val="single" w:color="000000" w:sz="6" w:space="0"/>
            </w:tcBorders>
          </w:tcPr>
          <w:p/>
        </w:tc>
      </w:tr>
      <w:tr>
        <w:tblPrEx>
          <w:tblCellMar>
            <w:top w:w="0" w:type="dxa"/>
            <w:left w:w="0" w:type="dxa"/>
            <w:bottom w:w="0" w:type="dxa"/>
            <w:right w:w="0" w:type="dxa"/>
          </w:tblCellMar>
        </w:tblPrEx>
        <w:trPr>
          <w:trHeight w:val="300" w:hRule="exact"/>
        </w:trPr>
        <w:tc>
          <w:tcPr>
            <w:tcW w:w="1417" w:type="dxa"/>
            <w:tcBorders>
              <w:top w:val="nil"/>
              <w:left w:val="single" w:color="000000" w:sz="6" w:space="0"/>
              <w:bottom w:val="nil"/>
              <w:right w:val="single" w:color="000000" w:sz="6" w:space="0"/>
            </w:tcBorders>
          </w:tcPr>
          <w:p>
            <w:pPr>
              <w:pStyle w:val="13"/>
              <w:spacing w:line="255" w:lineRule="exact"/>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村民满意度</w:t>
            </w:r>
          </w:p>
        </w:tc>
        <w:tc>
          <w:tcPr>
            <w:tcW w:w="2836"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的人数占全部调查人数的比</w:t>
            </w:r>
          </w:p>
        </w:tc>
        <w:tc>
          <w:tcPr>
            <w:tcW w:w="2551"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r>
        <w:tblPrEx>
          <w:tblCellMar>
            <w:top w:w="0" w:type="dxa"/>
            <w:left w:w="0" w:type="dxa"/>
            <w:bottom w:w="0" w:type="dxa"/>
            <w:right w:w="0" w:type="dxa"/>
          </w:tblCellMar>
        </w:tblPrEx>
        <w:trPr>
          <w:trHeight w:val="294" w:hRule="exact"/>
        </w:trPr>
        <w:tc>
          <w:tcPr>
            <w:tcW w:w="1417" w:type="dxa"/>
            <w:tcBorders>
              <w:top w:val="nil"/>
              <w:left w:val="single" w:color="000000" w:sz="6" w:space="0"/>
              <w:bottom w:val="single" w:color="000000" w:sz="6" w:space="0"/>
              <w:right w:val="single" w:color="000000" w:sz="6" w:space="0"/>
            </w:tcBorders>
          </w:tcPr>
          <w:p/>
        </w:tc>
        <w:tc>
          <w:tcPr>
            <w:tcW w:w="2268" w:type="dxa"/>
            <w:tcBorders>
              <w:top w:val="nil"/>
              <w:left w:val="single" w:color="000000" w:sz="6" w:space="0"/>
              <w:bottom w:val="single" w:color="000000" w:sz="6" w:space="0"/>
              <w:right w:val="single" w:color="000000" w:sz="6" w:space="0"/>
            </w:tcBorders>
          </w:tcPr>
          <w:p/>
        </w:tc>
        <w:tc>
          <w:tcPr>
            <w:tcW w:w="2834" w:type="dxa"/>
            <w:tcBorders>
              <w:top w:val="nil"/>
              <w:left w:val="single" w:color="000000" w:sz="6" w:space="0"/>
              <w:bottom w:val="single" w:color="000000" w:sz="6" w:space="0"/>
              <w:right w:val="single" w:color="000000" w:sz="6" w:space="0"/>
            </w:tcBorders>
          </w:tcPr>
          <w:p/>
        </w:tc>
        <w:tc>
          <w:tcPr>
            <w:tcW w:w="2836" w:type="dxa"/>
            <w:tcBorders>
              <w:top w:val="nil"/>
              <w:left w:val="single" w:color="000000" w:sz="6" w:space="0"/>
              <w:bottom w:val="single" w:color="000000" w:sz="6" w:space="0"/>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率</w:t>
            </w:r>
          </w:p>
        </w:tc>
        <w:tc>
          <w:tcPr>
            <w:tcW w:w="2551" w:type="dxa"/>
            <w:tcBorders>
              <w:top w:val="nil"/>
              <w:left w:val="single" w:color="000000" w:sz="6" w:space="0"/>
              <w:bottom w:val="single" w:color="000000" w:sz="6" w:space="0"/>
              <w:right w:val="single" w:color="000000" w:sz="6" w:space="0"/>
            </w:tcBorders>
          </w:tcPr>
          <w:p/>
        </w:tc>
        <w:tc>
          <w:tcPr>
            <w:tcW w:w="2268" w:type="dxa"/>
            <w:tcBorders>
              <w:top w:val="nil"/>
              <w:left w:val="single" w:color="000000" w:sz="6" w:space="0"/>
              <w:bottom w:val="single" w:color="000000" w:sz="6" w:space="0"/>
              <w:right w:val="single" w:color="000000" w:sz="6" w:space="0"/>
            </w:tcBorders>
          </w:tcP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4、团委工作经费绩效目标表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1.确保团委工作有序开展，积极发挥团委作用。</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2.开展好群团组织工作，为党的建设储备好后备力量。</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8" w:line="240" w:lineRule="auto"/>
              <w:ind w:right="0"/>
              <w:jc w:val="left"/>
              <w:rPr>
                <w:rFonts w:hint="default" w:ascii="方正仿宋繁体" w:hAnsi="方正仿宋繁体" w:eastAsia="方正仿宋繁体" w:cs="方正仿宋繁体"/>
                <w:sz w:val="20"/>
                <w:szCs w:val="20"/>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组织活动的次数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组织镇青年慰问留守儿童活 动的次数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圆梦大学</w:t>
            </w:r>
            <w:r>
              <w:rPr>
                <w:rFonts w:hint="default" w:ascii="Times New Roman" w:hAnsi="Times New Roman" w:eastAsia="Times New Roman" w:cs="Times New Roman"/>
                <w:sz w:val="24"/>
                <w:szCs w:val="24"/>
              </w:rPr>
              <w:t>”</w:t>
            </w:r>
            <w:r>
              <w:rPr>
                <w:rFonts w:hint="default" w:ascii="宋体" w:hAnsi="宋体" w:eastAsia="宋体" w:cs="宋体"/>
                <w:sz w:val="21"/>
                <w:szCs w:val="21"/>
              </w:rPr>
              <w:t>走访的次数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w:t>
            </w:r>
            <w:r>
              <w:rPr>
                <w:rFonts w:hint="default" w:ascii="Times New Roman" w:hAnsi="Times New Roman" w:eastAsia="Times New Roman" w:cs="Times New Roman"/>
                <w:sz w:val="24"/>
                <w:szCs w:val="24"/>
              </w:rPr>
              <w:t>“</w:t>
            </w:r>
            <w:r>
              <w:rPr>
                <w:rFonts w:hint="default" w:ascii="宋体" w:hAnsi="宋体" w:eastAsia="宋体" w:cs="宋体"/>
                <w:sz w:val="21"/>
                <w:szCs w:val="21"/>
              </w:rPr>
              <w:t>圆梦大学</w:t>
            </w:r>
            <w:r>
              <w:rPr>
                <w:rFonts w:hint="default" w:ascii="Times New Roman" w:hAnsi="Times New Roman" w:eastAsia="Times New Roman" w:cs="Times New Roman"/>
                <w:sz w:val="24"/>
                <w:szCs w:val="24"/>
              </w:rPr>
              <w:t>”</w:t>
            </w:r>
            <w:r>
              <w:rPr>
                <w:rFonts w:hint="default" w:ascii="宋体" w:hAnsi="宋体" w:eastAsia="宋体" w:cs="宋体"/>
                <w:sz w:val="21"/>
                <w:szCs w:val="21"/>
              </w:rPr>
              <w:t>走访的次数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宣传单数量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反映用于青少年法治宣传教 育印刷的宣传单数量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≥3000</w:t>
            </w:r>
            <w:r>
              <w:rPr>
                <w:rFonts w:hint="default" w:ascii="宋体" w:hAnsi="宋体" w:eastAsia="宋体" w:cs="宋体"/>
                <w:spacing w:val="-52"/>
                <w:sz w:val="21"/>
                <w:szCs w:val="21"/>
              </w:rPr>
              <w:t xml:space="preserve"> </w:t>
            </w:r>
            <w:r>
              <w:rPr>
                <w:rFonts w:hint="default" w:ascii="宋体" w:hAnsi="宋体" w:eastAsia="宋体" w:cs="宋体"/>
                <w:sz w:val="21"/>
                <w:szCs w:val="21"/>
              </w:rPr>
              <w:t>张</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活动完成次数占预计次数的 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≥98</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反映各项活动完成时间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全年持续进行</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经费支出控制数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团委活动经费支出控制在预 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7"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经济效益指标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团费收缴完成率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反映全镇团费收缴和上缴工 作完成比率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未成年思想道德建设宣传情 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反映全镇未成年人思想道德 建设宣传覆盖率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群众对全镇党建满意度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全镇群众对党建工作的满意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0" w:line="240" w:lineRule="auto"/>
        <w:ind w:right="0"/>
        <w:rPr>
          <w:rFonts w:hint="default" w:ascii="方正仿宋繁体" w:hAnsi="方正仿宋繁体" w:eastAsia="方正仿宋繁体" w:cs="方正仿宋繁体"/>
          <w:sz w:val="23"/>
          <w:szCs w:val="23"/>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5、机构改革平台建设费绩效目标表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1.加强政府服务职能建设，全面提升群众安全指数。</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2.为机构改革平台建设提供资金保障，确保项目建设如期圆满完成。</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7" w:line="240" w:lineRule="auto"/>
              <w:ind w:right="0"/>
              <w:jc w:val="left"/>
              <w:rPr>
                <w:rFonts w:hint="default" w:ascii="方正仿宋繁体" w:hAnsi="方正仿宋繁体" w:eastAsia="方正仿宋繁体" w:cs="方正仿宋繁体"/>
                <w:sz w:val="14"/>
                <w:szCs w:val="14"/>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安装村数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按照要求完成安装的村数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完成点位数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实际安装点位数量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≥64</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每村点位配置数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按照要求实际在每个村配置 的点位数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4</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点位配置覆盖率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点位配置达标并完成数量占 目标要求的比率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工作完成时限</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完成该项工作的时间节点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12</w:t>
            </w:r>
            <w:r>
              <w:rPr>
                <w:rFonts w:hint="default" w:ascii="宋体" w:hAnsi="宋体" w:eastAsia="宋体" w:cs="宋体"/>
                <w:spacing w:val="-52"/>
                <w:sz w:val="21"/>
                <w:szCs w:val="21"/>
              </w:rPr>
              <w:t xml:space="preserve"> </w:t>
            </w:r>
            <w:r>
              <w:rPr>
                <w:rFonts w:hint="default" w:ascii="宋体" w:hAnsi="宋体" w:eastAsia="宋体" w:cs="宋体"/>
                <w:sz w:val="21"/>
                <w:szCs w:val="21"/>
              </w:rPr>
              <w:t>月底前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单个点位成本</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每个点位设置完成工作所需 的成本</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≤0.15</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平台链路建设及传输费</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4"/>
              <w:jc w:val="left"/>
              <w:rPr>
                <w:rFonts w:hint="default" w:ascii="宋体" w:hAnsi="宋体" w:eastAsia="宋体" w:cs="宋体"/>
                <w:sz w:val="21"/>
                <w:szCs w:val="21"/>
              </w:rPr>
            </w:pPr>
            <w:r>
              <w:rPr>
                <w:rFonts w:hint="default" w:ascii="宋体" w:hAnsi="宋体" w:eastAsia="宋体" w:cs="宋体"/>
                <w:spacing w:val="-1"/>
                <w:sz w:val="21"/>
                <w:szCs w:val="21"/>
              </w:rPr>
              <w:t>含平台建设人工费、机械费、</w:t>
            </w:r>
            <w:r>
              <w:rPr>
                <w:rFonts w:hint="default" w:ascii="宋体" w:hAnsi="宋体" w:eastAsia="宋体" w:cs="宋体"/>
                <w:sz w:val="21"/>
                <w:szCs w:val="21"/>
              </w:rPr>
              <w:t xml:space="preserve"> 材料费及运输费等</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≤9.6</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6、专项武装经费绩效目标表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0" w:lineRule="exact"/>
              <w:ind w:left="101" w:right="0"/>
              <w:jc w:val="left"/>
              <w:rPr>
                <w:rFonts w:hint="default" w:ascii="宋体" w:hAnsi="宋体" w:eastAsia="宋体" w:cs="宋体"/>
                <w:sz w:val="21"/>
                <w:szCs w:val="21"/>
              </w:rPr>
            </w:pPr>
            <w:r>
              <w:rPr>
                <w:rFonts w:hint="default" w:ascii="宋体" w:hAnsi="宋体" w:eastAsia="宋体" w:cs="宋体"/>
                <w:sz w:val="21"/>
                <w:szCs w:val="21"/>
              </w:rPr>
              <w:t>1.通过开展专项武装工作，强化基层武装力量建设，促进能力提升。</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2.通过基层武装能力提升，保障全县武装专项工作水平提升。</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下乡调研指导基层武装工作 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反映下乡开展调查、检查工 作的次数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开展武装专项工作宣传次数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反映开展宣传活动的次数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印发宣传单数量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反映开展宣传活动中需印刷 的宣传单数量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≥2000</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9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宣传普及率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知晓专项武装工作居民占全 乡总人口的比率。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调查、检查覆盖率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向全乡开展宣传专项武装工 作的普及程度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开展宣传工作的时间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反映开展宣传活动的进度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年上半年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用车费用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用于下乡等使用车辆费用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用于日常办公所需费用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8"/>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开展宣传活动所需费用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8"/>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基层武装保障能力提升情况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通过开展武装专项促进基层 武装工作能力提升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效果明显</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7、山神庙和英武山村失地农民生活补助绩效目标表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5" w:type="dxa"/>
        <w:tblLayout w:type="fixed"/>
        <w:tblCellMar>
          <w:top w:w="0" w:type="dxa"/>
          <w:left w:w="0" w:type="dxa"/>
          <w:bottom w:w="0" w:type="dxa"/>
          <w:right w:w="0" w:type="dxa"/>
        </w:tblCellMar>
      </w:tblPr>
      <w:tblGrid>
        <w:gridCol w:w="1417"/>
        <w:gridCol w:w="2267"/>
        <w:gridCol w:w="2834"/>
        <w:gridCol w:w="2836"/>
        <w:gridCol w:w="2551"/>
        <w:gridCol w:w="2268"/>
      </w:tblGrid>
      <w:tr>
        <w:tblPrEx>
          <w:tblCellMar>
            <w:top w:w="0" w:type="dxa"/>
            <w:left w:w="0" w:type="dxa"/>
            <w:bottom w:w="0" w:type="dxa"/>
            <w:right w:w="0" w:type="dxa"/>
          </w:tblCellMar>
        </w:tblPrEx>
        <w:trPr>
          <w:trHeight w:val="9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1.足额及时下发失地补偿金，保障农户合理权益</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2.足额及时下发经济补偿金，保证农户正常生活水平。</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3.减少农户上访次数，保证社会稳定。</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3"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before="14" w:line="240" w:lineRule="auto"/>
              <w:ind w:right="0"/>
              <w:jc w:val="left"/>
              <w:rPr>
                <w:rFonts w:hint="default" w:ascii="方正仿宋繁体" w:hAnsi="方正仿宋繁体" w:eastAsia="方正仿宋繁体" w:cs="方正仿宋繁体"/>
                <w:sz w:val="16"/>
                <w:szCs w:val="16"/>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失地面积</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反映失地面积</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800</w:t>
            </w:r>
            <w:r>
              <w:rPr>
                <w:rFonts w:hint="default" w:ascii="宋体" w:hAnsi="宋体" w:eastAsia="宋体" w:cs="宋体"/>
                <w:spacing w:val="-52"/>
                <w:sz w:val="21"/>
                <w:szCs w:val="21"/>
              </w:rPr>
              <w:t xml:space="preserve"> </w:t>
            </w:r>
            <w:r>
              <w:rPr>
                <w:rFonts w:hint="default" w:ascii="宋体" w:hAnsi="宋体" w:eastAsia="宋体" w:cs="宋体"/>
                <w:sz w:val="21"/>
                <w:szCs w:val="21"/>
              </w:rPr>
              <w:t>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补偿农户数量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反映补偿农户数量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301</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发放范围覆盖率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反映发放补偿金额占应发放 金额的比例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发放金额的准确性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反映发放金额的准确性</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测量土地面积的准确性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反映测量占地面积的准确性</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反映补偿款发放完成时间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月底之前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每人补偿金额</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反映每人补偿预算金额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160</w:t>
            </w:r>
            <w:r>
              <w:rPr>
                <w:rFonts w:hint="default" w:ascii="宋体" w:hAnsi="宋体" w:eastAsia="宋体" w:cs="宋体"/>
                <w:spacing w:val="-52"/>
                <w:sz w:val="21"/>
                <w:szCs w:val="21"/>
              </w:rPr>
              <w:t xml:space="preserve"> </w:t>
            </w:r>
            <w:r>
              <w:rPr>
                <w:rFonts w:hint="default" w:ascii="宋体" w:hAnsi="宋体" w:eastAsia="宋体" w:cs="宋体"/>
                <w:sz w:val="21"/>
                <w:szCs w:val="21"/>
              </w:rPr>
              <w:t>人/月</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减少农户上访次数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反映减少农户上访次数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历史数据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失地农户满意度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失地农户对补偿款发放工作 的满意度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历史经验</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8、党建工作经费绩效目标表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9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52" w:lineRule="auto"/>
              <w:ind w:left="101" w:right="100"/>
              <w:jc w:val="left"/>
              <w:rPr>
                <w:rFonts w:hint="default" w:ascii="宋体" w:hAnsi="宋体" w:eastAsia="宋体" w:cs="宋体"/>
                <w:sz w:val="21"/>
                <w:szCs w:val="21"/>
              </w:rPr>
            </w:pPr>
            <w:r>
              <w:rPr>
                <w:rFonts w:hint="default" w:ascii="宋体" w:hAnsi="宋体" w:eastAsia="宋体" w:cs="宋体"/>
                <w:spacing w:val="-2"/>
                <w:sz w:val="21"/>
                <w:szCs w:val="21"/>
              </w:rPr>
              <w:t>1.贯彻落实党的十九届四中全会精神，践行</w:t>
            </w:r>
            <w:r>
              <w:rPr>
                <w:rFonts w:hint="default" w:ascii="Times New Roman" w:hAnsi="Times New Roman" w:eastAsia="Times New Roman" w:cs="Times New Roman"/>
                <w:spacing w:val="-2"/>
                <w:sz w:val="24"/>
                <w:szCs w:val="24"/>
              </w:rPr>
              <w:t>“</w:t>
            </w:r>
            <w:r>
              <w:rPr>
                <w:rFonts w:hint="default" w:ascii="宋体" w:hAnsi="宋体" w:eastAsia="宋体" w:cs="宋体"/>
                <w:spacing w:val="-2"/>
                <w:sz w:val="21"/>
                <w:szCs w:val="21"/>
              </w:rPr>
              <w:t>不忘初心、牢记使命</w:t>
            </w:r>
            <w:r>
              <w:rPr>
                <w:rFonts w:hint="default" w:ascii="Times New Roman" w:hAnsi="Times New Roman" w:eastAsia="Times New Roman" w:cs="Times New Roman"/>
                <w:spacing w:val="-2"/>
                <w:sz w:val="24"/>
                <w:szCs w:val="24"/>
              </w:rPr>
              <w:t>”</w:t>
            </w:r>
            <w:r>
              <w:rPr>
                <w:rFonts w:hint="default" w:ascii="宋体" w:hAnsi="宋体" w:eastAsia="宋体" w:cs="宋体"/>
                <w:spacing w:val="-2"/>
                <w:sz w:val="21"/>
                <w:szCs w:val="21"/>
              </w:rPr>
              <w:t>宗旨，坚持党要管党、从严治党，发扬党内民主，加强党内监督，充分</w:t>
            </w:r>
            <w:r>
              <w:rPr>
                <w:rFonts w:hint="default" w:ascii="宋体" w:hAnsi="宋体" w:eastAsia="宋体" w:cs="宋体"/>
                <w:sz w:val="21"/>
                <w:szCs w:val="21"/>
              </w:rPr>
              <w:t xml:space="preserve"> 发挥党的思想政治优势、组织优势和密切联系群众的优势。 2.发挥基层乡镇党组织的作用，把服务中心、建设队伍贯穿始终，全面做好我镇党委组织、宣传等工作，争创省级先进基层党委。</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9" w:line="240" w:lineRule="auto"/>
              <w:ind w:right="0"/>
              <w:jc w:val="left"/>
              <w:rPr>
                <w:rFonts w:hint="default" w:ascii="方正仿宋繁体" w:hAnsi="方正仿宋繁体" w:eastAsia="方正仿宋繁体" w:cs="方正仿宋繁体"/>
                <w:sz w:val="13"/>
                <w:szCs w:val="13"/>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组织宣传活动次数（次）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组织宣传活动次数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舆情信息数量（条）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收集、分析、上报舆情信息 的数量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5"/>
                <w:sz w:val="21"/>
                <w:szCs w:val="21"/>
              </w:rPr>
              <w:t xml:space="preserve"> </w:t>
            </w:r>
            <w:r>
              <w:rPr>
                <w:rFonts w:hint="default" w:ascii="宋体" w:hAnsi="宋体" w:eastAsia="宋体" w:cs="宋体"/>
                <w:sz w:val="21"/>
                <w:szCs w:val="21"/>
              </w:rPr>
              <w:t>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党报党刊征订</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党报党刊征订种类</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党员培训覆盖率（%）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培训对象数量占应覆盖对象 数量的比率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党建工作达标率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党建工作达到上级相关规范 及要求</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党建工作完成时效性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全年按计划完成各项工作</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11</w:t>
            </w:r>
            <w:r>
              <w:rPr>
                <w:rFonts w:hint="default" w:ascii="宋体" w:hAnsi="宋体" w:eastAsia="宋体" w:cs="宋体"/>
                <w:spacing w:val="-53"/>
                <w:sz w:val="21"/>
                <w:szCs w:val="21"/>
              </w:rPr>
              <w:t xml:space="preserve"> </w:t>
            </w:r>
            <w:r>
              <w:rPr>
                <w:rFonts w:hint="default" w:ascii="宋体" w:hAnsi="宋体" w:eastAsia="宋体" w:cs="宋体"/>
                <w:sz w:val="21"/>
                <w:szCs w:val="21"/>
              </w:rPr>
              <w:t>月底</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党建费用支出控制情况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党建费用支出情况控制在年 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年度工作计划与预算</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提高党员业务能力</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提高党员业务能力,组织业 务培训次数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群众对全镇党建满意度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全镇群众对党建工作的满意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9、严重精神障碍患者监护人责任险绩效目标表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9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61" w:lineRule="auto"/>
              <w:ind w:left="101" w:right="98"/>
              <w:jc w:val="left"/>
              <w:rPr>
                <w:rFonts w:hint="default" w:ascii="宋体" w:hAnsi="宋体" w:eastAsia="宋体" w:cs="宋体"/>
                <w:sz w:val="21"/>
                <w:szCs w:val="21"/>
              </w:rPr>
            </w:pPr>
            <w:r>
              <w:rPr>
                <w:rFonts w:hint="default" w:ascii="宋体" w:hAnsi="宋体" w:eastAsia="宋体" w:cs="宋体"/>
                <w:spacing w:val="-1"/>
                <w:sz w:val="21"/>
                <w:szCs w:val="21"/>
              </w:rPr>
              <w:t>1.做好严重精神障碍患者管控工作是防范公共安全风险人重要内容，为严重精神障碍患者监护人办理相关保险业，预防一旦发生严重精神</w:t>
            </w:r>
            <w:r>
              <w:rPr>
                <w:rFonts w:hint="default" w:ascii="宋体" w:hAnsi="宋体" w:eastAsia="宋体" w:cs="宋体"/>
                <w:sz w:val="21"/>
                <w:szCs w:val="21"/>
              </w:rPr>
              <w:t xml:space="preserve"> 障碍患者伤及人身、损坏财物事件发生。 2.通过政府出资投保的方式，通过保险理赔，减少监护人损失、增强监护人、当事人社会保障，从而化解事后风险。</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 w:line="240" w:lineRule="auto"/>
              <w:ind w:right="0"/>
              <w:jc w:val="left"/>
              <w:rPr>
                <w:rFonts w:hint="default" w:ascii="方正仿宋繁体" w:hAnsi="方正仿宋繁体" w:eastAsia="方正仿宋繁体" w:cs="方正仿宋繁体"/>
                <w:sz w:val="25"/>
                <w:szCs w:val="25"/>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严重精神障碍患者</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反映严重精神障碍患者人数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享受保险人数(人)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享受严重精神障碍患者监护 人责任险的人数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12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办结率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责任险报销事项实际在规定 时间内及时办结的件数占应 在规定时间内及时办结的件 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参保率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已参保人数占应参保人数的 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审核准确率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责任险报销事项审核准确率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缴纳保险及时率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反映及时足额缴纳保险时间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10</w:t>
            </w:r>
            <w:r>
              <w:rPr>
                <w:rFonts w:hint="default" w:ascii="宋体" w:hAnsi="宋体" w:eastAsia="宋体" w:cs="宋体"/>
                <w:spacing w:val="-54"/>
                <w:sz w:val="21"/>
                <w:szCs w:val="21"/>
              </w:rPr>
              <w:t xml:space="preserve"> </w:t>
            </w:r>
            <w:r>
              <w:rPr>
                <w:rFonts w:hint="default" w:ascii="宋体" w:hAnsi="宋体" w:eastAsia="宋体" w:cs="宋体"/>
                <w:sz w:val="21"/>
                <w:szCs w:val="21"/>
              </w:rPr>
              <w:t>月</w:t>
            </w:r>
            <w:r>
              <w:rPr>
                <w:rFonts w:hint="default" w:ascii="宋体" w:hAnsi="宋体" w:eastAsia="宋体" w:cs="宋体"/>
                <w:spacing w:val="-54"/>
                <w:sz w:val="21"/>
                <w:szCs w:val="21"/>
              </w:rPr>
              <w:t xml:space="preserve"> </w:t>
            </w:r>
            <w:r>
              <w:rPr>
                <w:rFonts w:hint="default" w:ascii="宋体" w:hAnsi="宋体" w:eastAsia="宋体" w:cs="宋体"/>
                <w:sz w:val="21"/>
                <w:szCs w:val="21"/>
              </w:rPr>
              <w:t>31</w:t>
            </w:r>
            <w:r>
              <w:rPr>
                <w:rFonts w:hint="default" w:ascii="宋体" w:hAnsi="宋体" w:eastAsia="宋体" w:cs="宋体"/>
                <w:spacing w:val="-53"/>
                <w:sz w:val="21"/>
                <w:szCs w:val="21"/>
              </w:rPr>
              <w:t xml:space="preserve"> </w:t>
            </w:r>
            <w:r>
              <w:rPr>
                <w:rFonts w:hint="default" w:ascii="宋体" w:hAnsi="宋体" w:eastAsia="宋体" w:cs="宋体"/>
                <w:sz w:val="21"/>
                <w:szCs w:val="21"/>
              </w:rPr>
              <w:t>日前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9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给予严重精神障碍患者监护 人每人每年支付保险的费 用，每人每年</w:t>
            </w:r>
            <w:r>
              <w:rPr>
                <w:rFonts w:hint="default" w:ascii="宋体" w:hAnsi="宋体" w:eastAsia="宋体" w:cs="宋体"/>
                <w:spacing w:val="-53"/>
                <w:sz w:val="21"/>
                <w:szCs w:val="21"/>
              </w:rPr>
              <w:t xml:space="preserve"> </w:t>
            </w: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元</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9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提高监护人保障</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减少监护人损失、增强监护 人、当事人社会保障，从而 化解事后风险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被保险人满意度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被保险监护人对保险服务的 满意程度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10、消防经费绩效目标表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0" w:lineRule="exact"/>
              <w:ind w:left="101" w:right="0"/>
              <w:jc w:val="left"/>
              <w:rPr>
                <w:rFonts w:hint="default" w:ascii="宋体" w:hAnsi="宋体" w:eastAsia="宋体" w:cs="宋体"/>
                <w:sz w:val="21"/>
                <w:szCs w:val="21"/>
              </w:rPr>
            </w:pPr>
            <w:r>
              <w:rPr>
                <w:rFonts w:hint="default" w:ascii="宋体" w:hAnsi="宋体" w:eastAsia="宋体" w:cs="宋体"/>
                <w:sz w:val="21"/>
                <w:szCs w:val="21"/>
              </w:rPr>
              <w:t>1.达到全国重点镇建立一级消防站标准。</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2.配备消防物资、设备、车辆及后勤经费，保证完成上级交给的消防任务。</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27"/>
                <w:szCs w:val="27"/>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伙食补助人数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反映伙食补助人数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消防车数量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反映消防车数量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辆</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购买消防物资质量合格率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反映消防物资质量合格率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车辆性能合格率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反映消防车性能合格率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支付周期</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反映伙食补助、电费支付周 期</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月一次，12</w:t>
            </w:r>
            <w:r>
              <w:rPr>
                <w:rFonts w:hint="default" w:ascii="宋体" w:hAnsi="宋体" w:eastAsia="宋体" w:cs="宋体"/>
                <w:spacing w:val="-52"/>
                <w:sz w:val="21"/>
                <w:szCs w:val="21"/>
              </w:rPr>
              <w:t xml:space="preserve"> </w:t>
            </w:r>
            <w:r>
              <w:rPr>
                <w:rFonts w:hint="default" w:ascii="宋体" w:hAnsi="宋体" w:eastAsia="宋体" w:cs="宋体"/>
                <w:sz w:val="21"/>
                <w:szCs w:val="21"/>
              </w:rPr>
              <w:t>次/年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车修理费</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反映车修理费预算金额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≤3.9</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每月电费金额</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反映每月电费预算金额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≤1000</w:t>
            </w:r>
            <w:r>
              <w:rPr>
                <w:rFonts w:hint="default" w:ascii="宋体" w:hAnsi="宋体" w:eastAsia="宋体" w:cs="宋体"/>
                <w:spacing w:val="-52"/>
                <w:sz w:val="21"/>
                <w:szCs w:val="21"/>
              </w:rPr>
              <w:t xml:space="preserve"> </w:t>
            </w:r>
            <w:r>
              <w:rPr>
                <w:rFonts w:hint="default" w:ascii="宋体" w:hAnsi="宋体" w:eastAsia="宋体" w:cs="宋体"/>
                <w:sz w:val="21"/>
                <w:szCs w:val="21"/>
              </w:rPr>
              <w:t>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伙食补助标准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反映伙食补助标准</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pacing w:val="-54"/>
                <w:sz w:val="21"/>
                <w:szCs w:val="21"/>
              </w:rPr>
              <w:t xml:space="preserve"> </w:t>
            </w:r>
            <w:r>
              <w:rPr>
                <w:rFonts w:hint="default" w:ascii="宋体" w:hAnsi="宋体" w:eastAsia="宋体" w:cs="宋体"/>
                <w:sz w:val="21"/>
                <w:szCs w:val="21"/>
              </w:rPr>
              <w:t>元/人/天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减少经济损失</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反映快速出警，减少经济损 失金额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≥55</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历史数据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受灾群众满意度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受灾群众对消防工作的满意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历史经验</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0" w:line="240" w:lineRule="auto"/>
        <w:ind w:right="0"/>
        <w:rPr>
          <w:rFonts w:hint="default" w:ascii="方正仿宋繁体" w:hAnsi="方正仿宋繁体" w:eastAsia="方正仿宋繁体" w:cs="方正仿宋繁体"/>
          <w:sz w:val="23"/>
          <w:szCs w:val="23"/>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11、燃煤锅炉改造及清洁能源补贴绩效目标表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1.确保机关正常办公，为机关工作人员和群众提供良好的工作办事环境。</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2.改变取暖方式，加大大气治理力度，提升大气质量。</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8" w:line="240" w:lineRule="auto"/>
              <w:ind w:right="0"/>
              <w:jc w:val="left"/>
              <w:rPr>
                <w:rFonts w:hint="default" w:ascii="方正仿宋繁体" w:hAnsi="方正仿宋繁体" w:eastAsia="方正仿宋繁体" w:cs="方正仿宋繁体"/>
                <w:sz w:val="26"/>
                <w:szCs w:val="26"/>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细颗粒物排放削减率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当年实际细颗粒物排放削减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冬季采暖保障面积</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用于冬季采暖的办公场所面 积数量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≥4200</w:t>
            </w:r>
            <w:r>
              <w:rPr>
                <w:rFonts w:hint="default" w:ascii="宋体" w:hAnsi="宋体" w:eastAsia="宋体" w:cs="宋体"/>
                <w:spacing w:val="-54"/>
                <w:sz w:val="21"/>
                <w:szCs w:val="21"/>
              </w:rPr>
              <w:t xml:space="preserve"> </w:t>
            </w:r>
            <w:r>
              <w:rPr>
                <w:rFonts w:hint="default" w:ascii="宋体" w:hAnsi="宋体" w:eastAsia="宋体" w:cs="宋体"/>
                <w:sz w:val="21"/>
                <w:szCs w:val="21"/>
              </w:rPr>
              <w:t>平方米</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二氧化硫削排放减率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当年实际二氧化硫排放削减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资金支付时效性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燃煤锅炉改造及清洁能源补 贴在采暖期内及时拨付</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年取暖期</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采暖费用支出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办公场所采购费用支出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≤40</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71"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全年空气优良天数增长率</w:t>
            </w:r>
          </w:p>
          <w:p>
            <w:pPr>
              <w:pStyle w:val="13"/>
              <w:spacing w:before="25"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全年空气优良天数同比增长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二氧化硫排放削减率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反映当年实际二氧化硫排放 削减率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全年空气优良天数增长率</w:t>
            </w:r>
          </w:p>
          <w:p>
            <w:pPr>
              <w:pStyle w:val="13"/>
              <w:spacing w:before="25"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全年空气优良天数同比增长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调查中满意和较满意的公众 人数占全部调查人数的比率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12、矽肺病人员生活困难补助绩效目标表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5" w:type="dxa"/>
        <w:tblLayout w:type="fixed"/>
        <w:tblCellMar>
          <w:top w:w="0" w:type="dxa"/>
          <w:left w:w="0" w:type="dxa"/>
          <w:bottom w:w="0" w:type="dxa"/>
          <w:right w:w="0" w:type="dxa"/>
        </w:tblCellMar>
      </w:tblPr>
      <w:tblGrid>
        <w:gridCol w:w="1417"/>
        <w:gridCol w:w="2267"/>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1.按照县工信局文件精神，确保矽肺病人补助资金及时足额拨付到位，维护社会稳定。</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2.通过对矽肺病人员救助赔偿金的及时足额发放，消除信访隐患。</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3"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778"/>
              <w:jc w:val="right"/>
              <w:rPr>
                <w:rFonts w:hint="default" w:ascii="宋体" w:hAnsi="宋体" w:eastAsia="宋体" w:cs="宋体"/>
                <w:sz w:val="21"/>
                <w:szCs w:val="21"/>
              </w:rPr>
            </w:pPr>
            <w:r>
              <w:rPr>
                <w:rFonts w:hint="default" w:ascii="宋体" w:hAnsi="宋体" w:eastAsia="宋体" w:cs="宋体"/>
                <w:b/>
                <w:bCs/>
                <w:w w:val="95"/>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4" w:line="240" w:lineRule="auto"/>
              <w:ind w:right="0"/>
              <w:jc w:val="left"/>
              <w:rPr>
                <w:rFonts w:hint="default" w:ascii="方正仿宋繁体" w:hAnsi="方正仿宋繁体" w:eastAsia="方正仿宋繁体" w:cs="方正仿宋繁体"/>
                <w:sz w:val="28"/>
                <w:szCs w:val="28"/>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已认定伤残等级待遇矽肺病 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核实次数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已认定伤残等级待遇矽肺病 人数核实次数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次/年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资金待遇按时足额发放人数 占应发放人数的比率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补助发放精准率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补助发放合规人数占发放总 人数的比例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资金发放时间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收到专项资金后拨付到救助 对象手中的时效</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pacing w:val="-52"/>
                <w:sz w:val="21"/>
                <w:szCs w:val="21"/>
              </w:rPr>
              <w:t xml:space="preserve"> </w:t>
            </w:r>
            <w:r>
              <w:rPr>
                <w:rFonts w:hint="default" w:ascii="宋体" w:hAnsi="宋体" w:eastAsia="宋体" w:cs="宋体"/>
                <w:sz w:val="21"/>
                <w:szCs w:val="21"/>
              </w:rPr>
              <w:t>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5"/>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补助发放及时性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827"/>
              <w:jc w:val="right"/>
              <w:rPr>
                <w:rFonts w:hint="default" w:ascii="宋体" w:hAnsi="宋体" w:eastAsia="宋体" w:cs="宋体"/>
                <w:sz w:val="21"/>
                <w:szCs w:val="21"/>
              </w:rPr>
            </w:pPr>
            <w:r>
              <w:rPr>
                <w:rFonts w:hint="default" w:ascii="宋体" w:hAnsi="宋体" w:eastAsia="宋体" w:cs="宋体"/>
                <w:sz w:val="21"/>
                <w:szCs w:val="21"/>
              </w:rPr>
              <w:t>补助发放的时效情况</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按规定时间发放</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每人发放标准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支付已认定伤残等级待遇矽 肺病的人均每月费用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≤360</w:t>
            </w:r>
            <w:r>
              <w:rPr>
                <w:rFonts w:hint="default" w:ascii="宋体" w:hAnsi="宋体" w:eastAsia="宋体" w:cs="宋体"/>
                <w:spacing w:val="-55"/>
                <w:sz w:val="21"/>
                <w:szCs w:val="21"/>
              </w:rPr>
              <w:t xml:space="preserve"> </w:t>
            </w:r>
            <w:r>
              <w:rPr>
                <w:rFonts w:hint="default" w:ascii="宋体" w:hAnsi="宋体" w:eastAsia="宋体" w:cs="宋体"/>
                <w:sz w:val="21"/>
                <w:szCs w:val="21"/>
              </w:rPr>
              <w:t>元/人/月</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生活质量提升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4"/>
              <w:jc w:val="left"/>
              <w:rPr>
                <w:rFonts w:hint="default" w:ascii="宋体" w:hAnsi="宋体" w:eastAsia="宋体" w:cs="宋体"/>
                <w:sz w:val="21"/>
                <w:szCs w:val="21"/>
              </w:rPr>
            </w:pPr>
            <w:r>
              <w:rPr>
                <w:rFonts w:hint="default" w:ascii="宋体" w:hAnsi="宋体" w:eastAsia="宋体" w:cs="宋体"/>
                <w:sz w:val="21"/>
                <w:szCs w:val="21"/>
              </w:rPr>
              <w:t>"保障并提升矽肺病人家庭 生活水平</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逐步提升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9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救助对象满意度（%）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问卷调查中，满意和较满意 的救助对象数量占调研对象 总数的比率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13、防火防汛工作经费绩效目标表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1.在森林防火期内，扎实开展防火日常工作，广泛宣传，全天候巡查，加强防火扑救物资的储备，有效防范和遏制森林火灾的发生。</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2.在汛期，确保辖区内河道行洪通畅，备齐各类防汛抢险物资，组织开展汛前汛期汛后安全检查，及时消除防汛安全隐患。</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before="13" w:line="240" w:lineRule="auto"/>
              <w:ind w:right="0"/>
              <w:jc w:val="left"/>
              <w:rPr>
                <w:rFonts w:hint="default" w:ascii="方正仿宋繁体" w:hAnsi="方正仿宋繁体" w:eastAsia="方正仿宋繁体" w:cs="方正仿宋繁体"/>
                <w:sz w:val="23"/>
                <w:szCs w:val="23"/>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日常巡查次数(次)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当年实际日常巡查次数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≥200</w:t>
            </w:r>
            <w:r>
              <w:rPr>
                <w:rFonts w:hint="default" w:ascii="宋体" w:hAnsi="宋体" w:eastAsia="宋体" w:cs="宋体"/>
                <w:spacing w:val="-55"/>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防灾巡查制度</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宣传条幅合格率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防火期及汛期宣传条幅制做 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防灾巡查制度</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78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确保河道通畅</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反映汛期河道通畅率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森林防火条例</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巡查完成时间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反映防火防汛完成时间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年全年持续</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宣传标语、条幅等</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宣传标语、条幅等费用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8"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日常巡查覆盖率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反映巡查范围为整个木头凳 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森林火灾受害率(％)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全乡森林火灾发生面积占森 林总面积的比例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&lt;0.01</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调查中满意和较满意的公众 人数占全部调查人数的比率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before="0" w:line="240" w:lineRule="auto"/>
        <w:ind w:right="0"/>
        <w:rPr>
          <w:rFonts w:hint="default" w:ascii="方正仿宋繁体" w:hAnsi="方正仿宋繁体" w:eastAsia="方正仿宋繁体" w:cs="方正仿宋繁体"/>
          <w:sz w:val="20"/>
          <w:szCs w:val="20"/>
        </w:rPr>
      </w:pPr>
    </w:p>
    <w:p>
      <w:pPr>
        <w:spacing w:before="6" w:line="240" w:lineRule="auto"/>
        <w:ind w:right="0"/>
        <w:rPr>
          <w:rFonts w:hint="default" w:ascii="方正仿宋繁体" w:hAnsi="方正仿宋繁体" w:eastAsia="方正仿宋繁体" w:cs="方正仿宋繁体"/>
          <w:sz w:val="14"/>
          <w:szCs w:val="14"/>
        </w:rPr>
      </w:pPr>
    </w:p>
    <w:p>
      <w:pPr>
        <w:pStyle w:val="5"/>
        <w:spacing w:line="240" w:lineRule="auto"/>
        <w:ind w:left="1119" w:right="0"/>
        <w:jc w:val="left"/>
      </w:pPr>
      <w:r>
        <w:t>六、政府采购预算情况</w:t>
      </w:r>
    </w:p>
    <w:p>
      <w:pPr>
        <w:spacing w:before="11" w:line="240" w:lineRule="auto"/>
        <w:ind w:right="0"/>
        <w:rPr>
          <w:rFonts w:hint="default" w:ascii="宋体" w:hAnsi="宋体" w:eastAsia="宋体" w:cs="宋体"/>
          <w:sz w:val="27"/>
          <w:szCs w:val="27"/>
        </w:rPr>
      </w:pPr>
    </w:p>
    <w:p>
      <w:pPr>
        <w:pStyle w:val="6"/>
        <w:spacing w:line="411" w:lineRule="exact"/>
        <w:ind w:left="1040" w:right="0"/>
        <w:jc w:val="left"/>
      </w:pPr>
      <w:r>
        <w:rPr>
          <w:rFonts w:hint="default" w:ascii="Times New Roman" w:hAnsi="Times New Roman" w:eastAsia="Times New Roman" w:cs="Times New Roman"/>
        </w:rPr>
        <w:t xml:space="preserve">2021 </w:t>
      </w:r>
      <w:r>
        <w:t>年，祖山镇安排政府采购预算</w:t>
      </w:r>
      <w:r>
        <w:rPr>
          <w:spacing w:val="-65"/>
        </w:rPr>
        <w:t xml:space="preserve"> </w:t>
      </w:r>
      <w:r>
        <w:rPr>
          <w:rFonts w:hint="default" w:ascii="Times New Roman" w:hAnsi="Times New Roman" w:eastAsia="Times New Roman" w:cs="Times New Roman"/>
        </w:rPr>
        <w:t xml:space="preserve">0.00 </w:t>
      </w:r>
      <w:r>
        <w:t>万元。</w:t>
      </w:r>
    </w:p>
    <w:p>
      <w:pPr>
        <w:spacing w:before="0" w:line="560" w:lineRule="exact"/>
        <w:ind w:left="0" w:right="1" w:firstLine="0"/>
        <w:jc w:val="center"/>
        <w:rPr>
          <w:rFonts w:hint="default" w:ascii="方正小标宋繁体" w:hAnsi="方正小标宋繁体" w:eastAsia="方正小标宋繁体" w:cs="方正小标宋繁体"/>
          <w:sz w:val="36"/>
          <w:szCs w:val="36"/>
        </w:rPr>
      </w:pPr>
      <w:r>
        <w:rPr>
          <w:rFonts w:hint="eastAsia" w:ascii="方正小标宋繁体" w:hAnsi="方正小标宋繁体" w:eastAsia="方正小标宋繁体" w:cs="方正小标宋繁体"/>
          <w:sz w:val="36"/>
          <w:szCs w:val="36"/>
          <w:lang w:eastAsia="zh-CN"/>
        </w:rPr>
        <w:t>单位</w:t>
      </w:r>
      <w:r>
        <w:rPr>
          <w:rFonts w:hint="default" w:ascii="方正小标宋繁体" w:hAnsi="方正小标宋繁体" w:eastAsia="方正小标宋繁体" w:cs="方正小标宋繁体"/>
          <w:sz w:val="36"/>
          <w:szCs w:val="36"/>
        </w:rPr>
        <w:t>政府采购预算</w:t>
      </w:r>
    </w:p>
    <w:p>
      <w:pPr>
        <w:tabs>
          <w:tab w:val="left" w:pos="14091"/>
        </w:tabs>
        <w:spacing w:before="82" w:after="25"/>
        <w:ind w:left="0"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1984"/>
        <w:gridCol w:w="1134"/>
        <w:gridCol w:w="1531"/>
        <w:gridCol w:w="1531"/>
        <w:gridCol w:w="709"/>
        <w:gridCol w:w="907"/>
        <w:gridCol w:w="907"/>
        <w:gridCol w:w="1134"/>
        <w:gridCol w:w="1134"/>
        <w:gridCol w:w="1134"/>
        <w:gridCol w:w="1134"/>
        <w:gridCol w:w="1134"/>
        <w:gridCol w:w="1134"/>
      </w:tblGrid>
      <w:tr>
        <w:tblPrEx>
          <w:tblCellMar>
            <w:top w:w="0" w:type="dxa"/>
            <w:left w:w="0" w:type="dxa"/>
            <w:bottom w:w="0" w:type="dxa"/>
            <w:right w:w="0" w:type="dxa"/>
          </w:tblCellMar>
        </w:tblPrEx>
        <w:trPr>
          <w:trHeight w:val="383" w:hRule="exact"/>
        </w:trPr>
        <w:tc>
          <w:tcPr>
            <w:tcW w:w="3118"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707" w:right="0"/>
              <w:jc w:val="left"/>
              <w:rPr>
                <w:rFonts w:hint="default" w:ascii="宋体" w:hAnsi="宋体" w:eastAsia="宋体" w:cs="宋体"/>
                <w:sz w:val="21"/>
                <w:szCs w:val="21"/>
              </w:rPr>
            </w:pPr>
            <w:r>
              <w:rPr>
                <w:rFonts w:hint="default" w:ascii="宋体" w:hAnsi="宋体" w:eastAsia="宋体" w:cs="宋体"/>
                <w:b/>
                <w:bCs/>
                <w:sz w:val="21"/>
                <w:szCs w:val="21"/>
              </w:rPr>
              <w:t>政府采购项目来源</w:t>
            </w:r>
          </w:p>
        </w:tc>
        <w:tc>
          <w:tcPr>
            <w:tcW w:w="1531"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125" w:right="0"/>
              <w:jc w:val="left"/>
              <w:rPr>
                <w:rFonts w:hint="default" w:ascii="宋体" w:hAnsi="宋体" w:eastAsia="宋体" w:cs="宋体"/>
                <w:sz w:val="21"/>
                <w:szCs w:val="21"/>
              </w:rPr>
            </w:pPr>
            <w:r>
              <w:rPr>
                <w:rFonts w:hint="default" w:ascii="宋体" w:hAnsi="宋体" w:eastAsia="宋体" w:cs="宋体"/>
                <w:b/>
                <w:bCs/>
                <w:sz w:val="21"/>
                <w:szCs w:val="21"/>
              </w:rPr>
              <w:t>采购物品名称</w:t>
            </w:r>
          </w:p>
        </w:tc>
        <w:tc>
          <w:tcPr>
            <w:tcW w:w="1531" w:type="dxa"/>
            <w:vMerge w:val="restart"/>
            <w:tcBorders>
              <w:top w:val="single" w:color="000000" w:sz="6" w:space="0"/>
              <w:left w:val="single" w:color="000000" w:sz="6" w:space="0"/>
              <w:right w:val="single" w:color="000000" w:sz="6" w:space="0"/>
            </w:tcBorders>
          </w:tcPr>
          <w:p>
            <w:pPr>
              <w:pStyle w:val="13"/>
              <w:spacing w:before="9" w:line="240" w:lineRule="auto"/>
              <w:ind w:right="0"/>
              <w:jc w:val="left"/>
              <w:rPr>
                <w:rFonts w:hint="default" w:ascii="方正小标宋繁体" w:hAnsi="方正小标宋繁体" w:eastAsia="方正小标宋繁体" w:cs="方正小标宋繁体"/>
                <w:sz w:val="21"/>
                <w:szCs w:val="21"/>
              </w:rPr>
            </w:pPr>
          </w:p>
          <w:p>
            <w:pPr>
              <w:pStyle w:val="13"/>
              <w:spacing w:line="261" w:lineRule="auto"/>
              <w:ind w:left="547" w:right="125" w:hanging="422"/>
              <w:jc w:val="left"/>
              <w:rPr>
                <w:rFonts w:hint="default" w:ascii="宋体" w:hAnsi="宋体" w:eastAsia="宋体" w:cs="宋体"/>
                <w:sz w:val="21"/>
                <w:szCs w:val="21"/>
              </w:rPr>
            </w:pPr>
            <w:r>
              <w:rPr>
                <w:rFonts w:hint="default" w:ascii="宋体" w:hAnsi="宋体" w:eastAsia="宋体" w:cs="宋体"/>
                <w:b/>
                <w:bCs/>
                <w:sz w:val="21"/>
                <w:szCs w:val="21"/>
              </w:rPr>
              <w:t>政府采购目录</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序号</w:t>
            </w:r>
          </w:p>
        </w:tc>
        <w:tc>
          <w:tcPr>
            <w:tcW w:w="709" w:type="dxa"/>
            <w:vMerge w:val="restart"/>
            <w:tcBorders>
              <w:top w:val="single" w:color="000000" w:sz="6" w:space="0"/>
              <w:left w:val="single" w:color="000000" w:sz="6" w:space="0"/>
              <w:right w:val="single" w:color="000000" w:sz="6" w:space="0"/>
            </w:tcBorders>
          </w:tcPr>
          <w:p>
            <w:pPr>
              <w:pStyle w:val="13"/>
              <w:spacing w:before="9" w:line="240" w:lineRule="auto"/>
              <w:ind w:right="0"/>
              <w:jc w:val="left"/>
              <w:rPr>
                <w:rFonts w:hint="default" w:ascii="方正小标宋繁体" w:hAnsi="方正小标宋繁体" w:eastAsia="方正小标宋繁体" w:cs="方正小标宋繁体"/>
                <w:sz w:val="21"/>
                <w:szCs w:val="21"/>
              </w:rPr>
            </w:pPr>
          </w:p>
          <w:p>
            <w:pPr>
              <w:pStyle w:val="13"/>
              <w:spacing w:line="261" w:lineRule="auto"/>
              <w:ind w:left="136" w:right="133"/>
              <w:jc w:val="left"/>
              <w:rPr>
                <w:rFonts w:hint="default" w:ascii="宋体" w:hAnsi="宋体" w:eastAsia="宋体" w:cs="宋体"/>
                <w:sz w:val="21"/>
                <w:szCs w:val="21"/>
              </w:rPr>
            </w:pPr>
            <w:r>
              <w:rPr>
                <w:rFonts w:hint="default" w:ascii="宋体" w:hAnsi="宋体" w:eastAsia="宋体" w:cs="宋体"/>
                <w:b/>
                <w:bCs/>
                <w:sz w:val="21"/>
                <w:szCs w:val="21"/>
              </w:rPr>
              <w:t>计量 单位</w:t>
            </w:r>
          </w:p>
        </w:tc>
        <w:tc>
          <w:tcPr>
            <w:tcW w:w="90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235" w:right="0"/>
              <w:jc w:val="left"/>
              <w:rPr>
                <w:rFonts w:hint="default" w:ascii="宋体" w:hAnsi="宋体" w:eastAsia="宋体" w:cs="宋体"/>
                <w:sz w:val="21"/>
                <w:szCs w:val="21"/>
              </w:rPr>
            </w:pPr>
            <w:r>
              <w:rPr>
                <w:rFonts w:hint="default" w:ascii="宋体" w:hAnsi="宋体" w:eastAsia="宋体" w:cs="宋体"/>
                <w:b/>
                <w:bCs/>
                <w:sz w:val="21"/>
                <w:szCs w:val="21"/>
              </w:rPr>
              <w:t>数量</w:t>
            </w:r>
          </w:p>
        </w:tc>
        <w:tc>
          <w:tcPr>
            <w:tcW w:w="90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235" w:right="0"/>
              <w:jc w:val="left"/>
              <w:rPr>
                <w:rFonts w:hint="default" w:ascii="宋体" w:hAnsi="宋体" w:eastAsia="宋体" w:cs="宋体"/>
                <w:sz w:val="21"/>
                <w:szCs w:val="21"/>
              </w:rPr>
            </w:pPr>
            <w:r>
              <w:rPr>
                <w:rFonts w:hint="default" w:ascii="宋体" w:hAnsi="宋体" w:eastAsia="宋体" w:cs="宋体"/>
                <w:b/>
                <w:bCs/>
                <w:sz w:val="21"/>
                <w:szCs w:val="21"/>
              </w:rPr>
              <w:t>单价</w:t>
            </w:r>
          </w:p>
        </w:tc>
        <w:tc>
          <w:tcPr>
            <w:tcW w:w="6804" w:type="dxa"/>
            <w:gridSpan w:val="6"/>
            <w:tcBorders>
              <w:top w:val="single" w:color="000000" w:sz="6" w:space="0"/>
              <w:left w:val="single" w:color="000000" w:sz="6" w:space="0"/>
              <w:bottom w:val="single" w:color="000000" w:sz="6" w:space="0"/>
              <w:right w:val="single" w:color="000000" w:sz="6" w:space="0"/>
            </w:tcBorders>
          </w:tcPr>
          <w:p>
            <w:pPr>
              <w:pStyle w:val="13"/>
              <w:spacing w:before="29" w:line="240" w:lineRule="auto"/>
              <w:ind w:left="1497" w:right="0"/>
              <w:jc w:val="left"/>
              <w:rPr>
                <w:rFonts w:hint="default" w:ascii="宋体" w:hAnsi="宋体" w:eastAsia="宋体" w:cs="宋体"/>
                <w:sz w:val="21"/>
                <w:szCs w:val="21"/>
              </w:rPr>
            </w:pPr>
            <w:r>
              <w:rPr>
                <w:rFonts w:hint="default" w:ascii="宋体" w:hAnsi="宋体" w:eastAsia="宋体" w:cs="宋体"/>
                <w:b/>
                <w:bCs/>
                <w:sz w:val="21"/>
                <w:szCs w:val="21"/>
              </w:rPr>
              <w:t>政府采购金额（当年</w:t>
            </w:r>
            <w:r>
              <w:rPr>
                <w:rFonts w:hint="eastAsia" w:ascii="宋体" w:hAnsi="宋体" w:eastAsia="宋体" w:cs="宋体"/>
                <w:b/>
                <w:bCs/>
                <w:sz w:val="21"/>
                <w:szCs w:val="21"/>
                <w:lang w:eastAsia="zh-CN"/>
              </w:rPr>
              <w:t>单位</w:t>
            </w:r>
            <w:r>
              <w:rPr>
                <w:rFonts w:hint="default" w:ascii="宋体" w:hAnsi="宋体" w:eastAsia="宋体" w:cs="宋体"/>
                <w:b/>
                <w:bCs/>
                <w:sz w:val="21"/>
                <w:szCs w:val="21"/>
              </w:rPr>
              <w:t>预算安排资金）</w:t>
            </w:r>
          </w:p>
        </w:tc>
      </w:tr>
      <w:tr>
        <w:tblPrEx>
          <w:tblCellMar>
            <w:top w:w="0" w:type="dxa"/>
            <w:left w:w="0" w:type="dxa"/>
            <w:bottom w:w="0" w:type="dxa"/>
            <w:right w:w="0" w:type="dxa"/>
          </w:tblCellMar>
        </w:tblPrEx>
        <w:trPr>
          <w:trHeight w:val="916" w:hRule="exact"/>
        </w:trPr>
        <w:tc>
          <w:tcPr>
            <w:tcW w:w="198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562" w:right="0"/>
              <w:jc w:val="left"/>
              <w:rPr>
                <w:rFonts w:hint="default" w:ascii="宋体" w:hAnsi="宋体" w:eastAsia="宋体" w:cs="宋体"/>
                <w:sz w:val="21"/>
                <w:szCs w:val="21"/>
              </w:rPr>
            </w:pPr>
            <w:r>
              <w:rPr>
                <w:rFonts w:hint="default" w:ascii="宋体" w:hAnsi="宋体" w:eastAsia="宋体" w:cs="宋体"/>
                <w:b/>
                <w:bCs/>
                <w:sz w:val="21"/>
                <w:szCs w:val="21"/>
              </w:rPr>
              <w:t>项目名称</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预算资金</w:t>
            </w:r>
          </w:p>
        </w:tc>
        <w:tc>
          <w:tcPr>
            <w:tcW w:w="1531" w:type="dxa"/>
            <w:vMerge w:val="continue"/>
            <w:tcBorders>
              <w:left w:val="single" w:color="000000" w:sz="6" w:space="0"/>
              <w:bottom w:val="single" w:color="000000" w:sz="6" w:space="0"/>
              <w:right w:val="single" w:color="000000" w:sz="6" w:space="0"/>
            </w:tcBorders>
          </w:tcPr>
          <w:p/>
        </w:tc>
        <w:tc>
          <w:tcPr>
            <w:tcW w:w="1531" w:type="dxa"/>
            <w:vMerge w:val="continue"/>
            <w:tcBorders>
              <w:left w:val="single" w:color="000000" w:sz="6" w:space="0"/>
              <w:bottom w:val="single" w:color="000000" w:sz="6" w:space="0"/>
              <w:right w:val="single" w:color="000000" w:sz="6" w:space="0"/>
            </w:tcBorders>
          </w:tcPr>
          <w:p/>
        </w:tc>
        <w:tc>
          <w:tcPr>
            <w:tcW w:w="709" w:type="dxa"/>
            <w:vMerge w:val="continue"/>
            <w:tcBorders>
              <w:left w:val="single" w:color="000000" w:sz="6" w:space="0"/>
              <w:bottom w:val="single" w:color="000000" w:sz="6" w:space="0"/>
              <w:right w:val="single" w:color="000000" w:sz="6" w:space="0"/>
            </w:tcBorders>
          </w:tcPr>
          <w:p/>
        </w:tc>
        <w:tc>
          <w:tcPr>
            <w:tcW w:w="907" w:type="dxa"/>
            <w:vMerge w:val="continue"/>
            <w:tcBorders>
              <w:left w:val="single" w:color="000000" w:sz="6" w:space="0"/>
              <w:bottom w:val="single" w:color="000000" w:sz="6" w:space="0"/>
              <w:right w:val="single" w:color="000000" w:sz="6" w:space="0"/>
            </w:tcBorders>
          </w:tcPr>
          <w:p/>
        </w:tc>
        <w:tc>
          <w:tcPr>
            <w:tcW w:w="907"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一般公共 预算拨款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基金预算 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7" w:right="134"/>
              <w:jc w:val="center"/>
              <w:rPr>
                <w:rFonts w:hint="default" w:ascii="宋体" w:hAnsi="宋体" w:eastAsia="宋体" w:cs="宋体"/>
                <w:sz w:val="21"/>
                <w:szCs w:val="21"/>
              </w:rPr>
            </w:pPr>
            <w:r>
              <w:rPr>
                <w:rFonts w:hint="default" w:ascii="宋体" w:hAnsi="宋体" w:eastAsia="宋体" w:cs="宋体"/>
                <w:b/>
                <w:bCs/>
                <w:sz w:val="21"/>
                <w:szCs w:val="21"/>
              </w:rPr>
              <w:t>国有资本 经营预算 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核拨</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38" w:right="0"/>
              <w:jc w:val="left"/>
              <w:rPr>
                <w:rFonts w:hint="default" w:ascii="宋体" w:hAnsi="宋体" w:eastAsia="宋体" w:cs="宋体"/>
                <w:sz w:val="21"/>
                <w:szCs w:val="21"/>
              </w:rPr>
            </w:pPr>
            <w:r>
              <w:rPr>
                <w:rFonts w:hint="default" w:ascii="宋体" w:hAnsi="宋体" w:eastAsia="宋体" w:cs="宋体"/>
                <w:b/>
                <w:bCs/>
                <w:sz w:val="21"/>
                <w:szCs w:val="21"/>
              </w:rPr>
              <w:t>单位资金</w:t>
            </w:r>
          </w:p>
        </w:tc>
      </w:tr>
      <w:tr>
        <w:tblPrEx>
          <w:tblCellMar>
            <w:top w:w="0" w:type="dxa"/>
            <w:left w:w="0" w:type="dxa"/>
            <w:bottom w:w="0" w:type="dxa"/>
            <w:right w:w="0" w:type="dxa"/>
          </w:tblCellMar>
        </w:tblPrEx>
        <w:trPr>
          <w:trHeight w:val="384" w:hRule="exact"/>
        </w:trPr>
        <w:tc>
          <w:tcPr>
            <w:tcW w:w="198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531" w:type="dxa"/>
            <w:tcBorders>
              <w:top w:val="single" w:color="000000" w:sz="6" w:space="0"/>
              <w:left w:val="single" w:color="000000" w:sz="6" w:space="0"/>
              <w:bottom w:val="single" w:color="000000" w:sz="6" w:space="0"/>
              <w:right w:val="single" w:color="000000" w:sz="6" w:space="0"/>
            </w:tcBorders>
          </w:tcPr>
          <w:p/>
        </w:tc>
        <w:tc>
          <w:tcPr>
            <w:tcW w:w="1531" w:type="dxa"/>
            <w:tcBorders>
              <w:top w:val="single" w:color="000000" w:sz="6" w:space="0"/>
              <w:left w:val="single" w:color="000000" w:sz="6" w:space="0"/>
              <w:bottom w:val="single" w:color="000000" w:sz="6" w:space="0"/>
              <w:right w:val="single" w:color="000000" w:sz="6" w:space="0"/>
            </w:tcBorders>
          </w:tcPr>
          <w:p/>
        </w:tc>
        <w:tc>
          <w:tcPr>
            <w:tcW w:w="709" w:type="dxa"/>
            <w:tcBorders>
              <w:top w:val="single" w:color="000000" w:sz="6" w:space="0"/>
              <w:left w:val="single" w:color="000000" w:sz="6" w:space="0"/>
              <w:bottom w:val="single" w:color="000000" w:sz="6" w:space="0"/>
              <w:right w:val="single" w:color="000000" w:sz="6" w:space="0"/>
            </w:tcBorders>
          </w:tcPr>
          <w:p/>
        </w:tc>
        <w:tc>
          <w:tcPr>
            <w:tcW w:w="907" w:type="dxa"/>
            <w:tcBorders>
              <w:top w:val="single" w:color="000000" w:sz="6" w:space="0"/>
              <w:left w:val="single" w:color="000000" w:sz="6" w:space="0"/>
              <w:bottom w:val="single" w:color="000000" w:sz="6" w:space="0"/>
              <w:right w:val="single" w:color="000000" w:sz="6" w:space="0"/>
            </w:tcBorders>
          </w:tcPr>
          <w:p/>
        </w:tc>
        <w:tc>
          <w:tcPr>
            <w:tcW w:w="907"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before="0" w:line="260" w:lineRule="exact"/>
        <w:ind w:left="899" w:right="0" w:firstLine="0"/>
        <w:jc w:val="left"/>
        <w:rPr>
          <w:rFonts w:hint="default" w:ascii="宋体" w:hAnsi="宋体" w:eastAsia="宋体" w:cs="宋体"/>
          <w:sz w:val="21"/>
          <w:szCs w:val="21"/>
        </w:rPr>
      </w:pPr>
      <w:r>
        <w:rPr>
          <w:rFonts w:hint="default" w:ascii="宋体" w:hAnsi="宋体" w:eastAsia="宋体" w:cs="宋体"/>
          <w:sz w:val="21"/>
          <w:szCs w:val="21"/>
        </w:rPr>
        <w:t>注：无政府采购预算，空表列示。</w:t>
      </w:r>
    </w:p>
    <w:p>
      <w:pPr>
        <w:spacing w:after="0" w:line="260" w:lineRule="exact"/>
        <w:jc w:val="left"/>
        <w:rPr>
          <w:rFonts w:hint="default" w:ascii="宋体" w:hAnsi="宋体" w:eastAsia="宋体" w:cs="宋体"/>
          <w:sz w:val="21"/>
          <w:szCs w:val="21"/>
        </w:rPr>
        <w:sectPr>
          <w:pgSz w:w="16840" w:h="11910" w:orient="landscape"/>
          <w:pgMar w:top="1100" w:right="540" w:bottom="1160" w:left="540" w:header="0" w:footer="977" w:gutter="0"/>
          <w:cols w:space="720" w:num="1"/>
        </w:sectPr>
      </w:pPr>
    </w:p>
    <w:p>
      <w:pPr>
        <w:spacing w:before="6" w:line="240" w:lineRule="auto"/>
        <w:ind w:right="0"/>
        <w:rPr>
          <w:rFonts w:hint="default" w:ascii="宋体" w:hAnsi="宋体" w:eastAsia="宋体" w:cs="宋体"/>
          <w:sz w:val="23"/>
          <w:szCs w:val="23"/>
        </w:rPr>
      </w:pPr>
    </w:p>
    <w:p>
      <w:pPr>
        <w:pStyle w:val="5"/>
        <w:spacing w:line="240" w:lineRule="auto"/>
        <w:ind w:right="0"/>
        <w:jc w:val="left"/>
      </w:pPr>
      <w:r>
        <w:t>七、国有资产信息</w:t>
      </w:r>
    </w:p>
    <w:p>
      <w:pPr>
        <w:spacing w:before="11" w:line="240" w:lineRule="auto"/>
        <w:ind w:right="0"/>
        <w:rPr>
          <w:rFonts w:hint="default" w:ascii="宋体" w:hAnsi="宋体" w:eastAsia="宋体" w:cs="宋体"/>
          <w:sz w:val="27"/>
          <w:szCs w:val="27"/>
        </w:rPr>
      </w:pPr>
    </w:p>
    <w:p>
      <w:pPr>
        <w:pStyle w:val="6"/>
        <w:spacing w:line="290" w:lineRule="auto"/>
        <w:ind w:right="0" w:firstLine="560"/>
        <w:jc w:val="left"/>
      </w:pPr>
      <w:r>
        <w:rPr>
          <w:w w:val="99"/>
        </w:rPr>
        <w:t>祖山镇（含所属单位）上年末固定资产金额为</w:t>
      </w:r>
      <w:r>
        <w:rPr>
          <w:spacing w:val="-101"/>
          <w:w w:val="99"/>
        </w:rPr>
        <w:t xml:space="preserve"> </w:t>
      </w:r>
      <w:r>
        <w:rPr>
          <w:rFonts w:hint="default" w:ascii="Times New Roman" w:hAnsi="Times New Roman" w:eastAsia="Times New Roman" w:cs="Times New Roman"/>
          <w:w w:val="99"/>
        </w:rPr>
        <w:t xml:space="preserve">1428.38 </w:t>
      </w:r>
      <w:r>
        <w:rPr>
          <w:spacing w:val="-7"/>
          <w:w w:val="99"/>
        </w:rPr>
        <w:t>万元（详见下表）。本年度拟购置固定资产总额为</w:t>
      </w:r>
      <w:r>
        <w:rPr>
          <w:w w:val="99"/>
        </w:rPr>
        <w:t xml:space="preserve"> </w:t>
      </w:r>
      <w:r>
        <w:rPr>
          <w:rFonts w:hint="default" w:ascii="Times New Roman" w:hAnsi="Times New Roman" w:eastAsia="Times New Roman" w:cs="Times New Roman"/>
          <w:w w:val="99"/>
        </w:rPr>
        <w:t xml:space="preserve">0.00 </w:t>
      </w:r>
      <w:r>
        <w:rPr>
          <w:w w:val="99"/>
        </w:rPr>
        <w:t xml:space="preserve">万元， </w:t>
      </w:r>
      <w:r>
        <w:t>已按要求列入政府采购预算，详见政府采购预算表。</w:t>
      </w:r>
    </w:p>
    <w:p>
      <w:pPr>
        <w:pStyle w:val="3"/>
        <w:spacing w:line="492" w:lineRule="exact"/>
        <w:ind w:left="18" w:right="0"/>
        <w:jc w:val="center"/>
      </w:pPr>
      <w:r>
        <w:rPr>
          <w:rFonts w:hint="eastAsia"/>
          <w:lang w:eastAsia="zh-CN"/>
        </w:rPr>
        <w:t>单位</w:t>
      </w:r>
      <w:r>
        <w:t>固定资产占用情况表</w:t>
      </w:r>
    </w:p>
    <w:p>
      <w:pPr>
        <w:tabs>
          <w:tab w:val="left" w:pos="10408"/>
        </w:tabs>
        <w:spacing w:before="48"/>
        <w:ind w:left="17"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截止时间：2020-12-31</w:t>
      </w:r>
    </w:p>
    <w:tbl>
      <w:tblPr>
        <w:tblStyle w:val="9"/>
        <w:tblW w:w="0" w:type="auto"/>
        <w:tblInd w:w="992" w:type="dxa"/>
        <w:tblLayout w:type="fixed"/>
        <w:tblCellMar>
          <w:top w:w="0" w:type="dxa"/>
          <w:left w:w="0" w:type="dxa"/>
          <w:bottom w:w="0" w:type="dxa"/>
          <w:right w:w="0" w:type="dxa"/>
        </w:tblCellMar>
      </w:tblPr>
      <w:tblGrid>
        <w:gridCol w:w="7369"/>
        <w:gridCol w:w="2836"/>
        <w:gridCol w:w="2834"/>
      </w:tblGrid>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tabs>
                <w:tab w:val="left" w:pos="527"/>
              </w:tabs>
              <w:spacing w:line="260" w:lineRule="exact"/>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hint="default" w:ascii="宋体" w:hAnsi="宋体" w:eastAsia="宋体" w:cs="宋体"/>
                <w:b/>
                <w:bCs/>
                <w:sz w:val="21"/>
                <w:szCs w:val="21"/>
              </w:rPr>
              <w:t>数量</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left="251" w:right="0"/>
              <w:jc w:val="left"/>
              <w:rPr>
                <w:rFonts w:hint="default" w:ascii="宋体" w:hAnsi="宋体" w:eastAsia="宋体" w:cs="宋体"/>
                <w:sz w:val="21"/>
                <w:szCs w:val="21"/>
              </w:rPr>
            </w:pPr>
            <w:r>
              <w:rPr>
                <w:rFonts w:hint="default" w:ascii="宋体" w:hAnsi="宋体" w:eastAsia="宋体" w:cs="宋体"/>
                <w:b/>
                <w:bCs/>
                <w:sz w:val="21"/>
                <w:szCs w:val="21"/>
              </w:rPr>
              <w:t>价值（金额单位：万元）</w:t>
            </w: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1780" w:right="0"/>
              <w:jc w:val="left"/>
              <w:rPr>
                <w:rFonts w:hint="default" w:ascii="宋体" w:hAnsi="宋体" w:eastAsia="宋体" w:cs="宋体"/>
                <w:sz w:val="21"/>
                <w:szCs w:val="21"/>
              </w:rPr>
            </w:pPr>
            <w:r>
              <w:rPr>
                <w:rFonts w:hint="default" w:ascii="宋体" w:hAnsi="宋体" w:eastAsia="宋体" w:cs="宋体"/>
                <w:sz w:val="21"/>
                <w:szCs w:val="21"/>
              </w:rPr>
              <w:t>资产总额</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exact"/>
              <w:ind w:right="99"/>
              <w:jc w:val="right"/>
              <w:rPr>
                <w:rFonts w:hint="default" w:ascii="宋体" w:hAnsi="宋体" w:eastAsia="宋体" w:cs="宋体"/>
                <w:sz w:val="21"/>
                <w:szCs w:val="21"/>
              </w:rPr>
            </w:pPr>
            <w:r>
              <w:rPr>
                <w:rFonts w:ascii="宋体"/>
                <w:spacing w:val="-1"/>
                <w:sz w:val="21"/>
              </w:rPr>
              <w:t>1428.38</w:t>
            </w:r>
          </w:p>
        </w:tc>
      </w:tr>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1、房屋（平方米）</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ascii="宋体"/>
                <w:sz w:val="21"/>
              </w:rPr>
              <w:t>4200</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right="99"/>
              <w:jc w:val="right"/>
              <w:rPr>
                <w:rFonts w:hint="default" w:ascii="宋体" w:hAnsi="宋体" w:eastAsia="宋体" w:cs="宋体"/>
                <w:sz w:val="21"/>
                <w:szCs w:val="21"/>
              </w:rPr>
            </w:pPr>
            <w:r>
              <w:rPr>
                <w:rFonts w:ascii="宋体"/>
                <w:spacing w:val="-1"/>
                <w:sz w:val="21"/>
              </w:rPr>
              <w:t>550.00</w:t>
            </w: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520" w:right="0"/>
              <w:jc w:val="left"/>
              <w:rPr>
                <w:rFonts w:hint="default" w:ascii="宋体" w:hAnsi="宋体" w:eastAsia="宋体" w:cs="宋体"/>
                <w:sz w:val="21"/>
                <w:szCs w:val="21"/>
              </w:rPr>
            </w:pPr>
            <w:r>
              <w:rPr>
                <w:rFonts w:hint="default" w:ascii="宋体" w:hAnsi="宋体" w:eastAsia="宋体" w:cs="宋体"/>
                <w:sz w:val="21"/>
                <w:szCs w:val="21"/>
              </w:rPr>
              <w:t>其中：办公用房（平方米）</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exact"/>
              <w:ind w:right="2"/>
              <w:jc w:val="center"/>
              <w:rPr>
                <w:rFonts w:hint="default" w:ascii="宋体" w:hAnsi="宋体" w:eastAsia="宋体" w:cs="宋体"/>
                <w:sz w:val="21"/>
                <w:szCs w:val="21"/>
              </w:rPr>
            </w:pPr>
            <w:r>
              <w:rPr>
                <w:rFonts w:ascii="宋体"/>
                <w:sz w:val="21"/>
              </w:rPr>
              <w:t>2400</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exact"/>
              <w:ind w:right="99"/>
              <w:jc w:val="right"/>
              <w:rPr>
                <w:rFonts w:hint="default" w:ascii="宋体" w:hAnsi="宋体" w:eastAsia="宋体" w:cs="宋体"/>
                <w:sz w:val="21"/>
                <w:szCs w:val="21"/>
              </w:rPr>
            </w:pPr>
            <w:r>
              <w:rPr>
                <w:rFonts w:ascii="宋体"/>
                <w:spacing w:val="-1"/>
                <w:sz w:val="21"/>
              </w:rPr>
              <w:t>380.00</w:t>
            </w:r>
          </w:p>
        </w:tc>
      </w:tr>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2、车辆（台、辆）</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100" w:right="0"/>
              <w:jc w:val="left"/>
              <w:rPr>
                <w:rFonts w:hint="default" w:ascii="宋体" w:hAnsi="宋体" w:eastAsia="宋体" w:cs="宋体"/>
                <w:sz w:val="21"/>
                <w:szCs w:val="21"/>
              </w:rPr>
            </w:pPr>
            <w:r>
              <w:rPr>
                <w:rFonts w:hint="default" w:ascii="宋体" w:hAnsi="宋体" w:eastAsia="宋体" w:cs="宋体"/>
                <w:sz w:val="21"/>
                <w:szCs w:val="21"/>
              </w:rPr>
              <w:t>3、单价在</w:t>
            </w:r>
            <w:r>
              <w:rPr>
                <w:rFonts w:hint="default" w:ascii="宋体" w:hAnsi="宋体" w:eastAsia="宋体" w:cs="宋体"/>
                <w:spacing w:val="-60"/>
                <w:sz w:val="21"/>
                <w:szCs w:val="21"/>
              </w:rPr>
              <w:t xml:space="preserve"> </w:t>
            </w:r>
            <w:r>
              <w:rPr>
                <w:rFonts w:hint="default" w:ascii="宋体" w:hAnsi="宋体" w:eastAsia="宋体" w:cs="宋体"/>
                <w:sz w:val="21"/>
                <w:szCs w:val="21"/>
              </w:rPr>
              <w:t>20</w:t>
            </w:r>
            <w:r>
              <w:rPr>
                <w:rFonts w:hint="default" w:ascii="宋体" w:hAnsi="宋体" w:eastAsia="宋体" w:cs="宋体"/>
                <w:spacing w:val="-59"/>
                <w:sz w:val="21"/>
                <w:szCs w:val="21"/>
              </w:rPr>
              <w:t xml:space="preserve"> </w:t>
            </w:r>
            <w:r>
              <w:rPr>
                <w:rFonts w:hint="default" w:ascii="宋体" w:hAnsi="宋体" w:eastAsia="宋体" w:cs="宋体"/>
                <w:sz w:val="21"/>
                <w:szCs w:val="21"/>
              </w:rPr>
              <w:t>万元以上的设备</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4、其他固定资产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ascii="宋体"/>
                <w:sz w:val="21"/>
              </w:rPr>
              <w:t>1025</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right="98"/>
              <w:jc w:val="right"/>
              <w:rPr>
                <w:rFonts w:hint="default" w:ascii="宋体" w:hAnsi="宋体" w:eastAsia="宋体" w:cs="宋体"/>
                <w:sz w:val="21"/>
                <w:szCs w:val="21"/>
              </w:rPr>
            </w:pPr>
            <w:r>
              <w:rPr>
                <w:rFonts w:ascii="宋体"/>
                <w:spacing w:val="-1"/>
                <w:sz w:val="21"/>
              </w:rPr>
              <w:t>878.38</w:t>
            </w:r>
          </w:p>
        </w:tc>
      </w:tr>
    </w:tbl>
    <w:p>
      <w:pPr>
        <w:spacing w:before="0" w:line="240" w:lineRule="auto"/>
        <w:ind w:right="0"/>
        <w:rPr>
          <w:rFonts w:hint="default" w:ascii="方正小标宋繁体" w:hAnsi="方正小标宋繁体" w:eastAsia="方正小标宋繁体" w:cs="方正小标宋繁体"/>
          <w:sz w:val="20"/>
          <w:szCs w:val="20"/>
        </w:rPr>
      </w:pPr>
    </w:p>
    <w:p>
      <w:pPr>
        <w:spacing w:before="14" w:line="240" w:lineRule="auto"/>
        <w:ind w:right="0"/>
        <w:rPr>
          <w:rFonts w:hint="default" w:ascii="方正小标宋繁体" w:hAnsi="方正小标宋繁体" w:eastAsia="方正小标宋繁体" w:cs="方正小标宋繁体"/>
          <w:sz w:val="11"/>
          <w:szCs w:val="11"/>
        </w:rPr>
      </w:pPr>
    </w:p>
    <w:p>
      <w:pPr>
        <w:pStyle w:val="5"/>
        <w:spacing w:line="240" w:lineRule="auto"/>
        <w:ind w:right="0"/>
        <w:jc w:val="left"/>
      </w:pPr>
      <w:r>
        <w:t>八、名词解释</w:t>
      </w:r>
    </w:p>
    <w:p>
      <w:pPr>
        <w:spacing w:before="11" w:line="240" w:lineRule="auto"/>
        <w:ind w:right="0"/>
        <w:rPr>
          <w:rFonts w:hint="default" w:ascii="宋体" w:hAnsi="宋体" w:eastAsia="宋体" w:cs="宋体"/>
          <w:sz w:val="27"/>
          <w:szCs w:val="27"/>
        </w:rPr>
      </w:pPr>
    </w:p>
    <w:p>
      <w:pPr>
        <w:pStyle w:val="6"/>
        <w:spacing w:line="240" w:lineRule="auto"/>
        <w:ind w:left="680" w:right="0"/>
        <w:jc w:val="left"/>
      </w:pPr>
      <w:r>
        <w:rPr>
          <w:rFonts w:hint="default" w:ascii="Times New Roman" w:hAnsi="Times New Roman" w:eastAsia="Times New Roman" w:cs="Times New Roman"/>
        </w:rPr>
        <w:t>1</w:t>
      </w:r>
      <w:r>
        <w:t>、</w:t>
      </w:r>
      <w:r>
        <w:rPr>
          <w:rFonts w:hint="default" w:ascii="方正仿宋繁体" w:hAnsi="方正仿宋繁体" w:eastAsia="方正仿宋繁体" w:cs="方正仿宋繁体"/>
        </w:rPr>
        <w:t>一般公共预算拨款收入：</w:t>
      </w:r>
      <w:r>
        <w:t>指县级财政当年拨付的资金。</w:t>
      </w:r>
    </w:p>
    <w:p>
      <w:pPr>
        <w:pStyle w:val="6"/>
        <w:spacing w:before="88" w:line="240" w:lineRule="auto"/>
        <w:ind w:left="680" w:right="0"/>
        <w:jc w:val="left"/>
      </w:pPr>
      <w:r>
        <w:rPr>
          <w:rFonts w:hint="default" w:ascii="Times New Roman" w:hAnsi="Times New Roman" w:eastAsia="Times New Roman" w:cs="Times New Roman"/>
        </w:rPr>
        <w:t>2</w:t>
      </w:r>
      <w:r>
        <w:t>、</w:t>
      </w:r>
      <w:r>
        <w:rPr>
          <w:rFonts w:hint="default" w:ascii="方正仿宋繁体" w:hAnsi="方正仿宋繁体" w:eastAsia="方正仿宋繁体" w:cs="方正仿宋繁体"/>
        </w:rPr>
        <w:t>事业收入：</w:t>
      </w:r>
      <w:r>
        <w:t>指事业单位开展专业业务活动及辅助活动所取得的收入。</w:t>
      </w:r>
    </w:p>
    <w:p>
      <w:pPr>
        <w:pStyle w:val="6"/>
        <w:spacing w:before="87" w:line="290" w:lineRule="auto"/>
        <w:ind w:right="88" w:firstLine="560"/>
        <w:jc w:val="left"/>
      </w:pPr>
      <w:r>
        <w:rPr>
          <w:rFonts w:hint="default" w:ascii="Times New Roman" w:hAnsi="Times New Roman" w:eastAsia="Times New Roman" w:cs="Times New Roman"/>
          <w:spacing w:val="-1"/>
        </w:rPr>
        <w:t>3</w:t>
      </w:r>
      <w:r>
        <w:rPr>
          <w:spacing w:val="-1"/>
        </w:rPr>
        <w:t>、</w:t>
      </w:r>
      <w:r>
        <w:rPr>
          <w:rFonts w:hint="default" w:ascii="方正仿宋繁体" w:hAnsi="方正仿宋繁体" w:eastAsia="方正仿宋繁体" w:cs="方正仿宋繁体"/>
          <w:spacing w:val="-1"/>
        </w:rPr>
        <w:t>其他收入：</w:t>
      </w:r>
      <w:r>
        <w:rPr>
          <w:spacing w:val="-1"/>
        </w:rPr>
        <w:t>指除</w:t>
      </w:r>
      <w:r>
        <w:rPr>
          <w:rFonts w:hint="default" w:ascii="Times New Roman" w:hAnsi="Times New Roman" w:eastAsia="Times New Roman" w:cs="Times New Roman"/>
          <w:spacing w:val="-1"/>
          <w:sz w:val="24"/>
          <w:szCs w:val="24"/>
        </w:rPr>
        <w:t>“</w:t>
      </w:r>
      <w:r>
        <w:rPr>
          <w:spacing w:val="-1"/>
        </w:rPr>
        <w:t>一般公共预算拨款收入</w:t>
      </w:r>
      <w:r>
        <w:rPr>
          <w:rFonts w:hint="default" w:ascii="Times New Roman" w:hAnsi="Times New Roman" w:eastAsia="Times New Roman" w:cs="Times New Roman"/>
          <w:spacing w:val="-1"/>
          <w:sz w:val="24"/>
          <w:szCs w:val="24"/>
        </w:rPr>
        <w:t>”</w:t>
      </w:r>
      <w:r>
        <w:rPr>
          <w:spacing w:val="-1"/>
        </w:rPr>
        <w:t>、</w:t>
      </w:r>
      <w:r>
        <w:rPr>
          <w:rFonts w:hint="default" w:ascii="Times New Roman" w:hAnsi="Times New Roman" w:eastAsia="Times New Roman" w:cs="Times New Roman"/>
          <w:spacing w:val="-1"/>
          <w:sz w:val="24"/>
          <w:szCs w:val="24"/>
        </w:rPr>
        <w:t>“</w:t>
      </w:r>
      <w:r>
        <w:rPr>
          <w:spacing w:val="-1"/>
        </w:rPr>
        <w:t>事业收入</w:t>
      </w:r>
      <w:r>
        <w:rPr>
          <w:rFonts w:hint="default" w:ascii="Times New Roman" w:hAnsi="Times New Roman" w:eastAsia="Times New Roman" w:cs="Times New Roman"/>
          <w:spacing w:val="-1"/>
          <w:sz w:val="24"/>
          <w:szCs w:val="24"/>
        </w:rPr>
        <w:t>”</w:t>
      </w:r>
      <w:r>
        <w:rPr>
          <w:spacing w:val="-1"/>
        </w:rPr>
        <w:t>等以外的收入。主要是按规定动用的租房收入、存款利息收</w:t>
      </w:r>
      <w:r>
        <w:t xml:space="preserve"> 入等。</w:t>
      </w:r>
    </w:p>
    <w:p>
      <w:pPr>
        <w:pStyle w:val="6"/>
        <w:spacing w:before="22" w:line="240" w:lineRule="auto"/>
        <w:ind w:left="680" w:right="0"/>
        <w:jc w:val="left"/>
      </w:pPr>
      <w:r>
        <w:rPr>
          <w:rFonts w:hint="default" w:ascii="Times New Roman" w:hAnsi="Times New Roman" w:eastAsia="Times New Roman" w:cs="Times New Roman"/>
        </w:rPr>
        <w:t>4</w:t>
      </w:r>
      <w:r>
        <w:t>、</w:t>
      </w:r>
      <w:r>
        <w:rPr>
          <w:rFonts w:hint="default" w:ascii="方正仿宋繁体" w:hAnsi="方正仿宋繁体" w:eastAsia="方正仿宋繁体" w:cs="方正仿宋繁体"/>
        </w:rPr>
        <w:t>基本支出：</w:t>
      </w:r>
      <w:r>
        <w:t>指为保障机构正常运转、完成日常工作任务而发生的人员支出和公用支出。</w:t>
      </w:r>
    </w:p>
    <w:p>
      <w:pPr>
        <w:pStyle w:val="6"/>
        <w:spacing w:before="87" w:line="240" w:lineRule="auto"/>
        <w:ind w:left="680" w:right="0"/>
        <w:jc w:val="left"/>
      </w:pPr>
      <w:r>
        <w:rPr>
          <w:rFonts w:hint="default" w:ascii="Times New Roman" w:hAnsi="Times New Roman" w:eastAsia="Times New Roman" w:cs="Times New Roman"/>
        </w:rPr>
        <w:t>5</w:t>
      </w:r>
      <w:r>
        <w:t>、</w:t>
      </w:r>
      <w:r>
        <w:rPr>
          <w:rFonts w:hint="default" w:ascii="方正仿宋繁体" w:hAnsi="方正仿宋繁体" w:eastAsia="方正仿宋繁体" w:cs="方正仿宋繁体"/>
        </w:rPr>
        <w:t>项目支出：</w:t>
      </w:r>
      <w:r>
        <w:t>指在基本支出之外为完成特定行政任务和事业发展目标所发生的支出。</w:t>
      </w:r>
    </w:p>
    <w:p>
      <w:pPr>
        <w:spacing w:after="0" w:line="240" w:lineRule="auto"/>
        <w:jc w:val="left"/>
        <w:sectPr>
          <w:pgSz w:w="16840" w:h="11910" w:orient="landscape"/>
          <w:pgMar w:top="1100" w:right="92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spacing w:line="393" w:lineRule="exact"/>
        <w:ind w:left="680" w:right="230"/>
        <w:jc w:val="left"/>
      </w:pPr>
      <w:r>
        <w:rPr>
          <w:rFonts w:hint="default" w:ascii="Times New Roman" w:hAnsi="Times New Roman" w:eastAsia="Times New Roman" w:cs="Times New Roman"/>
        </w:rPr>
        <w:t>6</w:t>
      </w:r>
      <w:r>
        <w:t>、</w:t>
      </w:r>
      <w:r>
        <w:rPr>
          <w:rFonts w:hint="default" w:ascii="方正仿宋繁体" w:hAnsi="方正仿宋繁体" w:eastAsia="方正仿宋繁体" w:cs="方正仿宋繁体"/>
        </w:rPr>
        <w:t>上缴上级支出：</w:t>
      </w:r>
      <w:r>
        <w:t>指下级单位上缴上级的支出。</w:t>
      </w:r>
    </w:p>
    <w:p>
      <w:pPr>
        <w:pStyle w:val="6"/>
        <w:spacing w:before="88" w:line="290" w:lineRule="auto"/>
        <w:ind w:right="239" w:firstLine="560"/>
        <w:jc w:val="both"/>
      </w:pPr>
      <w:r>
        <w:rPr>
          <w:rFonts w:hint="default" w:ascii="Times New Roman" w:hAnsi="Times New Roman" w:eastAsia="Times New Roman" w:cs="Times New Roman"/>
          <w:spacing w:val="-1"/>
        </w:rPr>
        <w:t>7</w:t>
      </w:r>
      <w:r>
        <w:rPr>
          <w:spacing w:val="-1"/>
        </w:rPr>
        <w:t>、</w:t>
      </w:r>
      <w:r>
        <w:rPr>
          <w:rFonts w:hint="default" w:ascii="Times New Roman" w:hAnsi="Times New Roman" w:eastAsia="Times New Roman" w:cs="Times New Roman"/>
          <w:spacing w:val="-1"/>
          <w:sz w:val="24"/>
          <w:szCs w:val="24"/>
        </w:rPr>
        <w:t>“</w:t>
      </w:r>
      <w:r>
        <w:rPr>
          <w:rFonts w:hint="default" w:ascii="方正仿宋繁体" w:hAnsi="方正仿宋繁体" w:eastAsia="方正仿宋繁体" w:cs="方正仿宋繁体"/>
          <w:spacing w:val="-1"/>
        </w:rPr>
        <w:t>三公</w:t>
      </w:r>
      <w:r>
        <w:rPr>
          <w:rFonts w:hint="default" w:ascii="Times New Roman" w:hAnsi="Times New Roman" w:eastAsia="Times New Roman" w:cs="Times New Roman"/>
          <w:spacing w:val="-1"/>
          <w:sz w:val="24"/>
          <w:szCs w:val="24"/>
        </w:rPr>
        <w:t>”</w:t>
      </w:r>
      <w:r>
        <w:rPr>
          <w:rFonts w:hint="default" w:ascii="方正仿宋繁体" w:hAnsi="方正仿宋繁体" w:eastAsia="方正仿宋繁体" w:cs="方正仿宋繁体"/>
          <w:spacing w:val="-1"/>
        </w:rPr>
        <w:t>经费：</w:t>
      </w:r>
      <w:r>
        <w:rPr>
          <w:spacing w:val="-1"/>
        </w:rPr>
        <w:t>纳入县级财政预算管理的</w:t>
      </w:r>
      <w:r>
        <w:rPr>
          <w:rFonts w:hint="default" w:ascii="Times New Roman" w:hAnsi="Times New Roman" w:eastAsia="Times New Roman" w:cs="Times New Roman"/>
          <w:spacing w:val="-1"/>
          <w:sz w:val="24"/>
          <w:szCs w:val="24"/>
        </w:rPr>
        <w:t>“</w:t>
      </w:r>
      <w:r>
        <w:rPr>
          <w:spacing w:val="-1"/>
        </w:rPr>
        <w:t>三公</w:t>
      </w:r>
      <w:r>
        <w:rPr>
          <w:rFonts w:hint="default" w:ascii="Times New Roman" w:hAnsi="Times New Roman" w:eastAsia="Times New Roman" w:cs="Times New Roman"/>
          <w:spacing w:val="-1"/>
          <w:sz w:val="24"/>
          <w:szCs w:val="24"/>
        </w:rPr>
        <w:t>”</w:t>
      </w:r>
      <w:r>
        <w:rPr>
          <w:spacing w:val="-1"/>
        </w:rPr>
        <w:t>经费，是指县级</w:t>
      </w:r>
      <w:r>
        <w:rPr>
          <w:rFonts w:hint="eastAsia"/>
          <w:spacing w:val="-1"/>
          <w:lang w:eastAsia="zh-CN"/>
        </w:rPr>
        <w:t>单位</w:t>
      </w:r>
      <w:r>
        <w:rPr>
          <w:spacing w:val="-1"/>
        </w:rPr>
        <w:t>用财政拨款安排的因公出国（境）费、公务用车</w:t>
      </w:r>
      <w:r>
        <w:t xml:space="preserve"> </w:t>
      </w:r>
      <w:r>
        <w:rPr>
          <w:spacing w:val="-1"/>
        </w:rPr>
        <w:t>购置及运维费和公务接待费。其中，因公出国（境）费反映单位公务出国（境）的住宿费、旅费、伙食补助费、杂费、培</w:t>
      </w:r>
      <w:r>
        <w:t xml:space="preserve"> </w:t>
      </w:r>
      <w:r>
        <w:rPr>
          <w:spacing w:val="-1"/>
        </w:rPr>
        <w:t>训费等支出；公务用车购置及运维费反映单位公务用车购置费及租用费、燃料费、维修费、过路过桥费、保险费、安全奖</w:t>
      </w:r>
      <w:r>
        <w:t xml:space="preserve"> 励费用等支出；公务接待费反映单位按规定开支的各类公务接待（含外宾接待）支出。</w:t>
      </w:r>
    </w:p>
    <w:p>
      <w:pPr>
        <w:pStyle w:val="6"/>
        <w:spacing w:before="22" w:line="290" w:lineRule="auto"/>
        <w:ind w:right="0" w:firstLine="560"/>
        <w:jc w:val="left"/>
      </w:pPr>
      <w:r>
        <w:rPr>
          <w:rFonts w:hint="default" w:ascii="Times New Roman" w:hAnsi="Times New Roman" w:eastAsia="Times New Roman" w:cs="Times New Roman"/>
        </w:rPr>
        <w:t>8</w:t>
      </w:r>
      <w:r>
        <w:t>、</w:t>
      </w:r>
      <w:r>
        <w:rPr>
          <w:rFonts w:hint="default" w:ascii="方正仿宋繁体" w:hAnsi="方正仿宋繁体" w:eastAsia="方正仿宋繁体" w:cs="方正仿宋繁体"/>
        </w:rPr>
        <w:t>机关运行费：</w:t>
      </w:r>
      <w:r>
        <w:t>是指各</w:t>
      </w:r>
      <w:r>
        <w:rPr>
          <w:rFonts w:hint="eastAsia"/>
          <w:lang w:eastAsia="zh-CN"/>
        </w:rPr>
        <w:t>单位</w:t>
      </w:r>
      <w:r>
        <w:t xml:space="preserve">的公用经费，包括办公及印刷费、邮电费、差旅费、会议费、福利费、日常维修费、专 </w:t>
      </w:r>
      <w:r>
        <w:rPr>
          <w:spacing w:val="-4"/>
        </w:rPr>
        <w:t>用材料及一般设备购置费、办公用房水电费、办公用房取暖费、办公用房物业管理费、公务用车运行维护费以及其他费用。</w:t>
      </w:r>
    </w:p>
    <w:p>
      <w:pPr>
        <w:pStyle w:val="6"/>
        <w:spacing w:before="22" w:line="240" w:lineRule="auto"/>
        <w:ind w:left="680" w:right="230"/>
        <w:jc w:val="left"/>
      </w:pPr>
      <w:r>
        <w:rPr>
          <w:rFonts w:hint="default" w:ascii="Times New Roman" w:hAnsi="Times New Roman" w:eastAsia="Times New Roman" w:cs="Times New Roman"/>
        </w:rPr>
        <w:t>9</w:t>
      </w:r>
      <w:r>
        <w:t>、</w:t>
      </w:r>
      <w:r>
        <w:rPr>
          <w:rFonts w:hint="default" w:ascii="方正仿宋繁体" w:hAnsi="方正仿宋繁体" w:eastAsia="方正仿宋繁体" w:cs="方正仿宋繁体"/>
        </w:rPr>
        <w:t>上年结转：</w:t>
      </w:r>
      <w:r>
        <w:t>指以前年度尚未完成、结转到本年仍按原规定用途继续使用的资金。</w:t>
      </w:r>
    </w:p>
    <w:p>
      <w:pPr>
        <w:pStyle w:val="6"/>
        <w:spacing w:before="88" w:line="240" w:lineRule="auto"/>
        <w:ind w:left="680" w:right="230"/>
        <w:jc w:val="left"/>
      </w:pPr>
      <w:r>
        <w:rPr>
          <w:rFonts w:hint="default" w:ascii="Times New Roman" w:hAnsi="Times New Roman" w:eastAsia="Times New Roman" w:cs="Times New Roman"/>
        </w:rPr>
        <w:t>10</w:t>
      </w:r>
      <w:r>
        <w:t>、</w:t>
      </w:r>
      <w:r>
        <w:rPr>
          <w:rFonts w:hint="default" w:ascii="方正仿宋繁体" w:hAnsi="方正仿宋繁体" w:eastAsia="方正仿宋繁体" w:cs="方正仿宋繁体"/>
        </w:rPr>
        <w:t>事业单位经营支出：</w:t>
      </w:r>
      <w:r>
        <w:t>指事业单位在专业业务活动及其辅助活动之外开展非独立核算经营活动发生的支出。</w:t>
      </w:r>
    </w:p>
    <w:p>
      <w:pPr>
        <w:pStyle w:val="5"/>
        <w:spacing w:before="240" w:line="240" w:lineRule="auto"/>
        <w:ind w:right="230"/>
        <w:jc w:val="left"/>
      </w:pPr>
      <w:r>
        <w:t>九、其他需要说明的事项</w:t>
      </w:r>
    </w:p>
    <w:p>
      <w:pPr>
        <w:spacing w:before="11" w:line="240" w:lineRule="auto"/>
        <w:ind w:right="0"/>
        <w:rPr>
          <w:rFonts w:hint="default" w:ascii="宋体" w:hAnsi="宋体" w:eastAsia="宋体" w:cs="宋体"/>
          <w:sz w:val="27"/>
          <w:szCs w:val="27"/>
        </w:rPr>
      </w:pPr>
    </w:p>
    <w:p>
      <w:pPr>
        <w:pStyle w:val="6"/>
        <w:spacing w:line="240" w:lineRule="auto"/>
        <w:ind w:left="680" w:right="230"/>
        <w:jc w:val="left"/>
      </w:pPr>
      <w:r>
        <w:t>我</w:t>
      </w:r>
      <w:r>
        <w:rPr>
          <w:rFonts w:hint="eastAsia"/>
          <w:lang w:eastAsia="zh-CN"/>
        </w:rPr>
        <w:t>单位</w:t>
      </w:r>
      <w:r>
        <w:t>无其他需要说明的事项。</w:t>
      </w:r>
    </w:p>
    <w:sectPr>
      <w:pgSz w:w="16840" w:h="11910" w:orient="landscape"/>
      <w:pgMar w:top="1100" w:right="780" w:bottom="1160" w:left="90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繁体">
    <w:altName w:val="宋体"/>
    <w:panose1 w:val="00000000000000000000"/>
    <w:charset w:val="86"/>
    <w:family w:val="auto"/>
    <w:pitch w:val="default"/>
    <w:sig w:usb0="00000000" w:usb1="00000000" w:usb2="00000000" w:usb3="00000000" w:csb0="00000000" w:csb1="00000000"/>
  </w:font>
  <w:font w:name="方正仿宋繁体">
    <w:altName w:val="仿宋"/>
    <w:panose1 w:val="00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785.4pt;margin-top:535.35pt;height:11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hint="default" w:ascii="Times New Roman" w:hAnsi="Times New Roman" w:eastAsia="Times New Roman" w:cs="Times New Roman"/>
                    <w:sz w:val="18"/>
                    <w:szCs w:val="18"/>
                  </w:rPr>
                </w:pPr>
                <w:r>
                  <w:rPr>
                    <w:rFonts w:ascii="Times New Roman"/>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8" o:spid="_x0000_s4098" o:spt="202" type="#_x0000_t202" style="position:absolute;left:0pt;margin-left:49.95pt;margin-top:535.35pt;height:11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hint="default" w:ascii="Times New Roman" w:hAnsi="Times New Roman" w:eastAsia="Times New Roman" w:cs="Times New Roman"/>
                    <w:sz w:val="18"/>
                    <w:szCs w:val="18"/>
                  </w:rPr>
                </w:pPr>
                <w:r>
                  <w:rPr>
                    <w:rFonts w:ascii="Times New Roman"/>
                    <w:sz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9" o:spid="_x0000_s4099" o:spt="202" type="#_x0000_t202" style="position:absolute;left:0pt;margin-left:779.9pt;margin-top:535.35pt;height:11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100" o:spid="_x0000_s4100" o:spt="202" type="#_x0000_t202" style="position:absolute;left:0pt;margin-left:48.95pt;margin-top:535.35pt;height:11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DRjN2Y2NWE5MTY3ZTIxZTI1ZTUyZjA0M2JjZDg1NzkifQ=="/>
  </w:docVars>
  <w:rsids>
    <w:rsidRoot w:val="00000000"/>
    <w:rsid w:val="2E8570AD"/>
    <w:rsid w:val="46BD1481"/>
    <w:rsid w:val="5A21534B"/>
    <w:rsid w:val="7A061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7"/>
      <w:outlineLvl w:val="1"/>
    </w:pPr>
    <w:rPr>
      <w:rFonts w:ascii="方正小标宋繁体" w:hAnsi="方正小标宋繁体" w:eastAsia="方正小标宋繁体"/>
      <w:sz w:val="44"/>
      <w:szCs w:val="44"/>
    </w:rPr>
  </w:style>
  <w:style w:type="paragraph" w:styleId="3">
    <w:name w:val="heading 2"/>
    <w:basedOn w:val="1"/>
    <w:next w:val="1"/>
    <w:qFormat/>
    <w:uiPriority w:val="1"/>
    <w:pPr>
      <w:outlineLvl w:val="2"/>
    </w:pPr>
    <w:rPr>
      <w:rFonts w:ascii="方正小标宋繁体" w:hAnsi="方正小标宋繁体" w:eastAsia="方正小标宋繁体"/>
      <w:sz w:val="36"/>
      <w:szCs w:val="36"/>
    </w:rPr>
  </w:style>
  <w:style w:type="paragraph" w:styleId="4">
    <w:name w:val="heading 3"/>
    <w:basedOn w:val="1"/>
    <w:next w:val="1"/>
    <w:qFormat/>
    <w:uiPriority w:val="1"/>
    <w:pPr>
      <w:ind w:left="763"/>
      <w:outlineLvl w:val="3"/>
    </w:pPr>
    <w:rPr>
      <w:rFonts w:ascii="宋体" w:hAnsi="宋体" w:eastAsia="宋体"/>
      <w:b/>
      <w:bCs/>
      <w:sz w:val="32"/>
      <w:szCs w:val="32"/>
    </w:rPr>
  </w:style>
  <w:style w:type="paragraph" w:styleId="5">
    <w:name w:val="heading 4"/>
    <w:basedOn w:val="1"/>
    <w:next w:val="1"/>
    <w:qFormat/>
    <w:uiPriority w:val="1"/>
    <w:pPr>
      <w:spacing w:before="1"/>
      <w:ind w:left="759"/>
      <w:outlineLvl w:val="4"/>
    </w:pPr>
    <w:rPr>
      <w:rFonts w:ascii="宋体" w:hAnsi="宋体" w:eastAsia="宋体"/>
      <w:sz w:val="32"/>
      <w:szCs w:val="32"/>
    </w:rPr>
  </w:style>
  <w:style w:type="character" w:default="1" w:styleId="10">
    <w:name w:val="Default Paragraph Font"/>
    <w:semiHidden/>
    <w:unhideWhenUsed/>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pPr>
      <w:ind w:left="119"/>
    </w:pPr>
    <w:rPr>
      <w:rFonts w:ascii="方正仿宋繁体" w:hAnsi="方正仿宋繁体" w:eastAsia="方正仿宋繁体"/>
      <w:sz w:val="28"/>
      <w:szCs w:val="28"/>
    </w:rPr>
  </w:style>
  <w:style w:type="paragraph" w:styleId="7">
    <w:name w:val="toc 1"/>
    <w:basedOn w:val="1"/>
    <w:next w:val="1"/>
    <w:autoRedefine/>
    <w:qFormat/>
    <w:uiPriority w:val="1"/>
    <w:pPr>
      <w:spacing w:before="550"/>
      <w:ind w:left="119"/>
    </w:pPr>
    <w:rPr>
      <w:rFonts w:ascii="宋体" w:hAnsi="宋体" w:eastAsia="宋体"/>
      <w:b/>
      <w:bCs/>
      <w:sz w:val="28"/>
      <w:szCs w:val="28"/>
    </w:rPr>
  </w:style>
  <w:style w:type="paragraph" w:styleId="8">
    <w:name w:val="toc 2"/>
    <w:basedOn w:val="1"/>
    <w:next w:val="1"/>
    <w:autoRedefine/>
    <w:qFormat/>
    <w:uiPriority w:val="1"/>
    <w:pPr>
      <w:spacing w:before="212"/>
      <w:ind w:left="544"/>
    </w:pPr>
    <w:rPr>
      <w:rFonts w:ascii="方正仿宋繁体" w:hAnsi="方正仿宋繁体" w:eastAsia="方正仿宋繁体"/>
      <w:sz w:val="28"/>
      <w:szCs w:val="28"/>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17933</Words>
  <Characters>21225</Characters>
  <TotalTime>2</TotalTime>
  <ScaleCrop>false</ScaleCrop>
  <LinksUpToDate>false</LinksUpToDate>
  <CharactersWithSpaces>21836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2022-07-11T10:01:00Z</dcterms:created>
  <dc:creator>PCPC</dc:creator>
  <cp:lastModifiedBy>勇</cp:lastModifiedBy>
  <dcterms:modified xsi:type="dcterms:W3CDTF">2024-01-24T01:42:31Z</dcterms:modified>
  <dc:title>&lt;4D6963726F736F667420576F7264202D2032303231C4EAD7E6C9BDD5F2C8CBC3F1D5FEB8AEB2BFC3C5D4A4CBE3B9ABBFAA2E646F63&gt;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PScript5.dll Version 5.2.2</vt:lpwstr>
  </property>
  <property fmtid="{D5CDD505-2E9C-101B-9397-08002B2CF9AE}" pid="4" name="LastSaved">
    <vt:filetime>2022-07-11T00:00:00Z</vt:filetime>
  </property>
  <property fmtid="{D5CDD505-2E9C-101B-9397-08002B2CF9AE}" pid="5" name="KSOProductBuildVer">
    <vt:lpwstr>2052-12.1.0.16250</vt:lpwstr>
  </property>
  <property fmtid="{D5CDD505-2E9C-101B-9397-08002B2CF9AE}" pid="6" name="ICV">
    <vt:lpwstr>3A7576E73D1E418A81083DFACA0DE40F</vt:lpwstr>
  </property>
</Properties>
</file>