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2" w:line="240" w:lineRule="auto"/>
        <w:ind w:right="0"/>
        <w:rPr>
          <w:rFonts w:hint="default" w:ascii="Times New Roman" w:hAnsi="Times New Roman" w:eastAsia="Times New Roman" w:cs="Times New Roman"/>
          <w:sz w:val="21"/>
          <w:szCs w:val="21"/>
        </w:rPr>
      </w:pPr>
    </w:p>
    <w:p>
      <w:pPr>
        <w:pStyle w:val="2"/>
        <w:spacing w:line="540" w:lineRule="exact"/>
        <w:ind w:right="0"/>
        <w:jc w:val="center"/>
        <w:rPr>
          <w:rFonts w:hint="default" w:ascii="宋体" w:hAnsi="宋体" w:eastAsia="宋体" w:cs="宋体"/>
        </w:rPr>
      </w:pPr>
      <w:r>
        <w:rPr>
          <w:rFonts w:hint="default" w:ascii="宋体" w:hAnsi="宋体" w:eastAsia="宋体" w:cs="宋体"/>
        </w:rPr>
        <w:t>2021</w:t>
      </w:r>
      <w:r>
        <w:rPr>
          <w:rFonts w:hint="default" w:ascii="宋体" w:hAnsi="宋体" w:eastAsia="宋体" w:cs="宋体"/>
          <w:spacing w:val="-90"/>
        </w:rPr>
        <w:t xml:space="preserve"> </w:t>
      </w:r>
      <w:r>
        <w:rPr>
          <w:rFonts w:hint="default" w:ascii="宋体" w:hAnsi="宋体" w:eastAsia="宋体" w:cs="宋体"/>
        </w:rPr>
        <w:t>年部门预算信息公开目录</w:t>
      </w:r>
    </w:p>
    <w:p>
      <w:pPr>
        <w:spacing w:before="0" w:line="240" w:lineRule="auto"/>
        <w:ind w:right="0"/>
        <w:rPr>
          <w:rFonts w:hint="default" w:ascii="宋体" w:hAnsi="宋体" w:eastAsia="宋体" w:cs="宋体"/>
          <w:sz w:val="60"/>
          <w:szCs w:val="60"/>
        </w:rPr>
      </w:pPr>
    </w:p>
    <w:p>
      <w:pPr>
        <w:tabs>
          <w:tab w:val="left" w:pos="1523"/>
        </w:tabs>
        <w:spacing w:before="0"/>
        <w:ind w:left="16" w:right="0" w:firstLine="0"/>
        <w:jc w:val="center"/>
        <w:rPr>
          <w:rFonts w:hint="default" w:ascii="宋体" w:hAnsi="宋体" w:eastAsia="宋体" w:cs="宋体"/>
          <w:sz w:val="30"/>
          <w:szCs w:val="30"/>
        </w:rPr>
      </w:pPr>
      <w:r>
        <w:rPr>
          <w:rFonts w:hint="default" w:ascii="宋体" w:hAnsi="宋体" w:eastAsia="宋体" w:cs="宋体"/>
          <w:sz w:val="30"/>
          <w:szCs w:val="30"/>
        </w:rPr>
        <w:t>第一部分</w:t>
      </w:r>
      <w:r>
        <w:rPr>
          <w:rFonts w:hint="default" w:ascii="宋体" w:hAnsi="宋体" w:eastAsia="宋体" w:cs="宋体"/>
          <w:sz w:val="30"/>
          <w:szCs w:val="30"/>
        </w:rPr>
        <w:tab/>
      </w:r>
      <w:r>
        <w:rPr>
          <w:rFonts w:hint="default" w:ascii="宋体" w:hAnsi="宋体" w:eastAsia="宋体" w:cs="宋体"/>
          <w:sz w:val="30"/>
          <w:szCs w:val="30"/>
        </w:rPr>
        <w:t>部门预算</w:t>
      </w:r>
    </w:p>
    <w:p>
      <w:pPr>
        <w:spacing w:before="11" w:line="240" w:lineRule="auto"/>
        <w:ind w:right="0"/>
        <w:rPr>
          <w:rFonts w:hint="default" w:ascii="宋体" w:hAnsi="宋体" w:eastAsia="宋体" w:cs="宋体"/>
          <w:sz w:val="17"/>
          <w:szCs w:val="17"/>
        </w:rPr>
      </w:pPr>
    </w:p>
    <w:p>
      <w:pPr>
        <w:spacing w:before="13"/>
        <w:ind w:left="119" w:right="0" w:firstLine="0"/>
        <w:jc w:val="left"/>
        <w:rPr>
          <w:rFonts w:hint="default" w:ascii="宋体" w:hAnsi="宋体" w:eastAsia="宋体" w:cs="宋体"/>
          <w:sz w:val="28"/>
          <w:szCs w:val="28"/>
        </w:rPr>
      </w:pPr>
      <w:r>
        <w:rPr>
          <w:rFonts w:hint="default" w:ascii="宋体" w:hAnsi="宋体" w:eastAsia="宋体" w:cs="宋体"/>
          <w:b/>
          <w:bCs/>
          <w:sz w:val="28"/>
          <w:szCs w:val="28"/>
        </w:rPr>
        <w:t>部门预算公开表</w:t>
      </w:r>
    </w:p>
    <w:sdt>
      <w:sdtPr>
        <w:id w:val="1"/>
        <w:docPartObj>
          <w:docPartGallery w:val="Table of Contents"/>
          <w:docPartUnique/>
        </w:docPartObj>
      </w:sdtPr>
      <w:sdtContent>
        <w:p>
          <w:pPr>
            <w:pStyle w:val="8"/>
            <w:tabs>
              <w:tab w:val="right" w:leader="dot" w:pos="14912"/>
            </w:tabs>
            <w:spacing w:before="230" w:line="240" w:lineRule="auto"/>
            <w:ind w:right="0"/>
            <w:jc w:val="left"/>
            <w:rPr>
              <w:rFonts w:hint="default" w:ascii="Times New Roman" w:hAnsi="Times New Roman" w:eastAsia="Times New Roman" w:cs="Times New Roman"/>
            </w:rPr>
          </w:pPr>
          <w:r>
            <w:fldChar w:fldCharType="begin"/>
          </w:r>
          <w:r>
            <w:instrText xml:space="preserve"> HYPERLINK \l "_TOC_250008" </w:instrText>
          </w:r>
          <w:r>
            <w:fldChar w:fldCharType="separate"/>
          </w:r>
          <w:r>
            <w:t>部门预算收支总表</w:t>
          </w:r>
          <w:r>
            <w:rPr>
              <w:rFonts w:hint="default" w:ascii="Times New Roman" w:hAnsi="Times New Roman" w:eastAsia="Times New Roman" w:cs="Times New Roman"/>
            </w:rPr>
            <w:tab/>
          </w:r>
          <w:r>
            <w:rPr>
              <w:rFonts w:hint="default" w:ascii="Times New Roman" w:hAnsi="Times New Roman" w:eastAsia="Times New Roman" w:cs="Times New Roman"/>
            </w:rPr>
            <w:t>1</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"_TOC_250007" </w:instrText>
          </w:r>
          <w:r>
            <w:fldChar w:fldCharType="separate"/>
          </w:r>
          <w:r>
            <w:t>部门预算收入总表</w:t>
          </w:r>
          <w:r>
            <w:rPr>
              <w:rFonts w:hint="default" w:ascii="Times New Roman" w:hAnsi="Times New Roman" w:eastAsia="Times New Roman" w:cs="Times New Roman"/>
            </w:rPr>
            <w:tab/>
          </w:r>
          <w:r>
            <w:rPr>
              <w:rFonts w:hint="default" w:ascii="Times New Roman" w:hAnsi="Times New Roman" w:eastAsia="Times New Roman" w:cs="Times New Roman"/>
            </w:rPr>
            <w:t>3</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"_TOC_250006" </w:instrText>
          </w:r>
          <w:r>
            <w:fldChar w:fldCharType="separate"/>
          </w:r>
          <w:r>
            <w:t>部门预算支出总表</w:t>
          </w:r>
          <w:r>
            <w:rPr>
              <w:rFonts w:hint="default" w:ascii="Times New Roman" w:hAnsi="Times New Roman" w:eastAsia="Times New Roman" w:cs="Times New Roman"/>
            </w:rPr>
            <w:tab/>
          </w:r>
          <w:r>
            <w:rPr>
              <w:rFonts w:hint="default" w:ascii="Times New Roman" w:hAnsi="Times New Roman" w:eastAsia="Times New Roman" w:cs="Times New Roman"/>
            </w:rPr>
            <w:t>7</w:t>
          </w:r>
          <w:r>
            <w:rPr>
              <w:rFonts w:hint="default" w:ascii="Times New Roman" w:hAnsi="Times New Roman" w:eastAsia="Times New Roman" w:cs="Times New Roman"/>
            </w:rPr>
            <w:fldChar w:fldCharType="end"/>
          </w:r>
        </w:p>
        <w:p>
          <w:pPr>
            <w:pStyle w:val="8"/>
            <w:tabs>
              <w:tab w:val="right" w:leader="dot" w:pos="14912"/>
            </w:tabs>
            <w:spacing w:line="240" w:lineRule="auto"/>
            <w:ind w:right="0"/>
            <w:jc w:val="left"/>
            <w:rPr>
              <w:rFonts w:hint="default" w:ascii="Times New Roman" w:hAnsi="Times New Roman" w:eastAsia="Times New Roman" w:cs="Times New Roman"/>
            </w:rPr>
          </w:pPr>
          <w:r>
            <w:fldChar w:fldCharType="begin"/>
          </w:r>
          <w:r>
            <w:instrText xml:space="preserve"> HYPERLINK \l "_TOC_250005" </w:instrText>
          </w:r>
          <w:r>
            <w:fldChar w:fldCharType="separate"/>
          </w:r>
          <w:r>
            <w:t>部门预算财政拨款收支总表</w:t>
          </w:r>
          <w:r>
            <w:rPr>
              <w:rFonts w:hint="default" w:ascii="Times New Roman" w:hAnsi="Times New Roman" w:eastAsia="Times New Roman" w:cs="Times New Roman"/>
            </w:rPr>
            <w:tab/>
          </w:r>
          <w:r>
            <w:rPr>
              <w:rFonts w:hint="default" w:ascii="Times New Roman" w:hAnsi="Times New Roman" w:eastAsia="Times New Roman" w:cs="Times New Roman"/>
            </w:rPr>
            <w:t>10</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"_TOC_250004" </w:instrText>
          </w:r>
          <w:r>
            <w:fldChar w:fldCharType="separate"/>
          </w:r>
          <w:r>
            <w:t>部门预算一般公共预算财政拨款支出表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13</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"_TOC_250003" </w:instrText>
          </w:r>
          <w:r>
            <w:fldChar w:fldCharType="separate"/>
          </w:r>
          <w:r>
            <w:t>部门预算一般公共预算财政拨款基本支出表</w:t>
          </w:r>
          <w:r>
            <w:rPr>
              <w:rFonts w:hint="default" w:ascii="Times New Roman" w:hAnsi="Times New Roman" w:eastAsia="Times New Roman" w:cs="Times New Roman"/>
            </w:rPr>
            <w:tab/>
          </w:r>
          <w:r>
            <w:rPr>
              <w:rFonts w:hint="default" w:ascii="Times New Roman" w:hAnsi="Times New Roman" w:eastAsia="Times New Roman" w:cs="Times New Roman"/>
            </w:rPr>
            <w:t>16</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"_TOC_250002" </w:instrText>
          </w:r>
          <w:r>
            <w:fldChar w:fldCharType="separate"/>
          </w:r>
          <w:r>
            <w:t>部门预算政府基金预算财政拨款支出表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18</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"_TOC_250001" </w:instrText>
          </w:r>
          <w:r>
            <w:fldChar w:fldCharType="separate"/>
          </w:r>
          <w:r>
            <w:t>部门预算国有资本经营预算财政拨款支出表</w:t>
          </w:r>
          <w:r>
            <w:rPr>
              <w:rFonts w:hint="default" w:ascii="Times New Roman" w:hAnsi="Times New Roman" w:eastAsia="Times New Roman" w:cs="Times New Roman"/>
            </w:rPr>
            <w:tab/>
          </w:r>
          <w:r>
            <w:rPr>
              <w:rFonts w:hint="default" w:ascii="Times New Roman" w:hAnsi="Times New Roman" w:eastAsia="Times New Roman" w:cs="Times New Roman"/>
            </w:rPr>
            <w:t>19</w:t>
          </w:r>
          <w:r>
            <w:rPr>
              <w:rFonts w:hint="default" w:ascii="Times New Roman" w:hAnsi="Times New Roman" w:eastAsia="Times New Roman" w:cs="Times New Roman"/>
            </w:rPr>
            <w:fldChar w:fldCharType="end"/>
          </w:r>
        </w:p>
        <w:p>
          <w:pPr>
            <w:pStyle w:val="8"/>
            <w:tabs>
              <w:tab w:val="right" w:leader="dot" w:pos="14913"/>
            </w:tabs>
            <w:spacing w:line="240" w:lineRule="auto"/>
            <w:ind w:right="0"/>
            <w:jc w:val="left"/>
            <w:rPr>
              <w:rFonts w:hint="default" w:ascii="Times New Roman" w:hAnsi="Times New Roman" w:eastAsia="Times New Roman" w:cs="Times New Roman"/>
            </w:rPr>
          </w:pPr>
          <w:r>
            <w:fldChar w:fldCharType="begin"/>
          </w:r>
          <w:r>
            <w:instrText xml:space="preserve"> HYPERLINK \l "_TOC_250000" </w:instrText>
          </w:r>
          <w:r>
            <w:fldChar w:fldCharType="separate"/>
          </w:r>
          <w:r>
            <w:t>部门预算财政拨款“三公”经费支出表</w:t>
          </w:r>
          <w:r>
            <w:rPr>
              <w:rFonts w:hint="default" w:ascii="Times New Roman" w:hAnsi="Times New Roman" w:eastAsia="Times New Roman" w:cs="Times New Roman"/>
            </w:rPr>
            <w:tab/>
          </w:r>
          <w:r>
            <w:rPr>
              <w:rFonts w:hint="default" w:ascii="Times New Roman" w:hAnsi="Times New Roman" w:eastAsia="Times New Roman" w:cs="Times New Roman"/>
            </w:rPr>
            <w:t>20</w:t>
          </w:r>
          <w:r>
            <w:rPr>
              <w:rFonts w:hint="default" w:ascii="Times New Roman" w:hAnsi="Times New Roman" w:eastAsia="Times New Roman" w:cs="Times New Roman"/>
            </w:rPr>
            <w:fldChar w:fldCharType="end"/>
          </w:r>
        </w:p>
        <w:p>
          <w:pPr>
            <w:pStyle w:val="7"/>
            <w:spacing w:line="240" w:lineRule="auto"/>
            <w:ind w:right="0"/>
            <w:jc w:val="left"/>
            <w:rPr>
              <w:b w:val="0"/>
              <w:bCs w:val="0"/>
            </w:rPr>
          </w:pPr>
          <w:r>
            <w:t>部门预算信息公开情况说明</w:t>
          </w:r>
        </w:p>
      </w:sdtContent>
    </w:sdt>
    <w:p>
      <w:pPr>
        <w:spacing w:after="0" w:line="240" w:lineRule="auto"/>
        <w:jc w:val="left"/>
        <w:sectPr>
          <w:type w:val="continuous"/>
          <w:pgSz w:w="16840" w:h="11910" w:orient="landscape"/>
          <w:pgMar w:top="1100" w:right="920" w:bottom="280" w:left="900" w:header="720" w:footer="720" w:gutter="0"/>
          <w:cols w:space="720" w:num="1"/>
        </w:sectPr>
      </w:pPr>
    </w:p>
    <w:p>
      <w:pPr>
        <w:pStyle w:val="6"/>
        <w:tabs>
          <w:tab w:val="right" w:leader="dot" w:pos="14472"/>
        </w:tabs>
        <w:spacing w:before="541" w:line="240" w:lineRule="auto"/>
        <w:ind w:left="104" w:right="0"/>
        <w:jc w:val="left"/>
        <w:rPr>
          <w:rFonts w:hint="default" w:ascii="Times New Roman" w:hAnsi="Times New Roman" w:eastAsia="Times New Roman" w:cs="Times New Roman"/>
        </w:rPr>
      </w:pPr>
      <w:r>
        <w:t>一、部门职责及机构设置情况</w:t>
      </w:r>
      <w:r>
        <w:rPr>
          <w:rFonts w:hint="default" w:ascii="Times New Roman" w:hAnsi="Times New Roman" w:eastAsia="Times New Roman" w:cs="Times New Roman"/>
        </w:rPr>
        <w:tab/>
      </w:r>
      <w:r>
        <w:rPr>
          <w:rFonts w:hint="default" w:ascii="Times New Roman" w:hAnsi="Times New Roman" w:eastAsia="Times New Roman" w:cs="Times New Roman"/>
        </w:rPr>
        <w:t>21</w:t>
      </w:r>
    </w:p>
    <w:p>
      <w:pPr>
        <w:pStyle w:val="6"/>
        <w:tabs>
          <w:tab w:val="right" w:leader="dot" w:pos="14472"/>
        </w:tabs>
        <w:spacing w:before="210" w:line="240" w:lineRule="auto"/>
        <w:ind w:left="104" w:right="0"/>
        <w:jc w:val="left"/>
        <w:rPr>
          <w:rFonts w:hint="default" w:ascii="Times New Roman" w:hAnsi="Times New Roman" w:eastAsia="Times New Roman" w:cs="Times New Roman"/>
        </w:rPr>
      </w:pPr>
      <w:r>
        <w:t>二、部门预算安排的总体情况</w:t>
      </w:r>
      <w:r>
        <w:rPr>
          <w:rFonts w:hint="default" w:ascii="Times New Roman" w:hAnsi="Times New Roman" w:eastAsia="Times New Roman" w:cs="Times New Roman"/>
        </w:rPr>
        <w:tab/>
      </w:r>
      <w:r>
        <w:rPr>
          <w:rFonts w:hint="default" w:ascii="Times New Roman" w:hAnsi="Times New Roman" w:eastAsia="Times New Roman" w:cs="Times New Roman"/>
        </w:rPr>
        <w:t>22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三、机关运行经费安排情况</w:t>
      </w:r>
      <w:r>
        <w:rPr>
          <w:rFonts w:hint="default" w:ascii="Times New Roman" w:hAnsi="Times New Roman" w:eastAsia="Times New Roman" w:cs="Times New Roman"/>
        </w:rPr>
        <w:tab/>
      </w:r>
      <w:r>
        <w:rPr>
          <w:rFonts w:hint="default" w:ascii="Times New Roman" w:hAnsi="Times New Roman" w:eastAsia="Times New Roman" w:cs="Times New Roman"/>
        </w:rPr>
        <w:t>23</w:t>
      </w:r>
    </w:p>
    <w:p>
      <w:pPr>
        <w:pStyle w:val="6"/>
        <w:tabs>
          <w:tab w:val="right" w:leader="dot" w:pos="14471"/>
        </w:tabs>
        <w:spacing w:before="212" w:line="240" w:lineRule="auto"/>
        <w:ind w:left="104" w:right="0"/>
        <w:jc w:val="left"/>
        <w:rPr>
          <w:rFonts w:hint="default" w:ascii="Times New Roman" w:hAnsi="Times New Roman" w:eastAsia="Times New Roman" w:cs="Times New Roman"/>
        </w:rPr>
      </w:pPr>
      <w:r>
        <w:t>四、财政拨款</w:t>
      </w:r>
      <w:r>
        <w:rPr>
          <w:rFonts w:hint="default" w:ascii="宋体" w:hAnsi="宋体" w:eastAsia="宋体" w:cs="宋体"/>
        </w:rPr>
        <w:t>“</w:t>
      </w:r>
      <w:r>
        <w:t>三公</w:t>
      </w:r>
      <w:r>
        <w:rPr>
          <w:rFonts w:hint="default" w:ascii="宋体" w:hAnsi="宋体" w:eastAsia="宋体" w:cs="宋体"/>
        </w:rPr>
        <w:t>”</w:t>
      </w:r>
      <w:r>
        <w:t>经费预算情况及增减变化原因</w:t>
      </w:r>
      <w:r>
        <w:rPr>
          <w:rFonts w:hint="default" w:ascii="Times New Roman" w:hAnsi="Times New Roman" w:eastAsia="Times New Roman" w:cs="Times New Roman"/>
        </w:rPr>
        <w:tab/>
      </w:r>
      <w:r>
        <w:rPr>
          <w:rFonts w:hint="default" w:ascii="Times New Roman" w:hAnsi="Times New Roman" w:eastAsia="Times New Roman" w:cs="Times New Roman"/>
        </w:rPr>
        <w:t>24</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五、预算绩效信息</w:t>
      </w:r>
      <w:r>
        <w:rPr>
          <w:rFonts w:hint="default" w:ascii="Times New Roman" w:hAnsi="Times New Roman" w:eastAsia="Times New Roman" w:cs="Times New Roman"/>
        </w:rPr>
        <w:tab/>
      </w:r>
      <w:r>
        <w:rPr>
          <w:rFonts w:hint="default" w:ascii="Times New Roman" w:hAnsi="Times New Roman" w:eastAsia="Times New Roman" w:cs="Times New Roman"/>
        </w:rPr>
        <w:t>24</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六、政府采购预算情况</w:t>
      </w:r>
      <w:r>
        <w:rPr>
          <w:rFonts w:hint="default" w:ascii="Times New Roman" w:hAnsi="Times New Roman" w:eastAsia="Times New Roman" w:cs="Times New Roman"/>
        </w:rPr>
        <w:tab/>
      </w:r>
      <w:r>
        <w:rPr>
          <w:rFonts w:hint="default" w:ascii="Times New Roman" w:hAnsi="Times New Roman" w:eastAsia="Times New Roman" w:cs="Times New Roman"/>
        </w:rPr>
        <w:t>41</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七、国有资产信息</w:t>
      </w:r>
      <w:r>
        <w:rPr>
          <w:rFonts w:hint="default" w:ascii="Times New Roman" w:hAnsi="Times New Roman" w:eastAsia="Times New Roman" w:cs="Times New Roman"/>
        </w:rPr>
        <w:tab/>
      </w:r>
      <w:r>
        <w:rPr>
          <w:rFonts w:hint="default" w:ascii="Times New Roman" w:hAnsi="Times New Roman" w:eastAsia="Times New Roman" w:cs="Times New Roman"/>
        </w:rPr>
        <w:t>42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八、名词解释</w:t>
      </w:r>
      <w:r>
        <w:rPr>
          <w:rFonts w:hint="default" w:ascii="Times New Roman" w:hAnsi="Times New Roman" w:eastAsia="Times New Roman" w:cs="Times New Roman"/>
        </w:rPr>
        <w:tab/>
      </w:r>
      <w:r>
        <w:rPr>
          <w:rFonts w:hint="default" w:ascii="Times New Roman" w:hAnsi="Times New Roman" w:eastAsia="Times New Roman" w:cs="Times New Roman"/>
        </w:rPr>
        <w:t>42</w:t>
      </w:r>
    </w:p>
    <w:p>
      <w:pPr>
        <w:pStyle w:val="6"/>
        <w:tabs>
          <w:tab w:val="right" w:leader="dot" w:pos="14472"/>
        </w:tabs>
        <w:spacing w:before="212" w:line="240" w:lineRule="auto"/>
        <w:ind w:left="104" w:right="0"/>
        <w:jc w:val="left"/>
        <w:rPr>
          <w:rFonts w:hint="default" w:ascii="Times New Roman" w:hAnsi="Times New Roman" w:eastAsia="Times New Roman" w:cs="Times New Roman"/>
        </w:rPr>
      </w:pPr>
      <w:r>
        <w:t>九、其他需要说明的事项</w:t>
      </w:r>
      <w:r>
        <w:rPr>
          <w:rFonts w:hint="default" w:ascii="Times New Roman" w:hAnsi="Times New Roman" w:eastAsia="Times New Roman" w:cs="Times New Roman"/>
        </w:rPr>
        <w:tab/>
      </w:r>
      <w:r>
        <w:rPr>
          <w:rFonts w:hint="default" w:ascii="Times New Roman" w:hAnsi="Times New Roman" w:eastAsia="Times New Roman" w:cs="Times New Roman"/>
        </w:rPr>
        <w:t>43</w:t>
      </w:r>
    </w:p>
    <w:p>
      <w:pPr>
        <w:spacing w:after="0" w:line="240" w:lineRule="auto"/>
        <w:jc w:val="left"/>
        <w:rPr>
          <w:rFonts w:hint="default" w:ascii="Times New Roman" w:hAnsi="Times New Roman" w:eastAsia="Times New Roman" w:cs="Times New Roman"/>
        </w:rPr>
        <w:sectPr>
          <w:pgSz w:w="16840" w:h="11910" w:orient="landscape"/>
          <w:pgMar w:top="1100" w:right="920" w:bottom="280" w:left="1340" w:header="720" w:footer="720" w:gutter="0"/>
          <w:cols w:space="720" w:num="1"/>
        </w:sectPr>
      </w:pPr>
    </w:p>
    <w:p>
      <w:pPr>
        <w:spacing w:before="0" w:line="240" w:lineRule="auto"/>
        <w:ind w:right="0"/>
        <w:rPr>
          <w:rFonts w:hint="default" w:ascii="Times New Roman" w:hAnsi="Times New Roman" w:eastAsia="Times New Roman" w:cs="Times New Roman"/>
          <w:sz w:val="72"/>
          <w:szCs w:val="72"/>
        </w:rPr>
      </w:pPr>
    </w:p>
    <w:p>
      <w:pPr>
        <w:spacing w:before="0" w:line="240" w:lineRule="auto"/>
        <w:ind w:right="0"/>
        <w:rPr>
          <w:rFonts w:hint="default" w:ascii="Times New Roman" w:hAnsi="Times New Roman" w:eastAsia="Times New Roman" w:cs="Times New Roman"/>
          <w:sz w:val="72"/>
          <w:szCs w:val="72"/>
        </w:rPr>
      </w:pPr>
    </w:p>
    <w:p>
      <w:pPr>
        <w:spacing w:before="0" w:line="240" w:lineRule="auto"/>
        <w:ind w:right="0"/>
        <w:rPr>
          <w:rFonts w:hint="default" w:ascii="Times New Roman" w:hAnsi="Times New Roman" w:eastAsia="Times New Roman" w:cs="Times New Roman"/>
          <w:sz w:val="72"/>
          <w:szCs w:val="72"/>
        </w:rPr>
      </w:pPr>
    </w:p>
    <w:p>
      <w:pPr>
        <w:spacing w:before="7" w:line="240" w:lineRule="auto"/>
        <w:ind w:right="0"/>
        <w:rPr>
          <w:rFonts w:hint="default" w:ascii="Times New Roman" w:hAnsi="Times New Roman" w:eastAsia="Times New Roman" w:cs="Times New Roman"/>
          <w:sz w:val="71"/>
          <w:szCs w:val="71"/>
        </w:rPr>
      </w:pPr>
    </w:p>
    <w:p>
      <w:pPr>
        <w:tabs>
          <w:tab w:val="left" w:pos="6358"/>
        </w:tabs>
        <w:spacing w:before="0"/>
        <w:ind w:left="2759" w:right="0" w:firstLine="0"/>
        <w:jc w:val="left"/>
        <w:rPr>
          <w:rFonts w:hint="default" w:ascii="方正小标宋繁体" w:hAnsi="方正小标宋繁体" w:eastAsia="方正小标宋繁体" w:cs="方正小标宋繁体"/>
          <w:sz w:val="72"/>
          <w:szCs w:val="72"/>
        </w:rPr>
      </w:pPr>
      <w:r>
        <w:rPr>
          <w:rFonts w:hint="default" w:ascii="方正小标宋繁体" w:hAnsi="方正小标宋繁体" w:eastAsia="方正小标宋繁体" w:cs="方正小标宋繁体"/>
          <w:sz w:val="72"/>
          <w:szCs w:val="72"/>
        </w:rPr>
        <w:t>第一部分</w:t>
      </w:r>
      <w:r>
        <w:rPr>
          <w:rFonts w:hint="default" w:ascii="方正小标宋繁体" w:hAnsi="方正小标宋繁体" w:eastAsia="方正小标宋繁体" w:cs="方正小标宋繁体"/>
          <w:sz w:val="72"/>
          <w:szCs w:val="72"/>
        </w:rPr>
        <w:tab/>
      </w:r>
      <w:r>
        <w:rPr>
          <w:rFonts w:hint="default" w:ascii="方正小标宋繁体" w:hAnsi="方正小标宋繁体" w:eastAsia="方正小标宋繁体" w:cs="方正小标宋繁体"/>
          <w:sz w:val="72"/>
          <w:szCs w:val="72"/>
        </w:rPr>
        <w:t>部门预算</w:t>
      </w:r>
    </w:p>
    <w:p>
      <w:pPr>
        <w:spacing w:after="0"/>
        <w:jc w:val="left"/>
        <w:rPr>
          <w:rFonts w:hint="default" w:ascii="方正小标宋繁体" w:hAnsi="方正小标宋繁体" w:eastAsia="方正小标宋繁体" w:cs="方正小标宋繁体"/>
          <w:sz w:val="72"/>
          <w:szCs w:val="72"/>
        </w:rPr>
        <w:sectPr>
          <w:footerReference r:id="rId5" w:type="default"/>
          <w:footerReference r:id="rId6" w:type="even"/>
          <w:pgSz w:w="16840" w:h="11910" w:orient="landscape"/>
          <w:pgMar w:top="1100" w:right="920" w:bottom="1160" w:left="2420" w:header="0" w:footer="977" w:gutter="0"/>
          <w:cols w:space="720" w:num="1"/>
        </w:sectPr>
      </w:pPr>
    </w:p>
    <w:p>
      <w:pPr>
        <w:spacing w:before="5" w:line="240" w:lineRule="auto"/>
        <w:ind w:right="0"/>
        <w:rPr>
          <w:rFonts w:hint="default" w:ascii="Times New Roman" w:hAnsi="Times New Roman" w:eastAsia="Times New Roman" w:cs="Times New Roman"/>
          <w:sz w:val="17"/>
          <w:szCs w:val="17"/>
        </w:rPr>
      </w:pPr>
    </w:p>
    <w:p>
      <w:pPr>
        <w:spacing w:after="0" w:line="240" w:lineRule="auto"/>
        <w:rPr>
          <w:rFonts w:hint="default" w:ascii="Times New Roman" w:hAnsi="Times New Roman" w:eastAsia="Times New Roman" w:cs="Times New Roman"/>
          <w:sz w:val="17"/>
          <w:szCs w:val="17"/>
        </w:rPr>
        <w:sectPr>
          <w:pgSz w:w="16840" w:h="11910" w:orient="landscape"/>
          <w:pgMar w:top="1100" w:right="2420" w:bottom="1120" w:left="900" w:header="0" w:footer="937" w:gutter="0"/>
          <w:cols w:space="720" w:num="1"/>
        </w:sectPr>
      </w:pPr>
    </w:p>
    <w:p>
      <w:pPr>
        <w:spacing w:before="7" w:line="240" w:lineRule="auto"/>
        <w:ind w:right="0"/>
        <w:rPr>
          <w:rFonts w:hint="default" w:ascii="Times New Roman" w:hAnsi="Times New Roman" w:eastAsia="Times New Roman" w:cs="Times New Roman"/>
          <w:sz w:val="26"/>
          <w:szCs w:val="26"/>
        </w:rPr>
      </w:pPr>
    </w:p>
    <w:p>
      <w:pPr>
        <w:pStyle w:val="3"/>
        <w:spacing w:line="477" w:lineRule="exact"/>
        <w:ind w:right="299"/>
        <w:jc w:val="center"/>
      </w:pPr>
      <w:bookmarkStart w:id="0" w:name="_TOC_250008"/>
      <w:bookmarkEnd w:id="0"/>
      <w:r>
        <w:t>部门预算收支总表</w:t>
      </w:r>
    </w:p>
    <w:p>
      <w:pPr>
        <w:tabs>
          <w:tab w:val="left" w:pos="5499"/>
          <w:tab w:val="left" w:pos="12755"/>
        </w:tabs>
        <w:spacing w:before="82" w:after="25"/>
        <w:ind w:left="0" w:right="299"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5" w:type="dxa"/>
        <w:tblLayout w:type="fixed"/>
        <w:tblCellMar>
          <w:top w:w="0" w:type="dxa"/>
          <w:left w:w="0" w:type="dxa"/>
          <w:bottom w:w="0" w:type="dxa"/>
          <w:right w:w="0" w:type="dxa"/>
        </w:tblCellMar>
      </w:tblPr>
      <w:tblGrid>
        <w:gridCol w:w="850"/>
        <w:gridCol w:w="4535"/>
        <w:gridCol w:w="2126"/>
        <w:gridCol w:w="4535"/>
        <w:gridCol w:w="2126"/>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938.96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一、一般公共服务支出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428.80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二、外交支出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三、国防支出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四、公共安全支出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五、事业收入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五、教育支出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六、事业单位经营收入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六、科学技术支出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七、上级补助收入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八、附属单位上缴收入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八、社会保障和就业支出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120.10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九、其他收入</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九、社会保险基金支出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十、卫生健康支出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十一、节能环保支出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十二、城乡社区支出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十三、农林水支出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221.23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十四、交通运输支出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十六、商业服务业等支出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十七、金融支出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十八、援助其他地区支出</w:t>
            </w:r>
          </w:p>
        </w:tc>
        <w:tc>
          <w:tcPr>
            <w:tcW w:w="2126"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22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040"/>
          <w:tab w:val="left" w:pos="13296"/>
        </w:tabs>
        <w:spacing w:before="0" w:after="25" w:line="351" w:lineRule="exact"/>
        <w:ind w:left="5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425" w:type="dxa"/>
        <w:tblLayout w:type="fixed"/>
        <w:tblCellMar>
          <w:top w:w="0" w:type="dxa"/>
          <w:left w:w="0" w:type="dxa"/>
          <w:bottom w:w="0" w:type="dxa"/>
          <w:right w:w="0" w:type="dxa"/>
        </w:tblCellMar>
      </w:tblPr>
      <w:tblGrid>
        <w:gridCol w:w="850"/>
        <w:gridCol w:w="4535"/>
        <w:gridCol w:w="2126"/>
        <w:gridCol w:w="4535"/>
        <w:gridCol w:w="2126"/>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666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c>
          <w:tcPr>
            <w:tcW w:w="4535" w:type="dxa"/>
            <w:tcBorders>
              <w:top w:val="single" w:color="000000" w:sz="6" w:space="0"/>
              <w:left w:val="single" w:color="000000" w:sz="6" w:space="0"/>
              <w:bottom w:val="single" w:color="000000" w:sz="6" w:space="0"/>
              <w:right w:val="single" w:color="000000" w:sz="6" w:space="0"/>
            </w:tcBorders>
          </w:tcPr>
          <w:p>
            <w:pPr>
              <w:pStyle w:val="13"/>
              <w:tabs>
                <w:tab w:val="left" w:pos="423"/>
              </w:tabs>
              <w:spacing w:before="29"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预算数</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二十、住房保障支出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二十四、预备费</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二十五、其他支出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二十六、转移性支出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二十七、债务还本支出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二十八、债务付息支出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4535" w:type="dxa"/>
            <w:tcBorders>
              <w:top w:val="single" w:color="000000" w:sz="6" w:space="0"/>
              <w:left w:val="single" w:color="000000" w:sz="6"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本年收入合计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本年支出合计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b/>
                <w:w w:val="95"/>
                <w:sz w:val="21"/>
              </w:rPr>
              <w:t>994.95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上年结转结余</w:t>
            </w:r>
          </w:p>
        </w:tc>
        <w:tc>
          <w:tcPr>
            <w:tcW w:w="2126"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年终结转结余</w:t>
            </w:r>
          </w:p>
        </w:tc>
        <w:tc>
          <w:tcPr>
            <w:tcW w:w="212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支出总计</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b/>
                <w:w w:val="95"/>
                <w:sz w:val="21"/>
              </w:rPr>
              <w:t>994.95</w:t>
            </w:r>
          </w:p>
        </w:tc>
      </w:tr>
    </w:tbl>
    <w:p>
      <w:pPr>
        <w:spacing w:after="0" w:line="240" w:lineRule="auto"/>
        <w:jc w:val="right"/>
        <w:rPr>
          <w:rFonts w:hint="default" w:ascii="宋体" w:hAnsi="宋体" w:eastAsia="宋体" w:cs="宋体"/>
          <w:sz w:val="21"/>
          <w:szCs w:val="21"/>
        </w:rPr>
        <w:sectPr>
          <w:pgSz w:w="16840" w:h="11910" w:orient="landscape"/>
          <w:pgMar w:top="1100" w:right="1220" w:bottom="1120" w:left="900" w:header="0" w:footer="93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99"/>
        <w:jc w:val="center"/>
      </w:pPr>
      <w:bookmarkStart w:id="1" w:name="_TOC_250007"/>
      <w:bookmarkEnd w:id="1"/>
      <w:r>
        <w:t>部门预算收入总表</w:t>
      </w:r>
    </w:p>
    <w:p>
      <w:pPr>
        <w:tabs>
          <w:tab w:val="left" w:pos="6251"/>
          <w:tab w:val="left" w:pos="13155"/>
        </w:tabs>
        <w:spacing w:before="82" w:after="25"/>
        <w:ind w:left="0" w:right="9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991" w:type="dxa"/>
            <w:tcBorders>
              <w:top w:val="single" w:color="000000" w:sz="6" w:space="0"/>
              <w:left w:val="single" w:color="000000" w:sz="6" w:space="0"/>
              <w:bottom w:val="single" w:color="000000" w:sz="6" w:space="0"/>
              <w:right w:val="single" w:color="000000" w:sz="6" w:space="0"/>
            </w:tcBorders>
          </w:tcP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一般公共服务 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428.80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2010102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20103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政府办公厅</w:t>
            </w:r>
          </w:p>
          <w:p>
            <w:pPr>
              <w:pStyle w:val="13"/>
              <w:spacing w:before="25"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（室）及相关 机构事务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425.80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281.71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281.71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281.71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2010302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9.60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131.49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131.49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131.49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2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0"/>
              <w:jc w:val="center"/>
              <w:rPr>
                <w:rFonts w:hint="default" w:ascii="宋体" w:hAnsi="宋体" w:eastAsia="宋体" w:cs="宋体"/>
                <w:sz w:val="21"/>
                <w:szCs w:val="21"/>
              </w:rPr>
            </w:pPr>
            <w:r>
              <w:rPr>
                <w:rFonts w:ascii="宋体"/>
                <w:sz w:val="21"/>
              </w:rPr>
              <w:t>10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left="100" w:right="0"/>
              <w:jc w:val="left"/>
              <w:rPr>
                <w:rFonts w:hint="default" w:ascii="宋体" w:hAnsi="宋体" w:eastAsia="宋体" w:cs="宋体"/>
                <w:sz w:val="21"/>
                <w:szCs w:val="21"/>
              </w:rPr>
            </w:pPr>
            <w:r>
              <w:rPr>
                <w:rFonts w:ascii="宋体"/>
                <w:sz w:val="21"/>
              </w:rPr>
              <w:t>2010399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其他政府办公 厅（室）及相 关机构事务支 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8" w:line="240" w:lineRule="auto"/>
              <w:ind w:right="0"/>
              <w:jc w:val="left"/>
              <w:rPr>
                <w:rFonts w:hint="default" w:ascii="方正小标宋繁体" w:hAnsi="方正小标宋繁体" w:eastAsia="方正小标宋繁体" w:cs="方正小标宋繁体"/>
                <w:sz w:val="28"/>
                <w:szCs w:val="28"/>
              </w:rPr>
            </w:pPr>
          </w:p>
          <w:p>
            <w:pPr>
              <w:pStyle w:val="13"/>
              <w:spacing w:line="240" w:lineRule="auto"/>
              <w:ind w:right="97"/>
              <w:jc w:val="right"/>
              <w:rPr>
                <w:rFonts w:hint="default" w:ascii="宋体" w:hAnsi="宋体" w:eastAsia="宋体" w:cs="宋体"/>
                <w:sz w:val="21"/>
                <w:szCs w:val="21"/>
              </w:rPr>
            </w:pPr>
            <w:r>
              <w:rPr>
                <w:rFonts w:ascii="宋体"/>
                <w:spacing w:val="-1"/>
                <w:sz w:val="21"/>
              </w:rPr>
              <w:t>2.00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2012902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footerReference r:id="rId7" w:type="default"/>
          <w:footerReference r:id="rId8" w:type="even"/>
          <w:pgSz w:w="16840" w:h="11910" w:orient="landscape"/>
          <w:pgMar w:top="1100" w:right="920" w:bottom="1160" w:left="1020" w:header="0" w:footer="977" w:gutter="0"/>
          <w:pgNumType w:start="3"/>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593"/>
          <w:tab w:val="left" w:pos="13497"/>
        </w:tabs>
        <w:spacing w:before="0" w:after="25" w:line="351" w:lineRule="exact"/>
        <w:ind w:left="3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2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13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20131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党委办公厅</w:t>
            </w:r>
          </w:p>
          <w:p>
            <w:pPr>
              <w:pStyle w:val="13"/>
              <w:spacing w:before="25"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（室）及相关 机构事务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2013102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15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社会保障和就 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120.10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20805</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行政事业单位 养老支出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108.07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17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2080501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行政单位离退 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4.27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18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2080502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事业单位离退 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7"/>
              <w:jc w:val="right"/>
              <w:rPr>
                <w:rFonts w:hint="default" w:ascii="宋体" w:hAnsi="宋体" w:eastAsia="宋体" w:cs="宋体"/>
                <w:sz w:val="21"/>
                <w:szCs w:val="21"/>
              </w:rPr>
            </w:pPr>
            <w:r>
              <w:rPr>
                <w:rFonts w:ascii="宋体"/>
                <w:spacing w:val="-1"/>
                <w:sz w:val="21"/>
              </w:rPr>
              <w:t>1.07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19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2080505</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机关事业单位 基本养老保险 缴费支出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85.53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20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2080506</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机关事业单位 职业年金缴费 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17.20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59.22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59.22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473"/>
          <w:tab w:val="left" w:pos="13377"/>
        </w:tabs>
        <w:spacing w:before="0" w:after="25" w:line="351" w:lineRule="exact"/>
        <w:ind w:left="22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25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2100408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基本公共卫生 服务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1.27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26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21011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行政事业单位 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57.52</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25.57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31.95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50.00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35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2110499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其他自然生态 保护支出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7"/>
              <w:jc w:val="right"/>
              <w:rPr>
                <w:rFonts w:hint="default" w:ascii="宋体" w:hAnsi="宋体" w:eastAsia="宋体" w:cs="宋体"/>
                <w:sz w:val="21"/>
                <w:szCs w:val="21"/>
              </w:rPr>
            </w:pPr>
            <w:r>
              <w:rPr>
                <w:rFonts w:ascii="宋体"/>
                <w:spacing w:val="-1"/>
                <w:sz w:val="21"/>
              </w:rPr>
              <w:t>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37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21208</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国有土地使用 权出让收入安 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9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0"/>
              <w:jc w:val="center"/>
              <w:rPr>
                <w:rFonts w:hint="default" w:ascii="宋体" w:hAnsi="宋体" w:eastAsia="宋体" w:cs="宋体"/>
                <w:sz w:val="21"/>
                <w:szCs w:val="21"/>
              </w:rPr>
            </w:pPr>
            <w:r>
              <w:rPr>
                <w:rFonts w:ascii="宋体"/>
                <w:sz w:val="21"/>
              </w:rPr>
              <w:t>38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00" w:right="0"/>
              <w:jc w:val="left"/>
              <w:rPr>
                <w:rFonts w:hint="default" w:ascii="宋体" w:hAnsi="宋体" w:eastAsia="宋体" w:cs="宋体"/>
                <w:sz w:val="21"/>
                <w:szCs w:val="21"/>
              </w:rPr>
            </w:pPr>
            <w:r>
              <w:rPr>
                <w:rFonts w:ascii="宋体"/>
                <w:sz w:val="21"/>
              </w:rPr>
              <w:t>2120899</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both"/>
              <w:rPr>
                <w:rFonts w:hint="default" w:ascii="宋体" w:hAnsi="宋体" w:eastAsia="宋体" w:cs="宋体"/>
                <w:sz w:val="21"/>
                <w:szCs w:val="21"/>
              </w:rPr>
            </w:pPr>
            <w:r>
              <w:rPr>
                <w:rFonts w:hint="default" w:ascii="宋体" w:hAnsi="宋体" w:eastAsia="宋体" w:cs="宋体"/>
                <w:sz w:val="21"/>
                <w:szCs w:val="21"/>
              </w:rPr>
              <w:t>其他国有土地 使用权出让收 入安排的支出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98"/>
              <w:jc w:val="right"/>
              <w:rPr>
                <w:rFonts w:hint="default" w:ascii="宋体" w:hAnsi="宋体" w:eastAsia="宋体" w:cs="宋体"/>
                <w:sz w:val="21"/>
                <w:szCs w:val="21"/>
              </w:rPr>
            </w:pPr>
            <w:r>
              <w:rPr>
                <w:rFonts w:ascii="宋体"/>
                <w:spacing w:val="-1"/>
                <w:sz w:val="21"/>
              </w:rPr>
              <w:t>55.99</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2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593"/>
          <w:tab w:val="left" w:pos="13497"/>
        </w:tabs>
        <w:spacing w:before="0" w:after="25" w:line="351" w:lineRule="exact"/>
        <w:ind w:left="341"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26" w:type="dxa"/>
        <w:tblLayout w:type="fixed"/>
        <w:tblCellMar>
          <w:top w:w="0" w:type="dxa"/>
          <w:left w:w="0" w:type="dxa"/>
          <w:bottom w:w="0" w:type="dxa"/>
          <w:right w:w="0" w:type="dxa"/>
        </w:tblCellMar>
      </w:tblPr>
      <w:tblGrid>
        <w:gridCol w:w="680"/>
        <w:gridCol w:w="991"/>
        <w:gridCol w:w="1560"/>
        <w:gridCol w:w="1134"/>
        <w:gridCol w:w="1134"/>
        <w:gridCol w:w="1134"/>
        <w:gridCol w:w="1134"/>
        <w:gridCol w:w="1134"/>
        <w:gridCol w:w="1134"/>
        <w:gridCol w:w="1134"/>
        <w:gridCol w:w="1134"/>
        <w:gridCol w:w="1134"/>
        <w:gridCol w:w="1134"/>
      </w:tblGrid>
      <w:tr>
        <w:tblPrEx>
          <w:tblCellMar>
            <w:top w:w="0" w:type="dxa"/>
            <w:left w:w="0" w:type="dxa"/>
            <w:bottom w:w="0" w:type="dxa"/>
            <w:right w:w="0" w:type="dxa"/>
          </w:tblCellMar>
        </w:tblPrEx>
        <w:trPr>
          <w:trHeight w:val="384" w:hRule="exact"/>
        </w:trPr>
        <w:tc>
          <w:tcPr>
            <w:tcW w:w="68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22"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2551"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635" w:right="0"/>
              <w:jc w:val="left"/>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9072" w:type="dxa"/>
            <w:gridSpan w:val="8"/>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本年收入</w:t>
            </w:r>
          </w:p>
        </w:tc>
        <w:tc>
          <w:tcPr>
            <w:tcW w:w="1134"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上年结转</w:t>
            </w:r>
          </w:p>
        </w:tc>
      </w:tr>
      <w:tr>
        <w:tblPrEx>
          <w:tblCellMar>
            <w:top w:w="0" w:type="dxa"/>
            <w:left w:w="0" w:type="dxa"/>
            <w:bottom w:w="0" w:type="dxa"/>
            <w:right w:w="0" w:type="dxa"/>
          </w:tblCellMar>
        </w:tblPrEx>
        <w:trPr>
          <w:trHeight w:val="616" w:hRule="exact"/>
        </w:trPr>
        <w:tc>
          <w:tcPr>
            <w:tcW w:w="680" w:type="dxa"/>
            <w:vMerge w:val="continue"/>
            <w:tcBorders>
              <w:left w:val="single" w:color="000000" w:sz="6" w:space="0"/>
              <w:bottom w:val="single" w:color="000000" w:sz="6" w:space="0"/>
              <w:right w:val="single" w:color="000000" w:sz="6" w:space="0"/>
            </w:tcBorders>
          </w:tcPr>
          <w:p/>
        </w:tc>
        <w:tc>
          <w:tcPr>
            <w:tcW w:w="991"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4"/>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50" w:right="0"/>
              <w:jc w:val="left"/>
              <w:rPr>
                <w:rFonts w:hint="default" w:ascii="宋体" w:hAnsi="宋体" w:eastAsia="宋体" w:cs="宋体"/>
                <w:sz w:val="21"/>
                <w:szCs w:val="21"/>
              </w:rPr>
            </w:pPr>
            <w:r>
              <w:rPr>
                <w:rFonts w:hint="default" w:ascii="宋体" w:hAnsi="宋体" w:eastAsia="宋体" w:cs="宋体"/>
                <w:b/>
                <w:bCs/>
                <w:sz w:val="21"/>
                <w:szCs w:val="21"/>
              </w:rPr>
              <w:t>科目名称</w:t>
            </w:r>
          </w:p>
        </w:tc>
        <w:tc>
          <w:tcPr>
            <w:tcW w:w="1134"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小计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财政拨款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事业收入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经营收入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上级补助 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附属单位 上缴收入</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其他收入</w:t>
            </w:r>
          </w:p>
        </w:tc>
        <w:tc>
          <w:tcPr>
            <w:tcW w:w="1134"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4</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5</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7</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8</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9</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12</w:t>
            </w: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40</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41</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42</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43</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44</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w w:val="95"/>
                <w:sz w:val="21"/>
              </w:rPr>
              <w:t>38.61</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ascii="宋体"/>
                <w:sz w:val="21"/>
              </w:rPr>
              <w:t>45</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224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灾害防治及应 急管理支出</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98"/>
              <w:jc w:val="right"/>
              <w:rPr>
                <w:rFonts w:hint="default" w:ascii="宋体" w:hAnsi="宋体" w:eastAsia="宋体" w:cs="宋体"/>
                <w:sz w:val="21"/>
                <w:szCs w:val="21"/>
              </w:rPr>
            </w:pPr>
            <w:r>
              <w:rPr>
                <w:rFonts w:ascii="宋体"/>
                <w:spacing w:val="-1"/>
                <w:sz w:val="21"/>
              </w:rPr>
              <w:t>16.00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46</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47</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48</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616" w:hRule="exact"/>
        </w:trPr>
        <w:tc>
          <w:tcPr>
            <w:tcW w:w="680"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ascii="宋体"/>
                <w:sz w:val="21"/>
              </w:rPr>
              <w:t>49</w:t>
            </w:r>
          </w:p>
        </w:tc>
        <w:tc>
          <w:tcPr>
            <w:tcW w:w="99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ascii="宋体"/>
                <w:sz w:val="21"/>
              </w:rPr>
              <w:t>2240202</w:t>
            </w:r>
          </w:p>
        </w:tc>
        <w:tc>
          <w:tcPr>
            <w:tcW w:w="1560"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82"/>
              <w:jc w:val="left"/>
              <w:rPr>
                <w:rFonts w:hint="default" w:ascii="宋体" w:hAnsi="宋体" w:eastAsia="宋体" w:cs="宋体"/>
                <w:sz w:val="21"/>
                <w:szCs w:val="21"/>
              </w:rPr>
            </w:pPr>
            <w:r>
              <w:rPr>
                <w:rFonts w:hint="default" w:ascii="宋体" w:hAnsi="宋体" w:eastAsia="宋体" w:cs="宋体"/>
                <w:sz w:val="21"/>
                <w:szCs w:val="21"/>
              </w:rPr>
              <w:t>一般行政管理 事务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98"/>
              <w:jc w:val="right"/>
              <w:rPr>
                <w:rFonts w:hint="default" w:ascii="宋体" w:hAnsi="宋体" w:eastAsia="宋体" w:cs="宋体"/>
                <w:sz w:val="21"/>
                <w:szCs w:val="21"/>
              </w:rPr>
            </w:pPr>
            <w:r>
              <w:rPr>
                <w:rFonts w:ascii="宋体"/>
                <w:spacing w:val="-1"/>
                <w:sz w:val="21"/>
              </w:rPr>
              <w:t>15.00</w:t>
            </w: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119"/>
        <w:jc w:val="center"/>
      </w:pPr>
      <w:bookmarkStart w:id="2" w:name="_TOC_250006"/>
      <w:bookmarkEnd w:id="2"/>
      <w:r>
        <w:t>部门预算支出总表</w:t>
      </w:r>
    </w:p>
    <w:p>
      <w:pPr>
        <w:tabs>
          <w:tab w:val="left" w:pos="6789"/>
          <w:tab w:val="left" w:pos="13126"/>
        </w:tabs>
        <w:spacing w:before="82" w:after="25"/>
        <w:ind w:left="0" w:right="11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992" w:type="dxa"/>
            <w:tcBorders>
              <w:top w:val="single" w:color="000000" w:sz="6" w:space="0"/>
              <w:left w:val="single" w:color="000000" w:sz="6" w:space="0"/>
              <w:bottom w:val="single" w:color="000000" w:sz="6" w:space="0"/>
              <w:right w:val="single" w:color="000000" w:sz="6" w:space="0"/>
            </w:tcBorders>
          </w:tcP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850.66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144.29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一般公共服务支出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428.80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413.20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15.60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政府办公厅（室）及相关机构事务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425.80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413.20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281.71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281.71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9.60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9.60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131.49</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131.49</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2010399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其他政府办公厅（室）及相关机构事务支出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党委办公厅（室）及相关机构事务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社会保障和就业支出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行政事业单位养老支出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行政单位离退休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事业单位离退休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4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45"/>
          <w:tab w:val="left" w:pos="13482"/>
        </w:tabs>
        <w:spacing w:before="0" w:after="25" w:line="351" w:lineRule="exact"/>
        <w:ind w:left="356"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24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2080505</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85.53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2080506</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机关事业单位职业年金缴费支出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17.20</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12.03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59.22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57.52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基本公共卫生服务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1.27</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57.52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57.52</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25.57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25.57</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31.95</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31.95</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0.43</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50.00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50.00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其他自然生态保护支出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21208</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02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005"/>
          <w:tab w:val="left" w:pos="13342"/>
        </w:tabs>
        <w:spacing w:before="0" w:after="25" w:line="351" w:lineRule="exact"/>
        <w:ind w:left="216"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01" w:type="dxa"/>
        <w:tblLayout w:type="fixed"/>
        <w:tblCellMar>
          <w:top w:w="0" w:type="dxa"/>
          <w:left w:w="0" w:type="dxa"/>
          <w:bottom w:w="0" w:type="dxa"/>
          <w:right w:w="0" w:type="dxa"/>
        </w:tblCellMar>
      </w:tblPr>
      <w:tblGrid>
        <w:gridCol w:w="850"/>
        <w:gridCol w:w="992"/>
        <w:gridCol w:w="4535"/>
        <w:gridCol w:w="1361"/>
        <w:gridCol w:w="1361"/>
        <w:gridCol w:w="1361"/>
        <w:gridCol w:w="1362"/>
        <w:gridCol w:w="1361"/>
        <w:gridCol w:w="1361"/>
      </w:tblGrid>
      <w:tr>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52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基本支出</w:t>
            </w:r>
          </w:p>
        </w:tc>
        <w:tc>
          <w:tcPr>
            <w:tcW w:w="1361"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项目支出</w:t>
            </w:r>
          </w:p>
        </w:tc>
        <w:tc>
          <w:tcPr>
            <w:tcW w:w="1362"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50" w:right="0"/>
              <w:jc w:val="left"/>
              <w:rPr>
                <w:rFonts w:hint="default" w:ascii="宋体" w:hAnsi="宋体" w:eastAsia="宋体" w:cs="宋体"/>
                <w:sz w:val="21"/>
                <w:szCs w:val="21"/>
              </w:rPr>
            </w:pPr>
            <w:r>
              <w:rPr>
                <w:rFonts w:hint="default" w:ascii="宋体" w:hAnsi="宋体" w:eastAsia="宋体" w:cs="宋体"/>
                <w:b/>
                <w:bCs/>
                <w:sz w:val="21"/>
                <w:szCs w:val="21"/>
              </w:rPr>
              <w:t>经营支出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461" w:right="248" w:hanging="212"/>
              <w:jc w:val="left"/>
              <w:rPr>
                <w:rFonts w:hint="default" w:ascii="宋体" w:hAnsi="宋体" w:eastAsia="宋体" w:cs="宋体"/>
                <w:sz w:val="21"/>
                <w:szCs w:val="21"/>
              </w:rPr>
            </w:pPr>
            <w:r>
              <w:rPr>
                <w:rFonts w:hint="default" w:ascii="宋体" w:hAnsi="宋体" w:eastAsia="宋体" w:cs="宋体"/>
                <w:b/>
                <w:bCs/>
                <w:sz w:val="21"/>
                <w:szCs w:val="21"/>
              </w:rPr>
              <w:t>上解上级 支出</w:t>
            </w:r>
          </w:p>
        </w:tc>
        <w:tc>
          <w:tcPr>
            <w:tcW w:w="1361" w:type="dxa"/>
            <w:vMerge w:val="restart"/>
            <w:tcBorders>
              <w:top w:val="single" w:color="000000" w:sz="6" w:space="0"/>
              <w:left w:val="single" w:color="000000" w:sz="6" w:space="0"/>
              <w:right w:val="single" w:color="000000" w:sz="6" w:space="0"/>
            </w:tcBorders>
          </w:tcPr>
          <w:p>
            <w:pPr>
              <w:pStyle w:val="13"/>
              <w:spacing w:before="1" w:line="240" w:lineRule="auto"/>
              <w:ind w:right="0"/>
              <w:jc w:val="left"/>
              <w:rPr>
                <w:rFonts w:hint="default" w:ascii="方正小标宋繁体" w:hAnsi="方正小标宋繁体" w:eastAsia="方正小标宋繁体" w:cs="方正小标宋繁体"/>
                <w:sz w:val="12"/>
                <w:szCs w:val="12"/>
              </w:rPr>
            </w:pPr>
          </w:p>
          <w:p>
            <w:pPr>
              <w:pStyle w:val="13"/>
              <w:spacing w:line="261" w:lineRule="auto"/>
              <w:ind w:left="250" w:right="144" w:hanging="105"/>
              <w:jc w:val="left"/>
              <w:rPr>
                <w:rFonts w:hint="default" w:ascii="宋体" w:hAnsi="宋体" w:eastAsia="宋体" w:cs="宋体"/>
                <w:sz w:val="21"/>
                <w:szCs w:val="21"/>
              </w:rPr>
            </w:pPr>
            <w:r>
              <w:rPr>
                <w:rFonts w:hint="default" w:ascii="宋体" w:hAnsi="宋体" w:eastAsia="宋体" w:cs="宋体"/>
                <w:b/>
                <w:bCs/>
                <w:sz w:val="21"/>
                <w:szCs w:val="21"/>
              </w:rPr>
              <w:t>对附属单位 补助支出</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992" w:type="dxa"/>
            <w:tcBorders>
              <w:top w:val="single" w:color="000000" w:sz="6" w:space="0"/>
              <w:left w:val="single" w:color="000000" w:sz="6" w:space="0"/>
              <w:bottom w:val="single" w:color="000000" w:sz="6" w:space="0"/>
              <w:right w:val="single" w:color="000000" w:sz="6" w:space="0"/>
            </w:tcBorders>
          </w:tcPr>
          <w:p>
            <w:pPr>
              <w:pStyle w:val="13"/>
              <w:spacing w:line="261" w:lineRule="auto"/>
              <w:ind w:left="278" w:right="275"/>
              <w:jc w:val="left"/>
              <w:rPr>
                <w:rFonts w:hint="default" w:ascii="宋体" w:hAnsi="宋体" w:eastAsia="宋体" w:cs="宋体"/>
                <w:sz w:val="21"/>
                <w:szCs w:val="21"/>
              </w:rPr>
            </w:pPr>
            <w:r>
              <w:rPr>
                <w:rFonts w:hint="default" w:ascii="宋体" w:hAnsi="宋体" w:eastAsia="宋体" w:cs="宋体"/>
                <w:b/>
                <w:bCs/>
                <w:sz w:val="21"/>
                <w:szCs w:val="21"/>
              </w:rPr>
              <w:t>科目 编码</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2"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c>
          <w:tcPr>
            <w:tcW w:w="136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36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8</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2120899</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40</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41</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42</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43</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44</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1361" w:type="dxa"/>
            <w:tcBorders>
              <w:top w:val="single" w:color="000000" w:sz="6" w:space="0"/>
              <w:left w:val="single" w:color="000000" w:sz="6" w:space="0"/>
              <w:bottom w:val="single" w:color="000000" w:sz="6" w:space="0"/>
              <w:right w:val="single" w:color="000000" w:sz="6" w:space="0"/>
            </w:tcBorders>
          </w:tcP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45</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灾害防治及应急管理支出</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46</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47</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48</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49</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2240202</w:t>
            </w:r>
          </w:p>
        </w:tc>
        <w:tc>
          <w:tcPr>
            <w:tcW w:w="453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15.00</w:t>
            </w: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c>
          <w:tcPr>
            <w:tcW w:w="1362"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c>
          <w:tcPr>
            <w:tcW w:w="136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04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1"/>
        <w:jc w:val="center"/>
      </w:pPr>
      <w:bookmarkStart w:id="3" w:name="_TOC_250005"/>
      <w:bookmarkEnd w:id="3"/>
      <w:r>
        <w:t>部门预算财政拨款收支总表</w:t>
      </w:r>
    </w:p>
    <w:p>
      <w:pPr>
        <w:tabs>
          <w:tab w:val="left" w:pos="6478"/>
          <w:tab w:val="left" w:pos="13607"/>
        </w:tabs>
        <w:spacing w:before="82" w:after="25"/>
        <w:ind w:left="0" w:right="1"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一、一般公共预算拨款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938.96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一、一般公共服务支出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428.80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428.80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二、政府性基金预算拨款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二、外交支出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三、国防支出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四、公共安全支出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五、教育支出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六、科学技术支出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八、社会保障和就业支出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九、社会保险基金支出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十、卫生健康支出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59.22</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59.22</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十一、节能环保支出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55.00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55.00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十二、城乡社区支出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33" w:right="0"/>
              <w:jc w:val="left"/>
              <w:rPr>
                <w:rFonts w:hint="default" w:ascii="宋体" w:hAnsi="宋体" w:eastAsia="宋体" w:cs="宋体"/>
                <w:sz w:val="21"/>
                <w:szCs w:val="21"/>
              </w:rPr>
            </w:pPr>
            <w:r>
              <w:rPr>
                <w:rFonts w:ascii="宋体"/>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十三、农林水支出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十四、交通运输支出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十六、商业服务业等支出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十七、金融支出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713"/>
          <w:tab w:val="left" w:pos="13842"/>
        </w:tabs>
        <w:spacing w:before="0" w:after="25" w:line="351" w:lineRule="exact"/>
        <w:ind w:left="235"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十八、援助其他地区支出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二十、住房保障支出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38.61</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38.61</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16.00</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16.00</w:t>
            </w: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二十四、预备费</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二十五、其他支出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二十六、转移性支出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二十七、债务还本支出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二十八、债务付息支出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3402"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31</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60" w:right="0"/>
              <w:jc w:val="left"/>
              <w:rPr>
                <w:rFonts w:hint="default" w:ascii="宋体" w:hAnsi="宋体" w:eastAsia="宋体" w:cs="宋体"/>
                <w:sz w:val="21"/>
                <w:szCs w:val="21"/>
              </w:rPr>
            </w:pPr>
            <w:r>
              <w:rPr>
                <w:rFonts w:hint="default" w:ascii="宋体" w:hAnsi="宋体" w:eastAsia="宋体" w:cs="宋体"/>
                <w:b/>
                <w:bCs/>
                <w:sz w:val="21"/>
                <w:szCs w:val="21"/>
              </w:rPr>
              <w:t>本年收入合计</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60" w:right="0"/>
              <w:jc w:val="left"/>
              <w:rPr>
                <w:rFonts w:hint="default" w:ascii="宋体" w:hAnsi="宋体" w:eastAsia="宋体" w:cs="宋体"/>
                <w:sz w:val="21"/>
                <w:szCs w:val="21"/>
              </w:rPr>
            </w:pPr>
            <w:r>
              <w:rPr>
                <w:rFonts w:hint="default" w:ascii="宋体" w:hAnsi="宋体" w:eastAsia="宋体" w:cs="宋体"/>
                <w:b/>
                <w:bCs/>
                <w:sz w:val="21"/>
                <w:szCs w:val="21"/>
              </w:rPr>
              <w:t>本年支出合计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994.95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938.96</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28" w:right="0"/>
              <w:jc w:val="left"/>
              <w:rPr>
                <w:rFonts w:hint="default" w:ascii="宋体" w:hAnsi="宋体" w:eastAsia="宋体" w:cs="宋体"/>
                <w:sz w:val="21"/>
                <w:szCs w:val="21"/>
              </w:rPr>
            </w:pPr>
            <w:r>
              <w:rPr>
                <w:rFonts w:ascii="宋体"/>
                <w:b/>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年初财政拨款结转和结余</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33</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一、一般公共预算拨款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二、政府性基金预算拨款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三、国有资本经营预算拨款</w:t>
            </w:r>
          </w:p>
        </w:tc>
        <w:tc>
          <w:tcPr>
            <w:tcW w:w="1475" w:type="dxa"/>
            <w:tcBorders>
              <w:top w:val="single" w:color="000000" w:sz="6" w:space="0"/>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c>
          <w:tcPr>
            <w:tcW w:w="1475" w:type="dxa"/>
            <w:tcBorders>
              <w:top w:val="single" w:color="000000" w:sz="6" w:space="0"/>
              <w:left w:val="single" w:color="000000" w:sz="6" w:space="0"/>
              <w:bottom w:val="single" w:color="000000" w:sz="6" w:space="0"/>
              <w:right w:val="single" w:color="000000" w:sz="6" w:space="0"/>
            </w:tcBorders>
          </w:tcP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6713"/>
          <w:tab w:val="left" w:pos="13842"/>
        </w:tabs>
        <w:spacing w:before="0" w:after="25" w:line="351" w:lineRule="exact"/>
        <w:ind w:left="235"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9" w:type="dxa"/>
        <w:tblLayout w:type="fixed"/>
        <w:tblCellMar>
          <w:top w:w="0" w:type="dxa"/>
          <w:left w:w="0" w:type="dxa"/>
          <w:bottom w:w="0" w:type="dxa"/>
          <w:right w:w="0" w:type="dxa"/>
        </w:tblCellMar>
      </w:tblPr>
      <w:tblGrid>
        <w:gridCol w:w="850"/>
        <w:gridCol w:w="3402"/>
        <w:gridCol w:w="1475"/>
        <w:gridCol w:w="3402"/>
        <w:gridCol w:w="1474"/>
        <w:gridCol w:w="1474"/>
        <w:gridCol w:w="1475"/>
        <w:gridCol w:w="1474"/>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6"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4877"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w:t>
            </w:r>
          </w:p>
        </w:tc>
        <w:tc>
          <w:tcPr>
            <w:tcW w:w="9298" w:type="dxa"/>
            <w:gridSpan w:val="5"/>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支出</w:t>
            </w:r>
          </w:p>
        </w:tc>
      </w:tr>
      <w:tr>
        <w:tblPrEx>
          <w:tblCellMar>
            <w:top w:w="0" w:type="dxa"/>
            <w:left w:w="0" w:type="dxa"/>
            <w:bottom w:w="0" w:type="dxa"/>
            <w:right w:w="0" w:type="dxa"/>
          </w:tblCellMar>
        </w:tblPrEx>
        <w:trPr>
          <w:trHeight w:val="916" w:hRule="exact"/>
        </w:trPr>
        <w:tc>
          <w:tcPr>
            <w:tcW w:w="850" w:type="dxa"/>
            <w:vMerge w:val="continue"/>
            <w:tcBorders>
              <w:left w:val="single" w:color="000000" w:sz="6" w:space="0"/>
              <w:bottom w:val="single" w:color="000000" w:sz="6" w:space="0"/>
              <w:right w:val="single" w:color="000000" w:sz="6" w:space="0"/>
            </w:tcBorders>
          </w:tcP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1"/>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2"/>
              <w:jc w:val="center"/>
              <w:rPr>
                <w:rFonts w:hint="default" w:ascii="宋体" w:hAnsi="宋体" w:eastAsia="宋体" w:cs="宋体"/>
                <w:sz w:val="21"/>
                <w:szCs w:val="21"/>
              </w:rPr>
            </w:pPr>
            <w:r>
              <w:rPr>
                <w:rFonts w:hint="default" w:ascii="宋体" w:hAnsi="宋体" w:eastAsia="宋体" w:cs="宋体"/>
                <w:b/>
                <w:bCs/>
                <w:sz w:val="21"/>
                <w:szCs w:val="21"/>
              </w:rPr>
              <w:t>金额</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tabs>
                <w:tab w:val="left" w:pos="421"/>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202" w:right="200"/>
              <w:jc w:val="left"/>
              <w:rPr>
                <w:rFonts w:hint="default" w:ascii="宋体" w:hAnsi="宋体" w:eastAsia="宋体" w:cs="宋体"/>
                <w:sz w:val="21"/>
                <w:szCs w:val="21"/>
              </w:rPr>
            </w:pPr>
            <w:r>
              <w:rPr>
                <w:rFonts w:hint="default" w:ascii="宋体" w:hAnsi="宋体" w:eastAsia="宋体" w:cs="宋体"/>
                <w:b/>
                <w:bCs/>
                <w:sz w:val="21"/>
                <w:szCs w:val="21"/>
              </w:rPr>
              <w:t>一般公共预 算财政拨款</w:t>
            </w:r>
          </w:p>
        </w:tc>
        <w:tc>
          <w:tcPr>
            <w:tcW w:w="1475"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2"/>
              <w:jc w:val="center"/>
              <w:rPr>
                <w:rFonts w:hint="default" w:ascii="宋体" w:hAnsi="宋体" w:eastAsia="宋体" w:cs="宋体"/>
                <w:sz w:val="21"/>
                <w:szCs w:val="21"/>
              </w:rPr>
            </w:pPr>
            <w:r>
              <w:rPr>
                <w:rFonts w:hint="default" w:ascii="宋体" w:hAnsi="宋体" w:eastAsia="宋体" w:cs="宋体"/>
                <w:b/>
                <w:bCs/>
                <w:sz w:val="21"/>
                <w:szCs w:val="21"/>
              </w:rPr>
              <w:t>政府性基金</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预算财政拨</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款</w:t>
            </w:r>
          </w:p>
        </w:tc>
        <w:tc>
          <w:tcPr>
            <w:tcW w:w="1474" w:type="dxa"/>
            <w:tcBorders>
              <w:top w:val="single" w:color="000000" w:sz="6" w:space="0"/>
              <w:left w:val="single" w:color="000000" w:sz="6" w:space="0"/>
              <w:bottom w:val="single" w:color="000000" w:sz="6" w:space="0"/>
              <w:right w:val="single" w:color="000000" w:sz="6" w:space="0"/>
            </w:tcBorders>
          </w:tcPr>
          <w:p>
            <w:pPr>
              <w:pStyle w:val="13"/>
              <w:spacing w:line="261" w:lineRule="auto"/>
              <w:ind w:left="202" w:right="200"/>
              <w:jc w:val="center"/>
              <w:rPr>
                <w:rFonts w:hint="default" w:ascii="宋体" w:hAnsi="宋体" w:eastAsia="宋体" w:cs="宋体"/>
                <w:sz w:val="21"/>
                <w:szCs w:val="21"/>
              </w:rPr>
            </w:pPr>
            <w:r>
              <w:rPr>
                <w:rFonts w:hint="default" w:ascii="宋体" w:hAnsi="宋体" w:eastAsia="宋体" w:cs="宋体"/>
                <w:b/>
                <w:bCs/>
                <w:sz w:val="21"/>
                <w:szCs w:val="21"/>
              </w:rPr>
              <w:t>国有资本经</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营预算财政</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拨款</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1</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3</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676" w:right="0"/>
              <w:jc w:val="left"/>
              <w:rPr>
                <w:rFonts w:hint="default" w:ascii="宋体" w:hAnsi="宋体" w:eastAsia="宋体" w:cs="宋体"/>
                <w:sz w:val="21"/>
                <w:szCs w:val="21"/>
              </w:rPr>
            </w:pPr>
            <w:r>
              <w:rPr>
                <w:rFonts w:ascii="宋体"/>
                <w:b/>
                <w:sz w:val="21"/>
              </w:rPr>
              <w:t>5</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6</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36</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收入总计</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3402"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支出总计</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3" w:right="0"/>
              <w:jc w:val="left"/>
              <w:rPr>
                <w:rFonts w:hint="default" w:ascii="宋体" w:hAnsi="宋体" w:eastAsia="宋体" w:cs="宋体"/>
                <w:sz w:val="21"/>
                <w:szCs w:val="21"/>
              </w:rPr>
            </w:pPr>
            <w:r>
              <w:rPr>
                <w:rFonts w:ascii="宋体"/>
                <w:b/>
                <w:sz w:val="21"/>
              </w:rPr>
              <w:t>994.95</w:t>
            </w:r>
          </w:p>
        </w:tc>
        <w:tc>
          <w:tcPr>
            <w:tcW w:w="1474"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722" w:right="0"/>
              <w:jc w:val="left"/>
              <w:rPr>
                <w:rFonts w:hint="default" w:ascii="宋体" w:hAnsi="宋体" w:eastAsia="宋体" w:cs="宋体"/>
                <w:sz w:val="21"/>
                <w:szCs w:val="21"/>
              </w:rPr>
            </w:pPr>
            <w:r>
              <w:rPr>
                <w:rFonts w:ascii="宋体"/>
                <w:b/>
                <w:sz w:val="21"/>
              </w:rPr>
              <w:t>938.96</w:t>
            </w:r>
          </w:p>
        </w:tc>
        <w:tc>
          <w:tcPr>
            <w:tcW w:w="1475"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828" w:right="0"/>
              <w:jc w:val="left"/>
              <w:rPr>
                <w:rFonts w:hint="default" w:ascii="宋体" w:hAnsi="宋体" w:eastAsia="宋体" w:cs="宋体"/>
                <w:sz w:val="21"/>
                <w:szCs w:val="21"/>
              </w:rPr>
            </w:pPr>
            <w:r>
              <w:rPr>
                <w:rFonts w:ascii="宋体"/>
                <w:b/>
                <w:sz w:val="21"/>
              </w:rPr>
              <w:t>55.99</w:t>
            </w:r>
          </w:p>
        </w:tc>
        <w:tc>
          <w:tcPr>
            <w:tcW w:w="1474"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780" w:bottom="1160" w:left="7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259"/>
        <w:jc w:val="center"/>
      </w:pPr>
      <w:bookmarkStart w:id="4" w:name="_TOC_250004"/>
      <w:bookmarkEnd w:id="4"/>
      <w:r>
        <w:t>部门预算一般公共预算财政拨款支出表</w:t>
      </w:r>
    </w:p>
    <w:p>
      <w:pPr>
        <w:tabs>
          <w:tab w:val="left" w:pos="6903"/>
          <w:tab w:val="left" w:pos="12812"/>
        </w:tabs>
        <w:spacing w:before="82" w:after="25"/>
        <w:ind w:left="0" w:right="25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938.96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850.66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88.30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一般公共服务支出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428.80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413.20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15.60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人大事务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政府办公厅（室）及相关机构事务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425.80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413.20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281.71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281.71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9.60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9.60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信访事务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2010350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131.49</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131.49</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2010399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其他政府办公厅（室）及相关机构事务支出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群众团体事务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2012902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党委办公厅（室）及相关机构事务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2013102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社会保障和就业支出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120.10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120.10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行政事业单位养老支出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5"/>
              <w:jc w:val="right"/>
              <w:rPr>
                <w:rFonts w:hint="default" w:ascii="宋体" w:hAnsi="宋体" w:eastAsia="宋体" w:cs="宋体"/>
                <w:sz w:val="21"/>
                <w:szCs w:val="21"/>
              </w:rPr>
            </w:pPr>
            <w:r>
              <w:rPr>
                <w:rFonts w:ascii="宋体"/>
                <w:sz w:val="21"/>
              </w:rPr>
              <w:t>108.07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108.07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行政单位离退休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4.27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4.27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事业单位离退休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1.07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1.07</w:t>
            </w:r>
          </w:p>
        </w:tc>
        <w:tc>
          <w:tcPr>
            <w:tcW w:w="255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920" w:bottom="1160" w:left="118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416"/>
          <w:tab w:val="left" w:pos="13325"/>
        </w:tabs>
        <w:spacing w:before="0" w:after="25" w:line="351" w:lineRule="exact"/>
        <w:ind w:left="51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85.53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2080506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机关事业单位职业年金缴费支出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抚恤</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2080899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其他优抚支出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卫生健康支出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w w:val="95"/>
                <w:sz w:val="21"/>
              </w:rPr>
              <w:t>59.22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57.52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1.70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公共卫生</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1.27</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2100408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基本公共卫生服务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1.27</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1.27</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行政事业单位医疗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57.52</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57.52</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行政单位医疗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25.57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25.57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事业单位医疗</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31.95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31.95</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医疗救助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0.43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0.43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2101301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城乡医疗救助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0.43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0.43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节能环保支出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污染防治</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大气</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50.00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50.00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自然生态保护</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2110499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其他自然生态保护支出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农林水支出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农业农村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2130104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事业运行</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221.23</w:t>
            </w:r>
          </w:p>
        </w:tc>
        <w:tc>
          <w:tcPr>
            <w:tcW w:w="255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18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36"/>
          <w:tab w:val="left" w:pos="13045"/>
        </w:tabs>
        <w:spacing w:before="0" w:after="25" w:line="351" w:lineRule="exact"/>
        <w:ind w:left="23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39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住房保障支出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住房改革支出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2210201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灾害防治及应急管理支出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16.00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应急管理事务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2240104</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灾害风险防治</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消防事务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46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2240202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一般行政管理事务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15.00</w:t>
            </w:r>
          </w:p>
        </w:tc>
      </w:tr>
    </w:tbl>
    <w:p>
      <w:pPr>
        <w:spacing w:after="0" w:line="240" w:lineRule="auto"/>
        <w:jc w:val="righ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left="278" w:right="0"/>
        <w:jc w:val="center"/>
      </w:pPr>
      <w:bookmarkStart w:id="5" w:name="_TOC_250003"/>
      <w:bookmarkEnd w:id="5"/>
      <w:r>
        <w:t>部门预算一般公共预算财政拨款基本支出表</w:t>
      </w:r>
    </w:p>
    <w:p>
      <w:pPr>
        <w:tabs>
          <w:tab w:val="left" w:pos="7182"/>
          <w:tab w:val="left" w:pos="13091"/>
        </w:tabs>
        <w:spacing w:before="82" w:after="25"/>
        <w:ind w:left="279"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802" w:right="0"/>
              <w:jc w:val="left"/>
              <w:rPr>
                <w:rFonts w:hint="default" w:ascii="宋体" w:hAnsi="宋体" w:eastAsia="宋体" w:cs="宋体"/>
                <w:sz w:val="21"/>
                <w:szCs w:val="21"/>
              </w:rPr>
            </w:pPr>
            <w:r>
              <w:rPr>
                <w:rFonts w:hint="default" w:ascii="宋体" w:hAnsi="宋体" w:eastAsia="宋体" w:cs="宋体"/>
                <w:b/>
                <w:bCs/>
                <w:sz w:val="21"/>
                <w:szCs w:val="21"/>
              </w:rPr>
              <w:t>支出部门经济分类科目</w:t>
            </w:r>
          </w:p>
        </w:tc>
        <w:tc>
          <w:tcPr>
            <w:tcW w:w="7652" w:type="dxa"/>
            <w:gridSpan w:val="3"/>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一般公共预算基本支出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人员经费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公用经费</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850.66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765.63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85.03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工资福利支出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748.26</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748.26</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基本工资</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180.58</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180.58</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津贴补贴</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289.91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z w:val="21"/>
              </w:rPr>
              <w:t>289.91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奖金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sz w:val="21"/>
              </w:rPr>
              <w:t>8.95</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8.95</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绩效工资</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67.04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67.04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机关事业单位基本养老保险缴费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85.53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85.53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30109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职业年金缴费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17.20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17.20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30110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城镇职工基本医疗保险缴费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55.30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55.30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其他社会保障缴费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4.64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4.64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住房公积金</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38.61</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38.61</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30199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其他工资福利支出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z w:val="21"/>
              </w:rPr>
              <w:t>0.50</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0.50</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商品和服务支出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83.03</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83.03</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16.90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16.90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水费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sz w:val="21"/>
              </w:rPr>
              <w:t>0.05</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0.05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电费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10.00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sz w:val="21"/>
              </w:rPr>
              <w:t>10.00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30207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邮电费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1.50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1.50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18</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差旅费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22.05</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22.05</w:t>
            </w:r>
          </w:p>
        </w:tc>
      </w:tr>
    </w:tbl>
    <w:p>
      <w:pPr>
        <w:spacing w:after="0" w:line="240" w:lineRule="auto"/>
        <w:jc w:val="right"/>
        <w:rPr>
          <w:rFonts w:hint="default" w:ascii="宋体" w:hAnsi="宋体" w:eastAsia="宋体" w:cs="宋体"/>
          <w:sz w:val="21"/>
          <w:szCs w:val="21"/>
        </w:rPr>
        <w:sectPr>
          <w:pgSz w:w="16840" w:h="11910" w:orient="landscape"/>
          <w:pgMar w:top="1100" w:right="1180" w:bottom="1160" w:left="900" w:header="0" w:footer="977" w:gutter="0"/>
          <w:cols w:space="720" w:num="1"/>
        </w:sectPr>
      </w:pPr>
    </w:p>
    <w:p>
      <w:pPr>
        <w:spacing w:before="14" w:line="240" w:lineRule="auto"/>
        <w:ind w:right="0"/>
        <w:rPr>
          <w:rFonts w:hint="default" w:ascii="方正小标宋繁体" w:hAnsi="方正小标宋繁体" w:eastAsia="方正小标宋繁体" w:cs="方正小标宋繁体"/>
          <w:sz w:val="16"/>
          <w:szCs w:val="16"/>
        </w:rPr>
      </w:pPr>
    </w:p>
    <w:p>
      <w:pPr>
        <w:tabs>
          <w:tab w:val="left" w:pos="7136"/>
          <w:tab w:val="left" w:pos="13045"/>
        </w:tabs>
        <w:spacing w:before="0" w:after="25" w:line="351" w:lineRule="exact"/>
        <w:ind w:left="233" w:right="0" w:firstLine="0"/>
        <w:jc w:val="left"/>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1802" w:right="0"/>
              <w:jc w:val="left"/>
              <w:rPr>
                <w:rFonts w:hint="default" w:ascii="宋体" w:hAnsi="宋体" w:eastAsia="宋体" w:cs="宋体"/>
                <w:sz w:val="21"/>
                <w:szCs w:val="21"/>
              </w:rPr>
            </w:pPr>
            <w:r>
              <w:rPr>
                <w:rFonts w:hint="default" w:ascii="宋体" w:hAnsi="宋体" w:eastAsia="宋体" w:cs="宋体"/>
                <w:b/>
                <w:bCs/>
                <w:sz w:val="21"/>
                <w:szCs w:val="21"/>
              </w:rPr>
              <w:t>支出部门经济分类科目</w:t>
            </w:r>
          </w:p>
        </w:tc>
        <w:tc>
          <w:tcPr>
            <w:tcW w:w="7652" w:type="dxa"/>
            <w:gridSpan w:val="3"/>
            <w:tcBorders>
              <w:top w:val="single" w:color="000000" w:sz="6" w:space="0"/>
              <w:left w:val="single" w:color="000000" w:sz="6" w:space="0"/>
              <w:bottom w:val="single" w:color="000000" w:sz="6" w:space="0"/>
              <w:right w:val="single" w:color="000000" w:sz="6" w:space="0"/>
            </w:tcBorders>
          </w:tcPr>
          <w:p>
            <w:pPr>
              <w:pStyle w:val="13"/>
              <w:spacing w:before="29"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一般公共预算基本支出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人员经费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公用经费</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19</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维修(护)费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pacing w:val="-1"/>
                <w:sz w:val="21"/>
              </w:rPr>
              <w:t>12.89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sz w:val="21"/>
              </w:rPr>
              <w:t>12.89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20</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30217</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公务接待费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3.00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3.00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21</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30226</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劳务费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30239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其他交通费用</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14.64</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14.64</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对个人和家庭的补助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17.37</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17.37</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退休费</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5"/>
              <w:jc w:val="right"/>
              <w:rPr>
                <w:rFonts w:hint="default" w:ascii="宋体" w:hAnsi="宋体" w:eastAsia="宋体" w:cs="宋体"/>
                <w:sz w:val="21"/>
                <w:szCs w:val="21"/>
              </w:rPr>
            </w:pPr>
            <w:r>
              <w:rPr>
                <w:rFonts w:ascii="宋体"/>
                <w:sz w:val="21"/>
              </w:rPr>
              <w:t>5.34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sz w:val="21"/>
              </w:rPr>
              <w:t>5.34</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25</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30305</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生活补助</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12.03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12.03</w:t>
            </w:r>
          </w:p>
        </w:tc>
        <w:tc>
          <w:tcPr>
            <w:tcW w:w="255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26</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310</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资本性支出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sz w:val="21"/>
              </w:rPr>
              <w:t>27</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ascii="宋体"/>
                <w:sz w:val="21"/>
              </w:rPr>
              <w:t>31002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办公设备购置</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6"/>
              <w:jc w:val="right"/>
              <w:rPr>
                <w:rFonts w:hint="default" w:ascii="宋体" w:hAnsi="宋体" w:eastAsia="宋体" w:cs="宋体"/>
                <w:sz w:val="21"/>
                <w:szCs w:val="21"/>
              </w:rPr>
            </w:pPr>
            <w:r>
              <w:rPr>
                <w:rFonts w:ascii="宋体"/>
                <w:spacing w:val="-1"/>
                <w:w w:val="95"/>
                <w:sz w:val="21"/>
              </w:rPr>
              <w:t>2.00</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2.00</w:t>
            </w:r>
          </w:p>
        </w:tc>
      </w:tr>
    </w:tbl>
    <w:p>
      <w:pPr>
        <w:spacing w:after="0" w:line="240" w:lineRule="auto"/>
        <w:jc w:val="righ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left="278" w:right="0"/>
        <w:jc w:val="center"/>
      </w:pPr>
      <w:bookmarkStart w:id="6" w:name="_TOC_250002"/>
      <w:bookmarkEnd w:id="6"/>
      <w:r>
        <w:t>部门预算政府基金预算财政拨款支出表</w:t>
      </w:r>
    </w:p>
    <w:p>
      <w:pPr>
        <w:tabs>
          <w:tab w:val="left" w:pos="7182"/>
          <w:tab w:val="left" w:pos="13091"/>
        </w:tabs>
        <w:spacing w:before="82" w:after="25"/>
        <w:ind w:left="279"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39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66" w:right="0"/>
              <w:jc w:val="left"/>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1</w:t>
            </w: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7"/>
              <w:jc w:val="right"/>
              <w:rPr>
                <w:rFonts w:hint="default" w:ascii="宋体" w:hAnsi="宋体" w:eastAsia="宋体" w:cs="宋体"/>
                <w:sz w:val="21"/>
                <w:szCs w:val="21"/>
              </w:rPr>
            </w:pPr>
            <w:r>
              <w:rPr>
                <w:rFonts w:ascii="宋体"/>
                <w:b/>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b/>
                <w:w w:val="95"/>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2</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城乡社区支出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8"/>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3</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21208</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国有土地使用权出让收入安排的支出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00"/>
              <w:jc w:val="right"/>
              <w:rPr>
                <w:rFonts w:hint="default" w:ascii="宋体" w:hAnsi="宋体" w:eastAsia="宋体" w:cs="宋体"/>
                <w:sz w:val="21"/>
                <w:szCs w:val="21"/>
              </w:rPr>
            </w:pPr>
            <w:r>
              <w:rPr>
                <w:rFonts w:ascii="宋体"/>
                <w:spacing w:val="-1"/>
                <w:sz w:val="21"/>
              </w:rPr>
              <w:t>55.99</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sz w:val="21"/>
              </w:rPr>
              <w:t>4</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ascii="宋体"/>
                <w:sz w:val="21"/>
              </w:rPr>
              <w:t>2120899</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其他国有土地使用权出让收入安排的支出</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w w:val="95"/>
                <w:sz w:val="21"/>
              </w:rPr>
              <w:t>55.99</w:t>
            </w: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99"/>
              <w:jc w:val="right"/>
              <w:rPr>
                <w:rFonts w:hint="default" w:ascii="宋体" w:hAnsi="宋体" w:eastAsia="宋体" w:cs="宋体"/>
                <w:sz w:val="21"/>
                <w:szCs w:val="21"/>
              </w:rPr>
            </w:pPr>
            <w:r>
              <w:rPr>
                <w:rFonts w:ascii="宋体"/>
                <w:spacing w:val="-1"/>
                <w:sz w:val="21"/>
              </w:rPr>
              <w:t>55.99</w:t>
            </w:r>
          </w:p>
        </w:tc>
      </w:tr>
    </w:tbl>
    <w:p>
      <w:pPr>
        <w:spacing w:after="0" w:line="240" w:lineRule="auto"/>
        <w:jc w:val="right"/>
        <w:rPr>
          <w:rFonts w:hint="default" w:ascii="宋体" w:hAnsi="宋体" w:eastAsia="宋体" w:cs="宋体"/>
          <w:sz w:val="21"/>
          <w:szCs w:val="21"/>
        </w:rPr>
        <w:sectPr>
          <w:pgSz w:w="16840" w:h="11910" w:orient="landscape"/>
          <w:pgMar w:top="1100" w:right="1180" w:bottom="1160" w:left="900" w:header="0" w:footer="977" w:gutter="0"/>
          <w:cols w:space="720" w:num="1"/>
        </w:sectPr>
      </w:pPr>
    </w:p>
    <w:p>
      <w:pPr>
        <w:spacing w:before="10" w:line="240" w:lineRule="auto"/>
        <w:ind w:right="0"/>
        <w:rPr>
          <w:rFonts w:hint="default" w:ascii="方正小标宋繁体" w:hAnsi="方正小标宋繁体" w:eastAsia="方正小标宋繁体" w:cs="方正小标宋繁体"/>
          <w:sz w:val="19"/>
          <w:szCs w:val="19"/>
        </w:rPr>
      </w:pPr>
    </w:p>
    <w:p>
      <w:pPr>
        <w:pStyle w:val="3"/>
        <w:spacing w:line="477" w:lineRule="exact"/>
        <w:ind w:right="259"/>
        <w:jc w:val="center"/>
      </w:pPr>
      <w:bookmarkStart w:id="7" w:name="_TOC_250001"/>
      <w:bookmarkEnd w:id="7"/>
      <w:r>
        <w:t>部门预算国有资本经营预算财政拨款支出表</w:t>
      </w:r>
    </w:p>
    <w:p>
      <w:pPr>
        <w:tabs>
          <w:tab w:val="left" w:pos="6903"/>
          <w:tab w:val="left" w:pos="12812"/>
        </w:tabs>
        <w:spacing w:before="82" w:after="25"/>
        <w:ind w:left="0" w:right="258"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850"/>
        <w:gridCol w:w="1190"/>
        <w:gridCol w:w="4536"/>
        <w:gridCol w:w="2550"/>
        <w:gridCol w:w="2551"/>
        <w:gridCol w:w="255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5726"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功能分类科目</w:t>
            </w:r>
          </w:p>
        </w:tc>
        <w:tc>
          <w:tcPr>
            <w:tcW w:w="2550"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基本支出</w:t>
            </w:r>
          </w:p>
        </w:tc>
        <w:tc>
          <w:tcPr>
            <w:tcW w:w="2551" w:type="dxa"/>
            <w:vMerge w:val="restart"/>
            <w:tcBorders>
              <w:top w:val="single" w:color="000000" w:sz="6" w:space="0"/>
              <w:left w:val="single" w:color="000000" w:sz="6" w:space="0"/>
              <w:right w:val="single" w:color="000000" w:sz="6" w:space="0"/>
            </w:tcBorders>
          </w:tcPr>
          <w:p>
            <w:pPr>
              <w:pStyle w:val="13"/>
              <w:spacing w:before="3" w:line="240" w:lineRule="auto"/>
              <w:ind w:right="0"/>
              <w:jc w:val="left"/>
              <w:rPr>
                <w:rFonts w:hint="default" w:ascii="方正小标宋繁体" w:hAnsi="方正小标宋繁体" w:eastAsia="方正小标宋繁体" w:cs="方正小标宋繁体"/>
                <w:sz w:val="14"/>
                <w:szCs w:val="14"/>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项目支出</w:t>
            </w:r>
          </w:p>
        </w:tc>
      </w:tr>
      <w:tr>
        <w:tblPrEx>
          <w:tblCellMar>
            <w:top w:w="0" w:type="dxa"/>
            <w:left w:w="0" w:type="dxa"/>
            <w:bottom w:w="0" w:type="dxa"/>
            <w:right w:w="0" w:type="dxa"/>
          </w:tblCellMar>
        </w:tblPrEx>
        <w:trPr>
          <w:trHeight w:val="384" w:hRule="exact"/>
        </w:trPr>
        <w:tc>
          <w:tcPr>
            <w:tcW w:w="850" w:type="dxa"/>
            <w:vMerge w:val="continue"/>
            <w:tcBorders>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科目编码</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科目名称</w:t>
            </w:r>
          </w:p>
        </w:tc>
        <w:tc>
          <w:tcPr>
            <w:tcW w:w="2550"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c>
          <w:tcPr>
            <w:tcW w:w="25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栏次</w:t>
            </w:r>
          </w:p>
        </w:tc>
        <w:tc>
          <w:tcPr>
            <w:tcW w:w="119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1</w:t>
            </w:r>
          </w:p>
        </w:tc>
        <w:tc>
          <w:tcPr>
            <w:tcW w:w="453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ascii="宋体"/>
                <w:b/>
                <w:sz w:val="21"/>
              </w:rPr>
              <w:t>2</w:t>
            </w:r>
          </w:p>
        </w:tc>
        <w:tc>
          <w:tcPr>
            <w:tcW w:w="2550"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3</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4</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385" w:hRule="exact"/>
        </w:trPr>
        <w:tc>
          <w:tcPr>
            <w:tcW w:w="850" w:type="dxa"/>
            <w:tcBorders>
              <w:top w:val="single" w:color="000000" w:sz="6" w:space="0"/>
              <w:left w:val="single" w:color="000000" w:sz="6" w:space="0"/>
              <w:bottom w:val="single" w:color="000000" w:sz="6" w:space="0"/>
              <w:right w:val="single" w:color="000000" w:sz="6" w:space="0"/>
            </w:tcBorders>
          </w:tcPr>
          <w:p/>
        </w:tc>
        <w:tc>
          <w:tcPr>
            <w:tcW w:w="1190" w:type="dxa"/>
            <w:tcBorders>
              <w:top w:val="single" w:color="000000" w:sz="6" w:space="0"/>
              <w:left w:val="single" w:color="000000" w:sz="6" w:space="0"/>
              <w:bottom w:val="single" w:color="000000" w:sz="6" w:space="0"/>
              <w:right w:val="single" w:color="000000" w:sz="6" w:space="0"/>
            </w:tcBorders>
          </w:tcPr>
          <w:p/>
        </w:tc>
        <w:tc>
          <w:tcPr>
            <w:tcW w:w="4536" w:type="dxa"/>
            <w:tcBorders>
              <w:top w:val="single" w:color="000000" w:sz="6" w:space="0"/>
              <w:left w:val="single" w:color="000000" w:sz="6" w:space="0"/>
              <w:bottom w:val="single" w:color="000000" w:sz="6" w:space="0"/>
              <w:right w:val="single" w:color="000000" w:sz="6" w:space="0"/>
            </w:tcBorders>
          </w:tcPr>
          <w:p/>
        </w:tc>
        <w:tc>
          <w:tcPr>
            <w:tcW w:w="2550"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c>
          <w:tcPr>
            <w:tcW w:w="2551" w:type="dxa"/>
            <w:tcBorders>
              <w:top w:val="single" w:color="000000" w:sz="6" w:space="0"/>
              <w:left w:val="single" w:color="000000" w:sz="6" w:space="0"/>
              <w:bottom w:val="single" w:color="000000" w:sz="6" w:space="0"/>
              <w:right w:val="single" w:color="000000" w:sz="6" w:space="0"/>
            </w:tcBorders>
          </w:tcPr>
          <w:p/>
        </w:tc>
      </w:tr>
    </w:tbl>
    <w:p>
      <w:pPr>
        <w:spacing w:before="0" w:line="260" w:lineRule="exact"/>
        <w:ind w:left="259" w:right="0" w:firstLine="0"/>
        <w:jc w:val="left"/>
        <w:rPr>
          <w:rFonts w:hint="default" w:ascii="宋体" w:hAnsi="宋体" w:eastAsia="宋体" w:cs="宋体"/>
          <w:sz w:val="21"/>
          <w:szCs w:val="21"/>
        </w:rPr>
      </w:pPr>
      <w:r>
        <w:rPr>
          <w:rFonts w:hint="default" w:ascii="宋体" w:hAnsi="宋体" w:eastAsia="宋体" w:cs="宋体"/>
          <w:sz w:val="21"/>
          <w:szCs w:val="21"/>
        </w:rPr>
        <w:t>注：无国有资本经营预算财政拨款预算，空表列示。</w:t>
      </w:r>
    </w:p>
    <w:p>
      <w:pPr>
        <w:spacing w:after="0" w:line="260" w:lineRule="exact"/>
        <w:jc w:val="left"/>
        <w:rPr>
          <w:rFonts w:hint="default" w:ascii="宋体" w:hAnsi="宋体" w:eastAsia="宋体" w:cs="宋体"/>
          <w:sz w:val="21"/>
          <w:szCs w:val="21"/>
        </w:rPr>
        <w:sectPr>
          <w:pgSz w:w="16840" w:h="11910" w:orient="landscape"/>
          <w:pgMar w:top="1100" w:right="920" w:bottom="1160" w:left="1180" w:header="0" w:footer="977" w:gutter="0"/>
          <w:cols w:space="720" w:num="1"/>
        </w:sectPr>
      </w:pPr>
    </w:p>
    <w:p>
      <w:pPr>
        <w:spacing w:before="5" w:line="240" w:lineRule="auto"/>
        <w:ind w:right="0"/>
        <w:rPr>
          <w:rFonts w:hint="default" w:ascii="宋体" w:hAnsi="宋体" w:eastAsia="宋体" w:cs="宋体"/>
          <w:sz w:val="23"/>
          <w:szCs w:val="23"/>
        </w:rPr>
      </w:pPr>
    </w:p>
    <w:p>
      <w:pPr>
        <w:pStyle w:val="3"/>
        <w:spacing w:line="477" w:lineRule="exact"/>
        <w:ind w:left="318" w:right="0"/>
        <w:jc w:val="center"/>
      </w:pPr>
      <w:bookmarkStart w:id="8" w:name="_TOC_250000"/>
      <w:bookmarkEnd w:id="8"/>
      <w:r>
        <w:t>部门预算财政拨款“三公”经费支出表</w:t>
      </w:r>
    </w:p>
    <w:p>
      <w:pPr>
        <w:tabs>
          <w:tab w:val="left" w:pos="7588"/>
          <w:tab w:val="left" w:pos="13073"/>
        </w:tabs>
        <w:spacing w:before="82" w:after="25"/>
        <w:ind w:left="318"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预算年度：2021</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425" w:type="dxa"/>
        <w:tblLayout w:type="fixed"/>
        <w:tblCellMar>
          <w:top w:w="0" w:type="dxa"/>
          <w:left w:w="0" w:type="dxa"/>
          <w:bottom w:w="0" w:type="dxa"/>
          <w:right w:w="0" w:type="dxa"/>
        </w:tblCellMar>
      </w:tblPr>
      <w:tblGrid>
        <w:gridCol w:w="850"/>
        <w:gridCol w:w="3798"/>
        <w:gridCol w:w="2381"/>
        <w:gridCol w:w="2382"/>
        <w:gridCol w:w="2381"/>
        <w:gridCol w:w="2381"/>
      </w:tblGrid>
      <w:tr>
        <w:tblPrEx>
          <w:tblCellMar>
            <w:top w:w="0" w:type="dxa"/>
            <w:left w:w="0" w:type="dxa"/>
            <w:bottom w:w="0" w:type="dxa"/>
            <w:right w:w="0" w:type="dxa"/>
          </w:tblCellMar>
        </w:tblPrEx>
        <w:trPr>
          <w:trHeight w:val="384" w:hRule="exact"/>
        </w:trPr>
        <w:tc>
          <w:tcPr>
            <w:tcW w:w="850"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spacing w:line="240" w:lineRule="auto"/>
              <w:ind w:left="206" w:right="0"/>
              <w:jc w:val="left"/>
              <w:rPr>
                <w:rFonts w:hint="default" w:ascii="宋体" w:hAnsi="宋体" w:eastAsia="宋体" w:cs="宋体"/>
                <w:sz w:val="21"/>
                <w:szCs w:val="21"/>
              </w:rPr>
            </w:pPr>
            <w:r>
              <w:rPr>
                <w:rFonts w:hint="default" w:ascii="宋体" w:hAnsi="宋体" w:eastAsia="宋体" w:cs="宋体"/>
                <w:b/>
                <w:bCs/>
                <w:sz w:val="21"/>
                <w:szCs w:val="21"/>
              </w:rPr>
              <w:t>序号</w:t>
            </w:r>
          </w:p>
        </w:tc>
        <w:tc>
          <w:tcPr>
            <w:tcW w:w="3798" w:type="dxa"/>
            <w:vMerge w:val="restart"/>
            <w:tcBorders>
              <w:top w:val="single" w:color="000000" w:sz="6" w:space="0"/>
              <w:left w:val="single" w:color="000000" w:sz="6" w:space="0"/>
              <w:right w:val="single" w:color="000000" w:sz="6" w:space="0"/>
            </w:tcBorders>
          </w:tcPr>
          <w:p>
            <w:pPr>
              <w:pStyle w:val="13"/>
              <w:spacing w:before="11" w:line="240" w:lineRule="auto"/>
              <w:ind w:right="0"/>
              <w:jc w:val="left"/>
              <w:rPr>
                <w:rFonts w:hint="default" w:ascii="方正小标宋繁体" w:hAnsi="方正小标宋繁体" w:eastAsia="方正小标宋繁体" w:cs="方正小标宋繁体"/>
                <w:sz w:val="21"/>
                <w:szCs w:val="21"/>
              </w:rPr>
            </w:pPr>
          </w:p>
          <w:p>
            <w:pPr>
              <w:pStyle w:val="13"/>
              <w:tabs>
                <w:tab w:val="left" w:pos="422"/>
              </w:tabs>
              <w:spacing w:line="240" w:lineRule="auto"/>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9524" w:type="dxa"/>
            <w:gridSpan w:val="4"/>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资 金 性</w:t>
            </w:r>
            <w:r>
              <w:rPr>
                <w:rFonts w:hint="default" w:ascii="宋体" w:hAnsi="宋体" w:eastAsia="宋体" w:cs="宋体"/>
                <w:b/>
                <w:bCs/>
                <w:spacing w:val="-3"/>
                <w:sz w:val="21"/>
                <w:szCs w:val="21"/>
              </w:rPr>
              <w:t xml:space="preserve"> </w:t>
            </w:r>
            <w:r>
              <w:rPr>
                <w:rFonts w:hint="default" w:ascii="宋体" w:hAnsi="宋体" w:eastAsia="宋体" w:cs="宋体"/>
                <w:b/>
                <w:bCs/>
                <w:sz w:val="21"/>
                <w:szCs w:val="21"/>
              </w:rPr>
              <w:t>质</w:t>
            </w:r>
          </w:p>
        </w:tc>
      </w:tr>
      <w:tr>
        <w:tblPrEx>
          <w:tblCellMar>
            <w:top w:w="0" w:type="dxa"/>
            <w:left w:w="0" w:type="dxa"/>
            <w:bottom w:w="0" w:type="dxa"/>
            <w:right w:w="0" w:type="dxa"/>
          </w:tblCellMar>
        </w:tblPrEx>
        <w:trPr>
          <w:trHeight w:val="616" w:hRule="exact"/>
        </w:trPr>
        <w:tc>
          <w:tcPr>
            <w:tcW w:w="850" w:type="dxa"/>
            <w:vMerge w:val="continue"/>
            <w:tcBorders>
              <w:left w:val="single" w:color="000000" w:sz="6" w:space="0"/>
              <w:bottom w:val="single" w:color="000000" w:sz="6" w:space="0"/>
              <w:right w:val="single" w:color="000000" w:sz="6" w:space="0"/>
            </w:tcBorders>
          </w:tcPr>
          <w:p/>
        </w:tc>
        <w:tc>
          <w:tcPr>
            <w:tcW w:w="3798" w:type="dxa"/>
            <w:vMerge w:val="continue"/>
            <w:tcBorders>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382" w:type="dxa"/>
            <w:tcBorders>
              <w:top w:val="single" w:color="000000" w:sz="6" w:space="0"/>
              <w:left w:val="single" w:color="000000" w:sz="6" w:space="0"/>
              <w:bottom w:val="single" w:color="000000" w:sz="6" w:space="0"/>
              <w:right w:val="single" w:color="000000" w:sz="6" w:space="0"/>
            </w:tcBorders>
          </w:tcPr>
          <w:p>
            <w:pPr>
              <w:pStyle w:val="13"/>
              <w:spacing w:line="261" w:lineRule="auto"/>
              <w:ind w:left="760" w:right="551" w:hanging="210"/>
              <w:jc w:val="left"/>
              <w:rPr>
                <w:rFonts w:hint="default" w:ascii="宋体" w:hAnsi="宋体" w:eastAsia="宋体" w:cs="宋体"/>
                <w:sz w:val="21"/>
                <w:szCs w:val="21"/>
              </w:rPr>
            </w:pPr>
            <w:r>
              <w:rPr>
                <w:rFonts w:hint="default" w:ascii="宋体" w:hAnsi="宋体" w:eastAsia="宋体" w:cs="宋体"/>
                <w:b/>
                <w:bCs/>
                <w:w w:val="95"/>
                <w:sz w:val="21"/>
                <w:szCs w:val="21"/>
              </w:rPr>
              <w:t xml:space="preserve">一般公共预算 </w:t>
            </w:r>
            <w:r>
              <w:rPr>
                <w:rFonts w:hint="default" w:ascii="宋体" w:hAnsi="宋体" w:eastAsia="宋体" w:cs="宋体"/>
                <w:b/>
                <w:bCs/>
                <w:sz w:val="21"/>
                <w:szCs w:val="21"/>
              </w:rPr>
              <w:t>财政拨款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261" w:lineRule="auto"/>
              <w:ind w:left="760" w:right="654" w:hanging="105"/>
              <w:jc w:val="left"/>
              <w:rPr>
                <w:rFonts w:hint="default" w:ascii="宋体" w:hAnsi="宋体" w:eastAsia="宋体" w:cs="宋体"/>
                <w:sz w:val="21"/>
                <w:szCs w:val="21"/>
              </w:rPr>
            </w:pPr>
            <w:r>
              <w:rPr>
                <w:rFonts w:hint="default" w:ascii="宋体" w:hAnsi="宋体" w:eastAsia="宋体" w:cs="宋体"/>
                <w:b/>
                <w:bCs/>
                <w:sz w:val="21"/>
                <w:szCs w:val="21"/>
              </w:rPr>
              <w:t>政府性基金 预算拨款</w:t>
            </w:r>
          </w:p>
        </w:tc>
        <w:tc>
          <w:tcPr>
            <w:tcW w:w="2381" w:type="dxa"/>
            <w:tcBorders>
              <w:top w:val="single" w:color="000000" w:sz="6" w:space="0"/>
              <w:left w:val="single" w:color="000000" w:sz="6" w:space="0"/>
              <w:bottom w:val="single" w:color="000000" w:sz="6" w:space="0"/>
              <w:right w:val="single" w:color="000000" w:sz="6" w:space="0"/>
            </w:tcBorders>
          </w:tcPr>
          <w:p>
            <w:pPr>
              <w:pStyle w:val="13"/>
              <w:spacing w:line="261" w:lineRule="auto"/>
              <w:ind w:left="550" w:right="549"/>
              <w:jc w:val="left"/>
              <w:rPr>
                <w:rFonts w:hint="default" w:ascii="宋体" w:hAnsi="宋体" w:eastAsia="宋体" w:cs="宋体"/>
                <w:sz w:val="21"/>
                <w:szCs w:val="21"/>
              </w:rPr>
            </w:pPr>
            <w:r>
              <w:rPr>
                <w:rFonts w:hint="default" w:ascii="宋体" w:hAnsi="宋体" w:eastAsia="宋体" w:cs="宋体"/>
                <w:b/>
                <w:bCs/>
                <w:sz w:val="21"/>
                <w:szCs w:val="21"/>
              </w:rPr>
              <w:t>国有资本经营 预算财政拨款</w:t>
            </w: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hint="default" w:ascii="宋体" w:hAnsi="宋体" w:eastAsia="宋体" w:cs="宋体"/>
                <w:b/>
                <w:bCs/>
                <w:sz w:val="21"/>
                <w:szCs w:val="21"/>
              </w:rPr>
              <w:t>栏次</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ascii="宋体"/>
                <w:b/>
                <w:sz w:val="21"/>
              </w:rPr>
              <w:t>1</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2</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
              <w:jc w:val="center"/>
              <w:rPr>
                <w:rFonts w:hint="default" w:ascii="宋体" w:hAnsi="宋体" w:eastAsia="宋体" w:cs="宋体"/>
                <w:sz w:val="21"/>
                <w:szCs w:val="21"/>
              </w:rPr>
            </w:pPr>
            <w:r>
              <w:rPr>
                <w:rFonts w:ascii="宋体"/>
                <w:b/>
                <w:sz w:val="21"/>
              </w:rPr>
              <w:t>3</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4</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b/>
                <w:sz w:val="21"/>
              </w:rPr>
              <w:t>5</w:t>
            </w: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1</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合计</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9"/>
              <w:jc w:val="right"/>
              <w:rPr>
                <w:rFonts w:hint="default" w:ascii="宋体" w:hAnsi="宋体" w:eastAsia="宋体" w:cs="宋体"/>
                <w:sz w:val="21"/>
                <w:szCs w:val="21"/>
              </w:rPr>
            </w:pPr>
            <w:r>
              <w:rPr>
                <w:rFonts w:ascii="宋体"/>
                <w:b/>
                <w:w w:val="95"/>
                <w:sz w:val="21"/>
              </w:rPr>
              <w:t>3.00</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100"/>
              <w:jc w:val="right"/>
              <w:rPr>
                <w:rFonts w:hint="default" w:ascii="宋体" w:hAnsi="宋体" w:eastAsia="宋体" w:cs="宋体"/>
                <w:sz w:val="21"/>
                <w:szCs w:val="21"/>
              </w:rPr>
            </w:pPr>
            <w:r>
              <w:rPr>
                <w:rFonts w:ascii="宋体"/>
                <w:b/>
                <w:w w:val="95"/>
                <w:sz w:val="21"/>
              </w:rPr>
              <w:t>3.00</w:t>
            </w: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2</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一、因公出国（境）费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3</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4</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521" w:right="0"/>
              <w:jc w:val="left"/>
              <w:rPr>
                <w:rFonts w:hint="default" w:ascii="宋体" w:hAnsi="宋体" w:eastAsia="宋体" w:cs="宋体"/>
                <w:sz w:val="21"/>
                <w:szCs w:val="21"/>
              </w:rPr>
            </w:pPr>
            <w:r>
              <w:rPr>
                <w:rFonts w:hint="default" w:ascii="宋体" w:hAnsi="宋体" w:eastAsia="宋体" w:cs="宋体"/>
                <w:sz w:val="21"/>
                <w:szCs w:val="21"/>
              </w:rPr>
              <w:t>其中：公务用车购置费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5</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150" w:right="0"/>
              <w:jc w:val="left"/>
              <w:rPr>
                <w:rFonts w:hint="default" w:ascii="宋体" w:hAnsi="宋体" w:eastAsia="宋体" w:cs="宋体"/>
                <w:sz w:val="21"/>
                <w:szCs w:val="21"/>
              </w:rPr>
            </w:pPr>
            <w:r>
              <w:rPr>
                <w:rFonts w:hint="default" w:ascii="宋体" w:hAnsi="宋体" w:eastAsia="宋体" w:cs="宋体"/>
                <w:sz w:val="21"/>
                <w:szCs w:val="21"/>
              </w:rPr>
              <w:t>公务用车运行维护费</w:t>
            </w:r>
          </w:p>
        </w:tc>
        <w:tc>
          <w:tcPr>
            <w:tcW w:w="2381" w:type="dxa"/>
            <w:tcBorders>
              <w:top w:val="single" w:color="000000" w:sz="6" w:space="0"/>
              <w:left w:val="single" w:color="000000" w:sz="6" w:space="0"/>
              <w:bottom w:val="single" w:color="000000" w:sz="6" w:space="0"/>
              <w:right w:val="single" w:color="000000" w:sz="6" w:space="0"/>
            </w:tcBorders>
          </w:tcPr>
          <w:p/>
        </w:tc>
        <w:tc>
          <w:tcPr>
            <w:tcW w:w="2382"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82" w:hRule="exact"/>
        </w:trPr>
        <w:tc>
          <w:tcPr>
            <w:tcW w:w="850"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0"/>
              <w:jc w:val="center"/>
              <w:rPr>
                <w:rFonts w:hint="default" w:ascii="宋体" w:hAnsi="宋体" w:eastAsia="宋体" w:cs="宋体"/>
                <w:sz w:val="21"/>
                <w:szCs w:val="21"/>
              </w:rPr>
            </w:pPr>
            <w:r>
              <w:rPr>
                <w:rFonts w:ascii="宋体"/>
                <w:sz w:val="21"/>
              </w:rPr>
              <w:t>6</w:t>
            </w:r>
          </w:p>
        </w:tc>
        <w:tc>
          <w:tcPr>
            <w:tcW w:w="3798"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三、公务接待费</w:t>
            </w:r>
          </w:p>
        </w:tc>
        <w:tc>
          <w:tcPr>
            <w:tcW w:w="2381"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7"/>
              <w:jc w:val="right"/>
              <w:rPr>
                <w:rFonts w:hint="default" w:ascii="宋体" w:hAnsi="宋体" w:eastAsia="宋体" w:cs="宋体"/>
                <w:sz w:val="21"/>
                <w:szCs w:val="21"/>
              </w:rPr>
            </w:pPr>
            <w:r>
              <w:rPr>
                <w:rFonts w:ascii="宋体"/>
                <w:sz w:val="21"/>
              </w:rPr>
              <w:t>3.00</w:t>
            </w:r>
          </w:p>
        </w:tc>
        <w:tc>
          <w:tcPr>
            <w:tcW w:w="2382" w:type="dxa"/>
            <w:tcBorders>
              <w:top w:val="single" w:color="000000" w:sz="6" w:space="0"/>
              <w:left w:val="single" w:color="000000" w:sz="6" w:space="0"/>
              <w:bottom w:val="single" w:color="000000" w:sz="6" w:space="0"/>
              <w:right w:val="single" w:color="000000" w:sz="6" w:space="0"/>
            </w:tcBorders>
          </w:tcPr>
          <w:p>
            <w:pPr>
              <w:pStyle w:val="13"/>
              <w:spacing w:before="128" w:line="240" w:lineRule="auto"/>
              <w:ind w:right="99"/>
              <w:jc w:val="right"/>
              <w:rPr>
                <w:rFonts w:hint="default" w:ascii="宋体" w:hAnsi="宋体" w:eastAsia="宋体" w:cs="宋体"/>
                <w:sz w:val="21"/>
                <w:szCs w:val="21"/>
              </w:rPr>
            </w:pPr>
            <w:r>
              <w:rPr>
                <w:rFonts w:ascii="宋体"/>
                <w:sz w:val="21"/>
              </w:rPr>
              <w:t>3.00</w:t>
            </w:r>
          </w:p>
        </w:tc>
        <w:tc>
          <w:tcPr>
            <w:tcW w:w="2381" w:type="dxa"/>
            <w:tcBorders>
              <w:top w:val="single" w:color="000000" w:sz="6" w:space="0"/>
              <w:left w:val="single" w:color="000000" w:sz="6" w:space="0"/>
              <w:bottom w:val="single" w:color="000000" w:sz="6" w:space="0"/>
              <w:right w:val="single" w:color="000000" w:sz="6" w:space="0"/>
            </w:tcBorders>
          </w:tcPr>
          <w:p/>
        </w:tc>
        <w:tc>
          <w:tcPr>
            <w:tcW w:w="2381" w:type="dxa"/>
            <w:tcBorders>
              <w:top w:val="single" w:color="000000" w:sz="6" w:space="0"/>
              <w:left w:val="single" w:color="000000" w:sz="6" w:space="0"/>
              <w:bottom w:val="single" w:color="000000" w:sz="6" w:space="0"/>
              <w:right w:val="single" w:color="000000" w:sz="6" w:space="0"/>
            </w:tcBorders>
          </w:tcPr>
          <w:p/>
        </w:tc>
      </w:tr>
    </w:tbl>
    <w:p>
      <w:pPr>
        <w:spacing w:after="0"/>
        <w:sectPr>
          <w:pgSz w:w="16840" w:h="11910" w:orient="landscape"/>
          <w:pgMar w:top="1100" w:right="1220" w:bottom="1160" w:left="900" w:header="0" w:footer="977" w:gutter="0"/>
          <w:cols w:space="720" w:num="1"/>
        </w:sectPr>
      </w:pPr>
    </w:p>
    <w:p>
      <w:pPr>
        <w:spacing w:before="4" w:line="240" w:lineRule="auto"/>
        <w:ind w:right="0"/>
        <w:rPr>
          <w:rFonts w:hint="default" w:ascii="方正小标宋繁体" w:hAnsi="方正小标宋繁体" w:eastAsia="方正小标宋繁体" w:cs="方正小标宋繁体"/>
          <w:sz w:val="27"/>
          <w:szCs w:val="27"/>
        </w:rPr>
      </w:pPr>
    </w:p>
    <w:p>
      <w:pPr>
        <w:pStyle w:val="2"/>
        <w:spacing w:line="561" w:lineRule="exact"/>
        <w:ind w:left="3449" w:right="230"/>
        <w:jc w:val="left"/>
      </w:pPr>
      <w:r>
        <w:t>祖山镇 2021</w:t>
      </w:r>
      <w:r>
        <w:rPr>
          <w:spacing w:val="-12"/>
        </w:rPr>
        <w:t xml:space="preserve"> </w:t>
      </w:r>
      <w:r>
        <w:t>年部门预算信息公开情况说明</w:t>
      </w:r>
    </w:p>
    <w:p>
      <w:pPr>
        <w:pStyle w:val="6"/>
        <w:spacing w:before="261" w:line="290" w:lineRule="auto"/>
        <w:ind w:right="230" w:firstLine="560"/>
        <w:jc w:val="left"/>
      </w:pPr>
      <w:r>
        <w:rPr>
          <w:spacing w:val="-7"/>
          <w:w w:val="99"/>
        </w:rPr>
        <w:t>按照</w:t>
      </w:r>
      <w:bookmarkStart w:id="9" w:name="_GoBack"/>
      <w:bookmarkEnd w:id="9"/>
      <w:r>
        <w:rPr>
          <w:rFonts w:hint="eastAsia"/>
          <w:spacing w:val="-7"/>
          <w:w w:val="99"/>
          <w:lang w:eastAsia="zh-CN"/>
        </w:rPr>
        <w:t>《中华人民共和国预算法》</w:t>
      </w:r>
      <w:r>
        <w:rPr>
          <w:spacing w:val="-7"/>
          <w:w w:val="99"/>
        </w:rPr>
        <w:t>、《地方预决算公开操作规程》和《河北省省级预算公开办法》规定，现将祖山镇</w:t>
      </w:r>
      <w:r>
        <w:rPr>
          <w:w w:val="99"/>
        </w:rPr>
        <w:t xml:space="preserve"> </w:t>
      </w:r>
      <w:r>
        <w:rPr>
          <w:rFonts w:hint="default" w:ascii="Times New Roman" w:hAnsi="Times New Roman" w:eastAsia="Times New Roman" w:cs="Times New Roman"/>
          <w:spacing w:val="-1"/>
          <w:w w:val="99"/>
        </w:rPr>
        <w:t>2021</w:t>
      </w:r>
      <w:r>
        <w:rPr>
          <w:rFonts w:hint="default" w:ascii="Times New Roman" w:hAnsi="Times New Roman" w:eastAsia="Times New Roman" w:cs="Times New Roman"/>
          <w:spacing w:val="-34"/>
          <w:w w:val="99"/>
        </w:rPr>
        <w:t xml:space="preserve"> </w:t>
      </w:r>
      <w:r>
        <w:rPr>
          <w:w w:val="99"/>
        </w:rPr>
        <w:t xml:space="preserve">年部门预算公 </w:t>
      </w:r>
      <w:r>
        <w:t>开如下：</w:t>
      </w:r>
    </w:p>
    <w:p>
      <w:pPr>
        <w:pStyle w:val="5"/>
        <w:spacing w:before="174" w:line="240" w:lineRule="auto"/>
        <w:ind w:right="230"/>
        <w:jc w:val="left"/>
      </w:pPr>
      <w:r>
        <w:t>一、部门职责及机构设置情况</w:t>
      </w:r>
    </w:p>
    <w:p>
      <w:pPr>
        <w:spacing w:before="8" w:line="240" w:lineRule="auto"/>
        <w:ind w:right="0"/>
        <w:rPr>
          <w:rFonts w:hint="default" w:ascii="宋体" w:hAnsi="宋体" w:eastAsia="宋体" w:cs="宋体"/>
          <w:sz w:val="27"/>
          <w:szCs w:val="27"/>
        </w:rPr>
      </w:pPr>
    </w:p>
    <w:p>
      <w:pPr>
        <w:spacing w:before="0"/>
        <w:ind w:left="763" w:right="230" w:firstLine="0"/>
        <w:jc w:val="left"/>
        <w:rPr>
          <w:rFonts w:hint="default" w:ascii="宋体" w:hAnsi="宋体" w:eastAsia="宋体" w:cs="宋体"/>
          <w:sz w:val="32"/>
          <w:szCs w:val="32"/>
        </w:rPr>
      </w:pPr>
      <w:r>
        <w:rPr>
          <w:rFonts w:hint="default" w:ascii="宋体" w:hAnsi="宋体" w:eastAsia="宋体" w:cs="宋体"/>
          <w:b/>
          <w:bCs/>
          <w:sz w:val="32"/>
          <w:szCs w:val="32"/>
        </w:rPr>
        <w:t>部门职责：</w:t>
      </w:r>
    </w:p>
    <w:p>
      <w:pPr>
        <w:pStyle w:val="6"/>
        <w:spacing w:before="208" w:line="290" w:lineRule="auto"/>
        <w:ind w:left="680" w:right="230" w:hanging="1"/>
        <w:jc w:val="left"/>
      </w:pPr>
      <w:r>
        <w:rPr>
          <w:spacing w:val="-6"/>
          <w:w w:val="99"/>
        </w:rPr>
        <w:t>根据《祖山镇职能配置、内设机构和人员编制规定》，</w:t>
      </w:r>
      <w:r>
        <w:rPr>
          <w:w w:val="99"/>
        </w:rPr>
        <w:t xml:space="preserve"> 祖山镇的主要职责是： </w:t>
      </w:r>
      <w:r>
        <w:rPr>
          <w:spacing w:val="-1"/>
        </w:rPr>
        <w:t>部门职责：宣传、贯彻执行党的路线、方针、政策和国家的法律法规，执行本级人民代表大会决议和上级国家行政机</w:t>
      </w:r>
    </w:p>
    <w:p>
      <w:pPr>
        <w:pStyle w:val="6"/>
        <w:spacing w:before="22" w:line="240" w:lineRule="auto"/>
        <w:ind w:right="230"/>
        <w:jc w:val="left"/>
      </w:pPr>
      <w:r>
        <w:t>关的决定和命令，其主要职责是：</w:t>
      </w:r>
    </w:p>
    <w:p>
      <w:pPr>
        <w:pStyle w:val="6"/>
        <w:spacing w:before="87" w:line="290" w:lineRule="auto"/>
        <w:ind w:right="0" w:firstLine="560"/>
        <w:jc w:val="left"/>
      </w:pPr>
      <w:r>
        <w:rPr>
          <w:spacing w:val="-3"/>
          <w:w w:val="99"/>
        </w:rPr>
        <w:t>（一）、促进经济发展。围绕</w:t>
      </w:r>
      <w:r>
        <w:rPr>
          <w:rFonts w:hint="default" w:ascii="Times New Roman" w:hAnsi="Times New Roman" w:eastAsia="Times New Roman" w:cs="Times New Roman"/>
          <w:spacing w:val="-3"/>
          <w:w w:val="99"/>
        </w:rPr>
        <w:t>“</w:t>
      </w:r>
      <w:r>
        <w:rPr>
          <w:spacing w:val="-3"/>
          <w:w w:val="99"/>
        </w:rPr>
        <w:t>工业强县、钢铁立县、开放活县、和谐兴县</w:t>
      </w:r>
      <w:r>
        <w:rPr>
          <w:rFonts w:hint="default" w:ascii="Times New Roman" w:hAnsi="Times New Roman" w:eastAsia="Times New Roman" w:cs="Times New Roman"/>
          <w:spacing w:val="-3"/>
          <w:w w:val="99"/>
        </w:rPr>
        <w:t>”</w:t>
      </w:r>
      <w:r>
        <w:rPr>
          <w:spacing w:val="-3"/>
          <w:w w:val="99"/>
        </w:rPr>
        <w:t>的发展战略，科学制定本镇产业发展规划，</w:t>
      </w:r>
      <w:r>
        <w:rPr>
          <w:w w:val="99"/>
        </w:rPr>
        <w:t xml:space="preserve"> </w:t>
      </w:r>
      <w:r>
        <w:t>谋划适应镇实际的经济发展模式；推进农业产业结构调整，努力提高农业产业化和农民进入市场的组织化水平，促进粮食 生产稳定发展，农民持续增收；营造良好的发展环境，促进招商引资和项目建设；增强农村集体经济实力，大力发展民营 经济，培育和发展农民专业合作组织和中介组织，壮大第二、第三产业，加快城镇化进程。</w:t>
      </w:r>
    </w:p>
    <w:p>
      <w:pPr>
        <w:pStyle w:val="6"/>
        <w:spacing w:before="22" w:line="290" w:lineRule="auto"/>
        <w:ind w:right="0" w:firstLine="560"/>
        <w:jc w:val="left"/>
      </w:pPr>
      <w:r>
        <w:rPr>
          <w:spacing w:val="-3"/>
          <w:w w:val="99"/>
        </w:rPr>
        <w:t>（二）、加强社会管理。组织、监督国家基本公共政策的实施，加强镇村财政资金监管，加强义务教育、公共卫生、</w:t>
      </w:r>
      <w:r>
        <w:rPr>
          <w:w w:val="99"/>
        </w:rPr>
        <w:t xml:space="preserve"> </w:t>
      </w:r>
      <w:r>
        <w:rPr>
          <w:spacing w:val="-4"/>
        </w:rPr>
        <w:t xml:space="preserve">计划生育、镇村建设等社会事务的行政管理，促进各项社会事业的发展；协助县直有关部门做好国土资源管理、环境保护、 </w:t>
      </w:r>
      <w:r>
        <w:t>动物防疫、减灾救灾等工作；保障法律法规赋予公民的经济、政治、文化权利，落实公民在选举、决策、管理和监督方面 的民主权利，依法行政；加强农村党组织建设，依法推进村民组织自治，加强农村宣传文化工作，抓好农村的思想政治建</w:t>
      </w:r>
    </w:p>
    <w:p>
      <w:pPr>
        <w:spacing w:after="0" w:line="29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230"/>
        <w:jc w:val="left"/>
      </w:pPr>
      <w:r>
        <w:t>设和精神文明建设；制定文明生态村建设和构建和谐社会的相关措施，抓好组织实施。</w:t>
      </w:r>
    </w:p>
    <w:p>
      <w:pPr>
        <w:pStyle w:val="6"/>
        <w:spacing w:before="88" w:line="290" w:lineRule="auto"/>
        <w:ind w:right="230" w:firstLine="560"/>
        <w:jc w:val="left"/>
      </w:pPr>
      <w:r>
        <w:rPr>
          <w:spacing w:val="-4"/>
          <w:w w:val="99"/>
        </w:rPr>
        <w:t>（三）、提供公共服务。</w:t>
      </w:r>
      <w:r>
        <w:rPr>
          <w:rFonts w:hint="default" w:ascii="Times New Roman" w:hAnsi="Times New Roman" w:eastAsia="Times New Roman" w:cs="Times New Roman"/>
          <w:spacing w:val="-4"/>
          <w:w w:val="99"/>
        </w:rPr>
        <w:t>1</w:t>
      </w:r>
      <w:r>
        <w:rPr>
          <w:spacing w:val="-4"/>
          <w:w w:val="99"/>
        </w:rPr>
        <w:t>、生产保障。提供水利灌溉、道路运输、电力供应、农技推广、病虫害防治等生产性公共产</w:t>
      </w:r>
      <w:r>
        <w:rPr>
          <w:w w:val="99"/>
        </w:rPr>
        <w:t xml:space="preserve"> </w:t>
      </w:r>
      <w:r>
        <w:t>品；</w:t>
      </w:r>
      <w:r>
        <w:rPr>
          <w:rFonts w:hint="default" w:ascii="Times New Roman" w:hAnsi="Times New Roman" w:eastAsia="Times New Roman" w:cs="Times New Roman"/>
        </w:rPr>
        <w:t>2</w:t>
      </w:r>
      <w:r>
        <w:t xml:space="preserve">、教育保障。协助教育部门普及九年义务制教育，加强对农村劳动力的职业培训，提高农民的科学文化素质和就业 </w:t>
      </w:r>
      <w:r>
        <w:rPr>
          <w:w w:val="95"/>
        </w:rPr>
        <w:t>本领；</w:t>
      </w:r>
      <w:r>
        <w:rPr>
          <w:rFonts w:hint="default" w:ascii="Times New Roman" w:hAnsi="Times New Roman" w:eastAsia="Times New Roman" w:cs="Times New Roman"/>
          <w:w w:val="95"/>
        </w:rPr>
        <w:t>3</w:t>
      </w:r>
      <w:r>
        <w:rPr>
          <w:w w:val="95"/>
        </w:rPr>
        <w:t>、医疗保障。农村医疗设施、医疗手段的完善和提高，农村医疗保险制度的建立和落实；</w:t>
      </w:r>
      <w:r>
        <w:rPr>
          <w:rFonts w:hint="default" w:ascii="Times New Roman" w:hAnsi="Times New Roman" w:eastAsia="Times New Roman" w:cs="Times New Roman"/>
          <w:w w:val="95"/>
        </w:rPr>
        <w:t>4</w:t>
      </w:r>
      <w:r>
        <w:rPr>
          <w:w w:val="95"/>
        </w:rPr>
        <w:t xml:space="preserve">、养老保障。福利院、 </w:t>
      </w:r>
      <w:r>
        <w:t>敬老院的建设，农村养老保险制度的推行；</w:t>
      </w:r>
      <w:r>
        <w:rPr>
          <w:rFonts w:hint="default" w:ascii="Times New Roman" w:hAnsi="Times New Roman" w:eastAsia="Times New Roman" w:cs="Times New Roman"/>
        </w:rPr>
        <w:t>5</w:t>
      </w:r>
      <w:r>
        <w:t>、生活保障。建设乡村社会各种生活基础设施。建立农村特困户的救助制度 和救助体系；</w:t>
      </w:r>
      <w:r>
        <w:rPr>
          <w:rFonts w:hint="default" w:ascii="Times New Roman" w:hAnsi="Times New Roman" w:eastAsia="Times New Roman" w:cs="Times New Roman"/>
        </w:rPr>
        <w:t>6</w:t>
      </w:r>
      <w:r>
        <w:t>、生育保障。为控制人口数量、提高人口素质和生殖健康提供各种优质服务。</w:t>
      </w:r>
    </w:p>
    <w:p>
      <w:pPr>
        <w:pStyle w:val="6"/>
        <w:spacing w:before="20" w:line="290" w:lineRule="auto"/>
        <w:ind w:right="0" w:firstLine="560"/>
        <w:jc w:val="left"/>
      </w:pPr>
      <w:r>
        <w:rPr>
          <w:spacing w:val="-3"/>
          <w:w w:val="99"/>
        </w:rPr>
        <w:t>（四）、维护农村稳定。贯彻执行国家法律法规和政策，增强农民法律意识，教育农民知法、懂法、守法；建立完善</w:t>
      </w:r>
      <w:r>
        <w:rPr>
          <w:w w:val="99"/>
        </w:rPr>
        <w:t xml:space="preserve"> </w:t>
      </w:r>
      <w:r>
        <w:rPr>
          <w:spacing w:val="-4"/>
        </w:rPr>
        <w:t xml:space="preserve">协调联动机制，搞好农村矛盾纠纷排查调处，加强社会治安综合治理，维护社会安全秩序；妥善处理突发性、群体性事件， </w:t>
      </w:r>
      <w:r>
        <w:t>协助司法机关打击各类刑事犯罪活动；保护社会公正，维护社会秩序和社会稳定。</w:t>
      </w:r>
    </w:p>
    <w:p>
      <w:pPr>
        <w:spacing w:before="3" w:line="240" w:lineRule="auto"/>
        <w:ind w:right="0"/>
        <w:rPr>
          <w:rFonts w:hint="default" w:ascii="方正仿宋繁体" w:hAnsi="方正仿宋繁体" w:eastAsia="方正仿宋繁体" w:cs="方正仿宋繁体"/>
          <w:sz w:val="35"/>
          <w:szCs w:val="35"/>
        </w:rPr>
      </w:pPr>
    </w:p>
    <w:p>
      <w:pPr>
        <w:spacing w:before="0"/>
        <w:ind w:left="763" w:right="230" w:firstLine="0"/>
        <w:jc w:val="left"/>
        <w:rPr>
          <w:rFonts w:hint="default" w:ascii="宋体" w:hAnsi="宋体" w:eastAsia="宋体" w:cs="宋体"/>
          <w:sz w:val="32"/>
          <w:szCs w:val="32"/>
        </w:rPr>
      </w:pPr>
      <w:r>
        <w:rPr>
          <w:rFonts w:hint="default" w:ascii="宋体" w:hAnsi="宋体" w:eastAsia="宋体" w:cs="宋体"/>
          <w:b/>
          <w:bCs/>
          <w:sz w:val="32"/>
          <w:szCs w:val="32"/>
        </w:rPr>
        <w:t>机构设置：</w:t>
      </w:r>
    </w:p>
    <w:p>
      <w:pPr>
        <w:pStyle w:val="5"/>
        <w:spacing w:before="157" w:line="240" w:lineRule="auto"/>
        <w:ind w:left="6220" w:right="6339"/>
        <w:jc w:val="center"/>
        <w:rPr>
          <w:rFonts w:hint="default" w:ascii="方正小标宋繁体" w:hAnsi="方正小标宋繁体" w:eastAsia="方正小标宋繁体" w:cs="方正小标宋繁体"/>
        </w:rPr>
      </w:pPr>
      <w:r>
        <w:rPr>
          <w:rFonts w:hint="default" w:ascii="方正小标宋繁体" w:hAnsi="方正小标宋繁体" w:eastAsia="方正小标宋繁体" w:cs="方正小标宋繁体"/>
        </w:rPr>
        <w:t>部门机构设置情况</w:t>
      </w:r>
    </w:p>
    <w:p>
      <w:pPr>
        <w:spacing w:before="12" w:line="240" w:lineRule="auto"/>
        <w:ind w:right="0"/>
        <w:rPr>
          <w:rFonts w:hint="default" w:ascii="方正小标宋繁体" w:hAnsi="方正小标宋繁体" w:eastAsia="方正小标宋繁体" w:cs="方正小标宋繁体"/>
          <w:sz w:val="7"/>
          <w:szCs w:val="7"/>
        </w:rPr>
      </w:pPr>
    </w:p>
    <w:tbl>
      <w:tblPr>
        <w:tblStyle w:val="9"/>
        <w:tblW w:w="0" w:type="auto"/>
        <w:tblInd w:w="779" w:type="dxa"/>
        <w:tblLayout w:type="fixed"/>
        <w:tblCellMar>
          <w:top w:w="0" w:type="dxa"/>
          <w:left w:w="0" w:type="dxa"/>
          <w:bottom w:w="0" w:type="dxa"/>
          <w:right w:w="0" w:type="dxa"/>
        </w:tblCellMar>
      </w:tblPr>
      <w:tblGrid>
        <w:gridCol w:w="5669"/>
        <w:gridCol w:w="1843"/>
        <w:gridCol w:w="2126"/>
        <w:gridCol w:w="3827"/>
      </w:tblGrid>
      <w:tr>
        <w:tblPrEx>
          <w:tblCellMar>
            <w:top w:w="0" w:type="dxa"/>
            <w:left w:w="0" w:type="dxa"/>
            <w:bottom w:w="0" w:type="dxa"/>
            <w:right w:w="0" w:type="dxa"/>
          </w:tblCellMar>
        </w:tblPrEx>
        <w:trPr>
          <w:trHeight w:val="582"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单位名称</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单位性质</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单位规格</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129"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经费保障形式</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青龙满族自治县祖山镇人民政府本级</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行政</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财政拨款</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青龙满族自治县祖山镇人民政府事业</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事业</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财政性资金基本保证</w:t>
            </w:r>
          </w:p>
        </w:tc>
      </w:tr>
      <w:tr>
        <w:tblPrEx>
          <w:tblCellMar>
            <w:top w:w="0" w:type="dxa"/>
            <w:left w:w="0" w:type="dxa"/>
            <w:bottom w:w="0" w:type="dxa"/>
            <w:right w:w="0" w:type="dxa"/>
          </w:tblCellMar>
        </w:tblPrEx>
        <w:trPr>
          <w:trHeight w:val="384" w:hRule="exact"/>
        </w:trPr>
        <w:tc>
          <w:tcPr>
            <w:tcW w:w="5669"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青龙满族自治县祖山镇人民政府转移支付</w:t>
            </w:r>
          </w:p>
        </w:tc>
        <w:tc>
          <w:tcPr>
            <w:tcW w:w="1843"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0"/>
              <w:jc w:val="center"/>
              <w:rPr>
                <w:rFonts w:hint="default" w:ascii="宋体" w:hAnsi="宋体" w:eastAsia="宋体" w:cs="宋体"/>
                <w:sz w:val="21"/>
                <w:szCs w:val="21"/>
              </w:rPr>
            </w:pPr>
            <w:r>
              <w:rPr>
                <w:rFonts w:hint="default" w:ascii="宋体" w:hAnsi="宋体" w:eastAsia="宋体" w:cs="宋体"/>
                <w:sz w:val="21"/>
                <w:szCs w:val="21"/>
              </w:rPr>
              <w:t>事业</w:t>
            </w:r>
          </w:p>
        </w:tc>
        <w:tc>
          <w:tcPr>
            <w:tcW w:w="2126"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正科级</w:t>
            </w:r>
          </w:p>
        </w:tc>
        <w:tc>
          <w:tcPr>
            <w:tcW w:w="3827" w:type="dxa"/>
            <w:tcBorders>
              <w:top w:val="single" w:color="000000" w:sz="6" w:space="0"/>
              <w:left w:val="single" w:color="000000" w:sz="6" w:space="0"/>
              <w:bottom w:val="single" w:color="000000" w:sz="6" w:space="0"/>
              <w:right w:val="single" w:color="000000" w:sz="6" w:space="0"/>
            </w:tcBorders>
          </w:tcPr>
          <w:p>
            <w:pPr>
              <w:pStyle w:val="13"/>
              <w:spacing w:before="29" w:line="240" w:lineRule="auto"/>
              <w:ind w:right="1"/>
              <w:jc w:val="center"/>
              <w:rPr>
                <w:rFonts w:hint="default" w:ascii="宋体" w:hAnsi="宋体" w:eastAsia="宋体" w:cs="宋体"/>
                <w:sz w:val="21"/>
                <w:szCs w:val="21"/>
              </w:rPr>
            </w:pPr>
            <w:r>
              <w:rPr>
                <w:rFonts w:hint="default" w:ascii="宋体" w:hAnsi="宋体" w:eastAsia="宋体" w:cs="宋体"/>
                <w:sz w:val="21"/>
                <w:szCs w:val="21"/>
              </w:rPr>
              <w:t>财政性资金零补助</w:t>
            </w:r>
          </w:p>
        </w:tc>
      </w:tr>
    </w:tbl>
    <w:p>
      <w:pPr>
        <w:spacing w:before="4" w:line="240" w:lineRule="auto"/>
        <w:ind w:right="0"/>
        <w:rPr>
          <w:rFonts w:hint="default" w:ascii="方正小标宋繁体" w:hAnsi="方正小标宋繁体" w:eastAsia="方正小标宋繁体" w:cs="方正小标宋繁体"/>
          <w:sz w:val="13"/>
          <w:szCs w:val="13"/>
        </w:rPr>
      </w:pPr>
    </w:p>
    <w:p>
      <w:pPr>
        <w:spacing w:before="1"/>
        <w:ind w:left="759" w:right="230" w:firstLine="0"/>
        <w:jc w:val="left"/>
        <w:rPr>
          <w:rFonts w:hint="default" w:ascii="宋体" w:hAnsi="宋体" w:eastAsia="宋体" w:cs="宋体"/>
          <w:sz w:val="32"/>
          <w:szCs w:val="32"/>
        </w:rPr>
      </w:pPr>
      <w:r>
        <w:rPr>
          <w:rFonts w:hint="default" w:ascii="宋体" w:hAnsi="宋体" w:eastAsia="宋体" w:cs="宋体"/>
          <w:sz w:val="32"/>
          <w:szCs w:val="32"/>
        </w:rPr>
        <w:t>二、部门预算安排的总体情况</w:t>
      </w:r>
    </w:p>
    <w:p>
      <w:pPr>
        <w:spacing w:after="0"/>
        <w:jc w:val="left"/>
        <w:rPr>
          <w:rFonts w:hint="default" w:ascii="宋体" w:hAnsi="宋体" w:eastAsia="宋体" w:cs="宋体"/>
          <w:sz w:val="32"/>
          <w:szCs w:val="32"/>
        </w:rPr>
        <w:sectPr>
          <w:pgSz w:w="16840" w:h="11910" w:orient="landscape"/>
          <w:pgMar w:top="1100" w:right="780" w:bottom="1160" w:left="900" w:header="0" w:footer="977" w:gutter="0"/>
          <w:cols w:space="720" w:num="1"/>
        </w:sectPr>
      </w:pPr>
    </w:p>
    <w:p>
      <w:pPr>
        <w:spacing w:before="9" w:line="240" w:lineRule="auto"/>
        <w:ind w:right="0"/>
        <w:rPr>
          <w:rFonts w:hint="default" w:ascii="宋体" w:hAnsi="宋体" w:eastAsia="宋体" w:cs="宋体"/>
          <w:sz w:val="25"/>
          <w:szCs w:val="25"/>
        </w:rPr>
      </w:pPr>
    </w:p>
    <w:p>
      <w:pPr>
        <w:pStyle w:val="6"/>
        <w:spacing w:line="387" w:lineRule="exact"/>
        <w:ind w:left="680" w:right="0"/>
        <w:jc w:val="left"/>
      </w:pPr>
      <w:r>
        <w:t>按照预算管理有关规定，目前我省部门预算的编制实行综合预算管理，即全部收入和支出都反映在预算中。祖山镇机</w:t>
      </w:r>
    </w:p>
    <w:p>
      <w:pPr>
        <w:pStyle w:val="6"/>
        <w:spacing w:before="88" w:line="290" w:lineRule="auto"/>
        <w:ind w:left="680" w:right="90" w:hanging="561"/>
        <w:jc w:val="left"/>
      </w:pPr>
      <w:r>
        <w:t xml:space="preserve">关及所属事业单位的收支包含在部门预算中。 </w:t>
      </w:r>
    </w:p>
    <w:p>
      <w:pPr>
        <w:pStyle w:val="6"/>
        <w:spacing w:before="88" w:line="240" w:lineRule="auto"/>
        <w:ind w:left="680" w:right="0"/>
        <w:jc w:val="left"/>
      </w:pPr>
      <w:r>
        <w:rPr>
          <w:rFonts w:hint="default" w:ascii="Times New Roman" w:hAnsi="Times New Roman" w:eastAsia="Times New Roman" w:cs="Times New Roman"/>
        </w:rPr>
        <w:t>1</w:t>
      </w:r>
      <w:r>
        <w:t>、收入说明</w:t>
      </w:r>
    </w:p>
    <w:p>
      <w:pPr>
        <w:pStyle w:val="6"/>
        <w:spacing w:before="88" w:line="240" w:lineRule="auto"/>
        <w:ind w:left="680" w:right="0"/>
        <w:jc w:val="left"/>
        <w:rPr>
          <w:rFonts w:hint="default" w:ascii="Times New Roman" w:hAnsi="Times New Roman" w:eastAsia="Times New Roman" w:cs="Times New Roman"/>
        </w:rPr>
      </w:pPr>
      <w:r>
        <w:t>反映本部门当年全部收入。</w:t>
      </w:r>
      <w:r>
        <w:rPr>
          <w:rFonts w:hint="default" w:ascii="Times New Roman" w:hAnsi="Times New Roman" w:eastAsia="Times New Roman" w:cs="Times New Roman"/>
        </w:rPr>
        <w:t>2021</w:t>
      </w:r>
      <w:r>
        <w:rPr>
          <w:rFonts w:hint="default" w:ascii="Times New Roman" w:hAnsi="Times New Roman" w:eastAsia="Times New Roman" w:cs="Times New Roman"/>
          <w:spacing w:val="-5"/>
        </w:rPr>
        <w:t xml:space="preserve"> </w:t>
      </w:r>
      <w:r>
        <w:t>年预算收入</w:t>
      </w:r>
      <w:r>
        <w:rPr>
          <w:spacing w:val="-58"/>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5"/>
        </w:rPr>
        <w:t xml:space="preserve"> </w:t>
      </w:r>
      <w:r>
        <w:t>万元，其中：一般公共预算收入</w:t>
      </w:r>
      <w:r>
        <w:rPr>
          <w:spacing w:val="-59"/>
        </w:rPr>
        <w:t xml:space="preserve"> </w:t>
      </w:r>
      <w:r>
        <w:rPr>
          <w:rFonts w:hint="default" w:ascii="Times New Roman" w:hAnsi="Times New Roman" w:eastAsia="Times New Roman" w:cs="Times New Roman"/>
        </w:rPr>
        <w:t>94.73</w:t>
      </w:r>
      <w:r>
        <w:rPr>
          <w:rFonts w:hint="default" w:ascii="Times New Roman" w:hAnsi="Times New Roman" w:eastAsia="Times New Roman" w:cs="Times New Roman"/>
          <w:spacing w:val="-4"/>
        </w:rPr>
        <w:t xml:space="preserve"> </w:t>
      </w:r>
      <w:r>
        <w:t>万元，基金预算收入</w:t>
      </w:r>
      <w:r>
        <w:rPr>
          <w:spacing w:val="-59"/>
        </w:rPr>
        <w:t xml:space="preserve"> </w:t>
      </w:r>
      <w:r>
        <w:rPr>
          <w:rFonts w:hint="default" w:ascii="Times New Roman" w:hAnsi="Times New Roman" w:eastAsia="Times New Roman" w:cs="Times New Roman"/>
        </w:rPr>
        <w:t>55.99</w:t>
      </w:r>
    </w:p>
    <w:p>
      <w:pPr>
        <w:pStyle w:val="6"/>
        <w:spacing w:before="87" w:line="240" w:lineRule="auto"/>
        <w:ind w:right="0"/>
        <w:jc w:val="left"/>
      </w:pPr>
      <w:r>
        <w:t>万元，财政专户核拨收入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万元，国有资本经营收入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万元，其他来源收入</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t>万元。</w:t>
      </w:r>
    </w:p>
    <w:p>
      <w:pPr>
        <w:pStyle w:val="6"/>
        <w:spacing w:before="88" w:line="240" w:lineRule="auto"/>
        <w:ind w:left="680" w:right="0"/>
        <w:jc w:val="left"/>
      </w:pPr>
      <w:r>
        <w:rPr>
          <w:rFonts w:hint="default" w:ascii="Times New Roman" w:hAnsi="Times New Roman" w:eastAsia="Times New Roman" w:cs="Times New Roman"/>
        </w:rPr>
        <w:t>2</w:t>
      </w:r>
      <w:r>
        <w:t>、支出说明</w:t>
      </w:r>
    </w:p>
    <w:p>
      <w:pPr>
        <w:pStyle w:val="6"/>
        <w:spacing w:before="88" w:line="240" w:lineRule="auto"/>
        <w:ind w:left="680" w:right="0"/>
        <w:jc w:val="left"/>
      </w:pPr>
      <w:r>
        <w:t>收支预算总表支出栏、基本支出表、项目支出表按经济分类和支出功能分类科目编制，反映祖山镇</w:t>
      </w:r>
      <w:r>
        <w:rPr>
          <w:spacing w:val="-75"/>
        </w:rPr>
        <w:t xml:space="preserve"> </w:t>
      </w:r>
      <w:r>
        <w:rPr>
          <w:rFonts w:hint="default" w:ascii="Times New Roman" w:hAnsi="Times New Roman" w:eastAsia="Times New Roman" w:cs="Times New Roman"/>
        </w:rPr>
        <w:t xml:space="preserve">2021 </w:t>
      </w:r>
      <w:r>
        <w:t>年度部门预</w:t>
      </w:r>
    </w:p>
    <w:p>
      <w:pPr>
        <w:pStyle w:val="6"/>
        <w:spacing w:before="87" w:line="240" w:lineRule="auto"/>
        <w:ind w:right="0"/>
        <w:jc w:val="left"/>
      </w:pPr>
      <w:r>
        <w:t>算中支出预算的总体情况。</w:t>
      </w:r>
      <w:r>
        <w:rPr>
          <w:rFonts w:hint="default" w:ascii="Times New Roman" w:hAnsi="Times New Roman" w:eastAsia="Times New Roman" w:cs="Times New Roman"/>
        </w:rPr>
        <w:t>2021</w:t>
      </w:r>
      <w:r>
        <w:rPr>
          <w:rFonts w:hint="default" w:ascii="Times New Roman" w:hAnsi="Times New Roman" w:eastAsia="Times New Roman" w:cs="Times New Roman"/>
          <w:spacing w:val="-10"/>
        </w:rPr>
        <w:t xml:space="preserve"> </w:t>
      </w:r>
      <w:r>
        <w:t>年支出预算</w:t>
      </w:r>
      <w:r>
        <w:rPr>
          <w:spacing w:val="-63"/>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10"/>
        </w:rPr>
        <w:t xml:space="preserve"> </w:t>
      </w:r>
      <w:r>
        <w:t>万元，其中基本支出</w:t>
      </w:r>
      <w:r>
        <w:rPr>
          <w:spacing w:val="-63"/>
        </w:rPr>
        <w:t xml:space="preserve"> </w:t>
      </w:r>
      <w:r>
        <w:rPr>
          <w:rFonts w:hint="default" w:ascii="Times New Roman" w:hAnsi="Times New Roman" w:eastAsia="Times New Roman" w:cs="Times New Roman"/>
        </w:rPr>
        <w:t>940.73</w:t>
      </w:r>
      <w:r>
        <w:rPr>
          <w:rFonts w:hint="default" w:ascii="Times New Roman" w:hAnsi="Times New Roman" w:eastAsia="Times New Roman" w:cs="Times New Roman"/>
          <w:spacing w:val="-10"/>
        </w:rPr>
        <w:t xml:space="preserve"> </w:t>
      </w:r>
      <w:r>
        <w:t>万元，包括人员经费</w:t>
      </w:r>
      <w:r>
        <w:rPr>
          <w:spacing w:val="-63"/>
        </w:rPr>
        <w:t xml:space="preserve"> </w:t>
      </w:r>
      <w:r>
        <w:rPr>
          <w:rFonts w:hint="default" w:ascii="Times New Roman" w:hAnsi="Times New Roman" w:eastAsia="Times New Roman" w:cs="Times New Roman"/>
        </w:rPr>
        <w:t>775.89</w:t>
      </w:r>
      <w:r>
        <w:rPr>
          <w:rFonts w:hint="default" w:ascii="Times New Roman" w:hAnsi="Times New Roman" w:eastAsia="Times New Roman" w:cs="Times New Roman"/>
          <w:spacing w:val="-10"/>
        </w:rPr>
        <w:t xml:space="preserve"> </w:t>
      </w:r>
      <w:r>
        <w:t>万元和日常公</w:t>
      </w:r>
    </w:p>
    <w:p>
      <w:pPr>
        <w:pStyle w:val="6"/>
        <w:spacing w:before="88" w:line="290" w:lineRule="auto"/>
        <w:ind w:right="0"/>
        <w:jc w:val="left"/>
      </w:pPr>
      <w:r>
        <w:t>用经费</w:t>
      </w:r>
      <w:r>
        <w:rPr>
          <w:spacing w:val="-59"/>
        </w:rPr>
        <w:t xml:space="preserve"> </w:t>
      </w:r>
      <w:r>
        <w:rPr>
          <w:rFonts w:hint="default" w:ascii="Times New Roman" w:hAnsi="Times New Roman" w:eastAsia="Times New Roman" w:cs="Times New Roman"/>
        </w:rPr>
        <w:t>76.54</w:t>
      </w:r>
      <w:r>
        <w:rPr>
          <w:rFonts w:hint="default" w:ascii="Times New Roman" w:hAnsi="Times New Roman" w:eastAsia="Times New Roman" w:cs="Times New Roman"/>
          <w:spacing w:val="-5"/>
        </w:rPr>
        <w:t xml:space="preserve"> </w:t>
      </w:r>
      <w:r>
        <w:t>万元；项目支出</w:t>
      </w:r>
      <w:r>
        <w:rPr>
          <w:spacing w:val="-59"/>
        </w:rPr>
        <w:t xml:space="preserve"> </w:t>
      </w:r>
      <w:r>
        <w:rPr>
          <w:rFonts w:hint="default" w:ascii="Times New Roman" w:hAnsi="Times New Roman" w:eastAsia="Times New Roman" w:cs="Times New Roman"/>
        </w:rPr>
        <w:t>88.30</w:t>
      </w:r>
      <w:r>
        <w:rPr>
          <w:rFonts w:hint="default" w:ascii="Times New Roman" w:hAnsi="Times New Roman" w:eastAsia="Times New Roman" w:cs="Times New Roman"/>
          <w:spacing w:val="-7"/>
        </w:rPr>
        <w:t xml:space="preserve"> </w:t>
      </w:r>
      <w:r>
        <w:t>万元，主要为主要为团委项目、党建项目、政府性基金解决山神庙和英武山村民失地 补助项目等。</w:t>
      </w:r>
    </w:p>
    <w:p>
      <w:pPr>
        <w:pStyle w:val="6"/>
        <w:spacing w:before="21" w:line="240" w:lineRule="auto"/>
        <w:ind w:left="680" w:right="0"/>
        <w:jc w:val="left"/>
      </w:pPr>
      <w:r>
        <w:rPr>
          <w:rFonts w:hint="default" w:ascii="Times New Roman" w:hAnsi="Times New Roman" w:eastAsia="Times New Roman" w:cs="Times New Roman"/>
        </w:rPr>
        <w:t>3</w:t>
      </w:r>
      <w:r>
        <w:t>、比上年增减情况</w:t>
      </w:r>
    </w:p>
    <w:p>
      <w:pPr>
        <w:pStyle w:val="6"/>
        <w:spacing w:before="88" w:line="240" w:lineRule="auto"/>
        <w:ind w:left="680" w:right="0"/>
        <w:jc w:val="left"/>
      </w:pPr>
      <w:r>
        <w:rPr>
          <w:rFonts w:hint="default" w:ascii="Times New Roman" w:hAnsi="Times New Roman" w:eastAsia="Times New Roman" w:cs="Times New Roman"/>
        </w:rPr>
        <w:t>2021</w:t>
      </w:r>
      <w:r>
        <w:rPr>
          <w:rFonts w:hint="default" w:ascii="Times New Roman" w:hAnsi="Times New Roman" w:eastAsia="Times New Roman" w:cs="Times New Roman"/>
          <w:spacing w:val="-4"/>
        </w:rPr>
        <w:t xml:space="preserve"> </w:t>
      </w:r>
      <w:r>
        <w:t>年预算收支安排</w:t>
      </w:r>
      <w:r>
        <w:rPr>
          <w:spacing w:val="-57"/>
        </w:rPr>
        <w:t xml:space="preserve"> </w:t>
      </w:r>
      <w:r>
        <w:rPr>
          <w:rFonts w:hint="default" w:ascii="Times New Roman" w:hAnsi="Times New Roman" w:eastAsia="Times New Roman" w:cs="Times New Roman"/>
        </w:rPr>
        <w:t>996.72</w:t>
      </w:r>
      <w:r>
        <w:rPr>
          <w:rFonts w:hint="default" w:ascii="Times New Roman" w:hAnsi="Times New Roman" w:eastAsia="Times New Roman" w:cs="Times New Roman"/>
          <w:spacing w:val="-5"/>
        </w:rPr>
        <w:t xml:space="preserve"> </w:t>
      </w:r>
      <w:r>
        <w:t>万元，较</w:t>
      </w:r>
      <w:r>
        <w:rPr>
          <w:spacing w:val="-59"/>
        </w:rPr>
        <w:t xml:space="preserve"> </w:t>
      </w:r>
      <w:r>
        <w:rPr>
          <w:rFonts w:hint="default" w:ascii="Times New Roman" w:hAnsi="Times New Roman" w:eastAsia="Times New Roman" w:cs="Times New Roman"/>
        </w:rPr>
        <w:t>2020</w:t>
      </w:r>
      <w:r>
        <w:rPr>
          <w:rFonts w:hint="default" w:ascii="Times New Roman" w:hAnsi="Times New Roman" w:eastAsia="Times New Roman" w:cs="Times New Roman"/>
          <w:spacing w:val="-4"/>
        </w:rPr>
        <w:t xml:space="preserve"> </w:t>
      </w:r>
      <w:r>
        <w:t>年预算减少</w:t>
      </w:r>
      <w:r>
        <w:rPr>
          <w:spacing w:val="-57"/>
        </w:rPr>
        <w:t xml:space="preserve"> </w:t>
      </w:r>
      <w:r>
        <w:rPr>
          <w:rFonts w:hint="default" w:ascii="Times New Roman" w:hAnsi="Times New Roman" w:eastAsia="Times New Roman" w:cs="Times New Roman"/>
        </w:rPr>
        <w:t>38.74</w:t>
      </w:r>
      <w:r>
        <w:rPr>
          <w:rFonts w:hint="default" w:ascii="Times New Roman" w:hAnsi="Times New Roman" w:eastAsia="Times New Roman" w:cs="Times New Roman"/>
          <w:spacing w:val="-3"/>
        </w:rPr>
        <w:t xml:space="preserve"> </w:t>
      </w:r>
      <w:r>
        <w:t>万元，其中：基本支出增加</w:t>
      </w:r>
      <w:r>
        <w:rPr>
          <w:spacing w:val="-57"/>
        </w:rPr>
        <w:t xml:space="preserve"> </w:t>
      </w:r>
      <w:r>
        <w:rPr>
          <w:rFonts w:hint="default" w:ascii="Times New Roman" w:hAnsi="Times New Roman" w:eastAsia="Times New Roman" w:cs="Times New Roman"/>
        </w:rPr>
        <w:t>33.56</w:t>
      </w:r>
      <w:r>
        <w:rPr>
          <w:rFonts w:hint="default" w:ascii="Times New Roman" w:hAnsi="Times New Roman" w:eastAsia="Times New Roman" w:cs="Times New Roman"/>
          <w:spacing w:val="-3"/>
        </w:rPr>
        <w:t xml:space="preserve"> </w:t>
      </w:r>
      <w:r>
        <w:t>万元，主要为增加了</w:t>
      </w:r>
    </w:p>
    <w:p>
      <w:pPr>
        <w:pStyle w:val="6"/>
        <w:spacing w:before="88" w:line="240" w:lineRule="auto"/>
        <w:ind w:right="0"/>
        <w:jc w:val="left"/>
      </w:pPr>
      <w:r>
        <w:t>人员经费支出；项目支出减少</w:t>
      </w:r>
      <w:r>
        <w:rPr>
          <w:spacing w:val="-70"/>
        </w:rPr>
        <w:t xml:space="preserve"> </w:t>
      </w:r>
      <w:r>
        <w:rPr>
          <w:rFonts w:hint="default" w:ascii="Times New Roman" w:hAnsi="Times New Roman" w:eastAsia="Times New Roman" w:cs="Times New Roman"/>
        </w:rPr>
        <w:t xml:space="preserve">206.7 </w:t>
      </w:r>
      <w:r>
        <w:t>万元，主要是减少了转移支付革命老区资金。</w:t>
      </w:r>
    </w:p>
    <w:p>
      <w:pPr>
        <w:spacing w:before="0" w:line="240" w:lineRule="auto"/>
        <w:ind w:right="0"/>
        <w:rPr>
          <w:rFonts w:hint="default" w:ascii="方正仿宋繁体" w:hAnsi="方正仿宋繁体" w:eastAsia="方正仿宋繁体" w:cs="方正仿宋繁体"/>
          <w:sz w:val="28"/>
          <w:szCs w:val="28"/>
        </w:rPr>
      </w:pPr>
    </w:p>
    <w:p>
      <w:pPr>
        <w:spacing w:before="0" w:line="240" w:lineRule="auto"/>
        <w:ind w:right="0"/>
        <w:rPr>
          <w:rFonts w:hint="default" w:ascii="方正仿宋繁体" w:hAnsi="方正仿宋繁体" w:eastAsia="方正仿宋繁体" w:cs="方正仿宋繁体"/>
          <w:sz w:val="28"/>
          <w:szCs w:val="28"/>
        </w:rPr>
      </w:pPr>
    </w:p>
    <w:p>
      <w:pPr>
        <w:spacing w:before="4" w:line="240" w:lineRule="auto"/>
        <w:ind w:right="0"/>
        <w:rPr>
          <w:rFonts w:hint="default" w:ascii="方正仿宋繁体" w:hAnsi="方正仿宋繁体" w:eastAsia="方正仿宋繁体" w:cs="方正仿宋繁体"/>
          <w:sz w:val="28"/>
          <w:szCs w:val="28"/>
        </w:rPr>
      </w:pPr>
    </w:p>
    <w:p>
      <w:pPr>
        <w:pStyle w:val="5"/>
        <w:spacing w:before="0" w:line="240" w:lineRule="auto"/>
        <w:ind w:right="0"/>
        <w:jc w:val="left"/>
      </w:pPr>
      <w:r>
        <w:t>三、机关运行经费安排情况</w:t>
      </w:r>
    </w:p>
    <w:p>
      <w:pPr>
        <w:spacing w:after="0" w:line="240" w:lineRule="auto"/>
        <w:jc w:val="left"/>
        <w:sectPr>
          <w:pgSz w:w="16840" w:h="11910" w:orient="landscape"/>
          <w:pgMar w:top="1100" w:right="920" w:bottom="1160" w:left="900" w:header="0" w:footer="977" w:gutter="0"/>
          <w:cols w:space="720" w:num="1"/>
        </w:sectPr>
      </w:pPr>
    </w:p>
    <w:p>
      <w:pPr>
        <w:spacing w:before="4" w:line="240" w:lineRule="auto"/>
        <w:ind w:right="0"/>
        <w:rPr>
          <w:rFonts w:hint="default" w:ascii="宋体" w:hAnsi="宋体" w:eastAsia="宋体" w:cs="宋体"/>
          <w:sz w:val="25"/>
          <w:szCs w:val="25"/>
        </w:rPr>
      </w:pPr>
    </w:p>
    <w:p>
      <w:pPr>
        <w:spacing w:line="500" w:lineRule="exact"/>
        <w:ind w:firstLine="640" w:firstLineChars="200"/>
        <w:rPr>
          <w:rFonts w:eastAsia="方正仿宋_GBK"/>
          <w:color w:val="000000"/>
          <w:sz w:val="32"/>
          <w:szCs w:val="28"/>
          <w:lang w:eastAsia="zh-CN"/>
        </w:rPr>
      </w:pPr>
      <w:r>
        <w:rPr>
          <w:rFonts w:hint="eastAsia" w:eastAsia="方正仿宋_GBK"/>
          <w:color w:val="000000"/>
          <w:sz w:val="32"/>
          <w:szCs w:val="28"/>
          <w:lang w:eastAsia="zh-CN"/>
        </w:rPr>
        <w:t>202</w:t>
      </w:r>
      <w:r>
        <w:rPr>
          <w:rFonts w:hint="eastAsia" w:eastAsia="方正仿宋_GBK"/>
          <w:color w:val="000000"/>
          <w:sz w:val="32"/>
          <w:szCs w:val="28"/>
          <w:lang w:val="en-US" w:eastAsia="zh-CN"/>
        </w:rPr>
        <w:t>1</w:t>
      </w:r>
      <w:r>
        <w:rPr>
          <w:rFonts w:hint="eastAsia" w:eastAsia="方正仿宋_GBK"/>
          <w:color w:val="000000"/>
          <w:sz w:val="32"/>
          <w:szCs w:val="28"/>
          <w:lang w:eastAsia="zh-CN"/>
        </w:rPr>
        <w:t>年，我单位机关运行经费共计安排</w:t>
      </w:r>
      <w:r>
        <w:rPr>
          <w:rFonts w:hint="eastAsia" w:eastAsia="方正仿宋_GBK"/>
          <w:color w:val="000000"/>
          <w:sz w:val="32"/>
          <w:szCs w:val="28"/>
          <w:lang w:val="en-US" w:eastAsia="zh-CN"/>
        </w:rPr>
        <w:t>83.03</w:t>
      </w:r>
      <w:r>
        <w:rPr>
          <w:rFonts w:hint="eastAsia" w:eastAsia="方正仿宋_GBK"/>
          <w:color w:val="000000"/>
          <w:sz w:val="32"/>
          <w:szCs w:val="28"/>
          <w:lang w:eastAsia="zh-CN"/>
        </w:rPr>
        <w:t>万元，主要用于办公费</w:t>
      </w:r>
      <w:r>
        <w:rPr>
          <w:rFonts w:hint="eastAsia" w:eastAsia="方正仿宋_GBK"/>
          <w:color w:val="000000"/>
          <w:sz w:val="32"/>
          <w:szCs w:val="28"/>
          <w:lang w:val="en-US" w:eastAsia="zh-CN"/>
        </w:rPr>
        <w:t>16.90</w:t>
      </w:r>
      <w:r>
        <w:rPr>
          <w:rFonts w:hint="eastAsia" w:eastAsia="方正仿宋_GBK"/>
          <w:color w:val="000000"/>
          <w:sz w:val="32"/>
          <w:szCs w:val="28"/>
          <w:lang w:eastAsia="zh-CN"/>
        </w:rPr>
        <w:t>万元，电费</w:t>
      </w:r>
      <w:r>
        <w:rPr>
          <w:rFonts w:hint="eastAsia" w:eastAsia="方正仿宋_GBK"/>
          <w:color w:val="000000"/>
          <w:sz w:val="32"/>
          <w:szCs w:val="28"/>
          <w:lang w:val="en-US" w:eastAsia="zh-CN"/>
        </w:rPr>
        <w:t>10</w:t>
      </w:r>
      <w:r>
        <w:rPr>
          <w:rFonts w:hint="eastAsia" w:eastAsia="方正仿宋_GBK"/>
          <w:color w:val="000000"/>
          <w:sz w:val="32"/>
          <w:szCs w:val="28"/>
          <w:lang w:eastAsia="zh-CN"/>
        </w:rPr>
        <w:t>万元，差旅费</w:t>
      </w:r>
      <w:r>
        <w:rPr>
          <w:rFonts w:hint="eastAsia" w:eastAsia="方正仿宋_GBK"/>
          <w:color w:val="000000"/>
          <w:sz w:val="32"/>
          <w:szCs w:val="28"/>
          <w:lang w:val="en-US" w:eastAsia="zh-CN"/>
        </w:rPr>
        <w:t>22.05</w:t>
      </w:r>
      <w:r>
        <w:rPr>
          <w:rFonts w:hint="eastAsia" w:eastAsia="方正仿宋_GBK"/>
          <w:color w:val="000000"/>
          <w:sz w:val="32"/>
          <w:szCs w:val="28"/>
          <w:lang w:eastAsia="zh-CN"/>
        </w:rPr>
        <w:t>万元。维修（护）费</w:t>
      </w:r>
      <w:r>
        <w:rPr>
          <w:rFonts w:hint="eastAsia" w:eastAsia="方正仿宋_GBK"/>
          <w:color w:val="000000"/>
          <w:sz w:val="32"/>
          <w:szCs w:val="28"/>
          <w:lang w:val="en-US" w:eastAsia="zh-CN"/>
        </w:rPr>
        <w:t>12.89</w:t>
      </w:r>
      <w:r>
        <w:rPr>
          <w:rFonts w:hint="eastAsia" w:eastAsia="方正仿宋_GBK"/>
          <w:color w:val="000000"/>
          <w:sz w:val="32"/>
          <w:szCs w:val="28"/>
          <w:lang w:eastAsia="zh-CN"/>
        </w:rPr>
        <w:t>万元，公务接待费</w:t>
      </w:r>
      <w:r>
        <w:rPr>
          <w:rFonts w:hint="eastAsia" w:eastAsia="方正仿宋_GBK"/>
          <w:color w:val="000000"/>
          <w:sz w:val="32"/>
          <w:szCs w:val="28"/>
          <w:lang w:val="en-US" w:eastAsia="zh-CN"/>
        </w:rPr>
        <w:t>3.5</w:t>
      </w:r>
      <w:r>
        <w:rPr>
          <w:rFonts w:hint="eastAsia" w:eastAsia="方正仿宋_GBK"/>
          <w:color w:val="000000"/>
          <w:sz w:val="32"/>
          <w:szCs w:val="28"/>
          <w:lang w:eastAsia="zh-CN"/>
        </w:rPr>
        <w:t>万元，劳务费</w:t>
      </w:r>
      <w:r>
        <w:rPr>
          <w:rFonts w:hint="eastAsia" w:eastAsia="方正仿宋_GBK"/>
          <w:color w:val="000000"/>
          <w:sz w:val="32"/>
          <w:szCs w:val="28"/>
          <w:lang w:val="en-US" w:eastAsia="zh-CN"/>
        </w:rPr>
        <w:t>2万元，</w:t>
      </w:r>
      <w:r>
        <w:rPr>
          <w:rFonts w:hint="eastAsia" w:eastAsia="方正仿宋_GBK"/>
          <w:color w:val="000000"/>
          <w:sz w:val="32"/>
          <w:szCs w:val="28"/>
          <w:lang w:eastAsia="zh-CN"/>
        </w:rPr>
        <w:t>邮电费</w:t>
      </w:r>
      <w:r>
        <w:rPr>
          <w:rFonts w:hint="eastAsia" w:eastAsia="方正仿宋_GBK"/>
          <w:color w:val="000000"/>
          <w:sz w:val="32"/>
          <w:szCs w:val="28"/>
          <w:lang w:val="en-US" w:eastAsia="zh-CN"/>
        </w:rPr>
        <w:t>3</w:t>
      </w:r>
      <w:r>
        <w:rPr>
          <w:rFonts w:hint="eastAsia" w:eastAsia="方正仿宋_GBK"/>
          <w:color w:val="000000"/>
          <w:sz w:val="32"/>
          <w:szCs w:val="28"/>
          <w:lang w:eastAsia="zh-CN"/>
        </w:rPr>
        <w:t>万元，水费</w:t>
      </w:r>
      <w:r>
        <w:rPr>
          <w:rFonts w:hint="eastAsia" w:eastAsia="方正仿宋_GBK"/>
          <w:color w:val="000000"/>
          <w:sz w:val="32"/>
          <w:szCs w:val="28"/>
          <w:lang w:val="en-US" w:eastAsia="zh-CN"/>
        </w:rPr>
        <w:t>0.05万元，</w:t>
      </w:r>
      <w:r>
        <w:rPr>
          <w:rFonts w:hint="eastAsia" w:eastAsia="方正仿宋_GBK"/>
          <w:color w:val="000000"/>
          <w:sz w:val="32"/>
          <w:szCs w:val="28"/>
          <w:lang w:eastAsia="zh-CN"/>
        </w:rPr>
        <w:t>其他交通费用</w:t>
      </w:r>
      <w:r>
        <w:rPr>
          <w:rFonts w:hint="eastAsia" w:eastAsia="方正仿宋_GBK"/>
          <w:color w:val="000000"/>
          <w:sz w:val="32"/>
          <w:szCs w:val="28"/>
          <w:lang w:val="en-US" w:eastAsia="zh-CN"/>
        </w:rPr>
        <w:t>14.64</w:t>
      </w:r>
      <w:r>
        <w:rPr>
          <w:rFonts w:hint="eastAsia" w:eastAsia="方正仿宋_GBK"/>
          <w:color w:val="000000"/>
          <w:sz w:val="32"/>
          <w:szCs w:val="28"/>
          <w:lang w:eastAsia="zh-CN"/>
        </w:rPr>
        <w:t>万元。</w:t>
      </w:r>
    </w:p>
    <w:p>
      <w:pPr>
        <w:pStyle w:val="5"/>
        <w:spacing w:before="240" w:line="240" w:lineRule="auto"/>
        <w:ind w:right="230"/>
        <w:jc w:val="left"/>
      </w:pPr>
      <w:r>
        <w:t>四、财政拨款</w:t>
      </w:r>
      <w:r>
        <w:rPr>
          <w:rFonts w:hint="default" w:ascii="Times New Roman" w:hAnsi="Times New Roman" w:eastAsia="Times New Roman" w:cs="Times New Roman"/>
          <w:sz w:val="24"/>
          <w:szCs w:val="24"/>
        </w:rPr>
        <w:t>“</w:t>
      </w:r>
      <w:r>
        <w:t>三公</w:t>
      </w:r>
      <w:r>
        <w:rPr>
          <w:rFonts w:hint="default" w:ascii="Times New Roman" w:hAnsi="Times New Roman" w:eastAsia="Times New Roman" w:cs="Times New Roman"/>
          <w:sz w:val="24"/>
          <w:szCs w:val="24"/>
        </w:rPr>
        <w:t>”</w:t>
      </w:r>
      <w:r>
        <w:t>经费预算情况及增减变化原因</w:t>
      </w:r>
    </w:p>
    <w:p>
      <w:pPr>
        <w:spacing w:before="4" w:line="240" w:lineRule="auto"/>
        <w:ind w:right="0"/>
        <w:rPr>
          <w:rFonts w:hint="default" w:ascii="宋体" w:hAnsi="宋体" w:eastAsia="宋体" w:cs="宋体"/>
          <w:sz w:val="27"/>
          <w:szCs w:val="27"/>
        </w:rPr>
      </w:pPr>
    </w:p>
    <w:p>
      <w:pPr>
        <w:pStyle w:val="6"/>
        <w:spacing w:line="240" w:lineRule="auto"/>
        <w:ind w:left="1099" w:right="230"/>
        <w:jc w:val="left"/>
      </w:pPr>
      <w:r>
        <w:rPr>
          <w:rFonts w:hint="default" w:ascii="Times New Roman" w:hAnsi="Times New Roman" w:eastAsia="Times New Roman" w:cs="Times New Roman"/>
        </w:rPr>
        <w:t>2021</w:t>
      </w:r>
      <w:r>
        <w:rPr>
          <w:rFonts w:hint="default" w:ascii="Times New Roman" w:hAnsi="Times New Roman" w:eastAsia="Times New Roman" w:cs="Times New Roman"/>
          <w:spacing w:val="-4"/>
        </w:rPr>
        <w:t xml:space="preserve"> </w:t>
      </w:r>
      <w:r>
        <w:t>年，我部门财政拨款</w:t>
      </w:r>
      <w:r>
        <w:rPr>
          <w:rFonts w:hint="default" w:ascii="Times New Roman" w:hAnsi="Times New Roman" w:eastAsia="Times New Roman" w:cs="Times New Roman"/>
        </w:rPr>
        <w:t>“</w:t>
      </w:r>
      <w:r>
        <w:t>三公</w:t>
      </w:r>
      <w:r>
        <w:rPr>
          <w:rFonts w:hint="default" w:ascii="Times New Roman" w:hAnsi="Times New Roman" w:eastAsia="Times New Roman" w:cs="Times New Roman"/>
        </w:rPr>
        <w:t>”</w:t>
      </w:r>
      <w:r>
        <w:t>经费预算安排</w:t>
      </w:r>
      <w:r>
        <w:rPr>
          <w:spacing w:val="-58"/>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5"/>
        </w:rPr>
        <w:t xml:space="preserve"> </w:t>
      </w:r>
      <w:r>
        <w:t>万元，其中因公出国（境）费</w:t>
      </w:r>
      <w:r>
        <w:rPr>
          <w:spacing w:val="-59"/>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4"/>
        </w:rPr>
        <w:t xml:space="preserve"> </w:t>
      </w:r>
      <w:r>
        <w:t>万元，同比无变化，原因是无因</w:t>
      </w:r>
    </w:p>
    <w:p>
      <w:pPr>
        <w:pStyle w:val="6"/>
        <w:spacing w:before="88" w:line="240" w:lineRule="auto"/>
        <w:ind w:right="0"/>
        <w:jc w:val="left"/>
      </w:pPr>
      <w:r>
        <w:rPr>
          <w:spacing w:val="-4"/>
        </w:rPr>
        <w:t>公出国（境）安排；公务用车购置及运维费</w:t>
      </w:r>
      <w:r>
        <w:rPr>
          <w:spacing w:val="-56"/>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rPr>
          <w:spacing w:val="-3"/>
        </w:rPr>
        <w:t>万元（其中：公务用车购置费为</w:t>
      </w:r>
      <w:r>
        <w:rPr>
          <w:spacing w:val="-57"/>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3"/>
        </w:rPr>
        <w:t xml:space="preserve"> </w:t>
      </w:r>
      <w:r>
        <w:rPr>
          <w:spacing w:val="-3"/>
        </w:rPr>
        <w:t>万元，公务用车运维费</w:t>
      </w:r>
      <w:r>
        <w:rPr>
          <w:spacing w:val="-56"/>
        </w:rPr>
        <w:t xml:space="preserve"> </w:t>
      </w:r>
      <w:r>
        <w:rPr>
          <w:rFonts w:hint="default" w:ascii="Times New Roman" w:hAnsi="Times New Roman" w:eastAsia="Times New Roman" w:cs="Times New Roman"/>
        </w:rPr>
        <w:t>0</w:t>
      </w:r>
      <w:r>
        <w:rPr>
          <w:rFonts w:hint="default" w:ascii="Times New Roman" w:hAnsi="Times New Roman" w:eastAsia="Times New Roman" w:cs="Times New Roman"/>
          <w:spacing w:val="-2"/>
        </w:rPr>
        <w:t xml:space="preserve"> </w:t>
      </w:r>
      <w:r>
        <w:t>万元</w:t>
      </w:r>
      <w:r>
        <w:rPr>
          <w:rFonts w:hint="default" w:ascii="Times New Roman" w:hAnsi="Times New Roman" w:eastAsia="Times New Roman" w:cs="Times New Roman"/>
        </w:rPr>
        <w:t>)</w:t>
      </w:r>
      <w:r>
        <w:t>，同比减少</w:t>
      </w:r>
    </w:p>
    <w:p>
      <w:pPr>
        <w:pStyle w:val="6"/>
        <w:spacing w:before="87" w:line="240" w:lineRule="auto"/>
        <w:ind w:right="230"/>
        <w:jc w:val="left"/>
      </w:pPr>
      <w:r>
        <w:rPr>
          <w:rFonts w:hint="default" w:ascii="Times New Roman" w:hAnsi="Times New Roman" w:eastAsia="Times New Roman" w:cs="Times New Roman"/>
        </w:rPr>
        <w:t>0</w:t>
      </w:r>
      <w:r>
        <w:rPr>
          <w:rFonts w:hint="default" w:ascii="Times New Roman" w:hAnsi="Times New Roman" w:eastAsia="Times New Roman" w:cs="Times New Roman"/>
          <w:spacing w:val="-21"/>
        </w:rPr>
        <w:t xml:space="preserve"> </w:t>
      </w:r>
      <w:r>
        <w:t>万元，原因是我部门认真贯彻落实中央</w:t>
      </w:r>
      <w:r>
        <w:rPr>
          <w:rFonts w:hint="eastAsia" w:ascii="Times New Roman" w:hAnsi="Times New Roman" w:eastAsia="宋体" w:cs="Times New Roman"/>
          <w:lang w:eastAsia="zh-CN"/>
        </w:rPr>
        <w:t>八项规定</w:t>
      </w:r>
      <w:r>
        <w:t>要求，严格执行公务用车管理办法，严格控制公务用车运维费；公务</w:t>
      </w:r>
    </w:p>
    <w:p>
      <w:pPr>
        <w:pStyle w:val="6"/>
        <w:spacing w:before="88" w:line="290" w:lineRule="auto"/>
        <w:ind w:right="341"/>
        <w:jc w:val="left"/>
      </w:pPr>
      <w:r>
        <w:rPr>
          <w:w w:val="99"/>
        </w:rPr>
        <w:t>接待费</w:t>
      </w:r>
      <w:r>
        <w:rPr>
          <w:spacing w:val="-47"/>
          <w:w w:val="99"/>
        </w:rPr>
        <w:t xml:space="preserve"> </w:t>
      </w:r>
      <w:r>
        <w:rPr>
          <w:rFonts w:hint="default" w:ascii="Times New Roman" w:hAnsi="Times New Roman" w:eastAsia="Times New Roman" w:cs="Times New Roman"/>
          <w:w w:val="99"/>
        </w:rPr>
        <w:t xml:space="preserve">3 </w:t>
      </w:r>
      <w:r>
        <w:rPr>
          <w:spacing w:val="-3"/>
          <w:w w:val="99"/>
        </w:rPr>
        <w:t>万元，同比无变化，我部门严格落实了《党政机关厉行节约反对浪费条例》，规范公务接待活动，严格审批、严</w:t>
      </w:r>
      <w:r>
        <w:rPr>
          <w:w w:val="99"/>
        </w:rPr>
        <w:t xml:space="preserve"> </w:t>
      </w:r>
      <w:r>
        <w:t>控标准，大力压缩公务接待费支出。</w:t>
      </w:r>
    </w:p>
    <w:p>
      <w:pPr>
        <w:pStyle w:val="5"/>
        <w:spacing w:before="174" w:line="240" w:lineRule="auto"/>
        <w:ind w:right="230"/>
        <w:jc w:val="left"/>
      </w:pPr>
      <w:r>
        <w:t>五、预算绩效信息</w:t>
      </w:r>
    </w:p>
    <w:p>
      <w:pPr>
        <w:spacing w:before="8" w:line="240" w:lineRule="auto"/>
        <w:ind w:right="0"/>
        <w:rPr>
          <w:rFonts w:hint="default" w:ascii="宋体" w:hAnsi="宋体" w:eastAsia="宋体" w:cs="宋体"/>
          <w:sz w:val="27"/>
          <w:szCs w:val="27"/>
        </w:rPr>
      </w:pPr>
    </w:p>
    <w:p>
      <w:pPr>
        <w:spacing w:before="0"/>
        <w:ind w:left="763" w:right="230" w:firstLine="0"/>
        <w:jc w:val="left"/>
        <w:rPr>
          <w:rFonts w:hint="default" w:ascii="宋体" w:hAnsi="宋体" w:eastAsia="宋体" w:cs="宋体"/>
          <w:sz w:val="32"/>
          <w:szCs w:val="32"/>
        </w:rPr>
      </w:pPr>
      <w:r>
        <w:rPr>
          <w:rFonts w:hint="default" w:ascii="宋体" w:hAnsi="宋体" w:eastAsia="宋体" w:cs="宋体"/>
          <w:b/>
          <w:bCs/>
          <w:sz w:val="32"/>
          <w:szCs w:val="32"/>
        </w:rPr>
        <w:t>第一部分</w:t>
      </w:r>
      <w:r>
        <w:rPr>
          <w:rFonts w:hint="default" w:ascii="宋体" w:hAnsi="宋体" w:eastAsia="宋体" w:cs="宋体"/>
          <w:b/>
          <w:bCs/>
          <w:spacing w:val="-11"/>
          <w:sz w:val="32"/>
          <w:szCs w:val="32"/>
        </w:rPr>
        <w:t xml:space="preserve"> </w:t>
      </w:r>
      <w:r>
        <w:rPr>
          <w:rFonts w:hint="default" w:ascii="宋体" w:hAnsi="宋体" w:eastAsia="宋体" w:cs="宋体"/>
          <w:b/>
          <w:bCs/>
          <w:sz w:val="32"/>
          <w:szCs w:val="32"/>
        </w:rPr>
        <w:t>部门整体绩效目标</w:t>
      </w:r>
    </w:p>
    <w:p>
      <w:pPr>
        <w:pStyle w:val="6"/>
        <w:spacing w:before="208" w:line="240" w:lineRule="auto"/>
        <w:ind w:left="680" w:right="230"/>
        <w:jc w:val="left"/>
      </w:pPr>
      <w:r>
        <w:t>（一）总体绩效目标</w:t>
      </w:r>
    </w:p>
    <w:p>
      <w:pPr>
        <w:pStyle w:val="6"/>
        <w:spacing w:before="88" w:line="290" w:lineRule="auto"/>
        <w:ind w:right="240" w:firstLine="560"/>
        <w:jc w:val="both"/>
      </w:pPr>
      <w:r>
        <w:rPr>
          <w:rFonts w:hint="default" w:ascii="Times New Roman" w:hAnsi="Times New Roman" w:eastAsia="Times New Roman" w:cs="Times New Roman"/>
        </w:rPr>
        <w:t xml:space="preserve">2021 </w:t>
      </w:r>
      <w:r>
        <w:rPr>
          <w:spacing w:val="-3"/>
        </w:rPr>
        <w:t xml:space="preserve">年是我镇加快发展、加速转型的攻坚时期，困难与希望同在，机遇与挑战并存。面对经济下行影响，我们必须善 </w:t>
      </w:r>
      <w:r>
        <w:rPr>
          <w:spacing w:val="-1"/>
        </w:rPr>
        <w:t>于在逆境中创造优势，善于在攻坚克难中创新发展，努力在新一轮竞争中抢占先机、赢得主动，争当领跑青龙发展的排头</w:t>
      </w:r>
      <w:r>
        <w:t xml:space="preserve"> 雁，誓做展示青龙形象的仪仗兵。</w:t>
      </w:r>
    </w:p>
    <w:p>
      <w:pPr>
        <w:pStyle w:val="6"/>
        <w:spacing w:before="22" w:line="240" w:lineRule="auto"/>
        <w:ind w:left="680" w:right="0"/>
        <w:jc w:val="left"/>
      </w:pPr>
      <w:r>
        <w:t>我镇</w:t>
      </w:r>
      <w:r>
        <w:rPr>
          <w:rFonts w:hint="default" w:ascii="Times New Roman" w:hAnsi="Times New Roman" w:eastAsia="Times New Roman" w:cs="Times New Roman"/>
        </w:rPr>
        <w:t>“</w:t>
      </w:r>
      <w:r>
        <w:t>十三五</w:t>
      </w:r>
      <w:r>
        <w:rPr>
          <w:rFonts w:hint="default" w:ascii="Times New Roman" w:hAnsi="Times New Roman" w:eastAsia="Times New Roman" w:cs="Times New Roman"/>
        </w:rPr>
        <w:t>”</w:t>
      </w:r>
      <w:r>
        <w:t>时期的指导思想是：认真贯彻落实习近平总书记系列重要讲话精神，坚持以思想解放为先导，以调整经</w:t>
      </w:r>
    </w:p>
    <w:p>
      <w:pPr>
        <w:spacing w:after="0" w:line="24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jc w:val="left"/>
      </w:pPr>
      <w:r>
        <w:t>济结构、转变发展方式为主线，深入实施一业带动，致力于精准扶贫，打造生态、富裕、魅力新祖山。</w:t>
      </w:r>
    </w:p>
    <w:p>
      <w:pPr>
        <w:pStyle w:val="6"/>
        <w:spacing w:before="88" w:line="290" w:lineRule="auto"/>
        <w:ind w:right="0" w:firstLine="560"/>
        <w:jc w:val="left"/>
      </w:pPr>
      <w:r>
        <w:rPr>
          <w:w w:val="95"/>
        </w:rPr>
        <w:t>我镇</w:t>
      </w:r>
      <w:r>
        <w:rPr>
          <w:rFonts w:hint="default" w:ascii="Times New Roman" w:hAnsi="Times New Roman" w:eastAsia="Times New Roman" w:cs="Times New Roman"/>
          <w:w w:val="95"/>
        </w:rPr>
        <w:t>“</w:t>
      </w:r>
      <w:r>
        <w:rPr>
          <w:w w:val="95"/>
        </w:rPr>
        <w:t>十三五</w:t>
      </w:r>
      <w:r>
        <w:rPr>
          <w:rFonts w:hint="default" w:ascii="Times New Roman" w:hAnsi="Times New Roman" w:eastAsia="Times New Roman" w:cs="Times New Roman"/>
          <w:w w:val="95"/>
        </w:rPr>
        <w:t>”</w:t>
      </w:r>
      <w:r>
        <w:rPr>
          <w:w w:val="95"/>
        </w:rPr>
        <w:t xml:space="preserve">时期的奋斗目标是：全部财政收入、固定资产投资、社会消费品零售总额等指标均翻一番以上；努力在 </w:t>
      </w:r>
      <w:r>
        <w:t>提升综合竞争力、特色小城镇建设、生态建设、提高人民幸福指数、经济社会协调发展等五个方面走在全县前列。</w:t>
      </w:r>
    </w:p>
    <w:p>
      <w:pPr>
        <w:pStyle w:val="6"/>
        <w:spacing w:before="21" w:line="240" w:lineRule="auto"/>
        <w:ind w:left="680" w:right="0"/>
        <w:jc w:val="left"/>
      </w:pPr>
      <w:r>
        <w:t>（二）分项绩效目标</w:t>
      </w:r>
    </w:p>
    <w:p>
      <w:pPr>
        <w:pStyle w:val="6"/>
        <w:tabs>
          <w:tab w:val="left" w:pos="2219"/>
        </w:tabs>
        <w:spacing w:before="88" w:line="290" w:lineRule="auto"/>
        <w:ind w:right="202" w:firstLine="560"/>
        <w:jc w:val="left"/>
      </w:pPr>
      <w:r>
        <w:rPr>
          <w:w w:val="95"/>
        </w:rPr>
        <w:t>人大监督</w:t>
      </w:r>
      <w:r>
        <w:rPr>
          <w:w w:val="95"/>
        </w:rPr>
        <w:tab/>
      </w:r>
      <w:r>
        <w:rPr>
          <w:w w:val="95"/>
        </w:rPr>
        <w:t xml:space="preserve">进行执法检查；围绕政府工作报告内容开展调查研究，开展专题询问和工作评议；对政府及直属部门进 </w:t>
      </w:r>
      <w:r>
        <w:t>行监督。</w:t>
      </w:r>
    </w:p>
    <w:p>
      <w:pPr>
        <w:pStyle w:val="6"/>
        <w:tabs>
          <w:tab w:val="left" w:pos="2219"/>
        </w:tabs>
        <w:spacing w:before="21" w:line="290" w:lineRule="auto"/>
        <w:ind w:right="202" w:firstLine="560"/>
        <w:jc w:val="left"/>
      </w:pPr>
      <w:r>
        <w:rPr>
          <w:w w:val="95"/>
        </w:rPr>
        <w:t>人大会议</w:t>
      </w:r>
      <w:r>
        <w:rPr>
          <w:w w:val="95"/>
        </w:rPr>
        <w:tab/>
      </w:r>
      <w:r>
        <w:rPr>
          <w:w w:val="95"/>
        </w:rPr>
        <w:t xml:space="preserve">镇人民代表大会和人大主席团各种会议的筹备、会务工作，负责常委会文件起草、审核把关，主席团会 </w:t>
      </w:r>
      <w:r>
        <w:t>议决定事项、工作部署、重要文件及领导批示的传达和督办。</w:t>
      </w:r>
    </w:p>
    <w:p>
      <w:pPr>
        <w:pStyle w:val="6"/>
        <w:tabs>
          <w:tab w:val="left" w:pos="2639"/>
        </w:tabs>
        <w:spacing w:before="22" w:line="290" w:lineRule="auto"/>
        <w:ind w:right="202" w:firstLine="560"/>
        <w:jc w:val="left"/>
      </w:pPr>
      <w:r>
        <w:rPr>
          <w:w w:val="95"/>
        </w:rPr>
        <w:t>党风廉政建设</w:t>
      </w:r>
      <w:r>
        <w:rPr>
          <w:w w:val="95"/>
        </w:rPr>
        <w:tab/>
      </w:r>
      <w:r>
        <w:rPr>
          <w:spacing w:val="-1"/>
          <w:w w:val="95"/>
        </w:rPr>
        <w:t>组织协调全镇党风廉政建设和反腐败宣传、教育、课题研究、法规起草修订等工作；承担镇党委惩治</w:t>
      </w:r>
      <w:r>
        <w:rPr>
          <w:w w:val="95"/>
        </w:rPr>
        <w:t xml:space="preserve"> </w:t>
      </w:r>
      <w:r>
        <w:t>和预防腐败体系领导小组办公室的日常工作。</w:t>
      </w:r>
    </w:p>
    <w:p>
      <w:pPr>
        <w:pStyle w:val="6"/>
        <w:tabs>
          <w:tab w:val="left" w:pos="3899"/>
        </w:tabs>
        <w:spacing w:before="22" w:line="290" w:lineRule="auto"/>
        <w:ind w:right="202" w:firstLine="560"/>
        <w:jc w:val="left"/>
      </w:pPr>
      <w:r>
        <w:rPr>
          <w:w w:val="95"/>
        </w:rPr>
        <w:t>党员管理和党组织建设</w:t>
      </w:r>
      <w:r>
        <w:rPr>
          <w:w w:val="95"/>
        </w:rPr>
        <w:tab/>
      </w:r>
      <w:r>
        <w:rPr>
          <w:w w:val="95"/>
        </w:rPr>
        <w:t xml:space="preserve">负责全镇党组织建设；负责镇党委基层组织建设；指导全镇党员教育工作；主管党员的管 </w:t>
      </w:r>
      <w:r>
        <w:t>理和发展工作。</w:t>
      </w:r>
    </w:p>
    <w:p>
      <w:pPr>
        <w:pStyle w:val="6"/>
        <w:tabs>
          <w:tab w:val="left" w:pos="3059"/>
        </w:tabs>
        <w:spacing w:before="21" w:line="240" w:lineRule="auto"/>
        <w:ind w:left="680" w:right="0"/>
        <w:jc w:val="left"/>
      </w:pPr>
      <w:r>
        <w:rPr>
          <w:w w:val="95"/>
        </w:rPr>
        <w:t>征兵及民兵整组</w:t>
      </w:r>
      <w:r>
        <w:rPr>
          <w:w w:val="95"/>
        </w:rPr>
        <w:tab/>
      </w:r>
      <w:r>
        <w:t>负责全镇征兵工作及民兵整组</w:t>
      </w:r>
    </w:p>
    <w:p>
      <w:pPr>
        <w:pStyle w:val="6"/>
        <w:tabs>
          <w:tab w:val="left" w:pos="2219"/>
        </w:tabs>
        <w:spacing w:before="88" w:line="290" w:lineRule="auto"/>
        <w:ind w:right="202" w:firstLine="560"/>
        <w:jc w:val="left"/>
      </w:pPr>
      <w:r>
        <w:rPr>
          <w:w w:val="95"/>
        </w:rPr>
        <w:t>妇联工作</w:t>
      </w:r>
      <w:r>
        <w:rPr>
          <w:w w:val="95"/>
        </w:rPr>
        <w:tab/>
      </w:r>
      <w:r>
        <w:rPr>
          <w:w w:val="95"/>
        </w:rPr>
        <w:t xml:space="preserve">团结、教育全镇妇女及各类妇女组织同党中央在思想上、政治上、行动上保持高度一致，全面提高妇女 </w:t>
      </w:r>
      <w:r>
        <w:t>素质。</w:t>
      </w:r>
    </w:p>
    <w:p>
      <w:pPr>
        <w:pStyle w:val="6"/>
        <w:tabs>
          <w:tab w:val="left" w:pos="2639"/>
          <w:tab w:val="left" w:pos="3899"/>
        </w:tabs>
        <w:spacing w:before="21" w:line="290" w:lineRule="auto"/>
        <w:ind w:left="680" w:right="3980" w:hanging="1"/>
        <w:jc w:val="left"/>
      </w:pPr>
      <w:r>
        <w:rPr>
          <w:w w:val="95"/>
        </w:rPr>
        <w:t>共青团工作</w:t>
      </w:r>
      <w:r>
        <w:rPr>
          <w:w w:val="95"/>
        </w:rPr>
        <w:tab/>
      </w:r>
      <w:r>
        <w:rPr>
          <w:w w:val="95"/>
        </w:rPr>
        <w:t>领导全镇共青团工作；协助镇政府教育部门做好学生教育管理工作。 党委系统公务内网建设</w:t>
      </w:r>
      <w:r>
        <w:rPr>
          <w:w w:val="95"/>
        </w:rPr>
        <w:tab/>
      </w:r>
      <w:r>
        <w:t>党委系统公务内网建设与维护。</w:t>
      </w:r>
    </w:p>
    <w:p>
      <w:pPr>
        <w:pStyle w:val="6"/>
        <w:tabs>
          <w:tab w:val="left" w:pos="2219"/>
        </w:tabs>
        <w:spacing w:before="22" w:line="240" w:lineRule="auto"/>
        <w:ind w:left="680" w:right="0"/>
        <w:jc w:val="left"/>
      </w:pPr>
      <w:r>
        <w:rPr>
          <w:w w:val="95"/>
        </w:rPr>
        <w:t>政府运行</w:t>
      </w:r>
      <w:r>
        <w:rPr>
          <w:w w:val="95"/>
        </w:rPr>
        <w:tab/>
      </w:r>
      <w:r>
        <w:t>政府日常工作、政务公开、政府会议管理、督察督办、政务联络等工作。</w:t>
      </w:r>
    </w:p>
    <w:p>
      <w:pPr>
        <w:spacing w:after="0" w:line="240" w:lineRule="auto"/>
        <w:jc w:val="left"/>
        <w:sectPr>
          <w:pgSz w:w="16840" w:h="11910" w:orient="landscape"/>
          <w:pgMar w:top="1100" w:right="92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tabs>
          <w:tab w:val="left" w:pos="2358"/>
        </w:tabs>
        <w:spacing w:line="393" w:lineRule="exact"/>
        <w:ind w:left="680" w:right="0"/>
        <w:jc w:val="left"/>
      </w:pPr>
      <w:r>
        <w:rPr>
          <w:w w:val="95"/>
        </w:rPr>
        <w:t>预决算编制</w:t>
      </w:r>
      <w:r>
        <w:rPr>
          <w:w w:val="95"/>
        </w:rPr>
        <w:tab/>
      </w:r>
      <w:r>
        <w:t>依据县级文件标准及本单位实际支出情况编制当年预决算</w:t>
      </w:r>
      <w:r>
        <w:rPr>
          <w:rFonts w:hint="default" w:ascii="Times New Roman" w:hAnsi="Times New Roman" w:eastAsia="Times New Roman" w:cs="Times New Roman"/>
        </w:rPr>
        <w:t>,</w:t>
      </w:r>
      <w:r>
        <w:t>做好收支管理活动</w:t>
      </w:r>
    </w:p>
    <w:p>
      <w:pPr>
        <w:pStyle w:val="6"/>
        <w:tabs>
          <w:tab w:val="left" w:pos="2219"/>
        </w:tabs>
        <w:spacing w:before="88" w:line="290" w:lineRule="auto"/>
        <w:ind w:left="680" w:right="1881"/>
        <w:jc w:val="left"/>
      </w:pPr>
      <w:r>
        <w:rPr>
          <w:w w:val="95"/>
        </w:rPr>
        <w:t>统计管理</w:t>
      </w:r>
      <w:r>
        <w:rPr>
          <w:w w:val="95"/>
        </w:rPr>
        <w:tab/>
      </w:r>
      <w:r>
        <w:rPr>
          <w:w w:val="95"/>
        </w:rPr>
        <w:t>做好专项统计调查，收集、整理统计数据，提供咨询建议，指导全镇统计专业队伍建设。 资产管理</w:t>
      </w:r>
      <w:r>
        <w:rPr>
          <w:w w:val="95"/>
        </w:rPr>
        <w:tab/>
      </w:r>
      <w:r>
        <w:t>管理本单位资产使用和处置情况</w:t>
      </w:r>
    </w:p>
    <w:p>
      <w:pPr>
        <w:pStyle w:val="6"/>
        <w:tabs>
          <w:tab w:val="left" w:pos="2219"/>
        </w:tabs>
        <w:spacing w:before="21" w:line="240" w:lineRule="auto"/>
        <w:ind w:left="680" w:right="0"/>
        <w:jc w:val="left"/>
      </w:pPr>
      <w:r>
        <w:rPr>
          <w:w w:val="95"/>
        </w:rPr>
        <w:t>综治工作</w:t>
      </w:r>
      <w:r>
        <w:rPr>
          <w:w w:val="95"/>
        </w:rPr>
        <w:tab/>
      </w:r>
      <w:r>
        <w:t>承担社会治安综合治理和司法行政工作职责。</w:t>
      </w:r>
    </w:p>
    <w:p>
      <w:pPr>
        <w:pStyle w:val="6"/>
        <w:tabs>
          <w:tab w:val="left" w:pos="2219"/>
        </w:tabs>
        <w:spacing w:before="88" w:line="290" w:lineRule="auto"/>
        <w:ind w:right="202" w:firstLine="560"/>
        <w:jc w:val="left"/>
      </w:pPr>
      <w:r>
        <w:rPr>
          <w:w w:val="95"/>
        </w:rPr>
        <w:t>社会事务</w:t>
      </w:r>
      <w:r>
        <w:rPr>
          <w:w w:val="95"/>
        </w:rPr>
        <w:tab/>
      </w:r>
      <w:r>
        <w:rPr>
          <w:w w:val="95"/>
        </w:rPr>
        <w:t xml:space="preserve">承担发展社会事业和加强社会管理职责。承担社会救助体系建设，负责城镇居民最低生活保障、五保供 </w:t>
      </w:r>
      <w:r>
        <w:t>养、医疗救助、优抚工作，基层政权建设。</w:t>
      </w:r>
    </w:p>
    <w:p>
      <w:pPr>
        <w:pStyle w:val="6"/>
        <w:tabs>
          <w:tab w:val="left" w:pos="2778"/>
          <w:tab w:val="left" w:pos="3479"/>
        </w:tabs>
        <w:spacing w:before="21" w:line="290" w:lineRule="auto"/>
        <w:ind w:left="680" w:right="8039" w:hanging="1"/>
        <w:jc w:val="left"/>
      </w:pPr>
      <w:r>
        <w:rPr>
          <w:w w:val="95"/>
        </w:rPr>
        <w:t>促进就业管理</w:t>
      </w:r>
      <w:r>
        <w:rPr>
          <w:w w:val="95"/>
        </w:rPr>
        <w:tab/>
      </w:r>
      <w:r>
        <w:rPr>
          <w:w w:val="95"/>
        </w:rPr>
        <w:t>提供就业信息，加大劳务输出数量 城镇居民养老保险</w:t>
      </w:r>
      <w:r>
        <w:rPr>
          <w:w w:val="95"/>
        </w:rPr>
        <w:tab/>
      </w:r>
      <w:r>
        <w:t>城镇居民养老保险收缴工作</w:t>
      </w:r>
    </w:p>
    <w:p>
      <w:pPr>
        <w:pStyle w:val="6"/>
        <w:tabs>
          <w:tab w:val="left" w:pos="2219"/>
        </w:tabs>
        <w:spacing w:before="22" w:line="290" w:lineRule="auto"/>
        <w:ind w:right="202" w:firstLine="560"/>
        <w:jc w:val="left"/>
      </w:pPr>
      <w:r>
        <w:rPr>
          <w:w w:val="95"/>
        </w:rPr>
        <w:t>医疗保障</w:t>
      </w:r>
      <w:r>
        <w:rPr>
          <w:w w:val="95"/>
        </w:rPr>
        <w:tab/>
      </w:r>
      <w:r>
        <w:rPr>
          <w:w w:val="95"/>
        </w:rPr>
        <w:t xml:space="preserve">通过建立和实施新型农村合作医疗、疾病应急救助、城镇居民大病保险以及公费医疗等制度，保障人民 </w:t>
      </w:r>
      <w:r>
        <w:t>群众公平享有所需医疗服务权益。</w:t>
      </w:r>
    </w:p>
    <w:p>
      <w:pPr>
        <w:pStyle w:val="6"/>
        <w:tabs>
          <w:tab w:val="left" w:pos="2639"/>
        </w:tabs>
        <w:spacing w:before="22" w:line="290" w:lineRule="auto"/>
        <w:ind w:right="202" w:firstLine="560"/>
        <w:jc w:val="left"/>
      </w:pPr>
      <w:r>
        <w:rPr>
          <w:w w:val="95"/>
        </w:rPr>
        <w:t>城镇规划建设</w:t>
      </w:r>
      <w:r>
        <w:rPr>
          <w:w w:val="95"/>
        </w:rPr>
        <w:tab/>
      </w:r>
      <w:r>
        <w:rPr>
          <w:spacing w:val="-1"/>
          <w:w w:val="95"/>
        </w:rPr>
        <w:t>负责村镇规划、建设、管理工作，加强基础设施建设，推进城镇一体化进程，搞好社会主义新农村建</w:t>
      </w:r>
      <w:r>
        <w:rPr>
          <w:w w:val="95"/>
        </w:rPr>
        <w:t xml:space="preserve"> </w:t>
      </w:r>
      <w:r>
        <w:t>设工作；负责村镇容貌、环境卫生管理等工作。</w:t>
      </w:r>
    </w:p>
    <w:p>
      <w:pPr>
        <w:pStyle w:val="6"/>
        <w:spacing w:before="21" w:line="290" w:lineRule="auto"/>
        <w:ind w:right="100" w:firstLine="560"/>
        <w:jc w:val="both"/>
      </w:pPr>
      <w:r>
        <w:t xml:space="preserve">组织全镇安全生产综合监督管理 承担全镇安全生产综合监督管理责任，依法行使综合监督管理职权；根据《安全 </w:t>
      </w:r>
      <w:r>
        <w:rPr>
          <w:spacing w:val="-6"/>
          <w:w w:val="99"/>
        </w:rPr>
        <w:t>生产法》、《安全生产违法行为行政处罚办法》等法律法规，依法开展执法检查工作，对发现的安全生产违法行为依法进行</w:t>
      </w:r>
      <w:r>
        <w:rPr>
          <w:w w:val="99"/>
        </w:rPr>
        <w:t xml:space="preserve"> </w:t>
      </w:r>
      <w:r>
        <w:t>行政处罚，遏制重特大事故发生，确保全镇安全生产形势稳定好转。</w:t>
      </w:r>
    </w:p>
    <w:p>
      <w:pPr>
        <w:pStyle w:val="6"/>
        <w:tabs>
          <w:tab w:val="left" w:pos="2639"/>
        </w:tabs>
        <w:spacing w:before="21" w:line="290" w:lineRule="auto"/>
        <w:ind w:right="202" w:firstLine="560"/>
        <w:jc w:val="left"/>
      </w:pPr>
      <w:r>
        <w:rPr>
          <w:w w:val="95"/>
        </w:rPr>
        <w:t>文化艺术管理</w:t>
      </w:r>
      <w:r>
        <w:rPr>
          <w:w w:val="95"/>
        </w:rPr>
        <w:tab/>
      </w:r>
      <w:r>
        <w:rPr>
          <w:spacing w:val="-1"/>
          <w:w w:val="95"/>
        </w:rPr>
        <w:t>管理和指导全镇文化建设，推进文化发展环境能力建设，提供公共文化服务、文化艺术资源建设和文</w:t>
      </w:r>
      <w:r>
        <w:rPr>
          <w:w w:val="95"/>
        </w:rPr>
        <w:t xml:space="preserve"> </w:t>
      </w:r>
      <w:r>
        <w:t>化艺术生产。</w:t>
      </w:r>
    </w:p>
    <w:p>
      <w:pPr>
        <w:pStyle w:val="6"/>
        <w:tabs>
          <w:tab w:val="left" w:pos="3479"/>
        </w:tabs>
        <w:spacing w:before="22" w:line="240" w:lineRule="auto"/>
        <w:ind w:left="680" w:right="0"/>
        <w:jc w:val="left"/>
      </w:pPr>
      <w:r>
        <w:rPr>
          <w:w w:val="95"/>
        </w:rPr>
        <w:t>人口和计划生育工作</w:t>
      </w:r>
      <w:r>
        <w:rPr>
          <w:w w:val="95"/>
        </w:rPr>
        <w:tab/>
      </w:r>
      <w:r>
        <w:t>负责人口和计划生育政策法规的宣传工作；负责优生、优育、节育服务；负责育龄妇女定期检</w:t>
      </w:r>
    </w:p>
    <w:p>
      <w:pPr>
        <w:spacing w:after="0" w:line="240" w:lineRule="auto"/>
        <w:jc w:val="left"/>
        <w:sectPr>
          <w:pgSz w:w="16840" w:h="11910" w:orient="landscape"/>
          <w:pgMar w:top="1100" w:right="92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jc w:val="both"/>
      </w:pPr>
      <w:r>
        <w:t>查，必备药品发放工作；负责人口和计划生育协会等工作；负责排查管理本辖区流动人口计划生育工作。</w:t>
      </w:r>
    </w:p>
    <w:p>
      <w:pPr>
        <w:pStyle w:val="6"/>
        <w:tabs>
          <w:tab w:val="left" w:pos="2639"/>
        </w:tabs>
        <w:spacing w:before="88" w:line="240" w:lineRule="auto"/>
        <w:ind w:left="680" w:right="230"/>
        <w:jc w:val="left"/>
      </w:pPr>
      <w:r>
        <w:rPr>
          <w:w w:val="95"/>
        </w:rPr>
        <w:t>村级财务管理</w:t>
      </w:r>
      <w:r>
        <w:rPr>
          <w:w w:val="95"/>
        </w:rPr>
        <w:tab/>
      </w:r>
      <w:r>
        <w:t>负责村级财务管理工作，实行资金、账目双代管</w:t>
      </w:r>
    </w:p>
    <w:p>
      <w:pPr>
        <w:pStyle w:val="6"/>
        <w:tabs>
          <w:tab w:val="left" w:pos="2079"/>
          <w:tab w:val="left" w:pos="2639"/>
        </w:tabs>
        <w:spacing w:before="88" w:line="290" w:lineRule="auto"/>
        <w:ind w:right="99" w:firstLine="560"/>
        <w:jc w:val="right"/>
      </w:pPr>
      <w:r>
        <w:rPr>
          <w:w w:val="95"/>
        </w:rPr>
        <w:t>村级事务管理</w:t>
      </w:r>
      <w:r>
        <w:rPr>
          <w:w w:val="95"/>
        </w:rPr>
        <w:tab/>
      </w:r>
      <w:r>
        <w:rPr>
          <w:w w:val="95"/>
        </w:rPr>
        <w:t>推进农村集体产权制度改革，完善农村土地承包制度，引导农村土地合理流转。创新农业经营主体。 农业综合服务</w:t>
      </w:r>
      <w:r>
        <w:rPr>
          <w:w w:val="95"/>
        </w:rPr>
        <w:tab/>
      </w:r>
      <w:r>
        <w:rPr>
          <w:spacing w:val="-4"/>
          <w:w w:val="95"/>
        </w:rPr>
        <w:t xml:space="preserve">负责种植业、畜牧业、林果业、农业机械、水利等技术推广服务工作。组织农业公共信息及培训教育、 </w:t>
      </w:r>
      <w:r>
        <w:rPr>
          <w:spacing w:val="-4"/>
        </w:rPr>
        <w:t>技术咨询等服务；组织农业病虫害、农业灾害的监测、预报、防治和处理；组织实施农作物、畜牧养殖、森林植物、果品、</w:t>
      </w:r>
    </w:p>
    <w:p>
      <w:pPr>
        <w:pStyle w:val="6"/>
        <w:spacing w:before="22" w:line="290" w:lineRule="auto"/>
        <w:ind w:right="239" w:hanging="1"/>
        <w:jc w:val="both"/>
      </w:pPr>
      <w:r>
        <w:rPr>
          <w:spacing w:val="-1"/>
        </w:rPr>
        <w:t>花卉、种苗及水生植物检疫防疫；组织护林防火、生态公益林管护及野生动植物、森林、湿地资源及农业环境的保护；负</w:t>
      </w:r>
      <w:r>
        <w:t xml:space="preserve"> </w:t>
      </w:r>
      <w:r>
        <w:rPr>
          <w:spacing w:val="-1"/>
        </w:rPr>
        <w:t>责农机安全生产监督管理和农业机械管理；组织协调水资源管理、监测、保护、节约和防汛抗旱技术服务工作，维护农村</w:t>
      </w:r>
      <w:r>
        <w:t xml:space="preserve"> 饮水安全，组织协调农业水利基本建设和水土保持。</w:t>
      </w:r>
    </w:p>
    <w:p>
      <w:pPr>
        <w:spacing w:before="6" w:line="240" w:lineRule="auto"/>
        <w:ind w:right="0"/>
        <w:rPr>
          <w:rFonts w:hint="default" w:ascii="方正仿宋繁体" w:hAnsi="方正仿宋繁体" w:eastAsia="方正仿宋繁体" w:cs="方正仿宋繁体"/>
          <w:sz w:val="35"/>
          <w:szCs w:val="35"/>
        </w:rPr>
      </w:pPr>
    </w:p>
    <w:p>
      <w:pPr>
        <w:pStyle w:val="6"/>
        <w:spacing w:line="290" w:lineRule="auto"/>
        <w:ind w:left="680" w:right="5330"/>
        <w:jc w:val="left"/>
      </w:pPr>
      <w:r>
        <w:t xml:space="preserve">（三）工作保障措施 </w:t>
      </w:r>
      <w:r>
        <w:rPr>
          <w:w w:val="95"/>
        </w:rPr>
        <w:t>一、大力推进项目建设和招商引资，力促投资实现新突破</w:t>
      </w:r>
    </w:p>
    <w:p>
      <w:pPr>
        <w:pStyle w:val="6"/>
        <w:spacing w:before="22" w:line="290" w:lineRule="auto"/>
        <w:ind w:right="0" w:firstLine="560"/>
        <w:jc w:val="left"/>
      </w:pPr>
      <w:r>
        <w:t>注重项目推进。以项目建设为纲，全年计划开工百万元以上项目</w:t>
      </w:r>
      <w:r>
        <w:rPr>
          <w:spacing w:val="-65"/>
        </w:rPr>
        <w:t xml:space="preserve"> </w:t>
      </w:r>
      <w:r>
        <w:rPr>
          <w:rFonts w:hint="default" w:ascii="Times New Roman" w:hAnsi="Times New Roman" w:eastAsia="Times New Roman" w:cs="Times New Roman"/>
        </w:rPr>
        <w:t>20</w:t>
      </w:r>
      <w:r>
        <w:rPr>
          <w:rFonts w:hint="default" w:ascii="Times New Roman" w:hAnsi="Times New Roman" w:eastAsia="Times New Roman" w:cs="Times New Roman"/>
          <w:spacing w:val="-10"/>
        </w:rPr>
        <w:t xml:space="preserve"> </w:t>
      </w:r>
      <w:r>
        <w:t>个，其中千万元以上项目</w:t>
      </w:r>
      <w:r>
        <w:rPr>
          <w:spacing w:val="-66"/>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10"/>
        </w:rPr>
        <w:t xml:space="preserve"> </w:t>
      </w:r>
      <w:r>
        <w:t>个，完成投资</w:t>
      </w:r>
      <w:r>
        <w:rPr>
          <w:spacing w:val="-64"/>
        </w:rPr>
        <w:t xml:space="preserve"> </w:t>
      </w:r>
      <w:r>
        <w:rPr>
          <w:rFonts w:hint="default" w:ascii="Times New Roman" w:hAnsi="Times New Roman" w:eastAsia="Times New Roman" w:cs="Times New Roman"/>
        </w:rPr>
        <w:t>3</w:t>
      </w:r>
      <w:r>
        <w:rPr>
          <w:rFonts w:hint="default" w:ascii="Times New Roman" w:hAnsi="Times New Roman" w:eastAsia="Times New Roman" w:cs="Times New Roman"/>
          <w:spacing w:val="-11"/>
        </w:rPr>
        <w:t xml:space="preserve"> </w:t>
      </w:r>
      <w:r>
        <w:t>亿元。 对庙沟铁矿扩建、鑫秋木业二期等重点在建项目，强化调度，攻坚克难，倒排工期，确保早日竣工投产。积极推动</w:t>
      </w:r>
      <w:r>
        <w:rPr>
          <w:rFonts w:hint="default" w:ascii="Times New Roman" w:hAnsi="Times New Roman" w:eastAsia="Times New Roman" w:cs="Times New Roman"/>
        </w:rPr>
        <w:t>“</w:t>
      </w:r>
      <w:r>
        <w:t>一业 带动</w:t>
      </w:r>
      <w:r>
        <w:rPr>
          <w:rFonts w:hint="default" w:ascii="Times New Roman" w:hAnsi="Times New Roman" w:eastAsia="Times New Roman" w:cs="Times New Roman"/>
        </w:rPr>
        <w:t>”</w:t>
      </w:r>
      <w:r>
        <w:t>，打造农旅综合体。对金光旭光伏发电项目，抓紧沟通对接，力争早日落地，取得实质性进展。</w:t>
      </w:r>
    </w:p>
    <w:p>
      <w:pPr>
        <w:pStyle w:val="6"/>
        <w:spacing w:before="21" w:line="290" w:lineRule="auto"/>
        <w:ind w:right="0" w:firstLine="560"/>
        <w:jc w:val="left"/>
      </w:pPr>
      <w:r>
        <w:rPr>
          <w:spacing w:val="-4"/>
        </w:rPr>
        <w:t xml:space="preserve">注重招商引资。充分发挥区位、资源、土地、税收、人文等方面比较优势，不遗余力引进立镇强镇的大项目、好项目。 </w:t>
      </w:r>
      <w:r>
        <w:t>特别注重招商引资精细化和针对性，认真研读县政府产业图谱和招商图谱，提高招商成功率和项目履约率。全年力争引进 市外资金</w:t>
      </w:r>
      <w:r>
        <w:rPr>
          <w:spacing w:val="-59"/>
        </w:rPr>
        <w:t xml:space="preserve"> </w:t>
      </w:r>
      <w:r>
        <w:rPr>
          <w:rFonts w:hint="default" w:ascii="Times New Roman" w:hAnsi="Times New Roman" w:eastAsia="Times New Roman" w:cs="Times New Roman"/>
        </w:rPr>
        <w:t xml:space="preserve">2 </w:t>
      </w:r>
      <w:r>
        <w:t>亿元。</w:t>
      </w:r>
    </w:p>
    <w:p>
      <w:pPr>
        <w:pStyle w:val="6"/>
        <w:spacing w:before="21" w:line="240" w:lineRule="auto"/>
        <w:ind w:left="680" w:right="230"/>
        <w:jc w:val="left"/>
      </w:pPr>
      <w:r>
        <w:t>（二）大力推进农村建设，力促农村经济取得新发展</w:t>
      </w:r>
    </w:p>
    <w:p>
      <w:pPr>
        <w:spacing w:after="0" w:line="240" w:lineRule="auto"/>
        <w:jc w:val="left"/>
        <w:sectPr>
          <w:pgSz w:w="16840" w:h="11910" w:orient="landscape"/>
          <w:pgMar w:top="1100" w:right="78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spacing w:line="393" w:lineRule="exact"/>
        <w:ind w:left="680" w:right="0"/>
        <w:jc w:val="left"/>
      </w:pPr>
      <w:r>
        <w:rPr>
          <w:spacing w:val="-4"/>
        </w:rPr>
        <w:t>着力发展现代农业。围绕打造</w:t>
      </w:r>
      <w:r>
        <w:rPr>
          <w:rFonts w:hint="default" w:ascii="Times New Roman" w:hAnsi="Times New Roman" w:eastAsia="Times New Roman" w:cs="Times New Roman"/>
          <w:spacing w:val="-4"/>
        </w:rPr>
        <w:t>“</w:t>
      </w:r>
      <w:r>
        <w:rPr>
          <w:spacing w:val="-4"/>
        </w:rPr>
        <w:t>肉鸡生产大县、绒山羊养殖大县、果品生产大县</w:t>
      </w:r>
      <w:r>
        <w:rPr>
          <w:rFonts w:hint="default" w:ascii="Times New Roman" w:hAnsi="Times New Roman" w:eastAsia="Times New Roman" w:cs="Times New Roman"/>
          <w:spacing w:val="-4"/>
        </w:rPr>
        <w:t>”</w:t>
      </w:r>
      <w:r>
        <w:rPr>
          <w:spacing w:val="-4"/>
        </w:rPr>
        <w:t xml:space="preserve">目标，力争年内新建标准化鸡舍 </w:t>
      </w:r>
      <w:r>
        <w:rPr>
          <w:rFonts w:hint="default" w:ascii="Times New Roman" w:hAnsi="Times New Roman" w:eastAsia="Times New Roman" w:cs="Times New Roman"/>
        </w:rPr>
        <w:t>4</w:t>
      </w:r>
      <w:r>
        <w:rPr>
          <w:rFonts w:hint="default" w:ascii="Times New Roman" w:hAnsi="Times New Roman" w:eastAsia="Times New Roman" w:cs="Times New Roman"/>
          <w:spacing w:val="-24"/>
        </w:rPr>
        <w:t xml:space="preserve"> </w:t>
      </w:r>
      <w:r>
        <w:t>栋、</w:t>
      </w:r>
    </w:p>
    <w:p>
      <w:pPr>
        <w:pStyle w:val="6"/>
        <w:spacing w:before="88" w:line="290" w:lineRule="auto"/>
        <w:ind w:right="230"/>
        <w:jc w:val="left"/>
      </w:pPr>
      <w:r>
        <w:t>规模化羊场</w:t>
      </w:r>
      <w:r>
        <w:rPr>
          <w:spacing w:val="-58"/>
        </w:rPr>
        <w:t xml:space="preserve"> </w:t>
      </w:r>
      <w:r>
        <w:rPr>
          <w:rFonts w:hint="default" w:ascii="Times New Roman" w:hAnsi="Times New Roman" w:eastAsia="Times New Roman" w:cs="Times New Roman"/>
        </w:rPr>
        <w:t>2</w:t>
      </w:r>
      <w:r>
        <w:rPr>
          <w:rFonts w:hint="default" w:ascii="Times New Roman" w:hAnsi="Times New Roman" w:eastAsia="Times New Roman" w:cs="Times New Roman"/>
          <w:spacing w:val="-4"/>
        </w:rPr>
        <w:t xml:space="preserve"> </w:t>
      </w:r>
      <w:r>
        <w:t>个、优质果品基地</w:t>
      </w:r>
      <w:r>
        <w:rPr>
          <w:spacing w:val="-58"/>
        </w:rPr>
        <w:t xml:space="preserve"> </w:t>
      </w:r>
      <w:r>
        <w:rPr>
          <w:rFonts w:hint="default" w:ascii="Times New Roman" w:hAnsi="Times New Roman" w:eastAsia="Times New Roman" w:cs="Times New Roman"/>
        </w:rPr>
        <w:t>3000</w:t>
      </w:r>
      <w:r>
        <w:rPr>
          <w:rFonts w:hint="default" w:ascii="Times New Roman" w:hAnsi="Times New Roman" w:eastAsia="Times New Roman" w:cs="Times New Roman"/>
          <w:spacing w:val="-4"/>
        </w:rPr>
        <w:t xml:space="preserve"> </w:t>
      </w:r>
      <w:r>
        <w:t>亩。大力推进蓝莓产业园及生态农业采摘园建设，培育野生平榛</w:t>
      </w:r>
      <w:r>
        <w:rPr>
          <w:spacing w:val="-58"/>
        </w:rPr>
        <w:t xml:space="preserve"> </w:t>
      </w:r>
      <w:r>
        <w:rPr>
          <w:rFonts w:hint="default" w:ascii="Times New Roman" w:hAnsi="Times New Roman" w:eastAsia="Times New Roman" w:cs="Times New Roman"/>
        </w:rPr>
        <w:t>600</w:t>
      </w:r>
      <w:r>
        <w:rPr>
          <w:rFonts w:hint="default" w:ascii="Times New Roman" w:hAnsi="Times New Roman" w:eastAsia="Times New Roman" w:cs="Times New Roman"/>
          <w:spacing w:val="-5"/>
        </w:rPr>
        <w:t xml:space="preserve"> </w:t>
      </w:r>
      <w:r>
        <w:t>亩。推进无公 害农产品生产和地理标志认证工作，努力打造冀东地区无公害农产品输出基地。</w:t>
      </w:r>
    </w:p>
    <w:p>
      <w:pPr>
        <w:pStyle w:val="6"/>
        <w:spacing w:before="21" w:line="290" w:lineRule="auto"/>
        <w:ind w:right="240" w:firstLine="560"/>
        <w:jc w:val="both"/>
      </w:pPr>
      <w:r>
        <w:rPr>
          <w:spacing w:val="-1"/>
        </w:rPr>
        <w:t>着力改善基础条件。深入开展美丽乡村建设，坚持重点推动，以点带面，突出抓好饮水安全、道路硬化等项目，改善</w:t>
      </w:r>
      <w:r>
        <w:t xml:space="preserve"> 农村生产生活条件。围绕农田水利、中小河流治理等重点，谋划包装一批水利项目，积极向上争取资金支持。</w:t>
      </w:r>
    </w:p>
    <w:p>
      <w:pPr>
        <w:pStyle w:val="6"/>
        <w:spacing w:before="22" w:line="290" w:lineRule="auto"/>
        <w:ind w:right="238" w:firstLine="560"/>
        <w:jc w:val="both"/>
      </w:pPr>
      <w:r>
        <w:t>着力推进</w:t>
      </w:r>
      <w:r>
        <w:rPr>
          <w:rFonts w:hint="eastAsia"/>
          <w:lang w:eastAsia="zh-CN"/>
        </w:rPr>
        <w:t>脱贫攻坚</w:t>
      </w:r>
      <w:r>
        <w:t>。紧紧围绕精准发力，大力发展特色产业，力争每个村培育一个主打产业，每个贫困户都有</w:t>
      </w:r>
      <w:r>
        <w:rPr>
          <w:spacing w:val="-105"/>
        </w:rPr>
        <w:t xml:space="preserve"> </w:t>
      </w:r>
      <w:r>
        <w:rPr>
          <w:rFonts w:hint="default" w:ascii="Times New Roman" w:hAnsi="Times New Roman" w:eastAsia="Times New Roman" w:cs="Times New Roman"/>
        </w:rPr>
        <w:t xml:space="preserve">1 </w:t>
      </w:r>
      <w:r>
        <w:t xml:space="preserve">个新 </w:t>
      </w:r>
      <w:r>
        <w:rPr>
          <w:spacing w:val="-1"/>
        </w:rPr>
        <w:t>上或入股的增收项目，努力实现年底脱贫摘帽。严格落实领导包村、机关干部包户对口帮扶机制，调动一切积极因素投入</w:t>
      </w:r>
      <w:r>
        <w:t xml:space="preserve"> </w:t>
      </w:r>
      <w:r>
        <w:rPr>
          <w:w w:val="95"/>
        </w:rPr>
        <w:t>扶贫开发。深入实施</w:t>
      </w:r>
      <w:r>
        <w:rPr>
          <w:rFonts w:hint="default" w:ascii="Times New Roman" w:hAnsi="Times New Roman" w:eastAsia="Times New Roman" w:cs="Times New Roman"/>
          <w:w w:val="95"/>
        </w:rPr>
        <w:t>“</w:t>
      </w:r>
      <w:r>
        <w:rPr>
          <w:w w:val="95"/>
        </w:rPr>
        <w:t>雨露计划</w:t>
      </w:r>
      <w:r>
        <w:rPr>
          <w:rFonts w:hint="default" w:ascii="Times New Roman" w:hAnsi="Times New Roman" w:eastAsia="Times New Roman" w:cs="Times New Roman"/>
          <w:w w:val="95"/>
        </w:rPr>
        <w:t>”</w:t>
      </w:r>
      <w:r>
        <w:rPr>
          <w:w w:val="95"/>
        </w:rPr>
        <w:t xml:space="preserve">，加大培训力度，切实提高贫困农民创业和就业技能。积极推进各村项目建设，参照出列 </w:t>
      </w:r>
      <w:r>
        <w:t>标准，倒排时间，挂图作战，争取三个贫困村年底实现脱贫摘帽。</w:t>
      </w:r>
    </w:p>
    <w:p>
      <w:pPr>
        <w:spacing w:before="6" w:line="240" w:lineRule="auto"/>
        <w:ind w:right="0"/>
        <w:rPr>
          <w:rFonts w:hint="default" w:ascii="方正仿宋繁体" w:hAnsi="方正仿宋繁体" w:eastAsia="方正仿宋繁体" w:cs="方正仿宋繁体"/>
          <w:sz w:val="35"/>
          <w:szCs w:val="35"/>
        </w:rPr>
      </w:pPr>
    </w:p>
    <w:p>
      <w:pPr>
        <w:pStyle w:val="6"/>
        <w:spacing w:line="290" w:lineRule="auto"/>
        <w:ind w:left="680" w:right="230"/>
        <w:jc w:val="left"/>
      </w:pPr>
      <w:r>
        <w:t xml:space="preserve">（三）大力推进特色城镇建设，力促城乡面貌再上新台阶 </w:t>
      </w:r>
      <w:r>
        <w:rPr>
          <w:spacing w:val="-1"/>
        </w:rPr>
        <w:t>推进城镇建设水平。加快祖山旅游文化产业聚集区建设步伐，借助满族风情街优势，努力打造集旅游、餐饮、土特产</w:t>
      </w:r>
    </w:p>
    <w:p>
      <w:pPr>
        <w:pStyle w:val="6"/>
        <w:spacing w:before="21" w:line="290" w:lineRule="auto"/>
        <w:ind w:right="233"/>
        <w:jc w:val="left"/>
      </w:pPr>
      <w:r>
        <w:rPr>
          <w:spacing w:val="-1"/>
        </w:rPr>
        <w:t>品开发于一体的京东地区最具代表性的满族风情特色小镇。加快木兰家园建设，打造一批主题鲜明、风格各异的民族特色</w:t>
      </w:r>
      <w:r>
        <w:t xml:space="preserve"> 小区。突出抓好镇区绿化、美化、净化工作，打造靓丽的城镇名片。</w:t>
      </w:r>
    </w:p>
    <w:p>
      <w:pPr>
        <w:pStyle w:val="6"/>
        <w:spacing w:before="22" w:line="290" w:lineRule="auto"/>
        <w:ind w:left="120" w:right="240" w:firstLine="560"/>
        <w:jc w:val="both"/>
      </w:pPr>
      <w:r>
        <w:t>提高镇村管理标准。以</w:t>
      </w:r>
      <w:r>
        <w:rPr>
          <w:rFonts w:hint="default" w:ascii="Times New Roman" w:hAnsi="Times New Roman" w:eastAsia="Times New Roman" w:cs="Times New Roman"/>
        </w:rPr>
        <w:t>“</w:t>
      </w:r>
      <w:r>
        <w:t>国家重点镇</w:t>
      </w:r>
      <w:r>
        <w:rPr>
          <w:rFonts w:hint="default" w:ascii="Times New Roman" w:hAnsi="Times New Roman" w:eastAsia="Times New Roman" w:cs="Times New Roman"/>
        </w:rPr>
        <w:t>”</w:t>
      </w:r>
      <w:r>
        <w:t>及</w:t>
      </w:r>
      <w:r>
        <w:rPr>
          <w:rFonts w:hint="default" w:ascii="Times New Roman" w:hAnsi="Times New Roman" w:eastAsia="Times New Roman" w:cs="Times New Roman"/>
        </w:rPr>
        <w:t>“</w:t>
      </w:r>
      <w:r>
        <w:t>特色小镇</w:t>
      </w:r>
      <w:r>
        <w:rPr>
          <w:rFonts w:hint="default" w:ascii="Times New Roman" w:hAnsi="Times New Roman" w:eastAsia="Times New Roman" w:cs="Times New Roman"/>
        </w:rPr>
        <w:t>”</w:t>
      </w:r>
      <w:r>
        <w:t xml:space="preserve">建设为载体，全面提升镇村精细化管理水平。健全镇区环卫管理机 </w:t>
      </w:r>
      <w:r>
        <w:rPr>
          <w:w w:val="95"/>
        </w:rPr>
        <w:t>制，垃圾实现定点存放、日产日清、全天保洁。加强镇区门店经营和广告牌匾管理，做到</w:t>
      </w:r>
      <w:r>
        <w:rPr>
          <w:rFonts w:hint="default" w:ascii="Times New Roman" w:hAnsi="Times New Roman" w:eastAsia="Times New Roman" w:cs="Times New Roman"/>
          <w:w w:val="95"/>
        </w:rPr>
        <w:t>“</w:t>
      </w:r>
      <w:r>
        <w:rPr>
          <w:w w:val="95"/>
        </w:rPr>
        <w:t>一店一牌、整齐划一</w:t>
      </w:r>
      <w:r>
        <w:rPr>
          <w:rFonts w:hint="default" w:ascii="Times New Roman" w:hAnsi="Times New Roman" w:eastAsia="Times New Roman" w:cs="Times New Roman"/>
          <w:w w:val="95"/>
        </w:rPr>
        <w:t>”</w:t>
      </w:r>
      <w:r>
        <w:rPr>
          <w:w w:val="95"/>
        </w:rPr>
        <w:t xml:space="preserve">。严厉打 </w:t>
      </w:r>
      <w:r>
        <w:rPr>
          <w:spacing w:val="-1"/>
        </w:rPr>
        <w:t>击侵街占道、店外经营、车辆乱停、乱贴乱画等不良行为。坚持规划刚性，依法查处未批先建、少批多建、私搭乱建等行</w:t>
      </w:r>
      <w:r>
        <w:t xml:space="preserve"> 为。</w:t>
      </w:r>
    </w:p>
    <w:p>
      <w:pPr>
        <w:spacing w:after="0" w:line="290" w:lineRule="auto"/>
        <w:jc w:val="both"/>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left="680" w:right="0"/>
        <w:jc w:val="left"/>
      </w:pPr>
      <w:r>
        <w:t>完善镇区基础设施。启动垃圾填埋场建设。实施镇区滨河景观提升项目，启动防洪大坝、河道清淤和截水坝建设。对</w:t>
      </w:r>
    </w:p>
    <w:p>
      <w:pPr>
        <w:pStyle w:val="6"/>
        <w:spacing w:before="88" w:line="240" w:lineRule="auto"/>
        <w:ind w:right="230"/>
        <w:jc w:val="left"/>
      </w:pPr>
      <w:r>
        <w:t>惠民路、主干公路、锦带街围成的三角居民聚集区谋划建设新民居，提高土地使用价值，增加镇区人口容量。</w:t>
      </w:r>
    </w:p>
    <w:p>
      <w:pPr>
        <w:pStyle w:val="6"/>
        <w:spacing w:before="88" w:line="290" w:lineRule="auto"/>
        <w:ind w:left="680" w:right="230" w:hanging="1"/>
        <w:jc w:val="left"/>
      </w:pPr>
      <w:r>
        <w:t xml:space="preserve">（四）大力推进商贸旅游业发展，力促三产拓展实现新提升 </w:t>
      </w:r>
      <w:r>
        <w:rPr>
          <w:spacing w:val="-1"/>
        </w:rPr>
        <w:t>做大特色旅游业。搞好统筹规划，加强山水林田路综合整治，实施花厂峪、安门口扶贫旅游富民项目，着力建设长城</w:t>
      </w:r>
    </w:p>
    <w:p>
      <w:pPr>
        <w:pStyle w:val="6"/>
        <w:spacing w:before="22" w:line="290" w:lineRule="auto"/>
        <w:ind w:right="233"/>
        <w:jc w:val="left"/>
      </w:pPr>
      <w:r>
        <w:rPr>
          <w:spacing w:val="-1"/>
        </w:rPr>
        <w:t>旅游产业带和农业休闲旅游庄园。推动花厂峪与祖山景区协调联动，大力发展采摘游、满族风情和休闲农家等乡村旅游项</w:t>
      </w:r>
      <w:r>
        <w:t xml:space="preserve"> 目。大力宣传</w:t>
      </w:r>
      <w:r>
        <w:rPr>
          <w:rFonts w:hint="default" w:ascii="Times New Roman" w:hAnsi="Times New Roman" w:eastAsia="Times New Roman" w:cs="Times New Roman"/>
        </w:rPr>
        <w:t>“</w:t>
      </w:r>
      <w:r>
        <w:t>祖山特色豆腐宴</w:t>
      </w:r>
      <w:r>
        <w:rPr>
          <w:rFonts w:hint="default" w:ascii="Times New Roman" w:hAnsi="Times New Roman" w:eastAsia="Times New Roman" w:cs="Times New Roman"/>
        </w:rPr>
        <w:t>”</w:t>
      </w:r>
      <w:r>
        <w:t>等满族特色名吃，让更多的人品味</w:t>
      </w:r>
      <w:r>
        <w:rPr>
          <w:rFonts w:hint="default" w:ascii="Times New Roman" w:hAnsi="Times New Roman" w:eastAsia="Times New Roman" w:cs="Times New Roman"/>
        </w:rPr>
        <w:t>“</w:t>
      </w:r>
      <w:r>
        <w:t>舌尖上的祖山</w:t>
      </w:r>
      <w:r>
        <w:rPr>
          <w:rFonts w:hint="default" w:ascii="Times New Roman" w:hAnsi="Times New Roman" w:eastAsia="Times New Roman" w:cs="Times New Roman"/>
        </w:rPr>
        <w:t>”</w:t>
      </w:r>
      <w:r>
        <w:t>。</w:t>
      </w:r>
    </w:p>
    <w:p>
      <w:pPr>
        <w:pStyle w:val="6"/>
        <w:spacing w:before="20" w:line="290" w:lineRule="auto"/>
        <w:ind w:right="0" w:firstLine="560"/>
        <w:jc w:val="left"/>
      </w:pPr>
      <w:r>
        <w:rPr>
          <w:spacing w:val="-4"/>
        </w:rPr>
        <w:t xml:space="preserve">做活商贸物流业。积极引进多行业、多领域的物流公司，提升人流、物流、资金流和信息流，不断繁荣商贸流通体系。 </w:t>
      </w:r>
      <w:r>
        <w:t>继续实施</w:t>
      </w:r>
      <w:r>
        <w:rPr>
          <w:rFonts w:hint="default" w:ascii="Times New Roman" w:hAnsi="Times New Roman" w:eastAsia="Times New Roman" w:cs="Times New Roman"/>
        </w:rPr>
        <w:t>“</w:t>
      </w:r>
      <w:r>
        <w:t>万村千乡、家电下乡、农超对接</w:t>
      </w:r>
      <w:r>
        <w:rPr>
          <w:rFonts w:hint="default" w:ascii="Times New Roman" w:hAnsi="Times New Roman" w:eastAsia="Times New Roman" w:cs="Times New Roman"/>
        </w:rPr>
        <w:t>”</w:t>
      </w:r>
      <w:r>
        <w:t xml:space="preserve">三大工程，年内新改建农家店 </w:t>
      </w:r>
      <w:r>
        <w:rPr>
          <w:rFonts w:hint="default" w:ascii="Times New Roman" w:hAnsi="Times New Roman" w:eastAsia="Times New Roman" w:cs="Times New Roman"/>
        </w:rPr>
        <w:t xml:space="preserve">5 </w:t>
      </w:r>
      <w:r>
        <w:t>家。改善提升祖山景区步游路、宾馆、厕所、 停车场等基础设施，进一步擦亮祖山景区品牌。</w:t>
      </w:r>
    </w:p>
    <w:p>
      <w:pPr>
        <w:pStyle w:val="6"/>
        <w:spacing w:before="21" w:line="290" w:lineRule="auto"/>
        <w:ind w:right="0" w:firstLine="560"/>
        <w:jc w:val="left"/>
      </w:pPr>
      <w:r>
        <w:t xml:space="preserve">做实新兴文化产业。发挥临港区位优势，以满族民俗风情、农村田园风光、自然山水风光和红色历史文化、奚族文化 </w:t>
      </w:r>
      <w:r>
        <w:rPr>
          <w:spacing w:val="-4"/>
        </w:rPr>
        <w:t xml:space="preserve">为依托，打响地域文化品牌。多角度、全方位宣传祖山景区和花厂峪优美自然风光和人文景观，提高旅游知名度和美誉度。 </w:t>
      </w:r>
      <w:r>
        <w:t>提升花厂峪红色旅游发展水平，积极争创</w:t>
      </w:r>
      <w:r>
        <w:rPr>
          <w:spacing w:val="-73"/>
        </w:rPr>
        <w:t xml:space="preserve"> </w:t>
      </w:r>
      <w:r>
        <w:rPr>
          <w:rFonts w:hint="default" w:ascii="Times New Roman" w:hAnsi="Times New Roman" w:eastAsia="Times New Roman" w:cs="Times New Roman"/>
        </w:rPr>
        <w:t xml:space="preserve">AAA </w:t>
      </w:r>
      <w:r>
        <w:t>级景区，推动文化产业快速发展。</w:t>
      </w:r>
    </w:p>
    <w:p>
      <w:pPr>
        <w:pStyle w:val="6"/>
        <w:spacing w:before="20" w:line="290" w:lineRule="auto"/>
        <w:ind w:left="680" w:right="371"/>
        <w:jc w:val="left"/>
      </w:pPr>
      <w:r>
        <w:t>（五）大力推进生态建设，力促魅力祖山再展新风采 持续抓好生态建设。坚持规模与质量并重，力争新增绿化面积</w:t>
      </w:r>
      <w:r>
        <w:rPr>
          <w:spacing w:val="-75"/>
        </w:rPr>
        <w:t xml:space="preserve"> </w:t>
      </w:r>
      <w:r>
        <w:rPr>
          <w:rFonts w:hint="default" w:ascii="Times New Roman" w:hAnsi="Times New Roman" w:eastAsia="Times New Roman" w:cs="Times New Roman"/>
        </w:rPr>
        <w:t xml:space="preserve">10 </w:t>
      </w:r>
      <w:r>
        <w:t>万平方米。实施</w:t>
      </w:r>
      <w:r>
        <w:rPr>
          <w:rFonts w:hint="default" w:ascii="Times New Roman" w:hAnsi="Times New Roman" w:eastAsia="Times New Roman" w:cs="Times New Roman"/>
        </w:rPr>
        <w:t>“</w:t>
      </w:r>
      <w:r>
        <w:t>生态家园</w:t>
      </w:r>
      <w:r>
        <w:rPr>
          <w:rFonts w:hint="default" w:ascii="Times New Roman" w:hAnsi="Times New Roman" w:eastAsia="Times New Roman" w:cs="Times New Roman"/>
        </w:rPr>
        <w:t>”</w:t>
      </w:r>
      <w:r>
        <w:t>工程，力争年内植树造</w:t>
      </w:r>
    </w:p>
    <w:p>
      <w:pPr>
        <w:pStyle w:val="6"/>
        <w:spacing w:before="21" w:line="290" w:lineRule="auto"/>
        <w:ind w:left="680" w:right="230" w:hanging="561"/>
        <w:jc w:val="left"/>
      </w:pPr>
      <w:r>
        <w:t>林</w:t>
      </w:r>
      <w:r>
        <w:rPr>
          <w:spacing w:val="-58"/>
        </w:rPr>
        <w:t xml:space="preserve"> </w:t>
      </w:r>
      <w:r>
        <w:rPr>
          <w:rFonts w:hint="default" w:ascii="Times New Roman" w:hAnsi="Times New Roman" w:eastAsia="Times New Roman" w:cs="Times New Roman"/>
        </w:rPr>
        <w:t>3000</w:t>
      </w:r>
      <w:r>
        <w:rPr>
          <w:rFonts w:hint="default" w:ascii="Times New Roman" w:hAnsi="Times New Roman" w:eastAsia="Times New Roman" w:cs="Times New Roman"/>
          <w:spacing w:val="-5"/>
        </w:rPr>
        <w:t xml:space="preserve"> </w:t>
      </w:r>
      <w:r>
        <w:t>亩，森林覆盖率达到</w:t>
      </w:r>
      <w:r>
        <w:rPr>
          <w:spacing w:val="-58"/>
        </w:rPr>
        <w:t xml:space="preserve"> </w:t>
      </w:r>
      <w:r>
        <w:rPr>
          <w:rFonts w:hint="default" w:ascii="Times New Roman" w:hAnsi="Times New Roman" w:eastAsia="Times New Roman" w:cs="Times New Roman"/>
        </w:rPr>
        <w:t>78%</w:t>
      </w:r>
      <w:r>
        <w:t>以上。实施起河流域两岸绿化工程，完成造林栽果</w:t>
      </w:r>
      <w:r>
        <w:rPr>
          <w:spacing w:val="-58"/>
        </w:rPr>
        <w:t xml:space="preserve"> </w:t>
      </w:r>
      <w:r>
        <w:rPr>
          <w:rFonts w:hint="default" w:ascii="Times New Roman" w:hAnsi="Times New Roman" w:eastAsia="Times New Roman" w:cs="Times New Roman"/>
        </w:rPr>
        <w:t>400</w:t>
      </w:r>
      <w:r>
        <w:rPr>
          <w:rFonts w:hint="default" w:ascii="Times New Roman" w:hAnsi="Times New Roman" w:eastAsia="Times New Roman" w:cs="Times New Roman"/>
          <w:spacing w:val="-5"/>
        </w:rPr>
        <w:t xml:space="preserve"> </w:t>
      </w:r>
      <w:r>
        <w:t xml:space="preserve">亩，打造水清岸绿的绿色廊道。 </w:t>
      </w:r>
      <w:r>
        <w:rPr>
          <w:spacing w:val="-1"/>
        </w:rPr>
        <w:t>大力抓好节能减排。加大监管力度，确保唐钢青龙炉料等企业脱硫设施正常运转。加强重点矿区、选厂、尾矿库和施</w:t>
      </w:r>
    </w:p>
    <w:p>
      <w:pPr>
        <w:pStyle w:val="6"/>
        <w:spacing w:before="22" w:line="240" w:lineRule="auto"/>
        <w:ind w:left="120" w:right="230"/>
        <w:jc w:val="left"/>
      </w:pPr>
      <w:r>
        <w:t>工工地综合整治，严格控制扬尘污染，确保空气质量二级以上天数达到</w:t>
      </w:r>
      <w:r>
        <w:rPr>
          <w:spacing w:val="-68"/>
        </w:rPr>
        <w:t xml:space="preserve"> </w:t>
      </w:r>
      <w:r>
        <w:rPr>
          <w:rFonts w:hint="default" w:ascii="Times New Roman" w:hAnsi="Times New Roman" w:eastAsia="Times New Roman" w:cs="Times New Roman"/>
        </w:rPr>
        <w:t xml:space="preserve">350 </w:t>
      </w:r>
      <w:r>
        <w:t>天以上。</w:t>
      </w:r>
    </w:p>
    <w:p>
      <w:pPr>
        <w:pStyle w:val="6"/>
        <w:spacing w:before="88" w:line="240" w:lineRule="auto"/>
        <w:ind w:left="680" w:right="230"/>
        <w:jc w:val="left"/>
      </w:pPr>
      <w:r>
        <w:t>（六）大力推进社会建设，力促人民生活实现新改善</w:t>
      </w:r>
    </w:p>
    <w:p>
      <w:pPr>
        <w:spacing w:after="0" w:line="240" w:lineRule="auto"/>
        <w:jc w:val="left"/>
        <w:sectPr>
          <w:pgSz w:w="16840" w:h="11910" w:orient="landscape"/>
          <w:pgMar w:top="1100" w:right="780" w:bottom="1160" w:left="900" w:header="0" w:footer="977" w:gutter="0"/>
          <w:cols w:space="720" w:num="1"/>
        </w:sectPr>
      </w:pPr>
    </w:p>
    <w:p>
      <w:pPr>
        <w:spacing w:before="13" w:line="240" w:lineRule="auto"/>
        <w:ind w:right="0"/>
        <w:rPr>
          <w:rFonts w:hint="default" w:ascii="方正仿宋繁体" w:hAnsi="方正仿宋繁体" w:eastAsia="方正仿宋繁体" w:cs="方正仿宋繁体"/>
          <w:sz w:val="22"/>
          <w:szCs w:val="22"/>
        </w:rPr>
      </w:pPr>
    </w:p>
    <w:p>
      <w:pPr>
        <w:pStyle w:val="6"/>
        <w:spacing w:line="387" w:lineRule="exact"/>
        <w:ind w:right="0" w:firstLine="560"/>
        <w:jc w:val="left"/>
      </w:pPr>
      <w:r>
        <w:t>全面发展社会事业。稳步提升新农保参保率和城镇医疗参合率，让广大群众共享改革发展成果。做好低保审核申报和</w:t>
      </w:r>
    </w:p>
    <w:p>
      <w:pPr>
        <w:pStyle w:val="6"/>
        <w:spacing w:before="88" w:line="290" w:lineRule="auto"/>
        <w:ind w:right="233"/>
        <w:jc w:val="left"/>
      </w:pPr>
      <w:r>
        <w:rPr>
          <w:spacing w:val="-1"/>
        </w:rPr>
        <w:t>危房改造工作，确保民政资金专款专用。做好教育、卫生、计生改革工作。及时发放粮食直补、公益林生态效益补偿等专</w:t>
      </w:r>
      <w:r>
        <w:t xml:space="preserve"> 项资金。充分发挥农村</w:t>
      </w:r>
      <w:r>
        <w:rPr>
          <w:rFonts w:hint="default" w:ascii="Times New Roman" w:hAnsi="Times New Roman" w:eastAsia="Times New Roman" w:cs="Times New Roman"/>
        </w:rPr>
        <w:t>“</w:t>
      </w:r>
      <w:r>
        <w:t>一事一议</w:t>
      </w:r>
      <w:r>
        <w:rPr>
          <w:rFonts w:hint="default" w:ascii="Times New Roman" w:hAnsi="Times New Roman" w:eastAsia="Times New Roman" w:cs="Times New Roman"/>
        </w:rPr>
        <w:t>”</w:t>
      </w:r>
      <w:r>
        <w:t>财政补贴作用，抓好农村基础设施建设。</w:t>
      </w:r>
    </w:p>
    <w:p>
      <w:pPr>
        <w:pStyle w:val="6"/>
        <w:spacing w:before="20" w:line="290" w:lineRule="auto"/>
        <w:ind w:right="96" w:firstLine="560"/>
        <w:jc w:val="left"/>
      </w:pPr>
      <w:r>
        <w:t>切实维护和谐稳定。健全</w:t>
      </w:r>
      <w:r>
        <w:rPr>
          <w:rFonts w:hint="default" w:ascii="Times New Roman" w:hAnsi="Times New Roman" w:eastAsia="Times New Roman" w:cs="Times New Roman"/>
        </w:rPr>
        <w:t>“</w:t>
      </w:r>
      <w:r>
        <w:t>镇村组</w:t>
      </w:r>
      <w:r>
        <w:rPr>
          <w:rFonts w:hint="default" w:ascii="Times New Roman" w:hAnsi="Times New Roman" w:eastAsia="Times New Roman" w:cs="Times New Roman"/>
        </w:rPr>
        <w:t>”</w:t>
      </w:r>
      <w:r>
        <w:t>三级矛盾排查信息网络，严格落实</w:t>
      </w:r>
      <w:r>
        <w:rPr>
          <w:rFonts w:hint="default" w:ascii="Times New Roman" w:hAnsi="Times New Roman" w:eastAsia="Times New Roman" w:cs="Times New Roman"/>
        </w:rPr>
        <w:t>“</w:t>
      </w:r>
      <w:r>
        <w:t>八三</w:t>
      </w:r>
      <w:r>
        <w:rPr>
          <w:rFonts w:hint="default" w:ascii="Times New Roman" w:hAnsi="Times New Roman" w:eastAsia="Times New Roman" w:cs="Times New Roman"/>
        </w:rPr>
        <w:t>”</w:t>
      </w:r>
      <w:r>
        <w:t>工作法、</w:t>
      </w:r>
      <w:r>
        <w:rPr>
          <w:rFonts w:hint="default" w:ascii="Times New Roman" w:hAnsi="Times New Roman" w:eastAsia="Times New Roman" w:cs="Times New Roman"/>
        </w:rPr>
        <w:t>“</w:t>
      </w:r>
      <w:r>
        <w:t>六包一</w:t>
      </w:r>
      <w:r>
        <w:rPr>
          <w:rFonts w:hint="default" w:ascii="Times New Roman" w:hAnsi="Times New Roman" w:eastAsia="Times New Roman" w:cs="Times New Roman"/>
        </w:rPr>
        <w:t>”</w:t>
      </w:r>
      <w:r>
        <w:t xml:space="preserve">等信访工作机制，确保 </w:t>
      </w:r>
      <w:r>
        <w:rPr>
          <w:spacing w:val="-3"/>
        </w:rPr>
        <w:t>全年不发生越级集体访和非法访。开展食品药品隐患排查专项行动，保障群众</w:t>
      </w:r>
      <w:r>
        <w:rPr>
          <w:rFonts w:hint="default" w:ascii="Times New Roman" w:hAnsi="Times New Roman" w:eastAsia="Times New Roman" w:cs="Times New Roman"/>
          <w:spacing w:val="-3"/>
        </w:rPr>
        <w:t>“</w:t>
      </w:r>
      <w:r>
        <w:rPr>
          <w:spacing w:val="-3"/>
        </w:rPr>
        <w:t>舌尖</w:t>
      </w:r>
      <w:r>
        <w:rPr>
          <w:rFonts w:hint="default" w:ascii="Times New Roman" w:hAnsi="Times New Roman" w:eastAsia="Times New Roman" w:cs="Times New Roman"/>
          <w:spacing w:val="-3"/>
        </w:rPr>
        <w:t>”</w:t>
      </w:r>
      <w:r>
        <w:rPr>
          <w:spacing w:val="-3"/>
        </w:rPr>
        <w:t xml:space="preserve">上的安全。严格落实安全生产责任制， </w:t>
      </w:r>
      <w:r>
        <w:t>深入开展煤矿、非煤矿山、尾矿库、道路交通等重点行业领域专项整治，全面消除隐患，严防各类事故发生。加强突发公 共事件应急预警，有效防范和应对森林火灾、暴雨洪水、泥石流等灾害。</w:t>
      </w:r>
    </w:p>
    <w:p>
      <w:pPr>
        <w:spacing w:before="4" w:line="240" w:lineRule="auto"/>
        <w:ind w:right="0"/>
        <w:rPr>
          <w:rFonts w:hint="default" w:ascii="方正仿宋繁体" w:hAnsi="方正仿宋繁体" w:eastAsia="方正仿宋繁体" w:cs="方正仿宋繁体"/>
          <w:sz w:val="35"/>
          <w:szCs w:val="35"/>
        </w:rPr>
      </w:pPr>
    </w:p>
    <w:p>
      <w:pPr>
        <w:pStyle w:val="4"/>
        <w:tabs>
          <w:tab w:val="left" w:pos="2287"/>
        </w:tabs>
        <w:spacing w:line="357" w:lineRule="auto"/>
        <w:ind w:left="681" w:right="9797" w:firstLine="81"/>
        <w:jc w:val="left"/>
        <w:rPr>
          <w:b w:val="0"/>
          <w:bCs w:val="0"/>
        </w:rPr>
      </w:pPr>
      <w:r>
        <w:rPr>
          <w:w w:val="95"/>
        </w:rPr>
        <w:t>第二部分</w:t>
      </w:r>
      <w:r>
        <w:rPr>
          <w:w w:val="95"/>
        </w:rPr>
        <w:tab/>
      </w:r>
      <w:r>
        <w:t xml:space="preserve">专项资金绩效目标 </w:t>
      </w:r>
      <w:r>
        <w:rPr>
          <w:w w:val="95"/>
        </w:rPr>
        <w:t>第三部分</w:t>
      </w:r>
      <w:r>
        <w:rPr>
          <w:w w:val="95"/>
        </w:rPr>
        <w:tab/>
      </w:r>
      <w:r>
        <w:t>预算项目绩效目标</w:t>
      </w:r>
    </w:p>
    <w:p>
      <w:pPr>
        <w:spacing w:before="12" w:line="240" w:lineRule="auto"/>
        <w:ind w:right="0"/>
        <w:rPr>
          <w:rFonts w:hint="default" w:ascii="宋体" w:hAnsi="宋体" w:eastAsia="宋体" w:cs="宋体"/>
          <w:b/>
          <w:bCs/>
          <w:sz w:val="27"/>
          <w:szCs w:val="27"/>
        </w:rPr>
      </w:pPr>
    </w:p>
    <w:p>
      <w:pPr>
        <w:pStyle w:val="6"/>
        <w:spacing w:line="240" w:lineRule="auto"/>
        <w:ind w:left="681" w:right="23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1、人大代表之家工作经费绩效目标表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1.学习宣传培训，开展代表活动，密切联系群众，定期开展人大代表接访、走访、约访、回访等工作，接受群众监督，提出议案建议。</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2.发挥人大监督职能，推动各项事业有效开展。</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17"/>
                <w:szCs w:val="17"/>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组织代表参加活动次数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计划召开学习宣传培训活动 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开展调研的次数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计划开展调研的次数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完成调研报告数量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当年完成调研报告的数量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bl>
    <w:p>
      <w:pPr>
        <w:spacing w:after="0" w:line="240" w:lineRule="auto"/>
        <w:jc w:val="left"/>
        <w:rPr>
          <w:rFonts w:hint="default" w:ascii="宋体" w:hAnsi="宋体" w:eastAsia="宋体" w:cs="宋体"/>
          <w:sz w:val="21"/>
          <w:szCs w:val="21"/>
        </w:rPr>
        <w:sectPr>
          <w:pgSz w:w="16840" w:h="11910" w:orient="landscape"/>
          <w:pgMar w:top="1100" w:right="78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代表参加活动或培训覆盖率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联络机构、网络平台完成情 况占年初计划任务比率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做好协调组织工作，为代表 依法履职提供服务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学习宣传培训，开展代表活 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做好协调组织工作,为代表 依法履责提供服务</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意见建议采纳率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人大代表提出建议,被采纳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人大活动工作计划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会议服务工作满意率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镇人大代表和常委对代表工 作的满意程度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2、综治工作经费绩效目标表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12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61" w:lineRule="auto"/>
              <w:ind w:left="101" w:right="97"/>
              <w:jc w:val="left"/>
              <w:rPr>
                <w:rFonts w:hint="default" w:ascii="宋体" w:hAnsi="宋体" w:eastAsia="宋体" w:cs="宋体"/>
                <w:sz w:val="21"/>
                <w:szCs w:val="21"/>
              </w:rPr>
            </w:pPr>
            <w:r>
              <w:rPr>
                <w:rFonts w:hint="default" w:ascii="宋体" w:hAnsi="宋体" w:eastAsia="宋体" w:cs="宋体"/>
                <w:spacing w:val="-2"/>
                <w:sz w:val="21"/>
                <w:szCs w:val="21"/>
              </w:rPr>
              <w:t>1.通过贯彻执行国家的法律法规和政策，加大依法行政的力度，维护农业农村工作的稳定；加强法制宣传教育、提高公民的法律意识和素</w:t>
            </w:r>
            <w:r>
              <w:rPr>
                <w:rFonts w:hint="default" w:ascii="宋体" w:hAnsi="宋体" w:eastAsia="宋体" w:cs="宋体"/>
                <w:sz w:val="21"/>
                <w:szCs w:val="21"/>
              </w:rPr>
              <w:t xml:space="preserve"> 质，教育农民知法、懂法和守法。 </w:t>
            </w:r>
            <w:r>
              <w:rPr>
                <w:rFonts w:hint="default" w:ascii="宋体" w:hAnsi="宋体" w:eastAsia="宋体" w:cs="宋体"/>
                <w:spacing w:val="-2"/>
                <w:sz w:val="21"/>
                <w:szCs w:val="21"/>
              </w:rPr>
              <w:t>2.协助司法机关打击各类刑事犯罪活动，妥善处理突发性、群体性事件；搞好村级治安工作、村委会建设、完善村规民约，深化农村平安</w:t>
            </w:r>
            <w:r>
              <w:rPr>
                <w:rFonts w:hint="default" w:ascii="宋体" w:hAnsi="宋体" w:eastAsia="宋体" w:cs="宋体"/>
                <w:sz w:val="21"/>
                <w:szCs w:val="21"/>
              </w:rPr>
              <w:t xml:space="preserve"> 创建工作。</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19"/>
                <w:szCs w:val="19"/>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印刷宣传单</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反映印刷宣传单数量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≥2000</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维稳次数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反映下乡维稳的次数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协调督导事项化解率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化解事项占督导事项总数的 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各项工作按年度计划完成</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全年持续进行</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租车费支出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租车接信访人返青的费用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7"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民转刑</w:t>
            </w:r>
            <w:r>
              <w:rPr>
                <w:rFonts w:hint="default" w:ascii="Times New Roman" w:hAnsi="Times New Roman" w:eastAsia="Times New Roman" w:cs="Times New Roman"/>
                <w:sz w:val="24"/>
                <w:szCs w:val="24"/>
              </w:rPr>
              <w:t>”</w:t>
            </w:r>
            <w:r>
              <w:rPr>
                <w:rFonts w:hint="default" w:ascii="宋体" w:hAnsi="宋体" w:eastAsia="宋体" w:cs="宋体"/>
                <w:sz w:val="21"/>
                <w:szCs w:val="21"/>
              </w:rPr>
              <w:t>命案减少率(%)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42" w:lineRule="auto"/>
              <w:ind w:left="100" w:right="194"/>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民转刑</w:t>
            </w:r>
            <w:r>
              <w:rPr>
                <w:rFonts w:hint="default" w:ascii="Times New Roman" w:hAnsi="Times New Roman" w:eastAsia="Times New Roman" w:cs="Times New Roman"/>
                <w:sz w:val="24"/>
                <w:szCs w:val="24"/>
              </w:rPr>
              <w:t>”</w:t>
            </w:r>
            <w:r>
              <w:rPr>
                <w:rFonts w:hint="default" w:ascii="宋体" w:hAnsi="宋体" w:eastAsia="宋体" w:cs="宋体"/>
                <w:sz w:val="21"/>
                <w:szCs w:val="21"/>
              </w:rPr>
              <w:t>命案发生数量的减 少比率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立体化社会治安防控体系覆 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立体化社会治安防控体系在 镇村两级的覆盖情况</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对治安管理满意的人数査调 查总人数的比率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3、自然灾害综合风险普查工作经费绩效目标表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1.全面掌握我镇自然灾害风险防范情况。</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2.提升我镇抵御自然灾害综合防范能力。</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1" w:line="240" w:lineRule="auto"/>
              <w:ind w:right="0"/>
              <w:jc w:val="left"/>
              <w:rPr>
                <w:rFonts w:hint="default" w:ascii="方正仿宋繁体" w:hAnsi="方正仿宋繁体" w:eastAsia="方正仿宋繁体" w:cs="方正仿宋繁体"/>
                <w:sz w:val="20"/>
                <w:szCs w:val="20"/>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普查行政村个数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反映普查行政村个数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普查自然灾害类型</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本次普查涉及的自然灾害类 型个数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项</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受益人数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自然灾害普查受益人口数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≥22000</w:t>
            </w:r>
            <w:r>
              <w:rPr>
                <w:rFonts w:hint="default" w:ascii="宋体" w:hAnsi="宋体" w:eastAsia="宋体" w:cs="宋体"/>
                <w:spacing w:val="-57"/>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普查工作完成率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普查工作完成率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普查工作完成时间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12</w:t>
            </w:r>
            <w:r>
              <w:rPr>
                <w:rFonts w:hint="default" w:ascii="宋体" w:hAnsi="宋体" w:eastAsia="宋体" w:cs="宋体"/>
                <w:spacing w:val="-53"/>
                <w:sz w:val="21"/>
                <w:szCs w:val="21"/>
              </w:rPr>
              <w:t xml:space="preserve"> </w:t>
            </w:r>
            <w:r>
              <w:rPr>
                <w:rFonts w:hint="default" w:ascii="宋体" w:hAnsi="宋体" w:eastAsia="宋体" w:cs="宋体"/>
                <w:sz w:val="21"/>
                <w:szCs w:val="21"/>
              </w:rPr>
              <w:t>底前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宣传、办公费用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反映用于本次普查宣传费、 办公费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租车费用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反映用于本次普查租车费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9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提升抵御自然灾害防范能力</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通过普查，提升抵御自然灾 害防能力，提交高质量普查 结果报告</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322" w:hRule="exact"/>
        </w:trPr>
        <w:tc>
          <w:tcPr>
            <w:tcW w:w="1417" w:type="dxa"/>
            <w:tcBorders>
              <w:top w:val="single" w:color="000000" w:sz="6" w:space="0"/>
              <w:left w:val="single" w:color="000000" w:sz="6" w:space="0"/>
              <w:bottom w:val="nil"/>
              <w:right w:val="single" w:color="000000" w:sz="6" w:space="0"/>
            </w:tcBorders>
          </w:tcPr>
          <w:p/>
        </w:tc>
        <w:tc>
          <w:tcPr>
            <w:tcW w:w="2268" w:type="dxa"/>
            <w:tcBorders>
              <w:top w:val="single" w:color="000000" w:sz="6" w:space="0"/>
              <w:left w:val="single" w:color="000000" w:sz="6" w:space="0"/>
              <w:bottom w:val="nil"/>
              <w:right w:val="single" w:color="000000" w:sz="6" w:space="0"/>
            </w:tcBorders>
          </w:tcPr>
          <w:p/>
        </w:tc>
        <w:tc>
          <w:tcPr>
            <w:tcW w:w="2834" w:type="dxa"/>
            <w:tcBorders>
              <w:top w:val="single" w:color="000000" w:sz="6" w:space="0"/>
              <w:left w:val="single" w:color="000000" w:sz="6" w:space="0"/>
              <w:bottom w:val="nil"/>
              <w:right w:val="single" w:color="000000" w:sz="6" w:space="0"/>
            </w:tcBorders>
          </w:tcPr>
          <w:p/>
        </w:tc>
        <w:tc>
          <w:tcPr>
            <w:tcW w:w="2836" w:type="dxa"/>
            <w:tcBorders>
              <w:top w:val="single" w:color="000000" w:sz="6" w:space="0"/>
              <w:left w:val="single" w:color="000000" w:sz="6" w:space="0"/>
              <w:bottom w:val="nil"/>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村民调查中，满意和较满意</w:t>
            </w:r>
          </w:p>
        </w:tc>
        <w:tc>
          <w:tcPr>
            <w:tcW w:w="2551" w:type="dxa"/>
            <w:tcBorders>
              <w:top w:val="single" w:color="000000" w:sz="6" w:space="0"/>
              <w:left w:val="single" w:color="000000" w:sz="6" w:space="0"/>
              <w:bottom w:val="nil"/>
              <w:right w:val="single" w:color="000000" w:sz="6" w:space="0"/>
            </w:tcBorders>
          </w:tcPr>
          <w:p/>
        </w:tc>
        <w:tc>
          <w:tcPr>
            <w:tcW w:w="2268" w:type="dxa"/>
            <w:tcBorders>
              <w:top w:val="single" w:color="000000" w:sz="6" w:space="0"/>
              <w:left w:val="single" w:color="000000" w:sz="6" w:space="0"/>
              <w:bottom w:val="nil"/>
              <w:right w:val="single" w:color="000000" w:sz="6" w:space="0"/>
            </w:tcBorders>
          </w:tcPr>
          <w:p/>
        </w:tc>
      </w:tr>
      <w:tr>
        <w:tblPrEx>
          <w:tblCellMar>
            <w:top w:w="0" w:type="dxa"/>
            <w:left w:w="0" w:type="dxa"/>
            <w:bottom w:w="0" w:type="dxa"/>
            <w:right w:w="0" w:type="dxa"/>
          </w:tblCellMar>
        </w:tblPrEx>
        <w:trPr>
          <w:trHeight w:val="300" w:hRule="exact"/>
        </w:trPr>
        <w:tc>
          <w:tcPr>
            <w:tcW w:w="1417" w:type="dxa"/>
            <w:tcBorders>
              <w:top w:val="nil"/>
              <w:left w:val="single" w:color="000000" w:sz="6" w:space="0"/>
              <w:bottom w:val="nil"/>
              <w:right w:val="single" w:color="000000" w:sz="6" w:space="0"/>
            </w:tcBorders>
          </w:tcPr>
          <w:p>
            <w:pPr>
              <w:pStyle w:val="13"/>
              <w:spacing w:line="255" w:lineRule="exact"/>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村民满意度</w:t>
            </w:r>
          </w:p>
        </w:tc>
        <w:tc>
          <w:tcPr>
            <w:tcW w:w="2836"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的人数占全部调查人数的比</w:t>
            </w:r>
          </w:p>
        </w:tc>
        <w:tc>
          <w:tcPr>
            <w:tcW w:w="2551"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nil"/>
              <w:left w:val="single" w:color="000000" w:sz="6" w:space="0"/>
              <w:bottom w:val="nil"/>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r>
        <w:tblPrEx>
          <w:tblCellMar>
            <w:top w:w="0" w:type="dxa"/>
            <w:left w:w="0" w:type="dxa"/>
            <w:bottom w:w="0" w:type="dxa"/>
            <w:right w:w="0" w:type="dxa"/>
          </w:tblCellMar>
        </w:tblPrEx>
        <w:trPr>
          <w:trHeight w:val="294" w:hRule="exact"/>
        </w:trPr>
        <w:tc>
          <w:tcPr>
            <w:tcW w:w="1417" w:type="dxa"/>
            <w:tcBorders>
              <w:top w:val="nil"/>
              <w:left w:val="single" w:color="000000" w:sz="6" w:space="0"/>
              <w:bottom w:val="single" w:color="000000" w:sz="6" w:space="0"/>
              <w:right w:val="single" w:color="000000" w:sz="6" w:space="0"/>
            </w:tcBorders>
          </w:tcPr>
          <w:p/>
        </w:tc>
        <w:tc>
          <w:tcPr>
            <w:tcW w:w="2268" w:type="dxa"/>
            <w:tcBorders>
              <w:top w:val="nil"/>
              <w:left w:val="single" w:color="000000" w:sz="6" w:space="0"/>
              <w:bottom w:val="single" w:color="000000" w:sz="6" w:space="0"/>
              <w:right w:val="single" w:color="000000" w:sz="6" w:space="0"/>
            </w:tcBorders>
          </w:tcPr>
          <w:p/>
        </w:tc>
        <w:tc>
          <w:tcPr>
            <w:tcW w:w="2834" w:type="dxa"/>
            <w:tcBorders>
              <w:top w:val="nil"/>
              <w:left w:val="single" w:color="000000" w:sz="6" w:space="0"/>
              <w:bottom w:val="single" w:color="000000" w:sz="6" w:space="0"/>
              <w:right w:val="single" w:color="000000" w:sz="6" w:space="0"/>
            </w:tcBorders>
          </w:tcPr>
          <w:p/>
        </w:tc>
        <w:tc>
          <w:tcPr>
            <w:tcW w:w="2836" w:type="dxa"/>
            <w:tcBorders>
              <w:top w:val="nil"/>
              <w:left w:val="single" w:color="000000" w:sz="6" w:space="0"/>
              <w:bottom w:val="single" w:color="000000" w:sz="6" w:space="0"/>
              <w:right w:val="single" w:color="000000" w:sz="6" w:space="0"/>
            </w:tcBorders>
          </w:tcPr>
          <w:p>
            <w:pPr>
              <w:pStyle w:val="13"/>
              <w:spacing w:line="255" w:lineRule="exact"/>
              <w:ind w:left="100" w:right="0"/>
              <w:jc w:val="left"/>
              <w:rPr>
                <w:rFonts w:hint="default" w:ascii="宋体" w:hAnsi="宋体" w:eastAsia="宋体" w:cs="宋体"/>
                <w:sz w:val="21"/>
                <w:szCs w:val="21"/>
              </w:rPr>
            </w:pPr>
            <w:r>
              <w:rPr>
                <w:rFonts w:hint="default" w:ascii="宋体" w:hAnsi="宋体" w:eastAsia="宋体" w:cs="宋体"/>
                <w:sz w:val="21"/>
                <w:szCs w:val="21"/>
              </w:rPr>
              <w:t>率</w:t>
            </w:r>
          </w:p>
        </w:tc>
        <w:tc>
          <w:tcPr>
            <w:tcW w:w="2551" w:type="dxa"/>
            <w:tcBorders>
              <w:top w:val="nil"/>
              <w:left w:val="single" w:color="000000" w:sz="6" w:space="0"/>
              <w:bottom w:val="single" w:color="000000" w:sz="6" w:space="0"/>
              <w:right w:val="single" w:color="000000" w:sz="6" w:space="0"/>
            </w:tcBorders>
          </w:tcPr>
          <w:p/>
        </w:tc>
        <w:tc>
          <w:tcPr>
            <w:tcW w:w="2268" w:type="dxa"/>
            <w:tcBorders>
              <w:top w:val="nil"/>
              <w:left w:val="single" w:color="000000" w:sz="6" w:space="0"/>
              <w:bottom w:val="single" w:color="000000" w:sz="6" w:space="0"/>
              <w:right w:val="single" w:color="000000" w:sz="6" w:space="0"/>
            </w:tcBorders>
          </w:tcP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4、团委工作经费绩效目标表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1.确保团委工作有序开展，积极发挥团委作用。</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2.开展好群团组织工作，为党的建设储备好后备力量。</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8" w:line="240" w:lineRule="auto"/>
              <w:ind w:right="0"/>
              <w:jc w:val="left"/>
              <w:rPr>
                <w:rFonts w:hint="default" w:ascii="方正仿宋繁体" w:hAnsi="方正仿宋繁体" w:eastAsia="方正仿宋繁体" w:cs="方正仿宋繁体"/>
                <w:sz w:val="20"/>
                <w:szCs w:val="20"/>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组织活动的次数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组织镇青年慰问留守儿童活 动的次数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Times New Roman" w:hAnsi="Times New Roman" w:eastAsia="Times New Roman" w:cs="Times New Roman"/>
                <w:sz w:val="24"/>
                <w:szCs w:val="24"/>
              </w:rPr>
              <w:t>“</w:t>
            </w:r>
            <w:r>
              <w:rPr>
                <w:rFonts w:hint="default" w:ascii="宋体" w:hAnsi="宋体" w:eastAsia="宋体" w:cs="宋体"/>
                <w:sz w:val="21"/>
                <w:szCs w:val="21"/>
              </w:rPr>
              <w:t>圆梦大学</w:t>
            </w:r>
            <w:r>
              <w:rPr>
                <w:rFonts w:hint="default" w:ascii="Times New Roman" w:hAnsi="Times New Roman" w:eastAsia="Times New Roman" w:cs="Times New Roman"/>
                <w:sz w:val="24"/>
                <w:szCs w:val="24"/>
              </w:rPr>
              <w:t>”</w:t>
            </w:r>
            <w:r>
              <w:rPr>
                <w:rFonts w:hint="default" w:ascii="宋体" w:hAnsi="宋体" w:eastAsia="宋体" w:cs="宋体"/>
                <w:sz w:val="21"/>
                <w:szCs w:val="21"/>
              </w:rPr>
              <w:t>走访的次数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w:t>
            </w:r>
            <w:r>
              <w:rPr>
                <w:rFonts w:hint="default" w:ascii="Times New Roman" w:hAnsi="Times New Roman" w:eastAsia="Times New Roman" w:cs="Times New Roman"/>
                <w:sz w:val="24"/>
                <w:szCs w:val="24"/>
              </w:rPr>
              <w:t>“</w:t>
            </w:r>
            <w:r>
              <w:rPr>
                <w:rFonts w:hint="default" w:ascii="宋体" w:hAnsi="宋体" w:eastAsia="宋体" w:cs="宋体"/>
                <w:sz w:val="21"/>
                <w:szCs w:val="21"/>
              </w:rPr>
              <w:t>圆梦大学</w:t>
            </w:r>
            <w:r>
              <w:rPr>
                <w:rFonts w:hint="default" w:ascii="Times New Roman" w:hAnsi="Times New Roman" w:eastAsia="Times New Roman" w:cs="Times New Roman"/>
                <w:sz w:val="24"/>
                <w:szCs w:val="24"/>
              </w:rPr>
              <w:t>”</w:t>
            </w:r>
            <w:r>
              <w:rPr>
                <w:rFonts w:hint="default" w:ascii="宋体" w:hAnsi="宋体" w:eastAsia="宋体" w:cs="宋体"/>
                <w:sz w:val="21"/>
                <w:szCs w:val="21"/>
              </w:rPr>
              <w:t>走访的次数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宣传单数量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反映用于青少年法治宣传教 育印刷的宣传单数量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≥3000</w:t>
            </w:r>
            <w:r>
              <w:rPr>
                <w:rFonts w:hint="default" w:ascii="宋体" w:hAnsi="宋体" w:eastAsia="宋体" w:cs="宋体"/>
                <w:spacing w:val="-52"/>
                <w:sz w:val="21"/>
                <w:szCs w:val="21"/>
              </w:rPr>
              <w:t xml:space="preserve"> </w:t>
            </w:r>
            <w:r>
              <w:rPr>
                <w:rFonts w:hint="default" w:ascii="宋体" w:hAnsi="宋体" w:eastAsia="宋体" w:cs="宋体"/>
                <w:sz w:val="21"/>
                <w:szCs w:val="21"/>
              </w:rPr>
              <w:t>张</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活动完成次数占预计次数的 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≥98</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活动完成时间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反映各项活动完成时间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全年持续进行</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经费支出控制数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团委活动经费支出控制在预 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7"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经济效益指标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团费收缴完成率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反映全镇团费收缴和上缴工 作完成比率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未成年思想道德建设宣传情 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反映全镇未成年人思想道德 建设宣传覆盖率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群众对全镇党建满意度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全镇群众对党建工作的满意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按调查结果统计确定</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0" w:line="240" w:lineRule="auto"/>
        <w:ind w:right="0"/>
        <w:rPr>
          <w:rFonts w:hint="default" w:ascii="方正仿宋繁体" w:hAnsi="方正仿宋繁体" w:eastAsia="方正仿宋繁体" w:cs="方正仿宋繁体"/>
          <w:sz w:val="23"/>
          <w:szCs w:val="23"/>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5、机构改革平台建设费绩效目标表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1.加强政府服务职能建设，全面提升群众安全指数。</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2.为机构改革平台建设提供资金保障，确保项目建设如期圆满完成。</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7" w:line="240" w:lineRule="auto"/>
              <w:ind w:right="0"/>
              <w:jc w:val="left"/>
              <w:rPr>
                <w:rFonts w:hint="default" w:ascii="方正仿宋繁体" w:hAnsi="方正仿宋繁体" w:eastAsia="方正仿宋繁体" w:cs="方正仿宋繁体"/>
                <w:sz w:val="14"/>
                <w:szCs w:val="14"/>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安装村数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按照要求完成安装的村数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完成点位数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实际安装点位数量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≥64</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每村点位配置数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按照要求实际在每个村配置 的点位数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4</w:t>
            </w:r>
            <w:r>
              <w:rPr>
                <w:rFonts w:hint="default" w:ascii="宋体" w:hAnsi="宋体" w:eastAsia="宋体" w:cs="宋体"/>
                <w:spacing w:val="-52"/>
                <w:sz w:val="21"/>
                <w:szCs w:val="21"/>
              </w:rPr>
              <w:t xml:space="preserve"> </w:t>
            </w:r>
            <w:r>
              <w:rPr>
                <w:rFonts w:hint="default" w:ascii="宋体" w:hAnsi="宋体" w:eastAsia="宋体" w:cs="宋体"/>
                <w:sz w:val="21"/>
                <w:szCs w:val="21"/>
              </w:rPr>
              <w:t>个</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点位配置覆盖率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点位配置达标并完成数量占 目标要求的比率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工作完成时限</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完成该项工作的时间节点</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12</w:t>
            </w:r>
            <w:r>
              <w:rPr>
                <w:rFonts w:hint="default" w:ascii="宋体" w:hAnsi="宋体" w:eastAsia="宋体" w:cs="宋体"/>
                <w:spacing w:val="-52"/>
                <w:sz w:val="21"/>
                <w:szCs w:val="21"/>
              </w:rPr>
              <w:t xml:space="preserve"> </w:t>
            </w:r>
            <w:r>
              <w:rPr>
                <w:rFonts w:hint="default" w:ascii="宋体" w:hAnsi="宋体" w:eastAsia="宋体" w:cs="宋体"/>
                <w:sz w:val="21"/>
                <w:szCs w:val="21"/>
              </w:rPr>
              <w:t>月底前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单个点位成本</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每个点位设置完成工作所需 的成本</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≤0.15</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平台链路建设及传输费</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4"/>
              <w:jc w:val="left"/>
              <w:rPr>
                <w:rFonts w:hint="default" w:ascii="宋体" w:hAnsi="宋体" w:eastAsia="宋体" w:cs="宋体"/>
                <w:sz w:val="21"/>
                <w:szCs w:val="21"/>
              </w:rPr>
            </w:pPr>
            <w:r>
              <w:rPr>
                <w:rFonts w:hint="default" w:ascii="宋体" w:hAnsi="宋体" w:eastAsia="宋体" w:cs="宋体"/>
                <w:spacing w:val="-1"/>
                <w:sz w:val="21"/>
                <w:szCs w:val="21"/>
              </w:rPr>
              <w:t>含平台建设人工费、机械费、</w:t>
            </w:r>
            <w:r>
              <w:rPr>
                <w:rFonts w:hint="default" w:ascii="宋体" w:hAnsi="宋体" w:eastAsia="宋体" w:cs="宋体"/>
                <w:sz w:val="21"/>
                <w:szCs w:val="21"/>
              </w:rPr>
              <w:t xml:space="preserve"> 材料费及运输费等</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≤9.6</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公众安全感指数(%)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6、专项武装经费绩效目标表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0" w:lineRule="exact"/>
              <w:ind w:left="101" w:right="0"/>
              <w:jc w:val="left"/>
              <w:rPr>
                <w:rFonts w:hint="default" w:ascii="宋体" w:hAnsi="宋体" w:eastAsia="宋体" w:cs="宋体"/>
                <w:sz w:val="21"/>
                <w:szCs w:val="21"/>
              </w:rPr>
            </w:pPr>
            <w:r>
              <w:rPr>
                <w:rFonts w:hint="default" w:ascii="宋体" w:hAnsi="宋体" w:eastAsia="宋体" w:cs="宋体"/>
                <w:sz w:val="21"/>
                <w:szCs w:val="21"/>
              </w:rPr>
              <w:t>1.通过开展专项武装工作，强化基层武装力量建设，促进能力提升。</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2.通过基层武装能力提升，保障全县武装专项工作水平提升。</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7"/>
              <w:jc w:val="left"/>
              <w:rPr>
                <w:rFonts w:hint="default" w:ascii="宋体" w:hAnsi="宋体" w:eastAsia="宋体" w:cs="宋体"/>
                <w:sz w:val="21"/>
                <w:szCs w:val="21"/>
              </w:rPr>
            </w:pPr>
            <w:r>
              <w:rPr>
                <w:rFonts w:hint="default" w:ascii="宋体" w:hAnsi="宋体" w:eastAsia="宋体" w:cs="宋体"/>
                <w:sz w:val="21"/>
                <w:szCs w:val="21"/>
              </w:rPr>
              <w:t>下乡调研指导基层武装工作 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反映下乡开展调查、检查工 作的次数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开展武装专项工作宣传次数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反映开展宣传活动的次数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印发宣传单数量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反映开展宣传活动中需印刷 的宣传单数量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≥2000</w:t>
            </w:r>
            <w:r>
              <w:rPr>
                <w:rFonts w:hint="default" w:ascii="宋体" w:hAnsi="宋体" w:eastAsia="宋体" w:cs="宋体"/>
                <w:spacing w:val="-52"/>
                <w:sz w:val="21"/>
                <w:szCs w:val="21"/>
              </w:rPr>
              <w:t xml:space="preserve"> </w:t>
            </w:r>
            <w:r>
              <w:rPr>
                <w:rFonts w:hint="default" w:ascii="宋体" w:hAnsi="宋体" w:eastAsia="宋体" w:cs="宋体"/>
                <w:sz w:val="21"/>
                <w:szCs w:val="21"/>
              </w:rPr>
              <w:t>份</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9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宣传普及率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知晓专项武装工作居民占全 乡总人口的比率。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调查、检查覆盖率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向全乡开展宣传专项武装工 作的普及程度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开展宣传工作的时间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反映开展宣传活动的进度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年上半年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用车费用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用于下乡等使用车辆费用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用于日常办公所需费用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8"/>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宣传费用</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开展宣传活动所需费用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≤0.5</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8"/>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基层武装保障能力提升情况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通过开展武装专项促进基层 武装工作能力提升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效果明显</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群众满意度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7、山神庙和英武山村失地农民生活补助绩效目标表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5" w:type="dxa"/>
        <w:tblLayout w:type="fixed"/>
        <w:tblCellMar>
          <w:top w:w="0" w:type="dxa"/>
          <w:left w:w="0" w:type="dxa"/>
          <w:bottom w:w="0" w:type="dxa"/>
          <w:right w:w="0" w:type="dxa"/>
        </w:tblCellMar>
      </w:tblPr>
      <w:tblGrid>
        <w:gridCol w:w="1417"/>
        <w:gridCol w:w="2267"/>
        <w:gridCol w:w="2834"/>
        <w:gridCol w:w="2836"/>
        <w:gridCol w:w="2551"/>
        <w:gridCol w:w="2268"/>
      </w:tblGrid>
      <w:tr>
        <w:tblPrEx>
          <w:tblCellMar>
            <w:top w:w="0" w:type="dxa"/>
            <w:left w:w="0" w:type="dxa"/>
            <w:bottom w:w="0" w:type="dxa"/>
            <w:right w:w="0" w:type="dxa"/>
          </w:tblCellMar>
        </w:tblPrEx>
        <w:trPr>
          <w:trHeight w:val="9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1.足额及时下发失地补偿金，保障农户合理权益</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2.足额及时下发经济补偿金，保证农户正常生活水平。</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3.减少农户上访次数，保证社会稳定。</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3"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before="14" w:line="240" w:lineRule="auto"/>
              <w:ind w:right="0"/>
              <w:jc w:val="left"/>
              <w:rPr>
                <w:rFonts w:hint="default" w:ascii="方正仿宋繁体" w:hAnsi="方正仿宋繁体" w:eastAsia="方正仿宋繁体" w:cs="方正仿宋繁体"/>
                <w:sz w:val="16"/>
                <w:szCs w:val="16"/>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失地面积</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反映失地面积</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800</w:t>
            </w:r>
            <w:r>
              <w:rPr>
                <w:rFonts w:hint="default" w:ascii="宋体" w:hAnsi="宋体" w:eastAsia="宋体" w:cs="宋体"/>
                <w:spacing w:val="-52"/>
                <w:sz w:val="21"/>
                <w:szCs w:val="21"/>
              </w:rPr>
              <w:t xml:space="preserve"> </w:t>
            </w:r>
            <w:r>
              <w:rPr>
                <w:rFonts w:hint="default" w:ascii="宋体" w:hAnsi="宋体" w:eastAsia="宋体" w:cs="宋体"/>
                <w:sz w:val="21"/>
                <w:szCs w:val="21"/>
              </w:rPr>
              <w:t>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补偿农户数量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反映补偿农户数量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301</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发放范围覆盖率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反映发放补偿金额占应发放 金额的比例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发放金额的准确性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反映发放金额的准确性</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测量土地面积的准确性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反映测量占地面积的准确性</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发放完成时间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反映补偿款发放完成时间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月底之前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每人补偿金额</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反映每人补偿预算金额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160</w:t>
            </w:r>
            <w:r>
              <w:rPr>
                <w:rFonts w:hint="default" w:ascii="宋体" w:hAnsi="宋体" w:eastAsia="宋体" w:cs="宋体"/>
                <w:spacing w:val="-52"/>
                <w:sz w:val="21"/>
                <w:szCs w:val="21"/>
              </w:rPr>
              <w:t xml:space="preserve"> </w:t>
            </w:r>
            <w:r>
              <w:rPr>
                <w:rFonts w:hint="default" w:ascii="宋体" w:hAnsi="宋体" w:eastAsia="宋体" w:cs="宋体"/>
                <w:sz w:val="21"/>
                <w:szCs w:val="21"/>
              </w:rPr>
              <w:t>人/月</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减少农户上访次数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反映减少农户上访次数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历史数据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失地农户满意度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失地农户对补偿款发放工作 的满意度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历史经验</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8、党建工作经费绩效目标表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9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52" w:lineRule="auto"/>
              <w:ind w:left="101" w:right="100"/>
              <w:jc w:val="left"/>
              <w:rPr>
                <w:rFonts w:hint="default" w:ascii="宋体" w:hAnsi="宋体" w:eastAsia="宋体" w:cs="宋体"/>
                <w:sz w:val="21"/>
                <w:szCs w:val="21"/>
              </w:rPr>
            </w:pPr>
            <w:r>
              <w:rPr>
                <w:rFonts w:hint="default" w:ascii="宋体" w:hAnsi="宋体" w:eastAsia="宋体" w:cs="宋体"/>
                <w:spacing w:val="-2"/>
                <w:sz w:val="21"/>
                <w:szCs w:val="21"/>
              </w:rPr>
              <w:t>1.贯彻落实党的十九届四中全会精神，践行</w:t>
            </w:r>
            <w:r>
              <w:rPr>
                <w:rFonts w:hint="default" w:ascii="Times New Roman" w:hAnsi="Times New Roman" w:eastAsia="Times New Roman" w:cs="Times New Roman"/>
                <w:spacing w:val="-2"/>
                <w:sz w:val="24"/>
                <w:szCs w:val="24"/>
              </w:rPr>
              <w:t>“</w:t>
            </w:r>
            <w:r>
              <w:rPr>
                <w:rFonts w:hint="default" w:ascii="宋体" w:hAnsi="宋体" w:eastAsia="宋体" w:cs="宋体"/>
                <w:spacing w:val="-2"/>
                <w:sz w:val="21"/>
                <w:szCs w:val="21"/>
              </w:rPr>
              <w:t>不忘初心、牢记使命</w:t>
            </w:r>
            <w:r>
              <w:rPr>
                <w:rFonts w:hint="default" w:ascii="Times New Roman" w:hAnsi="Times New Roman" w:eastAsia="Times New Roman" w:cs="Times New Roman"/>
                <w:spacing w:val="-2"/>
                <w:sz w:val="24"/>
                <w:szCs w:val="24"/>
              </w:rPr>
              <w:t>”</w:t>
            </w:r>
            <w:r>
              <w:rPr>
                <w:rFonts w:hint="default" w:ascii="宋体" w:hAnsi="宋体" w:eastAsia="宋体" w:cs="宋体"/>
                <w:spacing w:val="-2"/>
                <w:sz w:val="21"/>
                <w:szCs w:val="21"/>
              </w:rPr>
              <w:t>宗旨，坚持党要管党、</w:t>
            </w:r>
            <w:r>
              <w:rPr>
                <w:rFonts w:hint="eastAsia" w:ascii="宋体" w:hAnsi="宋体" w:eastAsia="宋体" w:cs="宋体"/>
                <w:spacing w:val="-2"/>
                <w:sz w:val="21"/>
                <w:szCs w:val="21"/>
                <w:lang w:val="en-US" w:eastAsia="zh-CN"/>
              </w:rPr>
              <w:t>全面</w:t>
            </w:r>
            <w:r>
              <w:rPr>
                <w:rFonts w:hint="default" w:ascii="宋体" w:hAnsi="宋体" w:eastAsia="宋体" w:cs="宋体"/>
                <w:spacing w:val="-2"/>
                <w:sz w:val="21"/>
                <w:szCs w:val="21"/>
              </w:rPr>
              <w:t>从严治党，发扬党内民主，加强党内监督，充分</w:t>
            </w:r>
            <w:r>
              <w:rPr>
                <w:rFonts w:hint="default" w:ascii="宋体" w:hAnsi="宋体" w:eastAsia="宋体" w:cs="宋体"/>
                <w:sz w:val="21"/>
                <w:szCs w:val="21"/>
              </w:rPr>
              <w:t xml:space="preserve"> 发挥党的思想政治优势、组织优势和密切联系群众的优势。 2.发挥基层乡镇党组织的作用，把服务中心、建设队伍贯穿始终，全面做好我镇党委组织、宣传等工作，争创省级先进基层党委。</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9" w:line="240" w:lineRule="auto"/>
              <w:ind w:right="0"/>
              <w:jc w:val="left"/>
              <w:rPr>
                <w:rFonts w:hint="default" w:ascii="方正仿宋繁体" w:hAnsi="方正仿宋繁体" w:eastAsia="方正仿宋繁体" w:cs="方正仿宋繁体"/>
                <w:sz w:val="13"/>
                <w:szCs w:val="13"/>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组织宣传活动次数（次）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组织宣传活动次数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舆情信息数量（条）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收集、分析、上报舆情信息 的数量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5"/>
                <w:sz w:val="21"/>
                <w:szCs w:val="21"/>
              </w:rPr>
              <w:t xml:space="preserve"> </w:t>
            </w:r>
            <w:r>
              <w:rPr>
                <w:rFonts w:hint="default" w:ascii="宋体" w:hAnsi="宋体" w:eastAsia="宋体" w:cs="宋体"/>
                <w:sz w:val="21"/>
                <w:szCs w:val="21"/>
              </w:rPr>
              <w:t>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党报党刊征订</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党报党刊征订种类</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≥6</w:t>
            </w:r>
            <w:r>
              <w:rPr>
                <w:rFonts w:hint="default" w:ascii="宋体" w:hAnsi="宋体" w:eastAsia="宋体" w:cs="宋体"/>
                <w:spacing w:val="-52"/>
                <w:sz w:val="21"/>
                <w:szCs w:val="21"/>
              </w:rPr>
              <w:t xml:space="preserve"> </w:t>
            </w:r>
            <w:r>
              <w:rPr>
                <w:rFonts w:hint="default" w:ascii="宋体" w:hAnsi="宋体" w:eastAsia="宋体" w:cs="宋体"/>
                <w:sz w:val="21"/>
                <w:szCs w:val="21"/>
              </w:rPr>
              <w:t>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党员培训覆盖率（%）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培训对象数量占应覆盖对象 数量的比率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党建工作达标率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党建工作达到上级相关规范 及要求</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党建工作完成时效性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全年按计划完成各项工作</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11</w:t>
            </w:r>
            <w:r>
              <w:rPr>
                <w:rFonts w:hint="default" w:ascii="宋体" w:hAnsi="宋体" w:eastAsia="宋体" w:cs="宋体"/>
                <w:spacing w:val="-53"/>
                <w:sz w:val="21"/>
                <w:szCs w:val="21"/>
              </w:rPr>
              <w:t xml:space="preserve"> </w:t>
            </w:r>
            <w:r>
              <w:rPr>
                <w:rFonts w:hint="default" w:ascii="宋体" w:hAnsi="宋体" w:eastAsia="宋体" w:cs="宋体"/>
                <w:sz w:val="21"/>
                <w:szCs w:val="21"/>
              </w:rPr>
              <w:t>月底</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党建费用支出控制情况</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党建费用支出情况控制在年 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年度工作计划与预算</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提高党员业务能力</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3"/>
              <w:jc w:val="left"/>
              <w:rPr>
                <w:rFonts w:hint="default" w:ascii="宋体" w:hAnsi="宋体" w:eastAsia="宋体" w:cs="宋体"/>
                <w:sz w:val="21"/>
                <w:szCs w:val="21"/>
              </w:rPr>
            </w:pPr>
            <w:r>
              <w:rPr>
                <w:rFonts w:hint="default" w:ascii="宋体" w:hAnsi="宋体" w:eastAsia="宋体" w:cs="宋体"/>
                <w:sz w:val="21"/>
                <w:szCs w:val="21"/>
              </w:rPr>
              <w:t>提高党员业务能力,组织业 务培训次数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群众对全镇党建满意度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全镇群众对党建工作的满意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9、严重精神障碍患者监护人责任险绩效目标表</w:t>
      </w:r>
    </w:p>
    <w:p>
      <w:pPr>
        <w:spacing w:before="6"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9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61" w:lineRule="auto"/>
              <w:ind w:left="101" w:right="98"/>
              <w:jc w:val="left"/>
              <w:rPr>
                <w:rFonts w:hint="default" w:ascii="宋体" w:hAnsi="宋体" w:eastAsia="宋体" w:cs="宋体"/>
                <w:sz w:val="21"/>
                <w:szCs w:val="21"/>
              </w:rPr>
            </w:pPr>
            <w:r>
              <w:rPr>
                <w:rFonts w:hint="default" w:ascii="宋体" w:hAnsi="宋体" w:eastAsia="宋体" w:cs="宋体"/>
                <w:spacing w:val="-1"/>
                <w:sz w:val="21"/>
                <w:szCs w:val="21"/>
              </w:rPr>
              <w:t>1.做好严重精神障碍患者管控工作是防范公共安全风险人重要内容，为严重精神障碍患者监护人办理相关保险业，预防一旦发生严重精神</w:t>
            </w:r>
            <w:r>
              <w:rPr>
                <w:rFonts w:hint="default" w:ascii="宋体" w:hAnsi="宋体" w:eastAsia="宋体" w:cs="宋体"/>
                <w:sz w:val="21"/>
                <w:szCs w:val="21"/>
              </w:rPr>
              <w:t xml:space="preserve"> 障碍患者伤及人身、损坏财物事件发生。 2.通过政府出资投保的方式，通过保险理赔，减少监护人损失、增强监护人、当事人社会保障，从而化解事后风险。</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 w:line="240" w:lineRule="auto"/>
              <w:ind w:right="0"/>
              <w:jc w:val="left"/>
              <w:rPr>
                <w:rFonts w:hint="default" w:ascii="方正仿宋繁体" w:hAnsi="方正仿宋繁体" w:eastAsia="方正仿宋繁体" w:cs="方正仿宋繁体"/>
                <w:sz w:val="25"/>
                <w:szCs w:val="25"/>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严重精神障碍患者</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反映严重精神障碍患者人数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享受保险人数(人)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享受严重精神障碍患者监护 人责任险的人数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12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办结率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责任险报销事项实际在规定 时间内及时办结的件数占应 在规定时间内及时办结的件 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0"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参保率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已参保人数占应参保人数的 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审核准确率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责任险报销事项审核准确率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缴纳保险及时率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97"/>
              <w:jc w:val="center"/>
              <w:rPr>
                <w:rFonts w:hint="default" w:ascii="宋体" w:hAnsi="宋体" w:eastAsia="宋体" w:cs="宋体"/>
                <w:sz w:val="21"/>
                <w:szCs w:val="21"/>
              </w:rPr>
            </w:pPr>
            <w:r>
              <w:rPr>
                <w:rFonts w:hint="default" w:ascii="宋体" w:hAnsi="宋体" w:eastAsia="宋体" w:cs="宋体"/>
                <w:sz w:val="21"/>
                <w:szCs w:val="21"/>
              </w:rPr>
              <w:t>反映及时足额缴纳保险时间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w:t>
            </w:r>
            <w:r>
              <w:rPr>
                <w:rFonts w:hint="default" w:ascii="宋体" w:hAnsi="宋体" w:eastAsia="宋体" w:cs="宋体"/>
                <w:spacing w:val="-54"/>
                <w:sz w:val="21"/>
                <w:szCs w:val="21"/>
              </w:rPr>
              <w:t xml:space="preserve"> </w:t>
            </w:r>
            <w:r>
              <w:rPr>
                <w:rFonts w:hint="default" w:ascii="宋体" w:hAnsi="宋体" w:eastAsia="宋体" w:cs="宋体"/>
                <w:sz w:val="21"/>
                <w:szCs w:val="21"/>
              </w:rPr>
              <w:t>10</w:t>
            </w:r>
            <w:r>
              <w:rPr>
                <w:rFonts w:hint="default" w:ascii="宋体" w:hAnsi="宋体" w:eastAsia="宋体" w:cs="宋体"/>
                <w:spacing w:val="-54"/>
                <w:sz w:val="21"/>
                <w:szCs w:val="21"/>
              </w:rPr>
              <w:t xml:space="preserve"> </w:t>
            </w:r>
            <w:r>
              <w:rPr>
                <w:rFonts w:hint="default" w:ascii="宋体" w:hAnsi="宋体" w:eastAsia="宋体" w:cs="宋体"/>
                <w:sz w:val="21"/>
                <w:szCs w:val="21"/>
              </w:rPr>
              <w:t>月</w:t>
            </w:r>
            <w:r>
              <w:rPr>
                <w:rFonts w:hint="default" w:ascii="宋体" w:hAnsi="宋体" w:eastAsia="宋体" w:cs="宋体"/>
                <w:spacing w:val="-54"/>
                <w:sz w:val="21"/>
                <w:szCs w:val="21"/>
              </w:rPr>
              <w:t xml:space="preserve"> </w:t>
            </w:r>
            <w:r>
              <w:rPr>
                <w:rFonts w:hint="default" w:ascii="宋体" w:hAnsi="宋体" w:eastAsia="宋体" w:cs="宋体"/>
                <w:sz w:val="21"/>
                <w:szCs w:val="21"/>
              </w:rPr>
              <w:t>31</w:t>
            </w:r>
            <w:r>
              <w:rPr>
                <w:rFonts w:hint="default" w:ascii="宋体" w:hAnsi="宋体" w:eastAsia="宋体" w:cs="宋体"/>
                <w:spacing w:val="-53"/>
                <w:sz w:val="21"/>
                <w:szCs w:val="21"/>
              </w:rPr>
              <w:t xml:space="preserve"> </w:t>
            </w:r>
            <w:r>
              <w:rPr>
                <w:rFonts w:hint="default" w:ascii="宋体" w:hAnsi="宋体" w:eastAsia="宋体" w:cs="宋体"/>
                <w:sz w:val="21"/>
                <w:szCs w:val="21"/>
              </w:rPr>
              <w:t>日前</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9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给予严重精神障碍患者监护 人每人每年支付保险的费 用，每人每年</w:t>
            </w:r>
            <w:r>
              <w:rPr>
                <w:rFonts w:hint="default" w:ascii="宋体" w:hAnsi="宋体" w:eastAsia="宋体" w:cs="宋体"/>
                <w:spacing w:val="-53"/>
                <w:sz w:val="21"/>
                <w:szCs w:val="21"/>
              </w:rPr>
              <w:t xml:space="preserve"> </w:t>
            </w: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元</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9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提高监护人保障</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减少监护人损失、增强监护 人、当事人社会保障，从而 化解事后风险</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126</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0"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被保险人满意度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被保险监护人对保险服务的 满意程度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调查问卷</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10、消防经费绩效目标表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0" w:lineRule="exact"/>
              <w:ind w:left="101" w:right="0"/>
              <w:jc w:val="left"/>
              <w:rPr>
                <w:rFonts w:hint="default" w:ascii="宋体" w:hAnsi="宋体" w:eastAsia="宋体" w:cs="宋体"/>
                <w:sz w:val="21"/>
                <w:szCs w:val="21"/>
              </w:rPr>
            </w:pPr>
            <w:r>
              <w:rPr>
                <w:rFonts w:hint="default" w:ascii="宋体" w:hAnsi="宋体" w:eastAsia="宋体" w:cs="宋体"/>
                <w:sz w:val="21"/>
                <w:szCs w:val="21"/>
              </w:rPr>
              <w:t>1.达到全国重点镇建立一级消防站标准。</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2.配备消防物资、设备、车辆及后勤经费，保证完成上级交给的消防任务。</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3"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3" w:line="240" w:lineRule="auto"/>
              <w:ind w:right="0"/>
              <w:jc w:val="left"/>
              <w:rPr>
                <w:rFonts w:hint="default" w:ascii="方正仿宋繁体" w:hAnsi="方正仿宋繁体" w:eastAsia="方正仿宋繁体" w:cs="方正仿宋繁体"/>
                <w:sz w:val="27"/>
                <w:szCs w:val="27"/>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伙食补助人数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反映伙食补助人数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消防车数量</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反映消防车数量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辆</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购买消防物资质量合格率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反映消防物资质量合格率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车辆性能合格率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反映消防车性能合格率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ascii="宋体"/>
                <w:sz w:val="21"/>
              </w:rPr>
              <w:t>100%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支付周期</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反映伙食补助、电费支付周 期</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月一次，12</w:t>
            </w:r>
            <w:r>
              <w:rPr>
                <w:rFonts w:hint="default" w:ascii="宋体" w:hAnsi="宋体" w:eastAsia="宋体" w:cs="宋体"/>
                <w:spacing w:val="-52"/>
                <w:sz w:val="21"/>
                <w:szCs w:val="21"/>
              </w:rPr>
              <w:t xml:space="preserve"> </w:t>
            </w:r>
            <w:r>
              <w:rPr>
                <w:rFonts w:hint="default" w:ascii="宋体" w:hAnsi="宋体" w:eastAsia="宋体" w:cs="宋体"/>
                <w:sz w:val="21"/>
                <w:szCs w:val="21"/>
              </w:rPr>
              <w:t>次/年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车修理费</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反映车修理费预算金额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≤3.9</w:t>
            </w:r>
            <w:r>
              <w:rPr>
                <w:rFonts w:hint="default" w:ascii="宋体" w:hAnsi="宋体" w:eastAsia="宋体" w:cs="宋体"/>
                <w:spacing w:val="-57"/>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每月电费金额</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反映每月电费预算金额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≤1000</w:t>
            </w:r>
            <w:r>
              <w:rPr>
                <w:rFonts w:hint="default" w:ascii="宋体" w:hAnsi="宋体" w:eastAsia="宋体" w:cs="宋体"/>
                <w:spacing w:val="-52"/>
                <w:sz w:val="21"/>
                <w:szCs w:val="21"/>
              </w:rPr>
              <w:t xml:space="preserve"> </w:t>
            </w:r>
            <w:r>
              <w:rPr>
                <w:rFonts w:hint="default" w:ascii="宋体" w:hAnsi="宋体" w:eastAsia="宋体" w:cs="宋体"/>
                <w:sz w:val="21"/>
                <w:szCs w:val="21"/>
              </w:rPr>
              <w:t>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伙食补助标准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反映伙食补助标准</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15</w:t>
            </w:r>
            <w:r>
              <w:rPr>
                <w:rFonts w:hint="default" w:ascii="宋体" w:hAnsi="宋体" w:eastAsia="宋体" w:cs="宋体"/>
                <w:spacing w:val="-54"/>
                <w:sz w:val="21"/>
                <w:szCs w:val="21"/>
              </w:rPr>
              <w:t xml:space="preserve"> </w:t>
            </w:r>
            <w:r>
              <w:rPr>
                <w:rFonts w:hint="default" w:ascii="宋体" w:hAnsi="宋体" w:eastAsia="宋体" w:cs="宋体"/>
                <w:sz w:val="21"/>
                <w:szCs w:val="21"/>
              </w:rPr>
              <w:t>元/人/天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年初工作计划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减少经济损失</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反映快速出警，减少经济损 失金额</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≥55</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历史数据</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受灾群众满意度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受灾群众对消防工作的满意 度</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历史经验</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0" w:line="240" w:lineRule="auto"/>
        <w:ind w:right="0"/>
        <w:rPr>
          <w:rFonts w:hint="default" w:ascii="方正仿宋繁体" w:hAnsi="方正仿宋繁体" w:eastAsia="方正仿宋繁体" w:cs="方正仿宋繁体"/>
          <w:sz w:val="23"/>
          <w:szCs w:val="23"/>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11、燃煤锅炉改造及清洁能源补贴绩效目标表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1.确保机关正常办公，为机关工作人员和群众提供良好的工作办事环境。</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2.改变取暖方式，加大大气治理力度，提升大气质量。</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8" w:line="240" w:lineRule="auto"/>
              <w:ind w:right="0"/>
              <w:jc w:val="left"/>
              <w:rPr>
                <w:rFonts w:hint="default" w:ascii="方正仿宋繁体" w:hAnsi="方正仿宋繁体" w:eastAsia="方正仿宋繁体" w:cs="方正仿宋繁体"/>
                <w:sz w:val="26"/>
                <w:szCs w:val="26"/>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细颗粒物排放削减率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当年实际细颗粒物排放削减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≥8</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冬季采暖保障面积</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用于冬季采暖的办公场所面 积数量</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≥4200</w:t>
            </w:r>
            <w:r>
              <w:rPr>
                <w:rFonts w:hint="default" w:ascii="宋体" w:hAnsi="宋体" w:eastAsia="宋体" w:cs="宋体"/>
                <w:spacing w:val="-54"/>
                <w:sz w:val="21"/>
                <w:szCs w:val="21"/>
              </w:rPr>
              <w:t xml:space="preserve"> </w:t>
            </w:r>
            <w:r>
              <w:rPr>
                <w:rFonts w:hint="default" w:ascii="宋体" w:hAnsi="宋体" w:eastAsia="宋体" w:cs="宋体"/>
                <w:sz w:val="21"/>
                <w:szCs w:val="21"/>
              </w:rPr>
              <w:t>平方米</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二氧化硫削排放减率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当年实际二氧化硫排放削减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资金支付时效性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燃煤锅炉改造及清洁能源补 贴在采暖期内及时拨付</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年取暖期</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采暖费用支出</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办公场所采购费用支出</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≤40</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71"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全年空气优良天数增长率</w:t>
            </w:r>
          </w:p>
          <w:p>
            <w:pPr>
              <w:pStyle w:val="13"/>
              <w:spacing w:before="25"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全年空气优良天数同比增长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二氧化硫排放削减率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反映当年实际二氧化硫排放 削减率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70" w:lineRule="exact"/>
              <w:ind w:left="100" w:right="0"/>
              <w:jc w:val="left"/>
              <w:rPr>
                <w:rFonts w:hint="default" w:ascii="宋体" w:hAnsi="宋体" w:eastAsia="宋体" w:cs="宋体"/>
                <w:sz w:val="21"/>
                <w:szCs w:val="21"/>
              </w:rPr>
            </w:pPr>
            <w:r>
              <w:rPr>
                <w:rFonts w:hint="default" w:ascii="宋体" w:hAnsi="宋体" w:eastAsia="宋体" w:cs="宋体"/>
                <w:sz w:val="21"/>
                <w:szCs w:val="21"/>
              </w:rPr>
              <w:t>全年空气优良天数增长率</w:t>
            </w:r>
          </w:p>
          <w:p>
            <w:pPr>
              <w:pStyle w:val="13"/>
              <w:spacing w:before="25"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全年空气优良天数同比增长 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≥50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公众满意度（%）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调查中满意和较满意的公众 人数占全部调查人数的比率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36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12、矽肺病人员生活困难补助绩效目标表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105" w:type="dxa"/>
        <w:tblLayout w:type="fixed"/>
        <w:tblCellMar>
          <w:top w:w="0" w:type="dxa"/>
          <w:left w:w="0" w:type="dxa"/>
          <w:bottom w:w="0" w:type="dxa"/>
          <w:right w:w="0" w:type="dxa"/>
        </w:tblCellMar>
      </w:tblPr>
      <w:tblGrid>
        <w:gridCol w:w="1417"/>
        <w:gridCol w:w="2267"/>
        <w:gridCol w:w="2834"/>
        <w:gridCol w:w="2836"/>
        <w:gridCol w:w="2551"/>
        <w:gridCol w:w="2268"/>
      </w:tblGrid>
      <w:tr>
        <w:tblPrEx>
          <w:tblCellMar>
            <w:top w:w="0" w:type="dxa"/>
            <w:left w:w="0" w:type="dxa"/>
            <w:bottom w:w="0" w:type="dxa"/>
            <w:right w:w="0" w:type="dxa"/>
          </w:tblCellMar>
        </w:tblPrEx>
        <w:trPr>
          <w:trHeight w:val="630"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2"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1.按照县工信局文件精神，确保矽肺病人补助资金及时足额拨付到位，维护社会稳定。</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2.通过对矽肺病人员救助赔偿金的及时足额发放，消除信访隐患。</w:t>
            </w:r>
          </w:p>
        </w:tc>
      </w:tr>
      <w:tr>
        <w:tblPrEx>
          <w:tblCellMar>
            <w:top w:w="0" w:type="dxa"/>
            <w:left w:w="0" w:type="dxa"/>
            <w:bottom w:w="0" w:type="dxa"/>
            <w:right w:w="0" w:type="dxa"/>
          </w:tblCellMar>
        </w:tblPrEx>
        <w:trPr>
          <w:trHeight w:val="412"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3"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bl>
    <w:p>
      <w:pPr>
        <w:spacing w:after="0" w:line="240" w:lineRule="auto"/>
        <w:jc w:val="left"/>
        <w:rPr>
          <w:rFonts w:hint="default" w:ascii="宋体" w:hAnsi="宋体" w:eastAsia="宋体" w:cs="宋体"/>
          <w:sz w:val="21"/>
          <w:szCs w:val="21"/>
        </w:rPr>
        <w:sectPr>
          <w:pgSz w:w="16840" w:h="11910" w:orient="landscape"/>
          <w:pgMar w:top="1100" w:right="920" w:bottom="1160" w:left="122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778"/>
              <w:jc w:val="right"/>
              <w:rPr>
                <w:rFonts w:hint="default" w:ascii="宋体" w:hAnsi="宋体" w:eastAsia="宋体" w:cs="宋体"/>
                <w:sz w:val="21"/>
                <w:szCs w:val="21"/>
              </w:rPr>
            </w:pPr>
            <w:r>
              <w:rPr>
                <w:rFonts w:hint="default" w:ascii="宋体" w:hAnsi="宋体" w:eastAsia="宋体" w:cs="宋体"/>
                <w:b/>
                <w:bCs/>
                <w:w w:val="95"/>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4" w:line="240" w:lineRule="auto"/>
              <w:ind w:right="0"/>
              <w:jc w:val="left"/>
              <w:rPr>
                <w:rFonts w:hint="default" w:ascii="方正仿宋繁体" w:hAnsi="方正仿宋繁体" w:eastAsia="方正仿宋繁体" w:cs="方正仿宋繁体"/>
                <w:sz w:val="28"/>
                <w:szCs w:val="28"/>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补助人数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已认定伤残等级待遇矽肺病 人数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人</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核实次数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已认定伤残等级待遇矽肺病 人数核实次数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次/年</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资金待遇按时足额发放人数 占应发放人数的比率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补助发放精准率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补助发放合规人数占发放总 人数的比例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资金发放时间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收到专项资金后拨付到救助 对象手中的时效</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30</w:t>
            </w:r>
            <w:r>
              <w:rPr>
                <w:rFonts w:hint="default" w:ascii="宋体" w:hAnsi="宋体" w:eastAsia="宋体" w:cs="宋体"/>
                <w:spacing w:val="-52"/>
                <w:sz w:val="21"/>
                <w:szCs w:val="21"/>
              </w:rPr>
              <w:t xml:space="preserve"> </w:t>
            </w:r>
            <w:r>
              <w:rPr>
                <w:rFonts w:hint="default" w:ascii="宋体" w:hAnsi="宋体" w:eastAsia="宋体" w:cs="宋体"/>
                <w:sz w:val="21"/>
                <w:szCs w:val="21"/>
              </w:rPr>
              <w:t>天</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5"/>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补助发放及时性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827"/>
              <w:jc w:val="right"/>
              <w:rPr>
                <w:rFonts w:hint="default" w:ascii="宋体" w:hAnsi="宋体" w:eastAsia="宋体" w:cs="宋体"/>
                <w:sz w:val="21"/>
                <w:szCs w:val="21"/>
              </w:rPr>
            </w:pPr>
            <w:r>
              <w:rPr>
                <w:rFonts w:hint="default" w:ascii="宋体" w:hAnsi="宋体" w:eastAsia="宋体" w:cs="宋体"/>
                <w:sz w:val="21"/>
                <w:szCs w:val="21"/>
              </w:rPr>
              <w:t>补助发放的时效情况</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按规定时间发放</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每人发放标准</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支付已认定伤残等级待遇矽 肺病的人均每月费用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≤360</w:t>
            </w:r>
            <w:r>
              <w:rPr>
                <w:rFonts w:hint="default" w:ascii="宋体" w:hAnsi="宋体" w:eastAsia="宋体" w:cs="宋体"/>
                <w:spacing w:val="-55"/>
                <w:sz w:val="21"/>
                <w:szCs w:val="21"/>
              </w:rPr>
              <w:t xml:space="preserve"> </w:t>
            </w:r>
            <w:r>
              <w:rPr>
                <w:rFonts w:hint="default" w:ascii="宋体" w:hAnsi="宋体" w:eastAsia="宋体" w:cs="宋体"/>
                <w:sz w:val="21"/>
                <w:szCs w:val="21"/>
              </w:rPr>
              <w:t>元/人/月</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614"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1"/>
              <w:jc w:val="center"/>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生活质量提升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304"/>
              <w:jc w:val="left"/>
              <w:rPr>
                <w:rFonts w:hint="default" w:ascii="宋体" w:hAnsi="宋体" w:eastAsia="宋体" w:cs="宋体"/>
                <w:sz w:val="21"/>
                <w:szCs w:val="21"/>
              </w:rPr>
            </w:pPr>
            <w:r>
              <w:rPr>
                <w:rFonts w:hint="default" w:ascii="宋体" w:hAnsi="宋体" w:eastAsia="宋体" w:cs="宋体"/>
                <w:sz w:val="21"/>
                <w:szCs w:val="21"/>
              </w:rPr>
              <w:t>"保障并提升矽肺病人家庭 生活水平</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逐步提升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r>
        <w:tblPrEx>
          <w:tblCellMar>
            <w:top w:w="0" w:type="dxa"/>
            <w:left w:w="0" w:type="dxa"/>
            <w:bottom w:w="0" w:type="dxa"/>
            <w:right w:w="0" w:type="dxa"/>
          </w:tblCellMar>
        </w:tblPrEx>
        <w:trPr>
          <w:trHeight w:val="9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救助对象满意度（%）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both"/>
              <w:rPr>
                <w:rFonts w:hint="default" w:ascii="宋体" w:hAnsi="宋体" w:eastAsia="宋体" w:cs="宋体"/>
                <w:sz w:val="21"/>
                <w:szCs w:val="21"/>
              </w:rPr>
            </w:pPr>
            <w:r>
              <w:rPr>
                <w:rFonts w:hint="default" w:ascii="宋体" w:hAnsi="宋体" w:eastAsia="宋体" w:cs="宋体"/>
                <w:sz w:val="21"/>
                <w:szCs w:val="21"/>
              </w:rPr>
              <w:t>问卷调查中，满意和较满意 的救助对象数量占调研对象 总数的比率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 w:line="240" w:lineRule="auto"/>
              <w:ind w:right="0"/>
              <w:jc w:val="left"/>
              <w:rPr>
                <w:rFonts w:hint="default" w:ascii="方正仿宋繁体" w:hAnsi="方正仿宋繁体" w:eastAsia="方正仿宋繁体" w:cs="方正仿宋繁体"/>
                <w:sz w:val="20"/>
                <w:szCs w:val="20"/>
              </w:rPr>
            </w:pPr>
          </w:p>
          <w:p>
            <w:pPr>
              <w:pStyle w:val="13"/>
              <w:spacing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工作计划</w:t>
            </w:r>
          </w:p>
        </w:tc>
      </w:tr>
    </w:tbl>
    <w:p>
      <w:pPr>
        <w:spacing w:before="15" w:line="240" w:lineRule="auto"/>
        <w:ind w:right="0"/>
        <w:rPr>
          <w:rFonts w:hint="default" w:ascii="方正仿宋繁体" w:hAnsi="方正仿宋繁体" w:eastAsia="方正仿宋繁体" w:cs="方正仿宋繁体"/>
          <w:sz w:val="25"/>
          <w:szCs w:val="25"/>
        </w:rPr>
      </w:pPr>
    </w:p>
    <w:p>
      <w:pPr>
        <w:pStyle w:val="6"/>
        <w:spacing w:line="387" w:lineRule="exact"/>
        <w:ind w:left="681" w:right="0"/>
        <w:jc w:val="left"/>
        <w:rPr>
          <w:rFonts w:hint="default" w:ascii="方正仿宋繁体" w:hAnsi="方正仿宋繁体" w:eastAsia="方正仿宋繁体" w:cs="方正仿宋繁体"/>
        </w:rPr>
      </w:pPr>
      <w:r>
        <w:rPr>
          <w:rFonts w:hint="default" w:ascii="方正仿宋繁体" w:hAnsi="方正仿宋繁体" w:eastAsia="方正仿宋繁体" w:cs="方正仿宋繁体"/>
        </w:rPr>
        <w:t>13、防火防汛工作经费绩效目标表</w:t>
      </w:r>
    </w:p>
    <w:p>
      <w:pPr>
        <w:spacing w:before="7" w:line="240" w:lineRule="auto"/>
        <w:ind w:right="0"/>
        <w:rPr>
          <w:rFonts w:hint="default" w:ascii="方正仿宋繁体" w:hAnsi="方正仿宋繁体" w:eastAsia="方正仿宋繁体" w:cs="方正仿宋繁体"/>
          <w:sz w:val="10"/>
          <w:szCs w:val="10"/>
        </w:rPr>
      </w:pPr>
    </w:p>
    <w:tbl>
      <w:tblPr>
        <w:tblStyle w:val="9"/>
        <w:tblW w:w="0" w:type="auto"/>
        <w:tblInd w:w="42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629"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3" w:right="0"/>
              <w:jc w:val="center"/>
              <w:rPr>
                <w:rFonts w:hint="default" w:ascii="宋体" w:hAnsi="宋体" w:eastAsia="宋体" w:cs="宋体"/>
                <w:sz w:val="21"/>
                <w:szCs w:val="21"/>
              </w:rPr>
            </w:pPr>
            <w:r>
              <w:rPr>
                <w:rFonts w:hint="default" w:ascii="宋体" w:hAnsi="宋体" w:eastAsia="宋体" w:cs="宋体"/>
                <w:b/>
                <w:bCs/>
                <w:sz w:val="21"/>
                <w:szCs w:val="21"/>
              </w:rPr>
              <w:t>绩效目标</w:t>
            </w:r>
          </w:p>
        </w:tc>
        <w:tc>
          <w:tcPr>
            <w:tcW w:w="12757" w:type="dxa"/>
            <w:gridSpan w:val="5"/>
            <w:tcBorders>
              <w:top w:val="single" w:color="000000" w:sz="6" w:space="0"/>
              <w:left w:val="single" w:color="000000" w:sz="6" w:space="0"/>
              <w:bottom w:val="single" w:color="000000" w:sz="6" w:space="0"/>
              <w:right w:val="single" w:color="000000" w:sz="6" w:space="0"/>
            </w:tcBorders>
          </w:tcPr>
          <w:p>
            <w:pPr>
              <w:pStyle w:val="13"/>
              <w:spacing w:line="271" w:lineRule="exact"/>
              <w:ind w:left="101" w:right="0"/>
              <w:jc w:val="left"/>
              <w:rPr>
                <w:rFonts w:hint="default" w:ascii="宋体" w:hAnsi="宋体" w:eastAsia="宋体" w:cs="宋体"/>
                <w:sz w:val="21"/>
                <w:szCs w:val="21"/>
              </w:rPr>
            </w:pPr>
            <w:r>
              <w:rPr>
                <w:rFonts w:hint="default" w:ascii="宋体" w:hAnsi="宋体" w:eastAsia="宋体" w:cs="宋体"/>
                <w:sz w:val="21"/>
                <w:szCs w:val="21"/>
              </w:rPr>
              <w:t>1.在森林防火期内，扎实开展防火日常工作，广泛宣传，全天候巡查，加强防火扑救物资的储备，有效防范和遏制森林火灾的发生。</w:t>
            </w:r>
          </w:p>
          <w:p>
            <w:pPr>
              <w:pStyle w:val="13"/>
              <w:spacing w:before="25"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2.在汛期，确保辖区内河道行洪通畅，备齐各类防汛抢险物资，组织开展汛前汛期汛后安全检查，及时消除防汛安全隐患。</w:t>
            </w:r>
          </w:p>
        </w:tc>
      </w:tr>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pPr>
              <w:pStyle w:val="13"/>
              <w:spacing w:before="13" w:line="240" w:lineRule="auto"/>
              <w:ind w:right="0"/>
              <w:jc w:val="left"/>
              <w:rPr>
                <w:rFonts w:hint="default" w:ascii="方正仿宋繁体" w:hAnsi="方正仿宋繁体" w:eastAsia="方正仿宋繁体" w:cs="方正仿宋繁体"/>
                <w:sz w:val="23"/>
                <w:szCs w:val="23"/>
              </w:rPr>
            </w:pPr>
          </w:p>
          <w:p>
            <w:pPr>
              <w:pStyle w:val="13"/>
              <w:spacing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产出指标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数量指标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日常巡查次数(次)</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当年实际日常巡查次数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≥200</w:t>
            </w:r>
            <w:r>
              <w:rPr>
                <w:rFonts w:hint="default" w:ascii="宋体" w:hAnsi="宋体" w:eastAsia="宋体" w:cs="宋体"/>
                <w:spacing w:val="-55"/>
                <w:sz w:val="21"/>
                <w:szCs w:val="21"/>
              </w:rPr>
              <w:t xml:space="preserve"> </w:t>
            </w:r>
            <w:r>
              <w:rPr>
                <w:rFonts w:hint="default" w:ascii="宋体" w:hAnsi="宋体" w:eastAsia="宋体" w:cs="宋体"/>
                <w:sz w:val="21"/>
                <w:szCs w:val="21"/>
              </w:rPr>
              <w:t>次</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防灾巡查制度</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宣传条幅合格率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防火期及汛期宣传条幅制做 合格率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防灾巡查制度</w:t>
            </w:r>
          </w:p>
        </w:tc>
      </w:tr>
    </w:tbl>
    <w:p>
      <w:pPr>
        <w:spacing w:after="0" w:line="240" w:lineRule="auto"/>
        <w:jc w:val="left"/>
        <w:rPr>
          <w:rFonts w:hint="default" w:ascii="宋体" w:hAnsi="宋体" w:eastAsia="宋体" w:cs="宋体"/>
          <w:sz w:val="21"/>
          <w:szCs w:val="21"/>
        </w:rPr>
        <w:sectPr>
          <w:pgSz w:w="16840" w:h="11910" w:orient="landscape"/>
          <w:pgMar w:top="1100" w:right="1200" w:bottom="1160" w:left="900" w:header="0" w:footer="977" w:gutter="0"/>
          <w:cols w:space="720" w:num="1"/>
        </w:sectPr>
      </w:pPr>
    </w:p>
    <w:p>
      <w:pPr>
        <w:spacing w:before="6" w:after="0" w:line="240" w:lineRule="auto"/>
        <w:ind w:right="0"/>
        <w:rPr>
          <w:rFonts w:hint="default" w:ascii="方正仿宋繁体" w:hAnsi="方正仿宋繁体" w:eastAsia="方正仿宋繁体" w:cs="方正仿宋繁体"/>
          <w:sz w:val="17"/>
          <w:szCs w:val="17"/>
        </w:rPr>
      </w:pPr>
    </w:p>
    <w:tbl>
      <w:tblPr>
        <w:tblStyle w:val="9"/>
        <w:tblW w:w="0" w:type="auto"/>
        <w:tblInd w:w="784" w:type="dxa"/>
        <w:tblLayout w:type="fixed"/>
        <w:tblCellMar>
          <w:top w:w="0" w:type="dxa"/>
          <w:left w:w="0" w:type="dxa"/>
          <w:bottom w:w="0" w:type="dxa"/>
          <w:right w:w="0" w:type="dxa"/>
        </w:tblCellMar>
      </w:tblPr>
      <w:tblGrid>
        <w:gridCol w:w="1417"/>
        <w:gridCol w:w="2268"/>
        <w:gridCol w:w="2834"/>
        <w:gridCol w:w="2836"/>
        <w:gridCol w:w="2551"/>
        <w:gridCol w:w="2268"/>
      </w:tblGrid>
      <w:tr>
        <w:tblPrEx>
          <w:tblCellMar>
            <w:top w:w="0" w:type="dxa"/>
            <w:left w:w="0" w:type="dxa"/>
            <w:bottom w:w="0" w:type="dxa"/>
            <w:right w:w="0" w:type="dxa"/>
          </w:tblCellMar>
        </w:tblPrEx>
        <w:trPr>
          <w:trHeight w:val="413"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 w:right="0"/>
              <w:jc w:val="center"/>
              <w:rPr>
                <w:rFonts w:hint="default" w:ascii="宋体" w:hAnsi="宋体" w:eastAsia="宋体" w:cs="宋体"/>
                <w:sz w:val="21"/>
                <w:szCs w:val="21"/>
              </w:rPr>
            </w:pPr>
            <w:r>
              <w:rPr>
                <w:rFonts w:hint="default" w:ascii="宋体" w:hAnsi="宋体" w:eastAsia="宋体" w:cs="宋体"/>
                <w:b/>
                <w:bCs/>
                <w:sz w:val="21"/>
                <w:szCs w:val="21"/>
              </w:rPr>
              <w:t>一级指标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04" w:right="0"/>
              <w:jc w:val="left"/>
              <w:rPr>
                <w:rFonts w:hint="default" w:ascii="宋体" w:hAnsi="宋体" w:eastAsia="宋体" w:cs="宋体"/>
                <w:sz w:val="21"/>
                <w:szCs w:val="21"/>
              </w:rPr>
            </w:pPr>
            <w:r>
              <w:rPr>
                <w:rFonts w:hint="default" w:ascii="宋体" w:hAnsi="宋体" w:eastAsia="宋体" w:cs="宋体"/>
                <w:b/>
                <w:bCs/>
                <w:sz w:val="21"/>
                <w:szCs w:val="21"/>
              </w:rPr>
              <w:t>二级指标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三级指标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777" w:right="0"/>
              <w:jc w:val="left"/>
              <w:rPr>
                <w:rFonts w:hint="default" w:ascii="宋体" w:hAnsi="宋体" w:eastAsia="宋体" w:cs="宋体"/>
                <w:sz w:val="21"/>
                <w:szCs w:val="21"/>
              </w:rPr>
            </w:pPr>
            <w:r>
              <w:rPr>
                <w:rFonts w:hint="default" w:ascii="宋体" w:hAnsi="宋体" w:eastAsia="宋体" w:cs="宋体"/>
                <w:b/>
                <w:bCs/>
                <w:sz w:val="21"/>
                <w:szCs w:val="21"/>
              </w:rPr>
              <w:t>绩效指标描述</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right="0"/>
              <w:jc w:val="center"/>
              <w:rPr>
                <w:rFonts w:hint="default" w:ascii="宋体" w:hAnsi="宋体" w:eastAsia="宋体" w:cs="宋体"/>
                <w:sz w:val="21"/>
                <w:szCs w:val="21"/>
              </w:rPr>
            </w:pPr>
            <w:r>
              <w:rPr>
                <w:rFonts w:hint="default" w:ascii="宋体" w:hAnsi="宋体" w:eastAsia="宋体" w:cs="宋体"/>
                <w:b/>
                <w:bCs/>
                <w:sz w:val="21"/>
                <w:szCs w:val="21"/>
              </w:rPr>
              <w:t>指标值</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388" w:right="0"/>
              <w:jc w:val="left"/>
              <w:rPr>
                <w:rFonts w:hint="default" w:ascii="宋体" w:hAnsi="宋体" w:eastAsia="宋体" w:cs="宋体"/>
                <w:sz w:val="21"/>
                <w:szCs w:val="21"/>
              </w:rPr>
            </w:pPr>
            <w:r>
              <w:rPr>
                <w:rFonts w:hint="default" w:ascii="宋体" w:hAnsi="宋体" w:eastAsia="宋体" w:cs="宋体"/>
                <w:b/>
                <w:bCs/>
                <w:sz w:val="21"/>
                <w:szCs w:val="21"/>
              </w:rPr>
              <w:t>指标值确定依据</w:t>
            </w:r>
          </w:p>
        </w:tc>
      </w:tr>
      <w:tr>
        <w:tblPrEx>
          <w:tblCellMar>
            <w:top w:w="0" w:type="dxa"/>
            <w:left w:w="0" w:type="dxa"/>
            <w:bottom w:w="0" w:type="dxa"/>
            <w:right w:w="0" w:type="dxa"/>
          </w:tblCellMar>
        </w:tblPrEx>
        <w:trPr>
          <w:trHeight w:val="412" w:hRule="exact"/>
        </w:trPr>
        <w:tc>
          <w:tcPr>
            <w:tcW w:w="1417" w:type="dxa"/>
            <w:vMerge w:val="restart"/>
            <w:tcBorders>
              <w:top w:val="single" w:color="000000" w:sz="6" w:space="0"/>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质量指标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确保河道通畅</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反映汛期河道通畅率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100</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森林防火条例</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巡查完成时间</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反映防火防汛完成时间</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1" w:right="0"/>
              <w:jc w:val="left"/>
              <w:rPr>
                <w:rFonts w:hint="default" w:ascii="宋体" w:hAnsi="宋体" w:eastAsia="宋体" w:cs="宋体"/>
                <w:sz w:val="21"/>
                <w:szCs w:val="21"/>
              </w:rPr>
            </w:pPr>
            <w:r>
              <w:rPr>
                <w:rFonts w:hint="default" w:ascii="宋体" w:hAnsi="宋体" w:eastAsia="宋体" w:cs="宋体"/>
                <w:sz w:val="21"/>
                <w:szCs w:val="21"/>
              </w:rPr>
              <w:t>2021</w:t>
            </w:r>
            <w:r>
              <w:rPr>
                <w:rFonts w:hint="default" w:ascii="宋体" w:hAnsi="宋体" w:eastAsia="宋体" w:cs="宋体"/>
                <w:spacing w:val="-54"/>
                <w:sz w:val="21"/>
                <w:szCs w:val="21"/>
              </w:rPr>
              <w:t xml:space="preserve"> </w:t>
            </w:r>
            <w:r>
              <w:rPr>
                <w:rFonts w:hint="default" w:ascii="宋体" w:hAnsi="宋体" w:eastAsia="宋体" w:cs="宋体"/>
                <w:sz w:val="21"/>
                <w:szCs w:val="21"/>
              </w:rPr>
              <w:t>年全年持续</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3" w:hRule="exact"/>
        </w:trPr>
        <w:tc>
          <w:tcPr>
            <w:tcW w:w="1417" w:type="dxa"/>
            <w:vMerge w:val="continue"/>
            <w:tcBorders>
              <w:left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时效指标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支出控制数</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总体控制在年度预算额度内</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≤2</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412"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成本指标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宣传标语、条幅等</w:t>
            </w:r>
          </w:p>
        </w:tc>
        <w:tc>
          <w:tcPr>
            <w:tcW w:w="2836"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宣传标语、条幅等费用</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≤1</w:t>
            </w:r>
            <w:r>
              <w:rPr>
                <w:rFonts w:hint="default" w:ascii="宋体" w:hAnsi="宋体" w:eastAsia="宋体" w:cs="宋体"/>
                <w:spacing w:val="-52"/>
                <w:sz w:val="21"/>
                <w:szCs w:val="21"/>
              </w:rPr>
              <w:t xml:space="preserve"> </w:t>
            </w:r>
            <w:r>
              <w:rPr>
                <w:rFonts w:hint="default" w:ascii="宋体" w:hAnsi="宋体" w:eastAsia="宋体" w:cs="宋体"/>
                <w:sz w:val="21"/>
                <w:szCs w:val="21"/>
              </w:rPr>
              <w:t>万元</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42"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4" w:hRule="exact"/>
        </w:trPr>
        <w:tc>
          <w:tcPr>
            <w:tcW w:w="141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仿宋繁体" w:hAnsi="方正仿宋繁体" w:eastAsia="方正仿宋繁体" w:cs="方正仿宋繁体"/>
                <w:sz w:val="20"/>
                <w:szCs w:val="20"/>
              </w:rPr>
            </w:pPr>
          </w:p>
          <w:p>
            <w:pPr>
              <w:pStyle w:val="13"/>
              <w:spacing w:before="158" w:line="240" w:lineRule="auto"/>
              <w:ind w:left="280" w:right="0"/>
              <w:jc w:val="left"/>
              <w:rPr>
                <w:rFonts w:hint="default" w:ascii="宋体" w:hAnsi="宋体" w:eastAsia="宋体" w:cs="宋体"/>
                <w:sz w:val="21"/>
                <w:szCs w:val="21"/>
              </w:rPr>
            </w:pPr>
            <w:r>
              <w:rPr>
                <w:rFonts w:hint="default" w:ascii="宋体" w:hAnsi="宋体" w:eastAsia="宋体" w:cs="宋体"/>
                <w:sz w:val="21"/>
                <w:szCs w:val="21"/>
              </w:rPr>
              <w:t>效益指标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社会效益指标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日常巡查覆盖率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反映巡查范围为整个木头凳 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vMerge w:val="continue"/>
            <w:tcBorders>
              <w:left w:val="single" w:color="000000" w:sz="6" w:space="0"/>
              <w:bottom w:val="single" w:color="000000" w:sz="6" w:space="0"/>
              <w:right w:val="single" w:color="000000" w:sz="6" w:space="0"/>
            </w:tcBorders>
          </w:tcP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生态效益指标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森林火灾受害率(％)</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全乡森林火灾发生面积占森 林总面积的比例</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&lt;0.01</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6"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r>
        <w:tblPrEx>
          <w:tblCellMar>
            <w:top w:w="0" w:type="dxa"/>
            <w:left w:w="0" w:type="dxa"/>
            <w:bottom w:w="0" w:type="dxa"/>
            <w:right w:w="0" w:type="dxa"/>
          </w:tblCellMar>
        </w:tblPrEx>
        <w:trPr>
          <w:trHeight w:val="616" w:hRule="exact"/>
        </w:trPr>
        <w:tc>
          <w:tcPr>
            <w:tcW w:w="1417"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right="0"/>
              <w:jc w:val="center"/>
              <w:rPr>
                <w:rFonts w:hint="default" w:ascii="宋体" w:hAnsi="宋体" w:eastAsia="宋体" w:cs="宋体"/>
                <w:sz w:val="21"/>
                <w:szCs w:val="21"/>
              </w:rPr>
            </w:pPr>
            <w:r>
              <w:rPr>
                <w:rFonts w:hint="default" w:ascii="宋体" w:hAnsi="宋体" w:eastAsia="宋体" w:cs="宋体"/>
                <w:sz w:val="21"/>
                <w:szCs w:val="21"/>
              </w:rPr>
              <w:t>满意度指标</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服务对象满意度指标</w:t>
            </w:r>
          </w:p>
        </w:tc>
        <w:tc>
          <w:tcPr>
            <w:tcW w:w="2834"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公众满意度</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auto"/>
              <w:ind w:left="100" w:right="198"/>
              <w:jc w:val="left"/>
              <w:rPr>
                <w:rFonts w:hint="default" w:ascii="宋体" w:hAnsi="宋体" w:eastAsia="宋体" w:cs="宋体"/>
                <w:sz w:val="21"/>
                <w:szCs w:val="21"/>
              </w:rPr>
            </w:pPr>
            <w:r>
              <w:rPr>
                <w:rFonts w:hint="default" w:ascii="宋体" w:hAnsi="宋体" w:eastAsia="宋体" w:cs="宋体"/>
                <w:sz w:val="21"/>
                <w:szCs w:val="21"/>
              </w:rPr>
              <w:t>调查中满意和较满意的公众 人数占全部调查人数的比率</w:t>
            </w:r>
          </w:p>
        </w:tc>
        <w:tc>
          <w:tcPr>
            <w:tcW w:w="2551"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≥95</w:t>
            </w:r>
            <w:r>
              <w:rPr>
                <w:rFonts w:hint="default" w:ascii="宋体" w:hAnsi="宋体" w:eastAsia="宋体" w:cs="宋体"/>
                <w:spacing w:val="-52"/>
                <w:sz w:val="21"/>
                <w:szCs w:val="21"/>
              </w:rPr>
              <w:t xml:space="preserve"> </w:t>
            </w:r>
            <w:r>
              <w:rPr>
                <w:rFonts w:hint="default" w:ascii="宋体" w:hAnsi="宋体" w:eastAsia="宋体" w:cs="宋体"/>
                <w:sz w:val="21"/>
                <w:szCs w:val="21"/>
              </w:rPr>
              <w:t>百分比</w:t>
            </w:r>
          </w:p>
        </w:tc>
        <w:tc>
          <w:tcPr>
            <w:tcW w:w="2268" w:type="dxa"/>
            <w:tcBorders>
              <w:top w:val="single" w:color="000000" w:sz="6" w:space="0"/>
              <w:left w:val="single" w:color="000000" w:sz="6" w:space="0"/>
              <w:bottom w:val="single" w:color="000000" w:sz="6" w:space="0"/>
              <w:right w:val="single" w:color="000000" w:sz="6" w:space="0"/>
            </w:tcBorders>
          </w:tcPr>
          <w:p>
            <w:pPr>
              <w:pStyle w:val="13"/>
              <w:spacing w:before="144" w:line="240" w:lineRule="auto"/>
              <w:ind w:left="100" w:right="0"/>
              <w:jc w:val="left"/>
              <w:rPr>
                <w:rFonts w:hint="default" w:ascii="宋体" w:hAnsi="宋体" w:eastAsia="宋体" w:cs="宋体"/>
                <w:sz w:val="21"/>
                <w:szCs w:val="21"/>
              </w:rPr>
            </w:pPr>
            <w:r>
              <w:rPr>
                <w:rFonts w:hint="default" w:ascii="宋体" w:hAnsi="宋体" w:eastAsia="宋体" w:cs="宋体"/>
                <w:sz w:val="21"/>
                <w:szCs w:val="21"/>
              </w:rPr>
              <w:t>年度工作计划</w:t>
            </w:r>
          </w:p>
        </w:tc>
      </w:tr>
    </w:tbl>
    <w:p>
      <w:pPr>
        <w:spacing w:before="0" w:line="240" w:lineRule="auto"/>
        <w:ind w:right="0"/>
        <w:rPr>
          <w:rFonts w:hint="default" w:ascii="方正仿宋繁体" w:hAnsi="方正仿宋繁体" w:eastAsia="方正仿宋繁体" w:cs="方正仿宋繁体"/>
          <w:sz w:val="20"/>
          <w:szCs w:val="20"/>
        </w:rPr>
      </w:pPr>
    </w:p>
    <w:p>
      <w:pPr>
        <w:spacing w:before="6" w:line="240" w:lineRule="auto"/>
        <w:ind w:right="0"/>
        <w:rPr>
          <w:rFonts w:hint="default" w:ascii="方正仿宋繁体" w:hAnsi="方正仿宋繁体" w:eastAsia="方正仿宋繁体" w:cs="方正仿宋繁体"/>
          <w:sz w:val="14"/>
          <w:szCs w:val="14"/>
        </w:rPr>
      </w:pPr>
    </w:p>
    <w:p>
      <w:pPr>
        <w:pStyle w:val="5"/>
        <w:spacing w:line="240" w:lineRule="auto"/>
        <w:ind w:left="1119" w:right="0"/>
        <w:jc w:val="left"/>
      </w:pPr>
      <w:r>
        <w:t>六、政府采购预算情况</w:t>
      </w:r>
    </w:p>
    <w:p>
      <w:pPr>
        <w:spacing w:before="11" w:line="240" w:lineRule="auto"/>
        <w:ind w:right="0"/>
        <w:rPr>
          <w:rFonts w:hint="default" w:ascii="宋体" w:hAnsi="宋体" w:eastAsia="宋体" w:cs="宋体"/>
          <w:sz w:val="27"/>
          <w:szCs w:val="27"/>
        </w:rPr>
      </w:pPr>
    </w:p>
    <w:p>
      <w:pPr>
        <w:pStyle w:val="6"/>
        <w:spacing w:line="411" w:lineRule="exact"/>
        <w:ind w:left="1040" w:right="0"/>
        <w:jc w:val="left"/>
      </w:pPr>
      <w:r>
        <w:rPr>
          <w:rFonts w:hint="default" w:ascii="Times New Roman" w:hAnsi="Times New Roman" w:eastAsia="Times New Roman" w:cs="Times New Roman"/>
        </w:rPr>
        <w:t xml:space="preserve">2021 </w:t>
      </w:r>
      <w:r>
        <w:t>年，祖山镇安排政府采购预算</w:t>
      </w:r>
      <w:r>
        <w:rPr>
          <w:spacing w:val="-65"/>
        </w:rPr>
        <w:t xml:space="preserve"> </w:t>
      </w:r>
      <w:r>
        <w:rPr>
          <w:rFonts w:hint="default" w:ascii="Times New Roman" w:hAnsi="Times New Roman" w:eastAsia="Times New Roman" w:cs="Times New Roman"/>
        </w:rPr>
        <w:t xml:space="preserve">0.00 </w:t>
      </w:r>
      <w:r>
        <w:t>万元。</w:t>
      </w:r>
    </w:p>
    <w:p>
      <w:pPr>
        <w:spacing w:before="0" w:line="560" w:lineRule="exact"/>
        <w:ind w:left="0" w:right="1" w:firstLine="0"/>
        <w:jc w:val="center"/>
        <w:rPr>
          <w:rFonts w:hint="default" w:ascii="方正小标宋繁体" w:hAnsi="方正小标宋繁体" w:eastAsia="方正小标宋繁体" w:cs="方正小标宋繁体"/>
          <w:sz w:val="36"/>
          <w:szCs w:val="36"/>
        </w:rPr>
      </w:pPr>
      <w:r>
        <w:rPr>
          <w:rFonts w:hint="default" w:ascii="方正小标宋繁体" w:hAnsi="方正小标宋繁体" w:eastAsia="方正小标宋繁体" w:cs="方正小标宋繁体"/>
          <w:sz w:val="36"/>
          <w:szCs w:val="36"/>
        </w:rPr>
        <w:t>部门政府采购预算</w:t>
      </w:r>
    </w:p>
    <w:p>
      <w:pPr>
        <w:tabs>
          <w:tab w:val="left" w:pos="14091"/>
        </w:tabs>
        <w:spacing w:before="82" w:after="25"/>
        <w:ind w:left="0"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单位：万元</w:t>
      </w:r>
    </w:p>
    <w:tbl>
      <w:tblPr>
        <w:tblStyle w:val="9"/>
        <w:tblW w:w="0" w:type="auto"/>
        <w:tblInd w:w="118" w:type="dxa"/>
        <w:tblLayout w:type="fixed"/>
        <w:tblCellMar>
          <w:top w:w="0" w:type="dxa"/>
          <w:left w:w="0" w:type="dxa"/>
          <w:bottom w:w="0" w:type="dxa"/>
          <w:right w:w="0" w:type="dxa"/>
        </w:tblCellMar>
      </w:tblPr>
      <w:tblGrid>
        <w:gridCol w:w="1984"/>
        <w:gridCol w:w="1134"/>
        <w:gridCol w:w="1531"/>
        <w:gridCol w:w="1531"/>
        <w:gridCol w:w="709"/>
        <w:gridCol w:w="907"/>
        <w:gridCol w:w="907"/>
        <w:gridCol w:w="1134"/>
        <w:gridCol w:w="1134"/>
        <w:gridCol w:w="1134"/>
        <w:gridCol w:w="1134"/>
        <w:gridCol w:w="1134"/>
        <w:gridCol w:w="1134"/>
      </w:tblGrid>
      <w:tr>
        <w:tblPrEx>
          <w:tblCellMar>
            <w:top w:w="0" w:type="dxa"/>
            <w:left w:w="0" w:type="dxa"/>
            <w:bottom w:w="0" w:type="dxa"/>
            <w:right w:w="0" w:type="dxa"/>
          </w:tblCellMar>
        </w:tblPrEx>
        <w:trPr>
          <w:trHeight w:val="383" w:hRule="exact"/>
        </w:trPr>
        <w:tc>
          <w:tcPr>
            <w:tcW w:w="3118" w:type="dxa"/>
            <w:gridSpan w:val="2"/>
            <w:tcBorders>
              <w:top w:val="single" w:color="000000" w:sz="6" w:space="0"/>
              <w:left w:val="single" w:color="000000" w:sz="6" w:space="0"/>
              <w:bottom w:val="single" w:color="000000" w:sz="6" w:space="0"/>
              <w:right w:val="single" w:color="000000" w:sz="6" w:space="0"/>
            </w:tcBorders>
          </w:tcPr>
          <w:p>
            <w:pPr>
              <w:pStyle w:val="13"/>
              <w:spacing w:before="29" w:line="240" w:lineRule="auto"/>
              <w:ind w:left="707" w:right="0"/>
              <w:jc w:val="left"/>
              <w:rPr>
                <w:rFonts w:hint="default" w:ascii="宋体" w:hAnsi="宋体" w:eastAsia="宋体" w:cs="宋体"/>
                <w:sz w:val="21"/>
                <w:szCs w:val="21"/>
              </w:rPr>
            </w:pPr>
            <w:r>
              <w:rPr>
                <w:rFonts w:hint="default" w:ascii="宋体" w:hAnsi="宋体" w:eastAsia="宋体" w:cs="宋体"/>
                <w:b/>
                <w:bCs/>
                <w:sz w:val="21"/>
                <w:szCs w:val="21"/>
              </w:rPr>
              <w:t>政府采购项目来源</w:t>
            </w:r>
          </w:p>
        </w:tc>
        <w:tc>
          <w:tcPr>
            <w:tcW w:w="1531"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125" w:right="0"/>
              <w:jc w:val="left"/>
              <w:rPr>
                <w:rFonts w:hint="default" w:ascii="宋体" w:hAnsi="宋体" w:eastAsia="宋体" w:cs="宋体"/>
                <w:sz w:val="21"/>
                <w:szCs w:val="21"/>
              </w:rPr>
            </w:pPr>
            <w:r>
              <w:rPr>
                <w:rFonts w:hint="default" w:ascii="宋体" w:hAnsi="宋体" w:eastAsia="宋体" w:cs="宋体"/>
                <w:b/>
                <w:bCs/>
                <w:sz w:val="21"/>
                <w:szCs w:val="21"/>
              </w:rPr>
              <w:t>采购物品名称</w:t>
            </w:r>
          </w:p>
        </w:tc>
        <w:tc>
          <w:tcPr>
            <w:tcW w:w="1531" w:type="dxa"/>
            <w:vMerge w:val="restart"/>
            <w:tcBorders>
              <w:top w:val="single" w:color="000000" w:sz="6" w:space="0"/>
              <w:left w:val="single" w:color="000000" w:sz="6" w:space="0"/>
              <w:right w:val="single" w:color="000000" w:sz="6" w:space="0"/>
            </w:tcBorders>
          </w:tcPr>
          <w:p>
            <w:pPr>
              <w:pStyle w:val="13"/>
              <w:spacing w:before="9" w:line="240" w:lineRule="auto"/>
              <w:ind w:right="0"/>
              <w:jc w:val="left"/>
              <w:rPr>
                <w:rFonts w:hint="default" w:ascii="方正小标宋繁体" w:hAnsi="方正小标宋繁体" w:eastAsia="方正小标宋繁体" w:cs="方正小标宋繁体"/>
                <w:sz w:val="21"/>
                <w:szCs w:val="21"/>
              </w:rPr>
            </w:pPr>
          </w:p>
          <w:p>
            <w:pPr>
              <w:pStyle w:val="13"/>
              <w:spacing w:line="261" w:lineRule="auto"/>
              <w:ind w:left="547" w:right="125" w:hanging="422"/>
              <w:jc w:val="left"/>
              <w:rPr>
                <w:rFonts w:hint="default" w:ascii="宋体" w:hAnsi="宋体" w:eastAsia="宋体" w:cs="宋体"/>
                <w:sz w:val="21"/>
                <w:szCs w:val="21"/>
              </w:rPr>
            </w:pPr>
            <w:r>
              <w:rPr>
                <w:rFonts w:hint="default" w:ascii="宋体" w:hAnsi="宋体" w:eastAsia="宋体" w:cs="宋体"/>
                <w:b/>
                <w:bCs/>
                <w:sz w:val="21"/>
                <w:szCs w:val="21"/>
              </w:rPr>
              <w:t>政府采购目录</w:t>
            </w:r>
            <w:r>
              <w:rPr>
                <w:rFonts w:hint="default" w:ascii="宋体" w:hAnsi="宋体" w:eastAsia="宋体" w:cs="宋体"/>
                <w:b/>
                <w:bCs/>
                <w:w w:val="99"/>
                <w:sz w:val="21"/>
                <w:szCs w:val="21"/>
              </w:rPr>
              <w:t xml:space="preserve"> </w:t>
            </w:r>
            <w:r>
              <w:rPr>
                <w:rFonts w:hint="default" w:ascii="宋体" w:hAnsi="宋体" w:eastAsia="宋体" w:cs="宋体"/>
                <w:b/>
                <w:bCs/>
                <w:sz w:val="21"/>
                <w:szCs w:val="21"/>
              </w:rPr>
              <w:t>序号</w:t>
            </w:r>
          </w:p>
        </w:tc>
        <w:tc>
          <w:tcPr>
            <w:tcW w:w="709" w:type="dxa"/>
            <w:vMerge w:val="restart"/>
            <w:tcBorders>
              <w:top w:val="single" w:color="000000" w:sz="6" w:space="0"/>
              <w:left w:val="single" w:color="000000" w:sz="6" w:space="0"/>
              <w:right w:val="single" w:color="000000" w:sz="6" w:space="0"/>
            </w:tcBorders>
          </w:tcPr>
          <w:p>
            <w:pPr>
              <w:pStyle w:val="13"/>
              <w:spacing w:before="9" w:line="240" w:lineRule="auto"/>
              <w:ind w:right="0"/>
              <w:jc w:val="left"/>
              <w:rPr>
                <w:rFonts w:hint="default" w:ascii="方正小标宋繁体" w:hAnsi="方正小标宋繁体" w:eastAsia="方正小标宋繁体" w:cs="方正小标宋繁体"/>
                <w:sz w:val="21"/>
                <w:szCs w:val="21"/>
              </w:rPr>
            </w:pPr>
          </w:p>
          <w:p>
            <w:pPr>
              <w:pStyle w:val="13"/>
              <w:spacing w:line="261" w:lineRule="auto"/>
              <w:ind w:left="136" w:right="133"/>
              <w:jc w:val="left"/>
              <w:rPr>
                <w:rFonts w:hint="default" w:ascii="宋体" w:hAnsi="宋体" w:eastAsia="宋体" w:cs="宋体"/>
                <w:sz w:val="21"/>
                <w:szCs w:val="21"/>
              </w:rPr>
            </w:pPr>
            <w:r>
              <w:rPr>
                <w:rFonts w:hint="default" w:ascii="宋体" w:hAnsi="宋体" w:eastAsia="宋体" w:cs="宋体"/>
                <w:b/>
                <w:bCs/>
                <w:sz w:val="21"/>
                <w:szCs w:val="21"/>
              </w:rPr>
              <w:t>计量 单位</w:t>
            </w:r>
          </w:p>
        </w:tc>
        <w:tc>
          <w:tcPr>
            <w:tcW w:w="90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235" w:right="0"/>
              <w:jc w:val="left"/>
              <w:rPr>
                <w:rFonts w:hint="default" w:ascii="宋体" w:hAnsi="宋体" w:eastAsia="宋体" w:cs="宋体"/>
                <w:sz w:val="21"/>
                <w:szCs w:val="21"/>
              </w:rPr>
            </w:pPr>
            <w:r>
              <w:rPr>
                <w:rFonts w:hint="default" w:ascii="宋体" w:hAnsi="宋体" w:eastAsia="宋体" w:cs="宋体"/>
                <w:b/>
                <w:bCs/>
                <w:sz w:val="21"/>
                <w:szCs w:val="21"/>
              </w:rPr>
              <w:t>数量</w:t>
            </w:r>
          </w:p>
        </w:tc>
        <w:tc>
          <w:tcPr>
            <w:tcW w:w="907" w:type="dxa"/>
            <w:vMerge w:val="restart"/>
            <w:tcBorders>
              <w:top w:val="single" w:color="000000" w:sz="6" w:space="0"/>
              <w:left w:val="single" w:color="000000" w:sz="6" w:space="0"/>
              <w:right w:val="single" w:color="000000" w:sz="6" w:space="0"/>
            </w:tcBorders>
          </w:tcPr>
          <w:p>
            <w:pPr>
              <w:pStyle w:val="13"/>
              <w:spacing w:line="240" w:lineRule="auto"/>
              <w:ind w:right="0"/>
              <w:jc w:val="left"/>
              <w:rPr>
                <w:rFonts w:hint="default" w:ascii="方正小标宋繁体" w:hAnsi="方正小标宋繁体" w:eastAsia="方正小标宋繁体" w:cs="方正小标宋繁体"/>
                <w:sz w:val="20"/>
                <w:szCs w:val="20"/>
              </w:rPr>
            </w:pPr>
          </w:p>
          <w:p>
            <w:pPr>
              <w:pStyle w:val="13"/>
              <w:spacing w:before="175" w:line="240" w:lineRule="auto"/>
              <w:ind w:left="235" w:right="0"/>
              <w:jc w:val="left"/>
              <w:rPr>
                <w:rFonts w:hint="default" w:ascii="宋体" w:hAnsi="宋体" w:eastAsia="宋体" w:cs="宋体"/>
                <w:sz w:val="21"/>
                <w:szCs w:val="21"/>
              </w:rPr>
            </w:pPr>
            <w:r>
              <w:rPr>
                <w:rFonts w:hint="default" w:ascii="宋体" w:hAnsi="宋体" w:eastAsia="宋体" w:cs="宋体"/>
                <w:b/>
                <w:bCs/>
                <w:sz w:val="21"/>
                <w:szCs w:val="21"/>
              </w:rPr>
              <w:t>单价</w:t>
            </w:r>
          </w:p>
        </w:tc>
        <w:tc>
          <w:tcPr>
            <w:tcW w:w="6804" w:type="dxa"/>
            <w:gridSpan w:val="6"/>
            <w:tcBorders>
              <w:top w:val="single" w:color="000000" w:sz="6" w:space="0"/>
              <w:left w:val="single" w:color="000000" w:sz="6" w:space="0"/>
              <w:bottom w:val="single" w:color="000000" w:sz="6" w:space="0"/>
              <w:right w:val="single" w:color="000000" w:sz="6" w:space="0"/>
            </w:tcBorders>
          </w:tcPr>
          <w:p>
            <w:pPr>
              <w:pStyle w:val="13"/>
              <w:spacing w:before="29" w:line="240" w:lineRule="auto"/>
              <w:ind w:left="1497" w:right="0"/>
              <w:jc w:val="left"/>
              <w:rPr>
                <w:rFonts w:hint="default" w:ascii="宋体" w:hAnsi="宋体" w:eastAsia="宋体" w:cs="宋体"/>
                <w:sz w:val="21"/>
                <w:szCs w:val="21"/>
              </w:rPr>
            </w:pPr>
            <w:r>
              <w:rPr>
                <w:rFonts w:hint="default" w:ascii="宋体" w:hAnsi="宋体" w:eastAsia="宋体" w:cs="宋体"/>
                <w:b/>
                <w:bCs/>
                <w:sz w:val="21"/>
                <w:szCs w:val="21"/>
              </w:rPr>
              <w:t>政府采购金额（当年部门预算安排资金）</w:t>
            </w:r>
          </w:p>
        </w:tc>
      </w:tr>
      <w:tr>
        <w:tblPrEx>
          <w:tblCellMar>
            <w:top w:w="0" w:type="dxa"/>
            <w:left w:w="0" w:type="dxa"/>
            <w:bottom w:w="0" w:type="dxa"/>
            <w:right w:w="0" w:type="dxa"/>
          </w:tblCellMar>
        </w:tblPrEx>
        <w:trPr>
          <w:trHeight w:val="916" w:hRule="exact"/>
        </w:trPr>
        <w:tc>
          <w:tcPr>
            <w:tcW w:w="198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562" w:right="0"/>
              <w:jc w:val="left"/>
              <w:rPr>
                <w:rFonts w:hint="default" w:ascii="宋体" w:hAnsi="宋体" w:eastAsia="宋体" w:cs="宋体"/>
                <w:sz w:val="21"/>
                <w:szCs w:val="21"/>
              </w:rPr>
            </w:pPr>
            <w:r>
              <w:rPr>
                <w:rFonts w:hint="default" w:ascii="宋体" w:hAnsi="宋体" w:eastAsia="宋体" w:cs="宋体"/>
                <w:b/>
                <w:bCs/>
                <w:sz w:val="21"/>
                <w:szCs w:val="21"/>
              </w:rPr>
              <w:t>项目名称</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37" w:right="0"/>
              <w:jc w:val="left"/>
              <w:rPr>
                <w:rFonts w:hint="default" w:ascii="宋体" w:hAnsi="宋体" w:eastAsia="宋体" w:cs="宋体"/>
                <w:sz w:val="21"/>
                <w:szCs w:val="21"/>
              </w:rPr>
            </w:pPr>
            <w:r>
              <w:rPr>
                <w:rFonts w:hint="default" w:ascii="宋体" w:hAnsi="宋体" w:eastAsia="宋体" w:cs="宋体"/>
                <w:b/>
                <w:bCs/>
                <w:sz w:val="21"/>
                <w:szCs w:val="21"/>
              </w:rPr>
              <w:t>预算资金</w:t>
            </w:r>
          </w:p>
        </w:tc>
        <w:tc>
          <w:tcPr>
            <w:tcW w:w="1531" w:type="dxa"/>
            <w:vMerge w:val="continue"/>
            <w:tcBorders>
              <w:left w:val="single" w:color="000000" w:sz="6" w:space="0"/>
              <w:bottom w:val="single" w:color="000000" w:sz="6" w:space="0"/>
              <w:right w:val="single" w:color="000000" w:sz="6" w:space="0"/>
            </w:tcBorders>
          </w:tcPr>
          <w:p/>
        </w:tc>
        <w:tc>
          <w:tcPr>
            <w:tcW w:w="1531" w:type="dxa"/>
            <w:vMerge w:val="continue"/>
            <w:tcBorders>
              <w:left w:val="single" w:color="000000" w:sz="6" w:space="0"/>
              <w:bottom w:val="single" w:color="000000" w:sz="6" w:space="0"/>
              <w:right w:val="single" w:color="000000" w:sz="6" w:space="0"/>
            </w:tcBorders>
          </w:tcPr>
          <w:p/>
        </w:tc>
        <w:tc>
          <w:tcPr>
            <w:tcW w:w="709" w:type="dxa"/>
            <w:vMerge w:val="continue"/>
            <w:tcBorders>
              <w:left w:val="single" w:color="000000" w:sz="6" w:space="0"/>
              <w:bottom w:val="single" w:color="000000" w:sz="6" w:space="0"/>
              <w:right w:val="single" w:color="000000" w:sz="6" w:space="0"/>
            </w:tcBorders>
          </w:tcPr>
          <w:p/>
        </w:tc>
        <w:tc>
          <w:tcPr>
            <w:tcW w:w="907" w:type="dxa"/>
            <w:vMerge w:val="continue"/>
            <w:tcBorders>
              <w:left w:val="single" w:color="000000" w:sz="6" w:space="0"/>
              <w:bottom w:val="single" w:color="000000" w:sz="6" w:space="0"/>
              <w:right w:val="single" w:color="000000" w:sz="6" w:space="0"/>
            </w:tcBorders>
          </w:tcPr>
          <w:p/>
        </w:tc>
        <w:tc>
          <w:tcPr>
            <w:tcW w:w="907" w:type="dxa"/>
            <w:vMerge w:val="continue"/>
            <w:tcBorders>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349" w:right="0"/>
              <w:jc w:val="left"/>
              <w:rPr>
                <w:rFonts w:hint="default" w:ascii="宋体" w:hAnsi="宋体" w:eastAsia="宋体" w:cs="宋体"/>
                <w:sz w:val="21"/>
                <w:szCs w:val="21"/>
              </w:rPr>
            </w:pPr>
            <w:r>
              <w:rPr>
                <w:rFonts w:hint="default" w:ascii="宋体" w:hAnsi="宋体" w:eastAsia="宋体" w:cs="宋体"/>
                <w:b/>
                <w:bCs/>
                <w:sz w:val="21"/>
                <w:szCs w:val="21"/>
              </w:rPr>
              <w:t>合计</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138" w:right="134"/>
              <w:jc w:val="left"/>
              <w:rPr>
                <w:rFonts w:hint="default" w:ascii="宋体" w:hAnsi="宋体" w:eastAsia="宋体" w:cs="宋体"/>
                <w:sz w:val="21"/>
                <w:szCs w:val="21"/>
              </w:rPr>
            </w:pPr>
            <w:r>
              <w:rPr>
                <w:rFonts w:hint="default" w:ascii="宋体" w:hAnsi="宋体" w:eastAsia="宋体" w:cs="宋体"/>
                <w:b/>
                <w:bCs/>
                <w:sz w:val="21"/>
                <w:szCs w:val="21"/>
              </w:rPr>
              <w:t>一般公共 预算拨款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基金预算 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line="261" w:lineRule="auto"/>
              <w:ind w:left="137" w:right="134"/>
              <w:jc w:val="center"/>
              <w:rPr>
                <w:rFonts w:hint="default" w:ascii="宋体" w:hAnsi="宋体" w:eastAsia="宋体" w:cs="宋体"/>
                <w:sz w:val="21"/>
                <w:szCs w:val="21"/>
              </w:rPr>
            </w:pPr>
            <w:r>
              <w:rPr>
                <w:rFonts w:hint="default" w:ascii="宋体" w:hAnsi="宋体" w:eastAsia="宋体" w:cs="宋体"/>
                <w:b/>
                <w:bCs/>
                <w:sz w:val="21"/>
                <w:szCs w:val="21"/>
              </w:rPr>
              <w:t>国有资本 经营预算 拨款</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46" w:line="261" w:lineRule="auto"/>
              <w:ind w:left="349" w:right="134" w:hanging="212"/>
              <w:jc w:val="left"/>
              <w:rPr>
                <w:rFonts w:hint="default" w:ascii="宋体" w:hAnsi="宋体" w:eastAsia="宋体" w:cs="宋体"/>
                <w:sz w:val="21"/>
                <w:szCs w:val="21"/>
              </w:rPr>
            </w:pPr>
            <w:r>
              <w:rPr>
                <w:rFonts w:hint="default" w:ascii="宋体" w:hAnsi="宋体" w:eastAsia="宋体" w:cs="宋体"/>
                <w:b/>
                <w:bCs/>
                <w:sz w:val="21"/>
                <w:szCs w:val="21"/>
              </w:rPr>
              <w:t>财政专户 核拨</w:t>
            </w: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5" w:line="240" w:lineRule="auto"/>
              <w:ind w:right="0"/>
              <w:jc w:val="left"/>
              <w:rPr>
                <w:rFonts w:hint="default" w:ascii="方正小标宋繁体" w:hAnsi="方正小标宋繁体" w:eastAsia="方正小标宋繁体" w:cs="方正小标宋繁体"/>
                <w:sz w:val="18"/>
                <w:szCs w:val="18"/>
              </w:rPr>
            </w:pPr>
          </w:p>
          <w:p>
            <w:pPr>
              <w:pStyle w:val="13"/>
              <w:spacing w:line="240" w:lineRule="auto"/>
              <w:ind w:left="138" w:right="0"/>
              <w:jc w:val="left"/>
              <w:rPr>
                <w:rFonts w:hint="default" w:ascii="宋体" w:hAnsi="宋体" w:eastAsia="宋体" w:cs="宋体"/>
                <w:sz w:val="21"/>
                <w:szCs w:val="21"/>
              </w:rPr>
            </w:pPr>
            <w:r>
              <w:rPr>
                <w:rFonts w:hint="default" w:ascii="宋体" w:hAnsi="宋体" w:eastAsia="宋体" w:cs="宋体"/>
                <w:b/>
                <w:bCs/>
                <w:sz w:val="21"/>
                <w:szCs w:val="21"/>
              </w:rPr>
              <w:t>单位资金</w:t>
            </w:r>
          </w:p>
        </w:tc>
      </w:tr>
      <w:tr>
        <w:tblPrEx>
          <w:tblCellMar>
            <w:top w:w="0" w:type="dxa"/>
            <w:left w:w="0" w:type="dxa"/>
            <w:bottom w:w="0" w:type="dxa"/>
            <w:right w:w="0" w:type="dxa"/>
          </w:tblCellMar>
        </w:tblPrEx>
        <w:trPr>
          <w:trHeight w:val="384" w:hRule="exact"/>
        </w:trPr>
        <w:tc>
          <w:tcPr>
            <w:tcW w:w="198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531" w:type="dxa"/>
            <w:tcBorders>
              <w:top w:val="single" w:color="000000" w:sz="6" w:space="0"/>
              <w:left w:val="single" w:color="000000" w:sz="6" w:space="0"/>
              <w:bottom w:val="single" w:color="000000" w:sz="6" w:space="0"/>
              <w:right w:val="single" w:color="000000" w:sz="6" w:space="0"/>
            </w:tcBorders>
          </w:tcPr>
          <w:p/>
        </w:tc>
        <w:tc>
          <w:tcPr>
            <w:tcW w:w="1531" w:type="dxa"/>
            <w:tcBorders>
              <w:top w:val="single" w:color="000000" w:sz="6" w:space="0"/>
              <w:left w:val="single" w:color="000000" w:sz="6" w:space="0"/>
              <w:bottom w:val="single" w:color="000000" w:sz="6" w:space="0"/>
              <w:right w:val="single" w:color="000000" w:sz="6" w:space="0"/>
            </w:tcBorders>
          </w:tcPr>
          <w:p/>
        </w:tc>
        <w:tc>
          <w:tcPr>
            <w:tcW w:w="709" w:type="dxa"/>
            <w:tcBorders>
              <w:top w:val="single" w:color="000000" w:sz="6" w:space="0"/>
              <w:left w:val="single" w:color="000000" w:sz="6" w:space="0"/>
              <w:bottom w:val="single" w:color="000000" w:sz="6" w:space="0"/>
              <w:right w:val="single" w:color="000000" w:sz="6" w:space="0"/>
            </w:tcBorders>
          </w:tcPr>
          <w:p/>
        </w:tc>
        <w:tc>
          <w:tcPr>
            <w:tcW w:w="907" w:type="dxa"/>
            <w:tcBorders>
              <w:top w:val="single" w:color="000000" w:sz="6" w:space="0"/>
              <w:left w:val="single" w:color="000000" w:sz="6" w:space="0"/>
              <w:bottom w:val="single" w:color="000000" w:sz="6" w:space="0"/>
              <w:right w:val="single" w:color="000000" w:sz="6" w:space="0"/>
            </w:tcBorders>
          </w:tcPr>
          <w:p/>
        </w:tc>
        <w:tc>
          <w:tcPr>
            <w:tcW w:w="907"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r>
    </w:tbl>
    <w:p>
      <w:pPr>
        <w:spacing w:before="0" w:line="260" w:lineRule="exact"/>
        <w:ind w:left="899" w:right="0" w:firstLine="0"/>
        <w:jc w:val="left"/>
        <w:rPr>
          <w:rFonts w:hint="default" w:ascii="宋体" w:hAnsi="宋体" w:eastAsia="宋体" w:cs="宋体"/>
          <w:sz w:val="21"/>
          <w:szCs w:val="21"/>
        </w:rPr>
      </w:pPr>
      <w:r>
        <w:rPr>
          <w:rFonts w:hint="default" w:ascii="宋体" w:hAnsi="宋体" w:eastAsia="宋体" w:cs="宋体"/>
          <w:sz w:val="21"/>
          <w:szCs w:val="21"/>
        </w:rPr>
        <w:t>注：无政府采购预算，空表列示。</w:t>
      </w:r>
    </w:p>
    <w:p>
      <w:pPr>
        <w:spacing w:after="0" w:line="260" w:lineRule="exact"/>
        <w:jc w:val="left"/>
        <w:rPr>
          <w:rFonts w:hint="default" w:ascii="宋体" w:hAnsi="宋体" w:eastAsia="宋体" w:cs="宋体"/>
          <w:sz w:val="21"/>
          <w:szCs w:val="21"/>
        </w:rPr>
        <w:sectPr>
          <w:pgSz w:w="16840" w:h="11910" w:orient="landscape"/>
          <w:pgMar w:top="1100" w:right="540" w:bottom="1160" w:left="540" w:header="0" w:footer="977" w:gutter="0"/>
          <w:cols w:space="720" w:num="1"/>
        </w:sectPr>
      </w:pPr>
    </w:p>
    <w:p>
      <w:pPr>
        <w:spacing w:before="6" w:line="240" w:lineRule="auto"/>
        <w:ind w:right="0"/>
        <w:rPr>
          <w:rFonts w:hint="default" w:ascii="宋体" w:hAnsi="宋体" w:eastAsia="宋体" w:cs="宋体"/>
          <w:sz w:val="23"/>
          <w:szCs w:val="23"/>
        </w:rPr>
      </w:pPr>
    </w:p>
    <w:p>
      <w:pPr>
        <w:pStyle w:val="5"/>
        <w:spacing w:line="240" w:lineRule="auto"/>
        <w:ind w:right="0"/>
        <w:jc w:val="left"/>
      </w:pPr>
      <w:r>
        <w:t>七、国有资产信息</w:t>
      </w:r>
    </w:p>
    <w:p>
      <w:pPr>
        <w:spacing w:before="11" w:line="240" w:lineRule="auto"/>
        <w:ind w:right="0"/>
        <w:rPr>
          <w:rFonts w:hint="default" w:ascii="宋体" w:hAnsi="宋体" w:eastAsia="宋体" w:cs="宋体"/>
          <w:sz w:val="27"/>
          <w:szCs w:val="27"/>
        </w:rPr>
      </w:pPr>
    </w:p>
    <w:p>
      <w:pPr>
        <w:pStyle w:val="6"/>
        <w:spacing w:line="290" w:lineRule="auto"/>
        <w:ind w:right="0" w:firstLine="560"/>
        <w:jc w:val="left"/>
      </w:pPr>
      <w:r>
        <w:rPr>
          <w:w w:val="99"/>
        </w:rPr>
        <w:t>祖山镇（含所属单位）上年末固定资产金额为</w:t>
      </w:r>
      <w:r>
        <w:rPr>
          <w:spacing w:val="-101"/>
          <w:w w:val="99"/>
        </w:rPr>
        <w:t xml:space="preserve"> </w:t>
      </w:r>
      <w:r>
        <w:rPr>
          <w:rFonts w:hint="default" w:ascii="Times New Roman" w:hAnsi="Times New Roman" w:eastAsia="Times New Roman" w:cs="Times New Roman"/>
          <w:w w:val="99"/>
        </w:rPr>
        <w:t xml:space="preserve">1428.38 </w:t>
      </w:r>
      <w:r>
        <w:rPr>
          <w:spacing w:val="-7"/>
          <w:w w:val="99"/>
        </w:rPr>
        <w:t>万元（详见下表）。本年度拟购置固定资产总额为</w:t>
      </w:r>
      <w:r>
        <w:rPr>
          <w:w w:val="99"/>
        </w:rPr>
        <w:t xml:space="preserve"> </w:t>
      </w:r>
      <w:r>
        <w:rPr>
          <w:rFonts w:hint="default" w:ascii="Times New Roman" w:hAnsi="Times New Roman" w:eastAsia="Times New Roman" w:cs="Times New Roman"/>
          <w:w w:val="99"/>
        </w:rPr>
        <w:t xml:space="preserve">0.00 </w:t>
      </w:r>
      <w:r>
        <w:rPr>
          <w:w w:val="99"/>
        </w:rPr>
        <w:t xml:space="preserve">万元， </w:t>
      </w:r>
      <w:r>
        <w:t>已按要求列入政府采购预算，详见政府采购预算表。</w:t>
      </w:r>
    </w:p>
    <w:p>
      <w:pPr>
        <w:pStyle w:val="3"/>
        <w:spacing w:line="492" w:lineRule="exact"/>
        <w:ind w:left="18" w:right="0"/>
        <w:jc w:val="center"/>
      </w:pPr>
      <w:r>
        <w:t>部门固定资产占用情况表</w:t>
      </w:r>
    </w:p>
    <w:p>
      <w:pPr>
        <w:tabs>
          <w:tab w:val="left" w:pos="10408"/>
        </w:tabs>
        <w:spacing w:before="48"/>
        <w:ind w:left="17" w:right="0" w:firstLine="0"/>
        <w:jc w:val="center"/>
        <w:rPr>
          <w:rFonts w:hint="default" w:ascii="方正小标宋繁体" w:hAnsi="方正小标宋繁体" w:eastAsia="方正小标宋繁体" w:cs="方正小标宋繁体"/>
          <w:sz w:val="24"/>
          <w:szCs w:val="24"/>
        </w:rPr>
      </w:pPr>
      <w:r>
        <w:rPr>
          <w:rFonts w:hint="default" w:ascii="方正小标宋繁体" w:hAnsi="方正小标宋繁体" w:eastAsia="方正小标宋繁体" w:cs="方正小标宋繁体"/>
          <w:sz w:val="24"/>
          <w:szCs w:val="24"/>
        </w:rPr>
        <w:t>901 祖山镇</w:t>
      </w:r>
      <w:r>
        <w:rPr>
          <w:rFonts w:hint="default" w:ascii="方正小标宋繁体" w:hAnsi="方正小标宋繁体" w:eastAsia="方正小标宋繁体" w:cs="方正小标宋繁体"/>
          <w:sz w:val="24"/>
          <w:szCs w:val="24"/>
        </w:rPr>
        <w:tab/>
      </w:r>
      <w:r>
        <w:rPr>
          <w:rFonts w:hint="default" w:ascii="方正小标宋繁体" w:hAnsi="方正小标宋繁体" w:eastAsia="方正小标宋繁体" w:cs="方正小标宋繁体"/>
          <w:sz w:val="24"/>
          <w:szCs w:val="24"/>
        </w:rPr>
        <w:t>截止时间：2020-12-31</w:t>
      </w:r>
    </w:p>
    <w:tbl>
      <w:tblPr>
        <w:tblStyle w:val="9"/>
        <w:tblW w:w="0" w:type="auto"/>
        <w:tblInd w:w="992" w:type="dxa"/>
        <w:tblLayout w:type="fixed"/>
        <w:tblCellMar>
          <w:top w:w="0" w:type="dxa"/>
          <w:left w:w="0" w:type="dxa"/>
          <w:bottom w:w="0" w:type="dxa"/>
          <w:right w:w="0" w:type="dxa"/>
        </w:tblCellMar>
      </w:tblPr>
      <w:tblGrid>
        <w:gridCol w:w="7369"/>
        <w:gridCol w:w="2836"/>
        <w:gridCol w:w="2834"/>
      </w:tblGrid>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tabs>
                <w:tab w:val="left" w:pos="527"/>
              </w:tabs>
              <w:spacing w:line="260" w:lineRule="exact"/>
              <w:ind w:right="0"/>
              <w:jc w:val="center"/>
              <w:rPr>
                <w:rFonts w:hint="default" w:ascii="宋体" w:hAnsi="宋体" w:eastAsia="宋体" w:cs="宋体"/>
                <w:sz w:val="21"/>
                <w:szCs w:val="21"/>
              </w:rPr>
            </w:pPr>
            <w:r>
              <w:rPr>
                <w:rFonts w:hint="default" w:ascii="宋体" w:hAnsi="宋体" w:eastAsia="宋体" w:cs="宋体"/>
                <w:b/>
                <w:bCs/>
                <w:w w:val="95"/>
                <w:sz w:val="21"/>
                <w:szCs w:val="21"/>
              </w:rPr>
              <w:t>项</w:t>
            </w:r>
            <w:r>
              <w:rPr>
                <w:rFonts w:hint="default" w:ascii="宋体" w:hAnsi="宋体" w:eastAsia="宋体" w:cs="宋体"/>
                <w:b/>
                <w:bCs/>
                <w:w w:val="95"/>
                <w:sz w:val="21"/>
                <w:szCs w:val="21"/>
              </w:rPr>
              <w:tab/>
            </w:r>
            <w:r>
              <w:rPr>
                <w:rFonts w:hint="default" w:ascii="宋体" w:hAnsi="宋体" w:eastAsia="宋体" w:cs="宋体"/>
                <w:b/>
                <w:bCs/>
                <w:sz w:val="21"/>
                <w:szCs w:val="21"/>
              </w:rPr>
              <w:t>目</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hint="default" w:ascii="宋体" w:hAnsi="宋体" w:eastAsia="宋体" w:cs="宋体"/>
                <w:b/>
                <w:bCs/>
                <w:sz w:val="21"/>
                <w:szCs w:val="21"/>
              </w:rPr>
              <w:t>数量</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left="251" w:right="0"/>
              <w:jc w:val="left"/>
              <w:rPr>
                <w:rFonts w:hint="default" w:ascii="宋体" w:hAnsi="宋体" w:eastAsia="宋体" w:cs="宋体"/>
                <w:sz w:val="21"/>
                <w:szCs w:val="21"/>
              </w:rPr>
            </w:pPr>
            <w:r>
              <w:rPr>
                <w:rFonts w:hint="default" w:ascii="宋体" w:hAnsi="宋体" w:eastAsia="宋体" w:cs="宋体"/>
                <w:b/>
                <w:bCs/>
                <w:sz w:val="21"/>
                <w:szCs w:val="21"/>
              </w:rPr>
              <w:t>价值（金额单位：万元）</w:t>
            </w: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1780" w:right="0"/>
              <w:jc w:val="left"/>
              <w:rPr>
                <w:rFonts w:hint="default" w:ascii="宋体" w:hAnsi="宋体" w:eastAsia="宋体" w:cs="宋体"/>
                <w:sz w:val="21"/>
                <w:szCs w:val="21"/>
              </w:rPr>
            </w:pPr>
            <w:r>
              <w:rPr>
                <w:rFonts w:hint="default" w:ascii="宋体" w:hAnsi="宋体" w:eastAsia="宋体" w:cs="宋体"/>
                <w:sz w:val="21"/>
                <w:szCs w:val="21"/>
              </w:rPr>
              <w:t>资产总额</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exact"/>
              <w:ind w:right="99"/>
              <w:jc w:val="right"/>
              <w:rPr>
                <w:rFonts w:hint="default" w:ascii="宋体" w:hAnsi="宋体" w:eastAsia="宋体" w:cs="宋体"/>
                <w:sz w:val="21"/>
                <w:szCs w:val="21"/>
              </w:rPr>
            </w:pPr>
            <w:r>
              <w:rPr>
                <w:rFonts w:ascii="宋体"/>
                <w:spacing w:val="-1"/>
                <w:sz w:val="21"/>
              </w:rPr>
              <w:t>1428.38</w:t>
            </w:r>
          </w:p>
        </w:tc>
      </w:tr>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1、房屋（平方米）</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ascii="宋体"/>
                <w:sz w:val="21"/>
              </w:rPr>
              <w:t>4200</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right="99"/>
              <w:jc w:val="right"/>
              <w:rPr>
                <w:rFonts w:hint="default" w:ascii="宋体" w:hAnsi="宋体" w:eastAsia="宋体" w:cs="宋体"/>
                <w:sz w:val="21"/>
                <w:szCs w:val="21"/>
              </w:rPr>
            </w:pPr>
            <w:r>
              <w:rPr>
                <w:rFonts w:ascii="宋体"/>
                <w:spacing w:val="-1"/>
                <w:sz w:val="21"/>
              </w:rPr>
              <w:t>550.00</w:t>
            </w: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520" w:right="0"/>
              <w:jc w:val="left"/>
              <w:rPr>
                <w:rFonts w:hint="default" w:ascii="宋体" w:hAnsi="宋体" w:eastAsia="宋体" w:cs="宋体"/>
                <w:sz w:val="21"/>
                <w:szCs w:val="21"/>
              </w:rPr>
            </w:pPr>
            <w:r>
              <w:rPr>
                <w:rFonts w:hint="default" w:ascii="宋体" w:hAnsi="宋体" w:eastAsia="宋体" w:cs="宋体"/>
                <w:sz w:val="21"/>
                <w:szCs w:val="21"/>
              </w:rPr>
              <w:t>其中：办公用房（平方米）</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1" w:lineRule="exact"/>
              <w:ind w:right="2"/>
              <w:jc w:val="center"/>
              <w:rPr>
                <w:rFonts w:hint="default" w:ascii="宋体" w:hAnsi="宋体" w:eastAsia="宋体" w:cs="宋体"/>
                <w:sz w:val="21"/>
                <w:szCs w:val="21"/>
              </w:rPr>
            </w:pPr>
            <w:r>
              <w:rPr>
                <w:rFonts w:ascii="宋体"/>
                <w:sz w:val="21"/>
              </w:rPr>
              <w:t>2400</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1" w:lineRule="exact"/>
              <w:ind w:right="99"/>
              <w:jc w:val="right"/>
              <w:rPr>
                <w:rFonts w:hint="default" w:ascii="宋体" w:hAnsi="宋体" w:eastAsia="宋体" w:cs="宋体"/>
                <w:sz w:val="21"/>
                <w:szCs w:val="21"/>
              </w:rPr>
            </w:pPr>
            <w:r>
              <w:rPr>
                <w:rFonts w:ascii="宋体"/>
                <w:spacing w:val="-1"/>
                <w:sz w:val="21"/>
              </w:rPr>
              <w:t>380.00</w:t>
            </w:r>
          </w:p>
        </w:tc>
      </w:tr>
      <w:tr>
        <w:tblPrEx>
          <w:tblCellMar>
            <w:top w:w="0" w:type="dxa"/>
            <w:left w:w="0" w:type="dxa"/>
            <w:bottom w:w="0" w:type="dxa"/>
            <w:right w:w="0" w:type="dxa"/>
          </w:tblCellMar>
        </w:tblPrEx>
        <w:trPr>
          <w:trHeight w:val="314"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2、车辆（台、辆）</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1" w:lineRule="exact"/>
              <w:ind w:left="100" w:right="0"/>
              <w:jc w:val="left"/>
              <w:rPr>
                <w:rFonts w:hint="default" w:ascii="宋体" w:hAnsi="宋体" w:eastAsia="宋体" w:cs="宋体"/>
                <w:sz w:val="21"/>
                <w:szCs w:val="21"/>
              </w:rPr>
            </w:pPr>
            <w:r>
              <w:rPr>
                <w:rFonts w:hint="default" w:ascii="宋体" w:hAnsi="宋体" w:eastAsia="宋体" w:cs="宋体"/>
                <w:sz w:val="21"/>
                <w:szCs w:val="21"/>
              </w:rPr>
              <w:t>3、单价在</w:t>
            </w:r>
            <w:r>
              <w:rPr>
                <w:rFonts w:hint="default" w:ascii="宋体" w:hAnsi="宋体" w:eastAsia="宋体" w:cs="宋体"/>
                <w:spacing w:val="-60"/>
                <w:sz w:val="21"/>
                <w:szCs w:val="21"/>
              </w:rPr>
              <w:t xml:space="preserve"> </w:t>
            </w:r>
            <w:r>
              <w:rPr>
                <w:rFonts w:hint="default" w:ascii="宋体" w:hAnsi="宋体" w:eastAsia="宋体" w:cs="宋体"/>
                <w:sz w:val="21"/>
                <w:szCs w:val="21"/>
              </w:rPr>
              <w:t>20</w:t>
            </w:r>
            <w:r>
              <w:rPr>
                <w:rFonts w:hint="default" w:ascii="宋体" w:hAnsi="宋体" w:eastAsia="宋体" w:cs="宋体"/>
                <w:spacing w:val="-59"/>
                <w:sz w:val="21"/>
                <w:szCs w:val="21"/>
              </w:rPr>
              <w:t xml:space="preserve"> </w:t>
            </w:r>
            <w:r>
              <w:rPr>
                <w:rFonts w:hint="default" w:ascii="宋体" w:hAnsi="宋体" w:eastAsia="宋体" w:cs="宋体"/>
                <w:sz w:val="21"/>
                <w:szCs w:val="21"/>
              </w:rPr>
              <w:t>万元以上的设备</w:t>
            </w:r>
          </w:p>
        </w:tc>
        <w:tc>
          <w:tcPr>
            <w:tcW w:w="2836" w:type="dxa"/>
            <w:tcBorders>
              <w:top w:val="single" w:color="000000" w:sz="6" w:space="0"/>
              <w:left w:val="single" w:color="000000" w:sz="6" w:space="0"/>
              <w:bottom w:val="single" w:color="000000" w:sz="6" w:space="0"/>
              <w:right w:val="single" w:color="000000" w:sz="6" w:space="0"/>
            </w:tcBorders>
          </w:tcPr>
          <w:p/>
        </w:tc>
        <w:tc>
          <w:tcPr>
            <w:tcW w:w="28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16" w:hRule="exact"/>
        </w:trPr>
        <w:tc>
          <w:tcPr>
            <w:tcW w:w="7369" w:type="dxa"/>
            <w:tcBorders>
              <w:top w:val="single" w:color="000000" w:sz="6" w:space="0"/>
              <w:left w:val="single" w:color="000000" w:sz="6" w:space="0"/>
              <w:bottom w:val="single" w:color="000000" w:sz="6" w:space="0"/>
              <w:right w:val="single" w:color="000000" w:sz="6" w:space="0"/>
            </w:tcBorders>
          </w:tcPr>
          <w:p>
            <w:pPr>
              <w:pStyle w:val="13"/>
              <w:spacing w:line="260" w:lineRule="exact"/>
              <w:ind w:left="100" w:right="0"/>
              <w:jc w:val="left"/>
              <w:rPr>
                <w:rFonts w:hint="default" w:ascii="宋体" w:hAnsi="宋体" w:eastAsia="宋体" w:cs="宋体"/>
                <w:sz w:val="21"/>
                <w:szCs w:val="21"/>
              </w:rPr>
            </w:pPr>
            <w:r>
              <w:rPr>
                <w:rFonts w:hint="default" w:ascii="宋体" w:hAnsi="宋体" w:eastAsia="宋体" w:cs="宋体"/>
                <w:sz w:val="21"/>
                <w:szCs w:val="21"/>
              </w:rPr>
              <w:t>4、其他固定资产</w:t>
            </w:r>
          </w:p>
        </w:tc>
        <w:tc>
          <w:tcPr>
            <w:tcW w:w="2836" w:type="dxa"/>
            <w:tcBorders>
              <w:top w:val="single" w:color="000000" w:sz="6" w:space="0"/>
              <w:left w:val="single" w:color="000000" w:sz="6" w:space="0"/>
              <w:bottom w:val="single" w:color="000000" w:sz="6" w:space="0"/>
              <w:right w:val="single" w:color="000000" w:sz="6" w:space="0"/>
            </w:tcBorders>
          </w:tcPr>
          <w:p>
            <w:pPr>
              <w:pStyle w:val="13"/>
              <w:spacing w:line="260" w:lineRule="exact"/>
              <w:ind w:right="0"/>
              <w:jc w:val="center"/>
              <w:rPr>
                <w:rFonts w:hint="default" w:ascii="宋体" w:hAnsi="宋体" w:eastAsia="宋体" w:cs="宋体"/>
                <w:sz w:val="21"/>
                <w:szCs w:val="21"/>
              </w:rPr>
            </w:pPr>
            <w:r>
              <w:rPr>
                <w:rFonts w:ascii="宋体"/>
                <w:sz w:val="21"/>
              </w:rPr>
              <w:t>1025</w:t>
            </w:r>
          </w:p>
        </w:tc>
        <w:tc>
          <w:tcPr>
            <w:tcW w:w="2834" w:type="dxa"/>
            <w:tcBorders>
              <w:top w:val="single" w:color="000000" w:sz="6" w:space="0"/>
              <w:left w:val="single" w:color="000000" w:sz="6" w:space="0"/>
              <w:bottom w:val="single" w:color="000000" w:sz="6" w:space="0"/>
              <w:right w:val="single" w:color="000000" w:sz="6" w:space="0"/>
            </w:tcBorders>
          </w:tcPr>
          <w:p>
            <w:pPr>
              <w:pStyle w:val="13"/>
              <w:spacing w:line="260" w:lineRule="exact"/>
              <w:ind w:right="98"/>
              <w:jc w:val="right"/>
              <w:rPr>
                <w:rFonts w:hint="default" w:ascii="宋体" w:hAnsi="宋体" w:eastAsia="宋体" w:cs="宋体"/>
                <w:sz w:val="21"/>
                <w:szCs w:val="21"/>
              </w:rPr>
            </w:pPr>
            <w:r>
              <w:rPr>
                <w:rFonts w:ascii="宋体"/>
                <w:spacing w:val="-1"/>
                <w:sz w:val="21"/>
              </w:rPr>
              <w:t>878.38</w:t>
            </w:r>
          </w:p>
        </w:tc>
      </w:tr>
    </w:tbl>
    <w:p>
      <w:pPr>
        <w:spacing w:before="0" w:line="240" w:lineRule="auto"/>
        <w:ind w:right="0"/>
        <w:rPr>
          <w:rFonts w:hint="default" w:ascii="方正小标宋繁体" w:hAnsi="方正小标宋繁体" w:eastAsia="方正小标宋繁体" w:cs="方正小标宋繁体"/>
          <w:sz w:val="20"/>
          <w:szCs w:val="20"/>
        </w:rPr>
      </w:pPr>
    </w:p>
    <w:p>
      <w:pPr>
        <w:spacing w:before="14" w:line="240" w:lineRule="auto"/>
        <w:ind w:right="0"/>
        <w:rPr>
          <w:rFonts w:hint="default" w:ascii="方正小标宋繁体" w:hAnsi="方正小标宋繁体" w:eastAsia="方正小标宋繁体" w:cs="方正小标宋繁体"/>
          <w:sz w:val="11"/>
          <w:szCs w:val="11"/>
        </w:rPr>
      </w:pPr>
    </w:p>
    <w:p>
      <w:pPr>
        <w:pStyle w:val="5"/>
        <w:spacing w:line="240" w:lineRule="auto"/>
        <w:ind w:right="0"/>
        <w:jc w:val="left"/>
      </w:pPr>
      <w:r>
        <w:t>八、名词解释</w:t>
      </w:r>
    </w:p>
    <w:p>
      <w:pPr>
        <w:spacing w:before="11" w:line="240" w:lineRule="auto"/>
        <w:ind w:right="0"/>
        <w:rPr>
          <w:rFonts w:hint="default" w:ascii="宋体" w:hAnsi="宋体" w:eastAsia="宋体" w:cs="宋体"/>
          <w:sz w:val="27"/>
          <w:szCs w:val="27"/>
        </w:rPr>
      </w:pPr>
    </w:p>
    <w:p>
      <w:pPr>
        <w:pStyle w:val="6"/>
        <w:spacing w:line="240" w:lineRule="auto"/>
        <w:ind w:left="680" w:right="0"/>
        <w:jc w:val="left"/>
      </w:pPr>
      <w:r>
        <w:rPr>
          <w:rFonts w:hint="default" w:ascii="Times New Roman" w:hAnsi="Times New Roman" w:eastAsia="Times New Roman" w:cs="Times New Roman"/>
        </w:rPr>
        <w:t>1</w:t>
      </w:r>
      <w:r>
        <w:t>、</w:t>
      </w:r>
      <w:r>
        <w:rPr>
          <w:rFonts w:hint="default" w:ascii="方正仿宋繁体" w:hAnsi="方正仿宋繁体" w:eastAsia="方正仿宋繁体" w:cs="方正仿宋繁体"/>
        </w:rPr>
        <w:t>一般公共预算拨款收入：</w:t>
      </w:r>
      <w:r>
        <w:t>指县级财政当年拨付的资金。</w:t>
      </w:r>
    </w:p>
    <w:p>
      <w:pPr>
        <w:pStyle w:val="6"/>
        <w:spacing w:before="88" w:line="240" w:lineRule="auto"/>
        <w:ind w:left="680" w:right="0"/>
        <w:jc w:val="left"/>
      </w:pPr>
      <w:r>
        <w:rPr>
          <w:rFonts w:hint="default" w:ascii="Times New Roman" w:hAnsi="Times New Roman" w:eastAsia="Times New Roman" w:cs="Times New Roman"/>
        </w:rPr>
        <w:t>2</w:t>
      </w:r>
      <w:r>
        <w:t>、</w:t>
      </w:r>
      <w:r>
        <w:rPr>
          <w:rFonts w:hint="default" w:ascii="方正仿宋繁体" w:hAnsi="方正仿宋繁体" w:eastAsia="方正仿宋繁体" w:cs="方正仿宋繁体"/>
        </w:rPr>
        <w:t>事业收入：</w:t>
      </w:r>
      <w:r>
        <w:t>指事业单位开展专业业务活动及辅助活动所取得的收入。</w:t>
      </w:r>
    </w:p>
    <w:p>
      <w:pPr>
        <w:pStyle w:val="6"/>
        <w:spacing w:before="87" w:line="290" w:lineRule="auto"/>
        <w:ind w:right="88" w:firstLine="560"/>
        <w:jc w:val="left"/>
      </w:pPr>
      <w:r>
        <w:rPr>
          <w:rFonts w:hint="default" w:ascii="Times New Roman" w:hAnsi="Times New Roman" w:eastAsia="Times New Roman" w:cs="Times New Roman"/>
          <w:spacing w:val="-1"/>
        </w:rPr>
        <w:t>3</w:t>
      </w:r>
      <w:r>
        <w:rPr>
          <w:spacing w:val="-1"/>
        </w:rPr>
        <w:t>、</w:t>
      </w:r>
      <w:r>
        <w:rPr>
          <w:rFonts w:hint="default" w:ascii="方正仿宋繁体" w:hAnsi="方正仿宋繁体" w:eastAsia="方正仿宋繁体" w:cs="方正仿宋繁体"/>
          <w:spacing w:val="-1"/>
        </w:rPr>
        <w:t>其他收入：</w:t>
      </w:r>
      <w:r>
        <w:rPr>
          <w:spacing w:val="-1"/>
        </w:rPr>
        <w:t>指除</w:t>
      </w:r>
      <w:r>
        <w:rPr>
          <w:rFonts w:hint="default" w:ascii="Times New Roman" w:hAnsi="Times New Roman" w:eastAsia="Times New Roman" w:cs="Times New Roman"/>
          <w:spacing w:val="-1"/>
          <w:sz w:val="24"/>
          <w:szCs w:val="24"/>
        </w:rPr>
        <w:t>“</w:t>
      </w:r>
      <w:r>
        <w:rPr>
          <w:spacing w:val="-1"/>
        </w:rPr>
        <w:t>一般公共预算拨款收入</w:t>
      </w:r>
      <w:r>
        <w:rPr>
          <w:rFonts w:hint="default" w:ascii="Times New Roman" w:hAnsi="Times New Roman" w:eastAsia="Times New Roman" w:cs="Times New Roman"/>
          <w:spacing w:val="-1"/>
          <w:sz w:val="24"/>
          <w:szCs w:val="24"/>
        </w:rPr>
        <w:t>”</w:t>
      </w:r>
      <w:r>
        <w:rPr>
          <w:spacing w:val="-1"/>
        </w:rPr>
        <w:t>、</w:t>
      </w:r>
      <w:r>
        <w:rPr>
          <w:rFonts w:hint="default" w:ascii="Times New Roman" w:hAnsi="Times New Roman" w:eastAsia="Times New Roman" w:cs="Times New Roman"/>
          <w:spacing w:val="-1"/>
          <w:sz w:val="24"/>
          <w:szCs w:val="24"/>
        </w:rPr>
        <w:t>“</w:t>
      </w:r>
      <w:r>
        <w:rPr>
          <w:spacing w:val="-1"/>
        </w:rPr>
        <w:t>事业收入</w:t>
      </w:r>
      <w:r>
        <w:rPr>
          <w:rFonts w:hint="default" w:ascii="Times New Roman" w:hAnsi="Times New Roman" w:eastAsia="Times New Roman" w:cs="Times New Roman"/>
          <w:spacing w:val="-1"/>
          <w:sz w:val="24"/>
          <w:szCs w:val="24"/>
        </w:rPr>
        <w:t>”</w:t>
      </w:r>
      <w:r>
        <w:rPr>
          <w:spacing w:val="-1"/>
        </w:rPr>
        <w:t>等以外的收入。主要是按规定动用的租房收入、存款利息收</w:t>
      </w:r>
      <w:r>
        <w:t xml:space="preserve"> 入等。</w:t>
      </w:r>
    </w:p>
    <w:p>
      <w:pPr>
        <w:pStyle w:val="6"/>
        <w:spacing w:before="22" w:line="240" w:lineRule="auto"/>
        <w:ind w:left="680" w:right="0"/>
        <w:jc w:val="left"/>
      </w:pPr>
      <w:r>
        <w:rPr>
          <w:rFonts w:hint="default" w:ascii="Times New Roman" w:hAnsi="Times New Roman" w:eastAsia="Times New Roman" w:cs="Times New Roman"/>
        </w:rPr>
        <w:t>4</w:t>
      </w:r>
      <w:r>
        <w:t>、</w:t>
      </w:r>
      <w:r>
        <w:rPr>
          <w:rFonts w:hint="default" w:ascii="方正仿宋繁体" w:hAnsi="方正仿宋繁体" w:eastAsia="方正仿宋繁体" w:cs="方正仿宋繁体"/>
        </w:rPr>
        <w:t>基本支出：</w:t>
      </w:r>
      <w:r>
        <w:t>指为保障机构正常运转、完成日常工作任务而发生的人员支出和公用支出。</w:t>
      </w:r>
    </w:p>
    <w:p>
      <w:pPr>
        <w:pStyle w:val="6"/>
        <w:spacing w:before="87" w:line="240" w:lineRule="auto"/>
        <w:ind w:left="680" w:right="0"/>
        <w:jc w:val="left"/>
      </w:pPr>
      <w:r>
        <w:rPr>
          <w:rFonts w:hint="default" w:ascii="Times New Roman" w:hAnsi="Times New Roman" w:eastAsia="Times New Roman" w:cs="Times New Roman"/>
        </w:rPr>
        <w:t>5</w:t>
      </w:r>
      <w:r>
        <w:t>、</w:t>
      </w:r>
      <w:r>
        <w:rPr>
          <w:rFonts w:hint="default" w:ascii="方正仿宋繁体" w:hAnsi="方正仿宋繁体" w:eastAsia="方正仿宋繁体" w:cs="方正仿宋繁体"/>
        </w:rPr>
        <w:t>项目支出：</w:t>
      </w:r>
      <w:r>
        <w:t>指在基本支出之外为完成特定行政任务和事业发展目标所发生的支出。</w:t>
      </w:r>
    </w:p>
    <w:p>
      <w:pPr>
        <w:spacing w:after="0" w:line="240" w:lineRule="auto"/>
        <w:jc w:val="left"/>
        <w:sectPr>
          <w:pgSz w:w="16840" w:h="11910" w:orient="landscape"/>
          <w:pgMar w:top="1100" w:right="920" w:bottom="1160" w:left="900" w:header="0" w:footer="977" w:gutter="0"/>
          <w:cols w:space="720" w:num="1"/>
        </w:sectPr>
      </w:pPr>
    </w:p>
    <w:p>
      <w:pPr>
        <w:spacing w:before="7" w:line="240" w:lineRule="auto"/>
        <w:ind w:right="0"/>
        <w:rPr>
          <w:rFonts w:hint="default" w:ascii="方正仿宋繁体" w:hAnsi="方正仿宋繁体" w:eastAsia="方正仿宋繁体" w:cs="方正仿宋繁体"/>
          <w:sz w:val="22"/>
          <w:szCs w:val="22"/>
        </w:rPr>
      </w:pPr>
    </w:p>
    <w:p>
      <w:pPr>
        <w:pStyle w:val="6"/>
        <w:spacing w:line="393" w:lineRule="exact"/>
        <w:ind w:left="680" w:right="230"/>
        <w:jc w:val="left"/>
      </w:pPr>
      <w:r>
        <w:rPr>
          <w:rFonts w:hint="default" w:ascii="Times New Roman" w:hAnsi="Times New Roman" w:eastAsia="Times New Roman" w:cs="Times New Roman"/>
        </w:rPr>
        <w:t>6</w:t>
      </w:r>
      <w:r>
        <w:t>、</w:t>
      </w:r>
      <w:r>
        <w:rPr>
          <w:rFonts w:hint="default" w:ascii="方正仿宋繁体" w:hAnsi="方正仿宋繁体" w:eastAsia="方正仿宋繁体" w:cs="方正仿宋繁体"/>
        </w:rPr>
        <w:t>上缴上级支出：</w:t>
      </w:r>
      <w:r>
        <w:t>指下级单位上缴上级的支出。</w:t>
      </w:r>
    </w:p>
    <w:p>
      <w:pPr>
        <w:pStyle w:val="6"/>
        <w:spacing w:before="88" w:line="290" w:lineRule="auto"/>
        <w:ind w:right="239" w:firstLine="560"/>
        <w:jc w:val="both"/>
      </w:pPr>
      <w:r>
        <w:rPr>
          <w:rFonts w:hint="default" w:ascii="Times New Roman" w:hAnsi="Times New Roman" w:eastAsia="Times New Roman" w:cs="Times New Roman"/>
          <w:spacing w:val="-1"/>
        </w:rPr>
        <w:t>7</w:t>
      </w:r>
      <w:r>
        <w:rPr>
          <w:spacing w:val="-1"/>
        </w:rPr>
        <w:t>、</w:t>
      </w:r>
      <w:r>
        <w:rPr>
          <w:rFonts w:hint="default" w:ascii="Times New Roman" w:hAnsi="Times New Roman" w:eastAsia="Times New Roman" w:cs="Times New Roman"/>
          <w:spacing w:val="-1"/>
          <w:sz w:val="24"/>
          <w:szCs w:val="24"/>
        </w:rPr>
        <w:t>“</w:t>
      </w:r>
      <w:r>
        <w:rPr>
          <w:rFonts w:hint="default" w:ascii="方正仿宋繁体" w:hAnsi="方正仿宋繁体" w:eastAsia="方正仿宋繁体" w:cs="方正仿宋繁体"/>
          <w:spacing w:val="-1"/>
        </w:rPr>
        <w:t>三公</w:t>
      </w:r>
      <w:r>
        <w:rPr>
          <w:rFonts w:hint="default" w:ascii="Times New Roman" w:hAnsi="Times New Roman" w:eastAsia="Times New Roman" w:cs="Times New Roman"/>
          <w:spacing w:val="-1"/>
          <w:sz w:val="24"/>
          <w:szCs w:val="24"/>
        </w:rPr>
        <w:t>”</w:t>
      </w:r>
      <w:r>
        <w:rPr>
          <w:rFonts w:hint="default" w:ascii="方正仿宋繁体" w:hAnsi="方正仿宋繁体" w:eastAsia="方正仿宋繁体" w:cs="方正仿宋繁体"/>
          <w:spacing w:val="-1"/>
        </w:rPr>
        <w:t>经费：</w:t>
      </w:r>
      <w:r>
        <w:rPr>
          <w:spacing w:val="-1"/>
        </w:rPr>
        <w:t>纳入县级财政预算管理的</w:t>
      </w:r>
      <w:r>
        <w:rPr>
          <w:rFonts w:hint="default" w:ascii="Times New Roman" w:hAnsi="Times New Roman" w:eastAsia="Times New Roman" w:cs="Times New Roman"/>
          <w:spacing w:val="-1"/>
          <w:sz w:val="24"/>
          <w:szCs w:val="24"/>
        </w:rPr>
        <w:t>“</w:t>
      </w:r>
      <w:r>
        <w:rPr>
          <w:spacing w:val="-1"/>
        </w:rPr>
        <w:t>三公</w:t>
      </w:r>
      <w:r>
        <w:rPr>
          <w:rFonts w:hint="default" w:ascii="Times New Roman" w:hAnsi="Times New Roman" w:eastAsia="Times New Roman" w:cs="Times New Roman"/>
          <w:spacing w:val="-1"/>
          <w:sz w:val="24"/>
          <w:szCs w:val="24"/>
        </w:rPr>
        <w:t>”</w:t>
      </w:r>
      <w:r>
        <w:rPr>
          <w:spacing w:val="-1"/>
        </w:rPr>
        <w:t>经费，是指县级部门用财政拨款安排的因公出国（境）费、公务用车</w:t>
      </w:r>
      <w:r>
        <w:t xml:space="preserve"> </w:t>
      </w:r>
      <w:r>
        <w:rPr>
          <w:spacing w:val="-1"/>
        </w:rPr>
        <w:t>购置及运维费和公务接待费。其中，因公出国（境）费反映单位公务出国（境）的住宿费、旅费、伙食补助费、杂费、培</w:t>
      </w:r>
      <w:r>
        <w:t xml:space="preserve"> </w:t>
      </w:r>
      <w:r>
        <w:rPr>
          <w:spacing w:val="-1"/>
        </w:rPr>
        <w:t>训费等支出；公务用车购置及运维费反映单位公务用车购置费及租用费、燃料费、维修费、过路过桥费、保险费、安全奖</w:t>
      </w:r>
      <w:r>
        <w:t xml:space="preserve"> 励费用等支出；公务接待费反映单位按规定开支的各类公务接待（含外宾接待）支出。</w:t>
      </w:r>
    </w:p>
    <w:p>
      <w:pPr>
        <w:pStyle w:val="6"/>
        <w:spacing w:before="22" w:line="290" w:lineRule="auto"/>
        <w:ind w:right="0" w:firstLine="560"/>
        <w:jc w:val="left"/>
      </w:pPr>
      <w:r>
        <w:rPr>
          <w:rFonts w:hint="default" w:ascii="Times New Roman" w:hAnsi="Times New Roman" w:eastAsia="Times New Roman" w:cs="Times New Roman"/>
        </w:rPr>
        <w:t>8</w:t>
      </w:r>
      <w:r>
        <w:t>、</w:t>
      </w:r>
      <w:r>
        <w:rPr>
          <w:rFonts w:hint="default" w:ascii="方正仿宋繁体" w:hAnsi="方正仿宋繁体" w:eastAsia="方正仿宋繁体" w:cs="方正仿宋繁体"/>
        </w:rPr>
        <w:t>机关运行费：</w:t>
      </w:r>
      <w:r>
        <w:t xml:space="preserve">是指各部门的公用经费，包括办公及印刷费、邮电费、差旅费、会议费、福利费、日常维修费、专 </w:t>
      </w:r>
      <w:r>
        <w:rPr>
          <w:spacing w:val="-4"/>
        </w:rPr>
        <w:t>用材料及一般设备购置费、办公用房水电费、办公用房取暖费、办公用房物业管理费、公务用车运行维护费以及其他费用。</w:t>
      </w:r>
    </w:p>
    <w:p>
      <w:pPr>
        <w:pStyle w:val="6"/>
        <w:spacing w:before="22" w:line="240" w:lineRule="auto"/>
        <w:ind w:left="680" w:right="230"/>
        <w:jc w:val="left"/>
      </w:pPr>
      <w:r>
        <w:rPr>
          <w:rFonts w:hint="default" w:ascii="Times New Roman" w:hAnsi="Times New Roman" w:eastAsia="Times New Roman" w:cs="Times New Roman"/>
        </w:rPr>
        <w:t>9</w:t>
      </w:r>
      <w:r>
        <w:t>、</w:t>
      </w:r>
      <w:r>
        <w:rPr>
          <w:rFonts w:hint="default" w:ascii="方正仿宋繁体" w:hAnsi="方正仿宋繁体" w:eastAsia="方正仿宋繁体" w:cs="方正仿宋繁体"/>
        </w:rPr>
        <w:t>上年结转：</w:t>
      </w:r>
      <w:r>
        <w:t>指以前年度尚未完成、结转到本年仍按原规定用途继续使用的资金。</w:t>
      </w:r>
    </w:p>
    <w:p>
      <w:pPr>
        <w:pStyle w:val="6"/>
        <w:spacing w:before="88" w:line="240" w:lineRule="auto"/>
        <w:ind w:left="680" w:right="230"/>
        <w:jc w:val="left"/>
      </w:pPr>
      <w:r>
        <w:rPr>
          <w:rFonts w:hint="default" w:ascii="Times New Roman" w:hAnsi="Times New Roman" w:eastAsia="Times New Roman" w:cs="Times New Roman"/>
        </w:rPr>
        <w:t>10</w:t>
      </w:r>
      <w:r>
        <w:t>、</w:t>
      </w:r>
      <w:r>
        <w:rPr>
          <w:rFonts w:hint="default" w:ascii="方正仿宋繁体" w:hAnsi="方正仿宋繁体" w:eastAsia="方正仿宋繁体" w:cs="方正仿宋繁体"/>
        </w:rPr>
        <w:t>事业单位经营支出：</w:t>
      </w:r>
      <w:r>
        <w:t>指事业单位在专业业务活动及其辅助活动之外开展非独立核算经营活动发生的支出。</w:t>
      </w:r>
    </w:p>
    <w:p>
      <w:pPr>
        <w:pStyle w:val="5"/>
        <w:spacing w:before="240" w:line="240" w:lineRule="auto"/>
        <w:ind w:right="230"/>
        <w:jc w:val="left"/>
      </w:pPr>
      <w:r>
        <w:t>九、其他需要说明的事项</w:t>
      </w:r>
    </w:p>
    <w:p>
      <w:pPr>
        <w:spacing w:before="11" w:line="240" w:lineRule="auto"/>
        <w:ind w:right="0"/>
        <w:rPr>
          <w:rFonts w:hint="default" w:ascii="宋体" w:hAnsi="宋体" w:eastAsia="宋体" w:cs="宋体"/>
          <w:sz w:val="27"/>
          <w:szCs w:val="27"/>
        </w:rPr>
      </w:pPr>
    </w:p>
    <w:p>
      <w:pPr>
        <w:pStyle w:val="6"/>
        <w:spacing w:line="240" w:lineRule="auto"/>
        <w:ind w:left="680" w:right="230"/>
        <w:jc w:val="left"/>
      </w:pPr>
      <w:r>
        <w:t>我部门无其他需要说明的事项。</w:t>
      </w:r>
    </w:p>
    <w:sectPr>
      <w:pgSz w:w="16840" w:h="11910" w:orient="landscape"/>
      <w:pgMar w:top="1100" w:right="780" w:bottom="1160" w:left="900" w:header="0" w:footer="9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繁体">
    <w:altName w:val="宋体"/>
    <w:panose1 w:val="00000000000000000000"/>
    <w:charset w:val="86"/>
    <w:family w:val="auto"/>
    <w:pitch w:val="default"/>
    <w:sig w:usb0="00000000" w:usb1="00000000" w:usb2="00000000" w:usb3="00000000" w:csb0="00000000" w:csb1="00000000"/>
  </w:font>
  <w:font w:name="方正仿宋繁体">
    <w:altName w:val="仿宋"/>
    <w:panose1 w:val="00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785.4pt;margin-top:535.35pt;height:11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hint="default" w:ascii="Times New Roman" w:hAnsi="Times New Roman" w:eastAsia="Times New Roman" w:cs="Times New Roman"/>
                    <w:sz w:val="18"/>
                    <w:szCs w:val="18"/>
                  </w:rPr>
                </w:pPr>
                <w:r>
                  <w:rPr>
                    <w:rFonts w:ascii="Times New Roman"/>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8" o:spid="_x0000_s4098" o:spt="202" type="#_x0000_t202" style="position:absolute;left:0pt;margin-left:49.95pt;margin-top:535.35pt;height:11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hint="default" w:ascii="Times New Roman" w:hAnsi="Times New Roman" w:eastAsia="Times New Roman" w:cs="Times New Roman"/>
                    <w:sz w:val="18"/>
                    <w:szCs w:val="18"/>
                  </w:rPr>
                </w:pPr>
                <w:r>
                  <w:rPr>
                    <w:rFonts w:ascii="Times New Roman"/>
                    <w:sz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9" o:spid="_x0000_s4099" o:spt="202" type="#_x0000_t202" style="position:absolute;left:0pt;margin-left:779.9pt;margin-top:535.35pt;height:11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100" o:spid="_x0000_s4100" o:spt="202" type="#_x0000_t202" style="position:absolute;left:0pt;margin-left:48.95pt;margin-top:535.35pt;height:11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hint="default"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DRjN2Y2NWE5MTY3ZTIxZTI1ZTUyZjA0M2JjZDg1NzkifQ=="/>
  </w:docVars>
  <w:rsids>
    <w:rsidRoot w:val="00000000"/>
    <w:rsid w:val="37A279F9"/>
    <w:rsid w:val="46BD1481"/>
    <w:rsid w:val="59E93923"/>
    <w:rsid w:val="6A3F0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ind w:left="17"/>
      <w:outlineLvl w:val="1"/>
    </w:pPr>
    <w:rPr>
      <w:rFonts w:ascii="方正小标宋繁体" w:hAnsi="方正小标宋繁体" w:eastAsia="方正小标宋繁体"/>
      <w:sz w:val="44"/>
      <w:szCs w:val="44"/>
    </w:rPr>
  </w:style>
  <w:style w:type="paragraph" w:styleId="3">
    <w:name w:val="heading 2"/>
    <w:basedOn w:val="1"/>
    <w:next w:val="1"/>
    <w:autoRedefine/>
    <w:qFormat/>
    <w:uiPriority w:val="1"/>
    <w:pPr>
      <w:outlineLvl w:val="2"/>
    </w:pPr>
    <w:rPr>
      <w:rFonts w:ascii="方正小标宋繁体" w:hAnsi="方正小标宋繁体" w:eastAsia="方正小标宋繁体"/>
      <w:sz w:val="36"/>
      <w:szCs w:val="36"/>
    </w:rPr>
  </w:style>
  <w:style w:type="paragraph" w:styleId="4">
    <w:name w:val="heading 3"/>
    <w:basedOn w:val="1"/>
    <w:next w:val="1"/>
    <w:qFormat/>
    <w:uiPriority w:val="1"/>
    <w:pPr>
      <w:ind w:left="763"/>
      <w:outlineLvl w:val="3"/>
    </w:pPr>
    <w:rPr>
      <w:rFonts w:ascii="宋体" w:hAnsi="宋体" w:eastAsia="宋体"/>
      <w:b/>
      <w:bCs/>
      <w:sz w:val="32"/>
      <w:szCs w:val="32"/>
    </w:rPr>
  </w:style>
  <w:style w:type="paragraph" w:styleId="5">
    <w:name w:val="heading 4"/>
    <w:basedOn w:val="1"/>
    <w:next w:val="1"/>
    <w:autoRedefine/>
    <w:qFormat/>
    <w:uiPriority w:val="1"/>
    <w:pPr>
      <w:spacing w:before="1"/>
      <w:ind w:left="759"/>
      <w:outlineLvl w:val="4"/>
    </w:pPr>
    <w:rPr>
      <w:rFonts w:ascii="宋体" w:hAnsi="宋体" w:eastAsia="宋体"/>
      <w:sz w:val="32"/>
      <w:szCs w:val="32"/>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qFormat/>
    <w:uiPriority w:val="1"/>
    <w:pPr>
      <w:ind w:left="119"/>
    </w:pPr>
    <w:rPr>
      <w:rFonts w:ascii="方正仿宋繁体" w:hAnsi="方正仿宋繁体" w:eastAsia="方正仿宋繁体"/>
      <w:sz w:val="28"/>
      <w:szCs w:val="28"/>
    </w:rPr>
  </w:style>
  <w:style w:type="paragraph" w:styleId="7">
    <w:name w:val="toc 1"/>
    <w:basedOn w:val="1"/>
    <w:next w:val="1"/>
    <w:autoRedefine/>
    <w:qFormat/>
    <w:uiPriority w:val="1"/>
    <w:pPr>
      <w:spacing w:before="550"/>
      <w:ind w:left="119"/>
    </w:pPr>
    <w:rPr>
      <w:rFonts w:ascii="宋体" w:hAnsi="宋体" w:eastAsia="宋体"/>
      <w:b/>
      <w:bCs/>
      <w:sz w:val="28"/>
      <w:szCs w:val="28"/>
    </w:rPr>
  </w:style>
  <w:style w:type="paragraph" w:styleId="8">
    <w:name w:val="toc 2"/>
    <w:basedOn w:val="1"/>
    <w:next w:val="1"/>
    <w:autoRedefine/>
    <w:qFormat/>
    <w:uiPriority w:val="1"/>
    <w:pPr>
      <w:spacing w:before="212"/>
      <w:ind w:left="544"/>
    </w:pPr>
    <w:rPr>
      <w:rFonts w:ascii="方正仿宋繁体" w:hAnsi="方正仿宋繁体" w:eastAsia="方正仿宋繁体"/>
      <w:sz w:val="28"/>
      <w:szCs w:val="28"/>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style>
  <w:style w:type="paragraph" w:customStyle="1" w:styleId="13">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17933</Words>
  <Characters>21225</Characters>
  <TotalTime>2</TotalTime>
  <ScaleCrop>false</ScaleCrop>
  <LinksUpToDate>false</LinksUpToDate>
  <CharactersWithSpaces>21836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2022-07-11T10:01:00Z</dcterms:created>
  <dc:creator>PCPC</dc:creator>
  <cp:lastModifiedBy>勇</cp:lastModifiedBy>
  <dcterms:modified xsi:type="dcterms:W3CDTF">2024-01-24T01:43:11Z</dcterms:modified>
  <dc:title>&lt;4D6963726F736F667420576F7264202D2032303231C4EAD7E6C9BDD5F2C8CBC3F1D5FEB8AEB2BFC3C5D4A4CBE3B9ABBFAA2E646F63&gt;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PScript5.dll Version 5.2.2</vt:lpwstr>
  </property>
  <property fmtid="{D5CDD505-2E9C-101B-9397-08002B2CF9AE}" pid="4" name="LastSaved">
    <vt:filetime>2022-07-11T00:00:00Z</vt:filetime>
  </property>
  <property fmtid="{D5CDD505-2E9C-101B-9397-08002B2CF9AE}" pid="5" name="KSOProductBuildVer">
    <vt:lpwstr>2052-12.1.0.16250</vt:lpwstr>
  </property>
  <property fmtid="{D5CDD505-2E9C-101B-9397-08002B2CF9AE}" pid="6" name="ICV">
    <vt:lpwstr>3A7576E73D1E418A81083DFACA0DE40F</vt:lpwstr>
  </property>
</Properties>
</file>