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青龙满族自治县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县委办2018年部门预算信息公开情况说明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val="en-US" w:eastAsia="zh-CN"/>
        </w:rPr>
        <w:t>中华人民共和国</w:t>
      </w:r>
      <w:bookmarkStart w:id="5" w:name="_GoBack"/>
      <w:bookmarkEnd w:id="5"/>
      <w:r>
        <w:rPr>
          <w:rFonts w:hint="eastAsia" w:ascii="仿宋_GB2312" w:hAnsi="Times New Roman" w:eastAsia="仿宋_GB2312" w:cs="Times New Roman"/>
          <w:sz w:val="32"/>
          <w:szCs w:val="32"/>
        </w:rPr>
        <w:t>预算法》、《地方预决算公开操作规程》和《河北省预决算公开操作规程实施细则》规定，现将青龙县县委办2018年部门预算公开如下：</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一、部门职责及机构设置情况</w:t>
      </w:r>
    </w:p>
    <w:p>
      <w:pPr>
        <w:ind w:firstLine="643" w:firstLineChars="200"/>
        <w:jc w:val="left"/>
        <w:rPr>
          <w:rFonts w:ascii="仿宋_GB2312" w:hAnsi="仿宋" w:eastAsia="仿宋_GB2312"/>
          <w:sz w:val="32"/>
          <w:szCs w:val="32"/>
        </w:rPr>
      </w:pPr>
      <w:r>
        <w:rPr>
          <w:rFonts w:hint="eastAsia" w:ascii="仿宋_GB2312" w:hAnsi="Times New Roman" w:eastAsia="仿宋_GB2312" w:cs="Times New Roman"/>
          <w:b/>
          <w:sz w:val="32"/>
          <w:szCs w:val="32"/>
        </w:rPr>
        <w:t>部门职责：</w:t>
      </w:r>
      <w:r>
        <w:rPr>
          <w:rFonts w:hint="eastAsia" w:ascii="仿宋_GB2312" w:hAnsi="仿宋" w:eastAsia="仿宋_GB2312"/>
          <w:sz w:val="32"/>
          <w:szCs w:val="32"/>
        </w:rPr>
        <w:t>（一）负责收集县委各部门、各基层党委、党组的工作情况，并进行综合分析、总结归类，为县委领导提供决策依据。</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（二）负责县委领导、县委各部门之间的工作协调。</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（三）负责县委机关的后勤服务。</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（四）负责管理县委印章。</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（五）负责县委文件、县委领导讲话的起草、核稿。</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（六）负责县委领导活动的日程安排。</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（七）负责县委各种会议的通知、签到、会场、食宿等会议服务。</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（八）负责上下级党委发至县委的各种文件、函件的传阅、办理、归档。</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（九）负责县委重大决策、重要会议、重要工作部署、领导批办事项的督促落实。</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（十）负责县委工作信息的撰写上报。</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（十一）负责县委密码通信。</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（十二）负责全县涉密人员的教育培训、保密技术的开发、推广、利用及泄密事件的查处。</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（十三）负责县委、上级党委调研课题的组织实施。</w:t>
      </w:r>
    </w:p>
    <w:p>
      <w:pPr>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（十四）负责县党史资料的收集整理与开发利用。</w:t>
      </w:r>
    </w:p>
    <w:p>
      <w:pPr>
        <w:ind w:firstLine="640" w:firstLineChars="200"/>
        <w:outlineLvl w:val="0"/>
        <w:rPr>
          <w:rFonts w:ascii="方正小标宋_GBK" w:eastAsia="方正小标宋_GBK"/>
          <w:sz w:val="32"/>
        </w:rPr>
      </w:pPr>
      <w:r>
        <w:rPr>
          <w:rFonts w:hint="eastAsia" w:ascii="方正仿宋_GBK" w:hAnsi="Times New Roman" w:eastAsia="方正仿宋_GBK" w:cs="Times New Roman"/>
          <w:b/>
          <w:sz w:val="32"/>
          <w:szCs w:val="32"/>
        </w:rPr>
        <w:t>机构设置</w:t>
      </w:r>
      <w:bookmarkStart w:id="0" w:name="_Toc505936788"/>
      <w:r>
        <w:rPr>
          <w:rFonts w:hint="eastAsia" w:ascii="方正仿宋_GBK" w:hAnsi="Times New Roman" w:eastAsia="方正仿宋_GBK" w:cs="Times New Roman"/>
          <w:b/>
          <w:sz w:val="32"/>
          <w:szCs w:val="32"/>
        </w:rPr>
        <w:t>：</w:t>
      </w:r>
      <w:bookmarkEnd w:id="0"/>
      <w:r>
        <w:rPr>
          <w:rFonts w:ascii="方正小标宋_GBK" w:eastAsia="方正小标宋_GBK"/>
          <w:sz w:val="32"/>
        </w:rPr>
        <w:t xml:space="preserve"> </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11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80"/>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80"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8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5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中共青龙满族自治县委办公室</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5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中共青龙满族自治县委办公室（事业）</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正股级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按照预算管理有关规定，目前我县部门预算的编制实行综合预算制度，即全部收入和支出都反映在预算中。县委办机关及所属事业单位的收支包含在部门预算中。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反映本部门当年全部收入。2018年预算收入</w:t>
      </w:r>
      <w:r>
        <w:rPr>
          <w:rFonts w:hint="eastAsia" w:ascii="仿宋_GB2312" w:eastAsia="仿宋_GB2312"/>
          <w:sz w:val="32"/>
          <w:szCs w:val="32"/>
        </w:rPr>
        <w:t>569.33万</w:t>
      </w:r>
      <w:r>
        <w:rPr>
          <w:rFonts w:hint="eastAsia" w:ascii="仿宋_GB2312" w:hAnsi="Times New Roman" w:eastAsia="仿宋_GB2312" w:cs="Times New Roman"/>
          <w:sz w:val="32"/>
          <w:szCs w:val="32"/>
        </w:rPr>
        <w:t>元，其中：一般公共预算收入</w:t>
      </w:r>
      <w:r>
        <w:rPr>
          <w:rFonts w:hint="eastAsia" w:ascii="仿宋_GB2312" w:eastAsia="仿宋_GB2312"/>
          <w:sz w:val="32"/>
          <w:szCs w:val="32"/>
        </w:rPr>
        <w:t>569.33</w:t>
      </w:r>
      <w:r>
        <w:rPr>
          <w:rFonts w:hint="eastAsia" w:ascii="仿宋_GB2312" w:hAnsi="Times New Roman" w:eastAsia="仿宋_GB2312" w:cs="Times New Roman"/>
          <w:sz w:val="32"/>
          <w:szCs w:val="32"/>
        </w:rPr>
        <w:t>万元，基金预算收入0万元，财政专户核拨收入0万元，国有资本经营收入0万元，其他来源收入0万元。</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707" w:firstLineChars="221"/>
        <w:rPr>
          <w:rFonts w:ascii="Times New Roman" w:hAnsi="Times New Roman" w:eastAsia="宋体" w:cs="Times New Roman"/>
          <w:kern w:val="0"/>
          <w:sz w:val="24"/>
          <w:szCs w:val="24"/>
        </w:rPr>
      </w:pPr>
      <w:r>
        <w:rPr>
          <w:rFonts w:hint="eastAsia" w:ascii="仿宋_GB2312" w:hAnsi="Times New Roman" w:eastAsia="仿宋_GB2312" w:cs="Times New Roman"/>
          <w:sz w:val="32"/>
          <w:szCs w:val="32"/>
        </w:rPr>
        <w:t>收支预算总表支出栏、基本支出表、项目支出表按经济分类和支出功能分类科目编制，反映县委办年度部门预算中支出预算的总体情况。2018年支出预算</w:t>
      </w:r>
      <w:r>
        <w:rPr>
          <w:rFonts w:hint="eastAsia" w:ascii="仿宋_GB2312" w:eastAsia="仿宋_GB2312"/>
          <w:sz w:val="32"/>
          <w:szCs w:val="32"/>
        </w:rPr>
        <w:t>569.33</w:t>
      </w:r>
      <w:r>
        <w:rPr>
          <w:rFonts w:hint="eastAsia" w:ascii="仿宋_GB2312" w:hAnsi="Times New Roman" w:eastAsia="仿宋_GB2312" w:cs="Times New Roman"/>
          <w:sz w:val="32"/>
          <w:szCs w:val="32"/>
        </w:rPr>
        <w:t>万元，其中基本支出370.57万元，包括人员经费313.77万元和日常公用经费56.8万元；项目支出</w:t>
      </w:r>
      <w:r>
        <w:rPr>
          <w:rFonts w:hint="eastAsia" w:ascii="仿宋_GB2312" w:hAnsi="Times New Roman" w:eastAsia="仿宋_GB2312" w:cs="Times New Roman"/>
          <w:kern w:val="0"/>
          <w:sz w:val="32"/>
          <w:szCs w:val="32"/>
        </w:rPr>
        <w:t>198.76</w:t>
      </w:r>
      <w:r>
        <w:rPr>
          <w:rFonts w:hint="eastAsia" w:ascii="仿宋_GB2312" w:hAnsi="Times New Roman" w:eastAsia="仿宋_GB2312" w:cs="Times New Roman"/>
          <w:sz w:val="32"/>
          <w:szCs w:val="32"/>
        </w:rPr>
        <w:t>万元，包括本级支出和对下补助支出，主要为</w:t>
      </w:r>
      <w:r>
        <w:rPr>
          <w:rFonts w:hint="eastAsia" w:ascii="仿宋_GB2312" w:eastAsia="仿宋_GB2312"/>
          <w:sz w:val="32"/>
          <w:szCs w:val="32"/>
        </w:rPr>
        <w:t>党务活动经费、公务内网建设与维护经费、督查工作经费、调研工作经费、党史工作经费</w:t>
      </w:r>
      <w:r>
        <w:rPr>
          <w:rFonts w:hint="eastAsia" w:ascii="仿宋_GB2312" w:hAnsi="Times New Roman" w:eastAsia="仿宋_GB2312" w:cs="Times New Roman"/>
          <w:sz w:val="32"/>
          <w:szCs w:val="32"/>
        </w:rPr>
        <w:t>等。</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2018年预算收支安排</w:t>
      </w:r>
      <w:r>
        <w:rPr>
          <w:rFonts w:hint="eastAsia" w:ascii="仿宋_GB2312" w:eastAsia="仿宋_GB2312"/>
          <w:sz w:val="32"/>
          <w:szCs w:val="32"/>
        </w:rPr>
        <w:t>569.33</w:t>
      </w:r>
      <w:r>
        <w:rPr>
          <w:rFonts w:hint="eastAsia" w:ascii="仿宋_GB2312" w:hAnsi="Times New Roman" w:eastAsia="仿宋_GB2312" w:cs="Times New Roman"/>
          <w:sz w:val="32"/>
          <w:szCs w:val="32"/>
        </w:rPr>
        <w:t>万元，较2017年预算增加82.35万元，其中：基本支出增加19.79万元，主要为增加人员经费支出；项目支出增加62.56万元，主要全县大督查工作经费、网络设备购置费。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2018年，我部门机关运行经费共计安排56.8万元，办公费5.5万元、邮电费1万元、差旅费0.1万元、会议费0.1万元、公务用车运行维护费12万元、印刷费0.1万元、公务接待费2万元、网络运行维护费36万元。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财政拨款“三公”经费预算安排72万元，其中因公出国（境）费0万元，同比减少0万元；公务用车购置及运维费42万元（其中：公务用车购置费为0万元，公务用车运维费42万元)，与上年持平；公务接待费30万元，与上年持平。</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500" w:lineRule="exact"/>
        <w:ind w:firstLine="560"/>
        <w:rPr>
          <w:rFonts w:ascii="仿宋_GB2312" w:eastAsia="仿宋_GB2312"/>
          <w:sz w:val="32"/>
          <w:szCs w:val="32"/>
        </w:rPr>
      </w:pPr>
      <w:bookmarkStart w:id="1" w:name="_Toc471398463"/>
      <w:r>
        <w:rPr>
          <w:rFonts w:hint="eastAsia" w:ascii="楷体_GB2312" w:hAnsi="Times New Roman" w:eastAsia="楷体_GB2312" w:cs="Times New Roman"/>
          <w:b/>
          <w:sz w:val="32"/>
          <w:szCs w:val="32"/>
        </w:rPr>
        <w:t>总体绩效目标：</w:t>
      </w:r>
      <w:r>
        <w:rPr>
          <w:rFonts w:hint="eastAsia" w:ascii="仿宋_GB2312" w:eastAsia="仿宋_GB2312"/>
          <w:sz w:val="32"/>
          <w:szCs w:val="32"/>
        </w:rPr>
        <w:t>对县委重大事项进行协调参谋运转，做好会务接待、保障服务工作；围绕省市、县委总体工作部署开展综合调研，收集和处理信息、反映动态；承担省市、县委重要工作部署贯彻落实的督导检查，省市和县委领导同志批示件的传达和催办落实；电子政务内网、全县党委系统公务内网建设；保障机关工作正常运转；承担党史研究编纂宣传；开展调研决策、为领导提供高质量的决策和文字服务；开展保密知识培训、宣传及日常检查工作；协助处理紧急情况重大事件等。</w:t>
      </w: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1"/>
    <w:p>
      <w:pPr>
        <w:jc w:val="center"/>
        <w:outlineLvl w:val="0"/>
        <w:rPr>
          <w:rFonts w:ascii="方正小标宋_GBK" w:hAnsi="Calibri" w:eastAsia="方正小标宋_GBK" w:cs="Times New Roman"/>
          <w:sz w:val="32"/>
        </w:rPr>
      </w:pPr>
      <w:bookmarkStart w:id="2" w:name="_Toc504489147"/>
      <w:r>
        <w:rPr>
          <w:rFonts w:hint="eastAsia" w:ascii="方正小标宋_GBK" w:hAnsi="Calibri" w:eastAsia="方正小标宋_GBK" w:cs="Times New Roman"/>
          <w:sz w:val="32"/>
        </w:rPr>
        <w:t>部门职责-工作活动绩效目标</w:t>
      </w:r>
      <w:bookmarkEnd w:id="2"/>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201</w:t>
            </w:r>
            <w:r>
              <w:rPr>
                <w:rFonts w:hint="eastAsia" w:ascii="方正小标宋_GBK" w:eastAsia="方正小标宋_GBK"/>
                <w:sz w:val="24"/>
              </w:rPr>
              <w:t>县委办</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一、参谋协调运转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县委公文运转、大型会议和活动组织安排、公务接待值班工作等。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保障县委大型会议、重大活动的正常、顺利举办；保障机关公文正常运转；协助处理紧急情况重大事件。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、公文运转</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承担县委、县委领导同志交办的文件、讲话稿的起草或修改工作；县委文件和县委办公室代县委行文的核审工作；党史二卷编纂工作。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改进公文办理，规范流程，做到零停留、无差错。公文审核严谨高效，增强县委文件的权威性。加强文稿前期介入，打造精品文稿。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党史二卷编纂工作完成率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公文流转速度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文稿起草工作完成量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发文核审差错率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&lt;0.5%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、协调县委大型会议和活动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县委各种会议的会务工作和县委日常工作活动的组织安排。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县级层面重要会议活动的统筹协调，精心谋划组织好全县性重大会议活动，县委主要领导参加的重要会议活动，要从严从细谋划安排，严控会议计划、会议规模和会期，严格会议开支标准，严控大型活动数量，降低会议和活动费用开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重大工作参与率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会议筹备及会务工作的完成率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、会务接待、保障服务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负责省市领导和兄弟县市（区）党委领导同志，以及办公室系统的接待服务工作；负责县委领导同志交办的其他接待任务。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严格执行中央八项规定，坚持热情周到、简洁简朴。严格执行接待标准、降低接待费规模，保障服务到位。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接待费控制率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会务接待工作完成率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按标准进行公务接待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二、信息收集和调研督办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47.00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围绕省市、县委总体工作部署开展综合调研，收集和处理信息、反映动态；承担省市、县委重要工作部署贯彻落实的督导检查，省市和县委领导同志批示件的传达和催办落实。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省市和县委、县政府的重大决策部署，围绕县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、信息收集及民意调查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党委系统信息工作的组织、协调和指导。围绕省市、县委的重大决策部署收集、整理和反馈信息；信息发布和联络工作；社情民意调查；全县党委系统信息网络的协调和指导工作。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网络问政办结率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省办市办信息完成率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《信息专报》等刊物编辑工作完成率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全县党委系统信息协调和指导工作完成率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、督查调研</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47.00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负责全县重点工作大督查工作经费统筹管理、集中支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省市和县委、县政府的重大决策部署，围绕县领导重要批示和指示，围绕热点难点问题，明确责任、定出措施，按节点考核、按时间推进。通过调研课题就党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督查督办按时办结率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重大决策部署落实的调研工作完成率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三、全县党委系统公务内网建设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全县党委系统公务内网建设与维护。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数据资源丰富、数据正版、权威可靠，用户满意度高。线路畅通，系统运行稳定。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、公务内网建设与维护</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55.06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全县公务内网的建设和管理；计算机信息网络建设的技术开发、指导和培训；组织协调各类信息资源的上网和扩充，保障网络和信息安全；负责乡镇互联网专线接入提速升级。</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数据资源丰富、数据正版、权威可靠，用户满意度高。线路畅通，系统运行稳定。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内容条目更新速度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网络信息安全保障情况占比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网络正常运转保障时间比率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全县公务内网的建设管理工作完成率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四、保密管理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承担县委保密委员会的日常工作。全县保密管理工作；全县保密宣传教育、督促检查、协调工作；对重大失泄密事件的组织查处，保密干部培训，保密技术防范。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、保密工作及保密科技监管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承担县委保密委员会的日常工作。全县保密管理工作，组织实施保密工作的地方性法规、督促检查、协调工作；对重大失泄密事件的组织查处，保密干部培训，保密技术防范。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五、党史研究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13.70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承当党史宣传教育工作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围绕党委、政府中心工作，充分发挥党史资料教育人的作用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、党史资料征集与编研</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13.70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历史，总结历史经验，为党的建设和市委决策和市委决策提供历史借鉴，充分发挥党史资料政育人的作用，为我县改革开放和现代化建设的大局服务。强化党史宣传，大力普及党史知识，出版地方党史研究成果征集、整理、编纂历史资料，手机整理重要口述历史资料、重要党史人物回忆录，搜集、整理和研究县内外有关青龙历史的信息资料；对青龙历史上的重要人物进行综合研究；编辑出版地方党史资料汇编和研究成果；完成县委交办的党史方面及其他方面的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征集青龙县历史上的重要人物、事件资料并进行综合研究、编写青龙县党史二卷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资料征集工作完成率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党史二卷编纂人员培训率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党史二卷大纲编写工作完成率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党史二卷编纂工作任务完成率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bl>
    <w:p>
      <w:pPr>
        <w:outlineLvl w:val="0"/>
        <w:rPr>
          <w:rFonts w:ascii="仿宋_GB2312" w:hAnsi="Times New Roman" w:eastAsia="仿宋_GB2312" w:cs="Times New Roman"/>
          <w:color w:val="FF0000"/>
          <w:sz w:val="32"/>
          <w:szCs w:val="24"/>
        </w:rPr>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3" w:name="_Toc471398468"/>
      <w:r>
        <w:rPr>
          <w:rFonts w:hint="eastAsia" w:ascii="仿宋_GB2312" w:hAnsi="Times New Roman" w:eastAsia="仿宋_GB2312" w:cs="Times New Roman"/>
          <w:sz w:val="32"/>
          <w:szCs w:val="24"/>
        </w:rPr>
        <w:t xml:space="preserve">    2018年，我部门安排政府采购预算4万元。具体内容见下表。</w:t>
      </w:r>
    </w:p>
    <w:bookmarkEnd w:id="3"/>
    <w:p>
      <w:pPr>
        <w:jc w:val="center"/>
        <w:outlineLvl w:val="0"/>
        <w:rPr>
          <w:rFonts w:ascii="方正小标宋_GBK" w:hAnsi="Calibri" w:eastAsia="方正小标宋_GBK" w:cs="Times New Roman"/>
          <w:sz w:val="32"/>
        </w:rPr>
      </w:pPr>
      <w:bookmarkStart w:id="4" w:name="_Toc504489153"/>
      <w:r>
        <w:rPr>
          <w:rFonts w:hint="eastAsia" w:ascii="方正小标宋_GBK" w:hAnsi="Calibri" w:eastAsia="方正小标宋_GBK" w:cs="Times New Roman"/>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8"/>
        <w:gridCol w:w="1020"/>
        <w:gridCol w:w="894"/>
        <w:gridCol w:w="1524"/>
        <w:gridCol w:w="682"/>
        <w:gridCol w:w="743"/>
        <w:gridCol w:w="976"/>
        <w:gridCol w:w="976"/>
        <w:gridCol w:w="976"/>
        <w:gridCol w:w="976"/>
        <w:gridCol w:w="822"/>
        <w:gridCol w:w="886"/>
        <w:gridCol w:w="886"/>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7"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p>
        </w:tc>
        <w:tc>
          <w:tcPr>
            <w:tcW w:w="2183"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3" w:type="pct"/>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307"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52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234"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25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2183" w:type="pct"/>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350"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1560" w:type="pct"/>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288"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shd w:val="clear" w:color="auto" w:fill="auto"/>
            <w:vAlign w:val="center"/>
          </w:tcPr>
          <w:p>
            <w:pPr>
              <w:spacing w:line="300" w:lineRule="exact"/>
              <w:jc w:val="left"/>
              <w:outlineLvl w:val="0"/>
              <w:rPr>
                <w:rFonts w:ascii="Calibri" w:hAnsi="Calibri" w:eastAsia="宋体" w:cs="Times New Roman"/>
              </w:rPr>
            </w:pPr>
          </w:p>
        </w:tc>
        <w:tc>
          <w:tcPr>
            <w:tcW w:w="350" w:type="pct"/>
            <w:vMerge w:val="continue"/>
            <w:shd w:val="clear" w:color="auto" w:fill="auto"/>
            <w:vAlign w:val="center"/>
          </w:tcPr>
          <w:p>
            <w:pPr>
              <w:spacing w:line="300" w:lineRule="exact"/>
              <w:jc w:val="left"/>
              <w:outlineLvl w:val="0"/>
              <w:rPr>
                <w:rFonts w:ascii="Calibri" w:hAnsi="Calibri" w:eastAsia="宋体" w:cs="Times New Roman"/>
              </w:rPr>
            </w:pP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282"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288" w:type="pct"/>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350" w:type="pct"/>
            <w:shd w:val="clear" w:color="auto" w:fill="auto"/>
            <w:vAlign w:val="center"/>
          </w:tcPr>
          <w:p>
            <w:pPr>
              <w:spacing w:line="300" w:lineRule="exact"/>
              <w:jc w:val="right"/>
              <w:rPr>
                <w:rFonts w:ascii="方正书宋_GBK" w:hAnsi="Calibri" w:eastAsia="方正书宋_GBK" w:cs="Times New Roman"/>
                <w:b/>
              </w:rPr>
            </w:pP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8" w:type="pct"/>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中共青龙满族自治县委办公室小计</w:t>
            </w:r>
          </w:p>
        </w:tc>
        <w:tc>
          <w:tcPr>
            <w:tcW w:w="350" w:type="pct"/>
            <w:shd w:val="clear" w:color="auto" w:fill="auto"/>
            <w:vAlign w:val="center"/>
          </w:tcPr>
          <w:p>
            <w:pPr>
              <w:spacing w:line="300" w:lineRule="exact"/>
              <w:jc w:val="right"/>
              <w:rPr>
                <w:rFonts w:ascii="方正书宋_GBK" w:eastAsia="方正书宋_GBK"/>
                <w:b/>
              </w:rPr>
            </w:pPr>
          </w:p>
        </w:tc>
        <w:tc>
          <w:tcPr>
            <w:tcW w:w="307" w:type="pct"/>
            <w:shd w:val="clear" w:color="auto" w:fill="auto"/>
            <w:vAlign w:val="center"/>
          </w:tcPr>
          <w:p>
            <w:pPr>
              <w:spacing w:line="300" w:lineRule="exact"/>
              <w:jc w:val="left"/>
              <w:rPr>
                <w:rFonts w:ascii="方正书宋_GBK" w:eastAsia="方正书宋_GBK"/>
                <w:b/>
              </w:rPr>
            </w:pPr>
          </w:p>
        </w:tc>
        <w:tc>
          <w:tcPr>
            <w:tcW w:w="523" w:type="pct"/>
            <w:shd w:val="clear" w:color="auto" w:fill="auto"/>
            <w:vAlign w:val="center"/>
          </w:tcPr>
          <w:p>
            <w:pPr>
              <w:spacing w:line="300" w:lineRule="exact"/>
              <w:jc w:val="left"/>
              <w:rPr>
                <w:rFonts w:ascii="方正书宋_GBK" w:eastAsia="方正书宋_GBK"/>
                <w:b/>
              </w:rPr>
            </w:pPr>
          </w:p>
        </w:tc>
        <w:tc>
          <w:tcPr>
            <w:tcW w:w="234" w:type="pct"/>
            <w:shd w:val="clear" w:color="auto" w:fill="auto"/>
            <w:vAlign w:val="center"/>
          </w:tcPr>
          <w:p>
            <w:pPr>
              <w:spacing w:line="300" w:lineRule="exact"/>
              <w:jc w:val="left"/>
              <w:rPr>
                <w:rFonts w:ascii="方正书宋_GBK" w:eastAsia="方正书宋_GBK"/>
                <w:b/>
              </w:rPr>
            </w:pPr>
          </w:p>
        </w:tc>
        <w:tc>
          <w:tcPr>
            <w:tcW w:w="255" w:type="pct"/>
            <w:shd w:val="clear" w:color="auto" w:fill="auto"/>
            <w:vAlign w:val="center"/>
          </w:tcPr>
          <w:p>
            <w:pPr>
              <w:spacing w:line="300" w:lineRule="exact"/>
              <w:jc w:val="right"/>
              <w:rPr>
                <w:rFonts w:ascii="方正书宋_GBK" w:eastAsia="方正书宋_GBK"/>
                <w:b/>
              </w:rPr>
            </w:pPr>
          </w:p>
        </w:tc>
        <w:tc>
          <w:tcPr>
            <w:tcW w:w="335" w:type="pct"/>
            <w:shd w:val="clear" w:color="auto" w:fill="auto"/>
            <w:vAlign w:val="center"/>
          </w:tcPr>
          <w:p>
            <w:pPr>
              <w:spacing w:line="300" w:lineRule="exact"/>
              <w:jc w:val="right"/>
              <w:rPr>
                <w:rFonts w:ascii="方正书宋_GBK" w:eastAsia="方正书宋_GBK"/>
                <w:b/>
              </w:rPr>
            </w:pPr>
          </w:p>
        </w:tc>
        <w:tc>
          <w:tcPr>
            <w:tcW w:w="335" w:type="pct"/>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335" w:type="pct"/>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335" w:type="pct"/>
            <w:shd w:val="clear" w:color="auto" w:fill="auto"/>
            <w:vAlign w:val="center"/>
          </w:tcPr>
          <w:p>
            <w:pPr>
              <w:spacing w:line="300" w:lineRule="exact"/>
              <w:jc w:val="right"/>
              <w:rPr>
                <w:rFonts w:ascii="方正书宋_GBK" w:eastAsia="方正书宋_GBK"/>
                <w:b/>
              </w:rPr>
            </w:pPr>
            <w:r>
              <w:rPr>
                <w:rFonts w:ascii="方正书宋_GBK" w:eastAsia="方正书宋_GBK"/>
                <w:b/>
              </w:rPr>
              <w:t>4.00</w:t>
            </w:r>
          </w:p>
        </w:tc>
        <w:tc>
          <w:tcPr>
            <w:tcW w:w="282" w:type="pct"/>
            <w:shd w:val="clear" w:color="auto" w:fill="auto"/>
            <w:vAlign w:val="center"/>
          </w:tcPr>
          <w:p>
            <w:pPr>
              <w:spacing w:line="300" w:lineRule="exact"/>
              <w:jc w:val="right"/>
              <w:rPr>
                <w:rFonts w:ascii="方正书宋_GBK" w:eastAsia="方正书宋_GBK"/>
                <w:b/>
              </w:rPr>
            </w:pPr>
          </w:p>
        </w:tc>
        <w:tc>
          <w:tcPr>
            <w:tcW w:w="304" w:type="pct"/>
            <w:shd w:val="clear" w:color="auto" w:fill="auto"/>
            <w:vAlign w:val="center"/>
          </w:tcPr>
          <w:p>
            <w:pPr>
              <w:spacing w:line="300" w:lineRule="exact"/>
              <w:jc w:val="right"/>
              <w:rPr>
                <w:rFonts w:ascii="方正书宋_GBK" w:eastAsia="方正书宋_GBK"/>
                <w:b/>
              </w:rPr>
            </w:pPr>
          </w:p>
        </w:tc>
        <w:tc>
          <w:tcPr>
            <w:tcW w:w="304" w:type="pct"/>
            <w:shd w:val="clear" w:color="auto" w:fill="auto"/>
            <w:vAlign w:val="center"/>
          </w:tcPr>
          <w:p>
            <w:pPr>
              <w:spacing w:line="300" w:lineRule="exact"/>
              <w:jc w:val="right"/>
              <w:rPr>
                <w:rFonts w:ascii="方正书宋_GBK" w:eastAsia="方正书宋_GBK"/>
                <w:b/>
              </w:rPr>
            </w:pPr>
          </w:p>
        </w:tc>
        <w:tc>
          <w:tcPr>
            <w:tcW w:w="28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党务活动经费</w:t>
            </w:r>
          </w:p>
        </w:tc>
        <w:tc>
          <w:tcPr>
            <w:tcW w:w="350" w:type="pct"/>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307"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住宿和餐饮服务</w:t>
            </w:r>
          </w:p>
        </w:tc>
        <w:tc>
          <w:tcPr>
            <w:tcW w:w="523" w:type="pct"/>
            <w:shd w:val="clear" w:color="auto" w:fill="auto"/>
            <w:vAlign w:val="center"/>
          </w:tcPr>
          <w:p>
            <w:pPr>
              <w:spacing w:line="300" w:lineRule="exact"/>
              <w:jc w:val="left"/>
              <w:rPr>
                <w:rFonts w:ascii="方正书宋_GBK" w:eastAsia="方正书宋_GBK"/>
              </w:rPr>
            </w:pPr>
            <w:r>
              <w:rPr>
                <w:rFonts w:ascii="方正书宋_GBK" w:eastAsia="方正书宋_GBK"/>
              </w:rPr>
              <w:t>C07</w:t>
            </w:r>
          </w:p>
        </w:tc>
        <w:tc>
          <w:tcPr>
            <w:tcW w:w="234" w:type="pct"/>
            <w:shd w:val="clear" w:color="auto" w:fill="auto"/>
            <w:vAlign w:val="center"/>
          </w:tcPr>
          <w:p>
            <w:pPr>
              <w:spacing w:line="300" w:lineRule="exact"/>
              <w:jc w:val="left"/>
              <w:rPr>
                <w:rFonts w:ascii="方正书宋_GBK" w:eastAsia="方正书宋_GBK"/>
              </w:rPr>
            </w:pPr>
          </w:p>
        </w:tc>
        <w:tc>
          <w:tcPr>
            <w:tcW w:w="255"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282" w:type="pct"/>
            <w:shd w:val="clear" w:color="auto" w:fill="auto"/>
            <w:vAlign w:val="center"/>
          </w:tcPr>
          <w:p>
            <w:pPr>
              <w:spacing w:line="300" w:lineRule="exact"/>
              <w:jc w:val="right"/>
              <w:rPr>
                <w:rFonts w:ascii="方正书宋_GBK" w:eastAsia="方正书宋_GBK"/>
              </w:rPr>
            </w:pPr>
          </w:p>
        </w:tc>
        <w:tc>
          <w:tcPr>
            <w:tcW w:w="304" w:type="pct"/>
            <w:shd w:val="clear" w:color="auto" w:fill="auto"/>
            <w:vAlign w:val="center"/>
          </w:tcPr>
          <w:p>
            <w:pPr>
              <w:spacing w:line="300" w:lineRule="exact"/>
              <w:jc w:val="right"/>
              <w:rPr>
                <w:rFonts w:ascii="方正书宋_GBK" w:eastAsia="方正书宋_GBK"/>
              </w:rPr>
            </w:pPr>
          </w:p>
        </w:tc>
        <w:tc>
          <w:tcPr>
            <w:tcW w:w="304" w:type="pct"/>
            <w:shd w:val="clear" w:color="auto" w:fill="auto"/>
            <w:vAlign w:val="center"/>
          </w:tcPr>
          <w:p>
            <w:pPr>
              <w:spacing w:line="300" w:lineRule="exact"/>
              <w:jc w:val="right"/>
              <w:rPr>
                <w:rFonts w:ascii="方正书宋_GBK" w:eastAsia="方正书宋_GBK"/>
              </w:rPr>
            </w:pPr>
          </w:p>
        </w:tc>
        <w:tc>
          <w:tcPr>
            <w:tcW w:w="28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left"/>
              <w:rPr>
                <w:rFonts w:ascii="方正书宋_GBK" w:hAnsi="Calibri" w:eastAsia="方正书宋_GBK" w:cs="Times New Roman"/>
              </w:rPr>
            </w:pPr>
          </w:p>
        </w:tc>
        <w:tc>
          <w:tcPr>
            <w:tcW w:w="350" w:type="pct"/>
            <w:shd w:val="clear" w:color="auto" w:fill="auto"/>
            <w:vAlign w:val="center"/>
          </w:tcPr>
          <w:p>
            <w:pPr>
              <w:spacing w:line="300" w:lineRule="exact"/>
              <w:jc w:val="right"/>
              <w:rPr>
                <w:rFonts w:ascii="方正书宋_GBK" w:hAnsi="Calibri" w:eastAsia="方正书宋_GBK" w:cs="Times New Roman"/>
              </w:rPr>
            </w:pPr>
          </w:p>
        </w:tc>
        <w:tc>
          <w:tcPr>
            <w:tcW w:w="307" w:type="pct"/>
            <w:shd w:val="clear" w:color="auto" w:fill="auto"/>
            <w:vAlign w:val="center"/>
          </w:tcPr>
          <w:p>
            <w:pPr>
              <w:spacing w:line="300" w:lineRule="exact"/>
              <w:jc w:val="left"/>
              <w:rPr>
                <w:rFonts w:ascii="方正书宋_GBK" w:hAnsi="Calibri" w:eastAsia="方正书宋_GBK" w:cs="Times New Roman"/>
              </w:rPr>
            </w:pPr>
          </w:p>
        </w:tc>
        <w:tc>
          <w:tcPr>
            <w:tcW w:w="523" w:type="pct"/>
            <w:shd w:val="clear" w:color="auto" w:fill="auto"/>
            <w:vAlign w:val="center"/>
          </w:tcPr>
          <w:p>
            <w:pPr>
              <w:spacing w:line="300" w:lineRule="exact"/>
              <w:jc w:val="left"/>
              <w:rPr>
                <w:rFonts w:ascii="方正书宋_GBK" w:hAnsi="Calibri" w:eastAsia="方正书宋_GBK" w:cs="Times New Roman"/>
              </w:rPr>
            </w:pPr>
          </w:p>
        </w:tc>
        <w:tc>
          <w:tcPr>
            <w:tcW w:w="234" w:type="pct"/>
            <w:shd w:val="clear" w:color="auto" w:fill="auto"/>
            <w:vAlign w:val="center"/>
          </w:tcPr>
          <w:p>
            <w:pPr>
              <w:spacing w:line="300" w:lineRule="exact"/>
              <w:jc w:val="left"/>
              <w:rPr>
                <w:rFonts w:ascii="方正书宋_GBK" w:hAnsi="Calibri" w:eastAsia="方正书宋_GBK" w:cs="Times New Roman"/>
              </w:rPr>
            </w:pPr>
          </w:p>
        </w:tc>
        <w:tc>
          <w:tcPr>
            <w:tcW w:w="25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282"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288" w:type="pct"/>
            <w:shd w:val="clear" w:color="auto" w:fill="auto"/>
            <w:vAlign w:val="center"/>
          </w:tcPr>
          <w:p>
            <w:pPr>
              <w:spacing w:line="300" w:lineRule="exact"/>
              <w:jc w:val="right"/>
              <w:rPr>
                <w:rFonts w:ascii="方正书宋_GBK" w:hAnsi="Calibri" w:eastAsia="方正书宋_GBK" w:cs="Times New Roman"/>
              </w:rPr>
            </w:pPr>
          </w:p>
        </w:tc>
      </w:tr>
    </w:tbl>
    <w:p>
      <w:pPr>
        <w:outlineLvl w:val="0"/>
        <w:rPr>
          <w:rFonts w:ascii="仿宋_GB2312" w:hAnsi="Times New Roman" w:eastAsia="仿宋_GB2312" w:cs="Times New Roman"/>
          <w:color w:val="FF0000"/>
          <w:sz w:val="32"/>
          <w:szCs w:val="24"/>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我部门（含所属单位）上年末固定资产金额为</w:t>
      </w:r>
      <w:r>
        <w:rPr>
          <w:rFonts w:hint="eastAsia" w:ascii="仿宋_GB2312" w:hAnsi="宋体" w:eastAsia="仿宋_GB2312" w:cs="宋体"/>
          <w:sz w:val="32"/>
          <w:szCs w:val="32"/>
        </w:rPr>
        <w:t>285.57</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仿宋_GB2312" w:hAnsi="Times New Roman" w:eastAsia="仿宋_GB2312" w:cs="Times New Roman"/>
          <w:sz w:val="32"/>
          <w:szCs w:val="32"/>
        </w:rPr>
        <w:t>总额为40.41万元，</w:t>
      </w:r>
      <w:r>
        <w:rPr>
          <w:rFonts w:hint="eastAsia" w:ascii="仿宋_GB2312" w:hAnsi="黑体" w:eastAsia="仿宋_GB2312" w:cs="Times New Roman"/>
          <w:sz w:val="32"/>
          <w:szCs w:val="32"/>
        </w:rPr>
        <w:t>主要为网络设备等。</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ascii="宋体" w:hAnsi="宋体" w:eastAsia="宋体" w:cs="宋体"/>
                <w:kern w:val="0"/>
                <w:sz w:val="22"/>
              </w:rPr>
              <w:t xml:space="preserve"> </w:t>
            </w:r>
            <w:r>
              <w:rPr>
                <w:rFonts w:hint="eastAsia" w:ascii="宋体" w:hAnsi="宋体" w:eastAsia="宋体" w:cs="宋体"/>
                <w:kern w:val="0"/>
                <w:sz w:val="22"/>
              </w:rPr>
              <w:t>县委办</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285.57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6</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164.5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144</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121.07</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仿宋_GB2312" w:hAnsi="Times New Roman" w:eastAsia="仿宋_GB2312" w:cs="Times New Roman"/>
          <w:sz w:val="32"/>
          <w:szCs w:val="32"/>
        </w:rPr>
        <w:t>指县级财政通过当年一般公共预算拨付的资金。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10D1F"/>
    <w:rsid w:val="00027791"/>
    <w:rsid w:val="00037AF6"/>
    <w:rsid w:val="00041028"/>
    <w:rsid w:val="0004565F"/>
    <w:rsid w:val="00072187"/>
    <w:rsid w:val="00075D5F"/>
    <w:rsid w:val="000B529B"/>
    <w:rsid w:val="000C24E6"/>
    <w:rsid w:val="000C3A19"/>
    <w:rsid w:val="000E44E0"/>
    <w:rsid w:val="001245BB"/>
    <w:rsid w:val="001251A3"/>
    <w:rsid w:val="00133532"/>
    <w:rsid w:val="00151E97"/>
    <w:rsid w:val="001643E8"/>
    <w:rsid w:val="00172F32"/>
    <w:rsid w:val="001919C4"/>
    <w:rsid w:val="0019536D"/>
    <w:rsid w:val="0019723B"/>
    <w:rsid w:val="001A331A"/>
    <w:rsid w:val="001E0757"/>
    <w:rsid w:val="001E6DDC"/>
    <w:rsid w:val="001F7873"/>
    <w:rsid w:val="002075A6"/>
    <w:rsid w:val="00241FD4"/>
    <w:rsid w:val="00250A80"/>
    <w:rsid w:val="00251B12"/>
    <w:rsid w:val="00265318"/>
    <w:rsid w:val="002835D7"/>
    <w:rsid w:val="00290FD6"/>
    <w:rsid w:val="00296113"/>
    <w:rsid w:val="002A0D61"/>
    <w:rsid w:val="002A673A"/>
    <w:rsid w:val="002B08A2"/>
    <w:rsid w:val="002C5E13"/>
    <w:rsid w:val="002C62BC"/>
    <w:rsid w:val="002E0EB8"/>
    <w:rsid w:val="002E444B"/>
    <w:rsid w:val="002F3E58"/>
    <w:rsid w:val="002F5EC5"/>
    <w:rsid w:val="0030542C"/>
    <w:rsid w:val="00311B7A"/>
    <w:rsid w:val="00313D9C"/>
    <w:rsid w:val="00334448"/>
    <w:rsid w:val="003617A5"/>
    <w:rsid w:val="00366F06"/>
    <w:rsid w:val="003A69E6"/>
    <w:rsid w:val="003B2147"/>
    <w:rsid w:val="003B6A47"/>
    <w:rsid w:val="003E1408"/>
    <w:rsid w:val="00424943"/>
    <w:rsid w:val="0042727E"/>
    <w:rsid w:val="0043175C"/>
    <w:rsid w:val="00436368"/>
    <w:rsid w:val="00437296"/>
    <w:rsid w:val="00451590"/>
    <w:rsid w:val="00451871"/>
    <w:rsid w:val="00465478"/>
    <w:rsid w:val="004706DE"/>
    <w:rsid w:val="00472923"/>
    <w:rsid w:val="00486DCD"/>
    <w:rsid w:val="004879DC"/>
    <w:rsid w:val="004B0C3A"/>
    <w:rsid w:val="004C49A8"/>
    <w:rsid w:val="004D5788"/>
    <w:rsid w:val="004E3066"/>
    <w:rsid w:val="004E3FE4"/>
    <w:rsid w:val="004E419C"/>
    <w:rsid w:val="004E48AF"/>
    <w:rsid w:val="004E74CD"/>
    <w:rsid w:val="004F4353"/>
    <w:rsid w:val="00524EFD"/>
    <w:rsid w:val="00551BEF"/>
    <w:rsid w:val="00572067"/>
    <w:rsid w:val="00573562"/>
    <w:rsid w:val="00590ECE"/>
    <w:rsid w:val="005D7BF2"/>
    <w:rsid w:val="005F5714"/>
    <w:rsid w:val="00611D03"/>
    <w:rsid w:val="00614A29"/>
    <w:rsid w:val="00622CE8"/>
    <w:rsid w:val="0065365E"/>
    <w:rsid w:val="00671B8A"/>
    <w:rsid w:val="00673D76"/>
    <w:rsid w:val="006854F0"/>
    <w:rsid w:val="006B1C4A"/>
    <w:rsid w:val="006B610D"/>
    <w:rsid w:val="006D2D80"/>
    <w:rsid w:val="006E49F5"/>
    <w:rsid w:val="006F145D"/>
    <w:rsid w:val="007013C8"/>
    <w:rsid w:val="00701F46"/>
    <w:rsid w:val="00753836"/>
    <w:rsid w:val="0075393C"/>
    <w:rsid w:val="00754592"/>
    <w:rsid w:val="00776C08"/>
    <w:rsid w:val="007C219A"/>
    <w:rsid w:val="007E1DA8"/>
    <w:rsid w:val="007E1F30"/>
    <w:rsid w:val="007E7DA2"/>
    <w:rsid w:val="007F6C26"/>
    <w:rsid w:val="0080279E"/>
    <w:rsid w:val="00813208"/>
    <w:rsid w:val="00832367"/>
    <w:rsid w:val="008334AE"/>
    <w:rsid w:val="00836FED"/>
    <w:rsid w:val="0083724E"/>
    <w:rsid w:val="00841D53"/>
    <w:rsid w:val="00843A4D"/>
    <w:rsid w:val="00845CD2"/>
    <w:rsid w:val="00852B0D"/>
    <w:rsid w:val="00864B7F"/>
    <w:rsid w:val="00881692"/>
    <w:rsid w:val="008A6576"/>
    <w:rsid w:val="008B3CC5"/>
    <w:rsid w:val="008B52CD"/>
    <w:rsid w:val="008C7C4D"/>
    <w:rsid w:val="008D1F51"/>
    <w:rsid w:val="008E4261"/>
    <w:rsid w:val="008E70D4"/>
    <w:rsid w:val="008F1685"/>
    <w:rsid w:val="008F4662"/>
    <w:rsid w:val="008F4D22"/>
    <w:rsid w:val="00905D08"/>
    <w:rsid w:val="00925753"/>
    <w:rsid w:val="00936E97"/>
    <w:rsid w:val="009425F4"/>
    <w:rsid w:val="00943BD8"/>
    <w:rsid w:val="00954B2C"/>
    <w:rsid w:val="00963748"/>
    <w:rsid w:val="00966C5C"/>
    <w:rsid w:val="00973104"/>
    <w:rsid w:val="00995BF0"/>
    <w:rsid w:val="009A16D5"/>
    <w:rsid w:val="009A353D"/>
    <w:rsid w:val="009A6244"/>
    <w:rsid w:val="009B0B77"/>
    <w:rsid w:val="009B511E"/>
    <w:rsid w:val="009D37D3"/>
    <w:rsid w:val="009D55C2"/>
    <w:rsid w:val="00A02867"/>
    <w:rsid w:val="00A16E6C"/>
    <w:rsid w:val="00A40F60"/>
    <w:rsid w:val="00A44E3D"/>
    <w:rsid w:val="00A65869"/>
    <w:rsid w:val="00A72D2E"/>
    <w:rsid w:val="00A74447"/>
    <w:rsid w:val="00A74CE5"/>
    <w:rsid w:val="00A77500"/>
    <w:rsid w:val="00A80BBB"/>
    <w:rsid w:val="00A911E7"/>
    <w:rsid w:val="00A939D9"/>
    <w:rsid w:val="00AD5259"/>
    <w:rsid w:val="00B01D36"/>
    <w:rsid w:val="00B048A5"/>
    <w:rsid w:val="00B078CD"/>
    <w:rsid w:val="00B20712"/>
    <w:rsid w:val="00B43238"/>
    <w:rsid w:val="00B45DD3"/>
    <w:rsid w:val="00B612B0"/>
    <w:rsid w:val="00B71DEB"/>
    <w:rsid w:val="00B73582"/>
    <w:rsid w:val="00B75216"/>
    <w:rsid w:val="00B755A2"/>
    <w:rsid w:val="00B9104C"/>
    <w:rsid w:val="00B91D52"/>
    <w:rsid w:val="00B9490F"/>
    <w:rsid w:val="00B974BA"/>
    <w:rsid w:val="00BA1ACD"/>
    <w:rsid w:val="00BA72D7"/>
    <w:rsid w:val="00BC7240"/>
    <w:rsid w:val="00BD09F8"/>
    <w:rsid w:val="00C00180"/>
    <w:rsid w:val="00C005B2"/>
    <w:rsid w:val="00C2138C"/>
    <w:rsid w:val="00C7055A"/>
    <w:rsid w:val="00C94BAC"/>
    <w:rsid w:val="00CA7176"/>
    <w:rsid w:val="00CB2851"/>
    <w:rsid w:val="00CC75B0"/>
    <w:rsid w:val="00CD2773"/>
    <w:rsid w:val="00CE01BA"/>
    <w:rsid w:val="00CE143B"/>
    <w:rsid w:val="00D07DBA"/>
    <w:rsid w:val="00D206E3"/>
    <w:rsid w:val="00D21482"/>
    <w:rsid w:val="00D27003"/>
    <w:rsid w:val="00D92CC7"/>
    <w:rsid w:val="00D9307A"/>
    <w:rsid w:val="00DE14F7"/>
    <w:rsid w:val="00DE1739"/>
    <w:rsid w:val="00E167C7"/>
    <w:rsid w:val="00E37776"/>
    <w:rsid w:val="00E55B78"/>
    <w:rsid w:val="00E76361"/>
    <w:rsid w:val="00EB4BE0"/>
    <w:rsid w:val="00EC47F6"/>
    <w:rsid w:val="00EF08C9"/>
    <w:rsid w:val="00EF535E"/>
    <w:rsid w:val="00F471F7"/>
    <w:rsid w:val="00F66032"/>
    <w:rsid w:val="00F83B96"/>
    <w:rsid w:val="00F8441D"/>
    <w:rsid w:val="00F87C1E"/>
    <w:rsid w:val="00F958C2"/>
    <w:rsid w:val="00FA740E"/>
    <w:rsid w:val="00FC06C7"/>
    <w:rsid w:val="00FD5DB4"/>
    <w:rsid w:val="00FE1724"/>
    <w:rsid w:val="00FE59D6"/>
    <w:rsid w:val="60C9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18DB2-2817-48BA-8F04-D1C69B5711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851</Words>
  <Characters>4852</Characters>
  <Lines>40</Lines>
  <Paragraphs>11</Paragraphs>
  <TotalTime>116</TotalTime>
  <ScaleCrop>false</ScaleCrop>
  <LinksUpToDate>false</LinksUpToDate>
  <CharactersWithSpaces>5692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2018-08-28T02:42:00Z</dcterms:created>
  <dc:creator>guest</dc:creator>
  <cp:lastModifiedBy>hp</cp:lastModifiedBy>
  <cp:lastPrinted>2018-03-01T08:57:00Z</cp:lastPrinted>
  <dcterms:modified xsi:type="dcterms:W3CDTF">2024-01-23T07:18:28Z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