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hAnsi="方正小标宋_GBK" w:eastAsia="方正小标宋_GBK" w:cs="方正小标宋_GBK"/>
          <w:color w:val="000000"/>
          <w:sz w:val="44"/>
        </w:rPr>
      </w:pPr>
      <w:bookmarkStart w:id="0" w:name="_Toc_4_4_0000000019"/>
    </w:p>
    <w:p>
      <w:pPr>
        <w:jc w:val="center"/>
      </w:pPr>
      <w:r>
        <w:rPr>
          <w:rFonts w:ascii="黑体" w:hAnsi="宋体" w:eastAsia="黑体" w:cs="黑体"/>
          <w:b/>
          <w:color w:val="000000"/>
          <w:sz w:val="43"/>
          <w:szCs w:val="43"/>
          <w:lang w:eastAsia="zh-CN"/>
        </w:rPr>
        <w:t>202</w:t>
      </w:r>
      <w:r>
        <w:rPr>
          <w:rFonts w:hint="eastAsia" w:ascii="黑体" w:hAnsi="宋体" w:eastAsia="黑体" w:cs="黑体"/>
          <w:b/>
          <w:color w:val="000000"/>
          <w:sz w:val="43"/>
          <w:szCs w:val="43"/>
          <w:lang w:eastAsia="zh-CN"/>
        </w:rPr>
        <w:t>3</w:t>
      </w:r>
      <w:r>
        <w:rPr>
          <w:rFonts w:ascii="黑体" w:hAnsi="宋体" w:eastAsia="黑体" w:cs="黑体"/>
          <w:b/>
          <w:color w:val="000000"/>
          <w:sz w:val="43"/>
          <w:szCs w:val="43"/>
          <w:lang w:eastAsia="zh-CN"/>
        </w:rPr>
        <w:t>年单位预算信息公开目录</w:t>
      </w:r>
    </w:p>
    <w:p>
      <w:pPr>
        <w:rPr>
          <w:rFonts w:ascii="黑体" w:hAnsi="宋体" w:eastAsia="黑体" w:cs="黑体"/>
          <w:b/>
          <w:color w:val="000000"/>
          <w:sz w:val="30"/>
          <w:szCs w:val="30"/>
          <w:lang w:eastAsia="zh-CN"/>
        </w:rPr>
      </w:pPr>
    </w:p>
    <w:p>
      <w:pPr>
        <w:rPr>
          <w:rFonts w:ascii="黑体" w:hAnsi="宋体" w:eastAsia="黑体" w:cs="黑体"/>
          <w:b/>
          <w:color w:val="000000"/>
          <w:sz w:val="30"/>
          <w:szCs w:val="30"/>
          <w:lang w:eastAsia="zh-CN"/>
        </w:rPr>
      </w:pPr>
    </w:p>
    <w:p>
      <w:r>
        <w:rPr>
          <w:rFonts w:hint="eastAsia" w:ascii="黑体" w:hAnsi="宋体" w:eastAsia="黑体" w:cs="黑体"/>
          <w:b/>
          <w:color w:val="000000"/>
          <w:sz w:val="30"/>
          <w:szCs w:val="30"/>
          <w:lang w:eastAsia="zh-CN"/>
        </w:rPr>
        <w:t>单位预算</w:t>
      </w:r>
    </w:p>
    <w:p>
      <w:pPr>
        <w:numPr>
          <w:ilvl w:val="0"/>
          <w:numId w:val="1"/>
        </w:numPr>
        <w:ind w:firstLine="280" w:firstLineChars="100"/>
        <w:rPr>
          <w:rFonts w:eastAsia="宋体"/>
          <w:color w:val="000000"/>
          <w:sz w:val="28"/>
          <w:szCs w:val="28"/>
          <w:lang w:eastAsia="zh-CN"/>
        </w:rPr>
      </w:pPr>
      <w:r>
        <w:rPr>
          <w:rFonts w:ascii="Arial Unicode MS" w:hAnsi="Arial Unicode MS" w:eastAsia="Arial Unicode MS" w:cs="Arial Unicode MS"/>
          <w:color w:val="000000"/>
          <w:sz w:val="28"/>
          <w:szCs w:val="28"/>
          <w:lang w:eastAsia="zh-CN"/>
        </w:rPr>
        <w:t>青龙满族自治县发展和改革局本级收支预算</w:t>
      </w:r>
      <w:r>
        <w:rPr>
          <w:rFonts w:eastAsia="宋体"/>
          <w:color w:val="000000"/>
          <w:sz w:val="28"/>
          <w:szCs w:val="28"/>
          <w:lang w:eastAsia="zh-CN"/>
        </w:rPr>
        <w:t xml:space="preserve">................................................................................................................... </w:t>
      </w:r>
      <w:r>
        <w:rPr>
          <w:rFonts w:hint="eastAsia" w:eastAsia="宋体"/>
          <w:color w:val="000000"/>
          <w:sz w:val="28"/>
          <w:szCs w:val="28"/>
          <w:lang w:eastAsia="zh-CN"/>
        </w:rPr>
        <w:t>1</w:t>
      </w:r>
    </w:p>
    <w:p>
      <w:r>
        <w:rPr>
          <w:rFonts w:hint="eastAsia" w:ascii="Arial Unicode MS" w:hAnsi="Arial Unicode MS" w:eastAsia="Arial Unicode MS" w:cs="Arial Unicode MS"/>
          <w:b/>
          <w:color w:val="000000"/>
          <w:sz w:val="28"/>
          <w:szCs w:val="28"/>
          <w:lang w:eastAsia="zh-CN"/>
        </w:rPr>
        <w:t xml:space="preserve">单位预算信息公开情况说明 </w:t>
      </w:r>
    </w:p>
    <w:p>
      <w:pPr>
        <w:ind w:firstLine="280" w:firstLineChars="100"/>
      </w:pPr>
      <w:r>
        <w:rPr>
          <w:rFonts w:hint="eastAsia" w:ascii="Arial Unicode MS" w:hAnsi="Arial Unicode MS" w:eastAsia="Arial Unicode MS" w:cs="Arial Unicode MS"/>
          <w:color w:val="000000"/>
          <w:sz w:val="28"/>
          <w:szCs w:val="28"/>
          <w:lang w:eastAsia="zh-CN"/>
        </w:rPr>
        <w:t>一、单位职责及机构设置情况</w:t>
      </w:r>
      <w:r>
        <w:rPr>
          <w:rFonts w:eastAsia="宋体"/>
          <w:color w:val="000000"/>
          <w:sz w:val="28"/>
          <w:szCs w:val="28"/>
          <w:lang w:eastAsia="zh-CN"/>
        </w:rPr>
        <w:t>..................................................................................................................................................</w:t>
      </w:r>
      <w:r>
        <w:rPr>
          <w:rFonts w:hint="eastAsia" w:eastAsia="宋体"/>
          <w:color w:val="000000"/>
          <w:sz w:val="28"/>
          <w:szCs w:val="28"/>
          <w:lang w:eastAsia="zh-CN"/>
        </w:rPr>
        <w:t>20</w:t>
      </w:r>
    </w:p>
    <w:p>
      <w:pPr>
        <w:ind w:firstLine="280" w:firstLineChars="100"/>
      </w:pPr>
      <w:r>
        <w:rPr>
          <w:rFonts w:hint="eastAsia" w:ascii="Arial Unicode MS" w:hAnsi="Arial Unicode MS" w:eastAsia="Arial Unicode MS" w:cs="Arial Unicode MS"/>
          <w:color w:val="000000"/>
          <w:sz w:val="28"/>
          <w:szCs w:val="28"/>
          <w:lang w:eastAsia="zh-CN"/>
        </w:rPr>
        <w:t>二、单位预算安排的总体情况</w:t>
      </w:r>
      <w:r>
        <w:rPr>
          <w:rFonts w:eastAsia="宋体"/>
          <w:color w:val="000000"/>
          <w:sz w:val="28"/>
          <w:szCs w:val="28"/>
          <w:lang w:eastAsia="zh-CN"/>
        </w:rPr>
        <w:t>..................................................................................................................................................</w:t>
      </w:r>
      <w:r>
        <w:rPr>
          <w:rFonts w:hint="eastAsia" w:eastAsia="宋体"/>
          <w:color w:val="000000"/>
          <w:sz w:val="28"/>
          <w:szCs w:val="28"/>
          <w:lang w:eastAsia="zh-CN"/>
        </w:rPr>
        <w:t>21</w:t>
      </w:r>
    </w:p>
    <w:p>
      <w:pPr>
        <w:ind w:firstLine="280" w:firstLineChars="100"/>
      </w:pPr>
      <w:r>
        <w:rPr>
          <w:rFonts w:hint="eastAsia" w:ascii="Arial Unicode MS" w:hAnsi="Arial Unicode MS" w:eastAsia="Arial Unicode MS" w:cs="Arial Unicode MS"/>
          <w:color w:val="000000"/>
          <w:sz w:val="28"/>
          <w:szCs w:val="28"/>
          <w:lang w:eastAsia="zh-CN"/>
        </w:rPr>
        <w:t>三、机关运行经费安排情况</w:t>
      </w:r>
      <w:r>
        <w:rPr>
          <w:rFonts w:eastAsia="宋体"/>
          <w:color w:val="000000"/>
          <w:sz w:val="28"/>
          <w:szCs w:val="28"/>
          <w:lang w:eastAsia="zh-CN"/>
        </w:rPr>
        <w:t>......................................................................................................................................................</w:t>
      </w:r>
      <w:r>
        <w:rPr>
          <w:rFonts w:hint="eastAsia" w:eastAsia="宋体"/>
          <w:color w:val="000000"/>
          <w:sz w:val="28"/>
          <w:szCs w:val="28"/>
          <w:lang w:eastAsia="zh-CN"/>
        </w:rPr>
        <w:t>22</w:t>
      </w:r>
    </w:p>
    <w:p>
      <w:pPr>
        <w:ind w:firstLine="280" w:firstLineChars="100"/>
      </w:pPr>
      <w:r>
        <w:rPr>
          <w:rFonts w:hint="eastAsia" w:ascii="Arial Unicode MS" w:hAnsi="Arial Unicode MS" w:eastAsia="Arial Unicode MS" w:cs="Arial Unicode MS"/>
          <w:color w:val="000000"/>
          <w:sz w:val="28"/>
          <w:szCs w:val="28"/>
          <w:lang w:eastAsia="zh-CN"/>
        </w:rPr>
        <w:t>四、财政拨款</w:t>
      </w:r>
      <w:r>
        <w:rPr>
          <w:rFonts w:eastAsia="宋体"/>
          <w:color w:val="000000"/>
          <w:sz w:val="28"/>
          <w:szCs w:val="28"/>
          <w:lang w:eastAsia="zh-CN"/>
        </w:rPr>
        <w:t>“</w:t>
      </w:r>
      <w:r>
        <w:rPr>
          <w:rFonts w:hint="eastAsia" w:ascii="Arial Unicode MS" w:hAnsi="Arial Unicode MS" w:eastAsia="Arial Unicode MS" w:cs="Arial Unicode MS"/>
          <w:color w:val="000000"/>
          <w:sz w:val="28"/>
          <w:szCs w:val="28"/>
          <w:lang w:eastAsia="zh-CN"/>
        </w:rPr>
        <w:t>三公</w:t>
      </w:r>
      <w:r>
        <w:rPr>
          <w:rFonts w:eastAsia="宋体"/>
          <w:color w:val="000000"/>
          <w:sz w:val="28"/>
          <w:szCs w:val="28"/>
          <w:lang w:eastAsia="zh-CN"/>
        </w:rPr>
        <w:t>”</w:t>
      </w:r>
      <w:r>
        <w:rPr>
          <w:rFonts w:hint="eastAsia" w:ascii="Arial Unicode MS" w:hAnsi="Arial Unicode MS" w:eastAsia="Arial Unicode MS" w:cs="Arial Unicode MS"/>
          <w:color w:val="000000"/>
          <w:sz w:val="28"/>
          <w:szCs w:val="28"/>
          <w:lang w:eastAsia="zh-CN"/>
        </w:rPr>
        <w:t>经费预算情况及增减变化原因</w:t>
      </w:r>
      <w:r>
        <w:rPr>
          <w:rFonts w:eastAsia="宋体"/>
          <w:color w:val="000000"/>
          <w:sz w:val="28"/>
          <w:szCs w:val="28"/>
          <w:lang w:eastAsia="zh-CN"/>
        </w:rPr>
        <w:t>..............................................................................................................</w:t>
      </w:r>
      <w:r>
        <w:rPr>
          <w:rFonts w:hint="eastAsia" w:eastAsia="宋体"/>
          <w:color w:val="000000"/>
          <w:sz w:val="28"/>
          <w:szCs w:val="28"/>
          <w:lang w:eastAsia="zh-CN"/>
        </w:rPr>
        <w:t>22</w:t>
      </w:r>
    </w:p>
    <w:p>
      <w:pPr>
        <w:ind w:firstLine="280" w:firstLineChars="100"/>
      </w:pPr>
      <w:r>
        <w:rPr>
          <w:rFonts w:hint="eastAsia" w:ascii="Arial Unicode MS" w:hAnsi="Arial Unicode MS" w:eastAsia="Arial Unicode MS" w:cs="Arial Unicode MS"/>
          <w:color w:val="000000"/>
          <w:sz w:val="28"/>
          <w:szCs w:val="28"/>
          <w:lang w:eastAsia="zh-CN"/>
        </w:rPr>
        <w:t>五、预算绩效信息</w:t>
      </w:r>
      <w:r>
        <w:rPr>
          <w:rFonts w:eastAsia="宋体"/>
          <w:color w:val="000000"/>
          <w:sz w:val="28"/>
          <w:szCs w:val="28"/>
          <w:lang w:eastAsia="zh-CN"/>
        </w:rPr>
        <w:t>......................................................................................................................................................................</w:t>
      </w:r>
      <w:r>
        <w:rPr>
          <w:rFonts w:hint="eastAsia" w:eastAsia="宋体"/>
          <w:color w:val="000000"/>
          <w:sz w:val="28"/>
          <w:szCs w:val="28"/>
          <w:lang w:eastAsia="zh-CN"/>
        </w:rPr>
        <w:t>22</w:t>
      </w:r>
    </w:p>
    <w:p>
      <w:pPr>
        <w:ind w:firstLine="280" w:firstLineChars="100"/>
      </w:pPr>
      <w:r>
        <w:rPr>
          <w:rFonts w:hint="eastAsia" w:ascii="Arial Unicode MS" w:hAnsi="Arial Unicode MS" w:eastAsia="Arial Unicode MS" w:cs="Arial Unicode MS"/>
          <w:color w:val="000000"/>
          <w:sz w:val="28"/>
          <w:szCs w:val="28"/>
          <w:lang w:eastAsia="zh-CN"/>
        </w:rPr>
        <w:t>六、政府采购预算情况</w:t>
      </w:r>
      <w:r>
        <w:rPr>
          <w:rFonts w:eastAsia="宋体"/>
          <w:color w:val="000000"/>
          <w:sz w:val="28"/>
          <w:szCs w:val="28"/>
          <w:lang w:eastAsia="zh-CN"/>
        </w:rPr>
        <w:t>............................................................................................................................................................</w:t>
      </w:r>
      <w:r>
        <w:rPr>
          <w:rFonts w:hint="eastAsia" w:eastAsia="宋体"/>
          <w:color w:val="000000"/>
          <w:sz w:val="28"/>
          <w:szCs w:val="28"/>
          <w:lang w:eastAsia="zh-CN"/>
        </w:rPr>
        <w:t>72</w:t>
      </w:r>
    </w:p>
    <w:p>
      <w:pPr>
        <w:ind w:left="281" w:leftChars="117"/>
        <w:rPr>
          <w:rFonts w:eastAsia="宋体"/>
          <w:color w:val="000000"/>
          <w:sz w:val="28"/>
          <w:szCs w:val="28"/>
          <w:lang w:eastAsia="zh-CN"/>
        </w:rPr>
      </w:pPr>
      <w:r>
        <w:rPr>
          <w:rFonts w:hint="eastAsia" w:ascii="Arial Unicode MS" w:hAnsi="Arial Unicode MS" w:eastAsia="Arial Unicode MS" w:cs="Arial Unicode MS"/>
          <w:color w:val="000000"/>
          <w:sz w:val="28"/>
          <w:szCs w:val="28"/>
          <w:lang w:eastAsia="zh-CN"/>
        </w:rPr>
        <w:t>七、国有资产信息</w:t>
      </w:r>
      <w:r>
        <w:rPr>
          <w:rFonts w:eastAsia="宋体"/>
          <w:color w:val="000000"/>
          <w:sz w:val="28"/>
          <w:szCs w:val="28"/>
          <w:lang w:eastAsia="zh-CN"/>
        </w:rPr>
        <w:t>....................................................................................................................................................................</w:t>
      </w:r>
      <w:r>
        <w:rPr>
          <w:rFonts w:hint="eastAsia" w:eastAsia="宋体"/>
          <w:color w:val="000000"/>
          <w:sz w:val="28"/>
          <w:szCs w:val="28"/>
          <w:lang w:eastAsia="zh-CN"/>
        </w:rPr>
        <w:t>72</w:t>
      </w:r>
    </w:p>
    <w:p>
      <w:pPr>
        <w:ind w:left="281" w:leftChars="117"/>
      </w:pPr>
      <w:r>
        <w:rPr>
          <w:rFonts w:hint="eastAsia" w:ascii="Arial Unicode MS" w:hAnsi="Arial Unicode MS" w:eastAsia="Arial Unicode MS" w:cs="Arial Unicode MS"/>
          <w:color w:val="000000"/>
          <w:sz w:val="28"/>
          <w:szCs w:val="28"/>
          <w:lang w:eastAsia="zh-CN"/>
        </w:rPr>
        <w:t>八、名词解释</w:t>
      </w:r>
      <w:r>
        <w:rPr>
          <w:rFonts w:eastAsia="宋体"/>
          <w:color w:val="000000"/>
          <w:sz w:val="28"/>
          <w:szCs w:val="28"/>
          <w:lang w:eastAsia="zh-CN"/>
        </w:rPr>
        <w:t>............................................................................................................................................................................</w:t>
      </w:r>
      <w:r>
        <w:rPr>
          <w:rFonts w:hint="eastAsia" w:eastAsia="宋体"/>
          <w:color w:val="000000"/>
          <w:sz w:val="28"/>
          <w:szCs w:val="28"/>
          <w:lang w:eastAsia="zh-CN"/>
        </w:rPr>
        <w:t>73</w:t>
      </w:r>
    </w:p>
    <w:p>
      <w:pPr>
        <w:ind w:firstLine="280" w:firstLineChars="100"/>
        <w:rPr>
          <w:rFonts w:ascii="方正小标宋_GBK" w:hAnsi="方正小标宋_GBK" w:eastAsia="方正小标宋_GBK" w:cs="方正小标宋_GBK"/>
          <w:color w:val="000000"/>
          <w:sz w:val="44"/>
        </w:rPr>
      </w:pPr>
      <w:r>
        <w:rPr>
          <w:rFonts w:hint="eastAsia" w:ascii="Arial Unicode MS" w:hAnsi="Arial Unicode MS" w:eastAsia="Arial Unicode MS" w:cs="Arial Unicode MS"/>
          <w:color w:val="000000"/>
          <w:sz w:val="28"/>
          <w:szCs w:val="28"/>
          <w:lang w:eastAsia="zh-CN"/>
        </w:rPr>
        <w:t>九、其他需要说明的事项</w:t>
      </w:r>
      <w:r>
        <w:rPr>
          <w:rFonts w:eastAsia="宋体"/>
          <w:color w:val="000000"/>
          <w:sz w:val="28"/>
          <w:szCs w:val="28"/>
          <w:lang w:eastAsia="zh-CN"/>
        </w:rPr>
        <w:t>........................................................................................................................................................</w:t>
      </w:r>
      <w:r>
        <w:rPr>
          <w:rFonts w:hint="eastAsia" w:eastAsia="宋体"/>
          <w:color w:val="000000"/>
          <w:sz w:val="28"/>
          <w:szCs w:val="28"/>
          <w:lang w:eastAsia="zh-CN"/>
        </w:rPr>
        <w:t>73</w:t>
      </w:r>
    </w:p>
    <w:p>
      <w:pPr>
        <w:jc w:val="both"/>
        <w:outlineLvl w:val="3"/>
        <w:rPr>
          <w:rFonts w:ascii="方正小标宋_GBK" w:hAnsi="方正小标宋_GBK" w:eastAsia="方正小标宋_GBK" w:cs="方正小标宋_GBK"/>
          <w:color w:val="000000"/>
          <w:sz w:val="44"/>
        </w:rPr>
      </w:pPr>
    </w:p>
    <w:p>
      <w:pPr>
        <w:ind w:firstLine="2640" w:firstLineChars="600"/>
        <w:jc w:val="both"/>
        <w:outlineLvl w:val="3"/>
        <w:rPr>
          <w:rFonts w:ascii="方正小标宋_GBK" w:hAnsi="方正小标宋_GBK" w:eastAsia="方正小标宋_GBK" w:cs="方正小标宋_GBK"/>
          <w:color w:val="000000"/>
          <w:sz w:val="44"/>
        </w:rPr>
      </w:pPr>
    </w:p>
    <w:p>
      <w:pPr>
        <w:ind w:firstLine="2640" w:firstLineChars="600"/>
        <w:jc w:val="both"/>
        <w:outlineLvl w:val="3"/>
        <w:rPr>
          <w:rFonts w:ascii="方正小标宋_GBK" w:hAnsi="方正小标宋_GBK" w:eastAsia="方正小标宋_GBK" w:cs="方正小标宋_GBK"/>
          <w:color w:val="000000"/>
          <w:sz w:val="44"/>
        </w:rPr>
      </w:pPr>
    </w:p>
    <w:p>
      <w:pPr>
        <w:ind w:firstLine="2640" w:firstLineChars="600"/>
        <w:jc w:val="both"/>
        <w:outlineLvl w:val="3"/>
        <w:rPr>
          <w:rFonts w:ascii="方正小标宋_GBK" w:hAnsi="方正小标宋_GBK" w:eastAsia="方正小标宋_GBK" w:cs="方正小标宋_GBK"/>
          <w:color w:val="000000"/>
          <w:sz w:val="44"/>
        </w:rPr>
        <w:sectPr>
          <w:footerReference r:id="rId3" w:type="default"/>
          <w:pgSz w:w="16840" w:h="11900" w:orient="landscape"/>
          <w:pgMar w:top="1361" w:right="1020" w:bottom="1134" w:left="1020" w:header="720" w:footer="720" w:gutter="0"/>
          <w:cols w:space="720" w:num="1"/>
        </w:sectPr>
      </w:pPr>
    </w:p>
    <w:p>
      <w:pPr>
        <w:ind w:firstLine="2640" w:firstLineChars="600"/>
        <w:jc w:val="both"/>
        <w:outlineLvl w:val="3"/>
      </w:pPr>
      <w:r>
        <w:rPr>
          <w:rFonts w:ascii="方正小标宋_GBK" w:hAnsi="方正小标宋_GBK" w:eastAsia="方正小标宋_GBK" w:cs="方正小标宋_GBK"/>
          <w:color w:val="000000"/>
          <w:sz w:val="44"/>
        </w:rPr>
        <w:t>一、青龙满族自治县发展和改革局本级收支预算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项目</w:t>
            </w:r>
          </w:p>
        </w:tc>
        <w:tc>
          <w:tcPr>
            <w:tcW w:w="2126" w:type="dxa"/>
            <w:vAlign w:val="center"/>
          </w:tcPr>
          <w:p>
            <w:pPr>
              <w:pStyle w:val="12"/>
            </w:pPr>
            <w:r>
              <w:t>预算数</w:t>
            </w:r>
          </w:p>
        </w:tc>
        <w:tc>
          <w:tcPr>
            <w:tcW w:w="4535" w:type="dxa"/>
            <w:vAlign w:val="center"/>
          </w:tcPr>
          <w:p>
            <w:pPr>
              <w:pStyle w:val="12"/>
            </w:pPr>
            <w:r>
              <w:t>项目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1106.04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3980.18</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807.66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4041.92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1810.89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r>
              <w:t>270.06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5086.22</w:t>
            </w:r>
          </w:p>
        </w:tc>
        <w:tc>
          <w:tcPr>
            <w:tcW w:w="4535" w:type="dxa"/>
            <w:vAlign w:val="center"/>
          </w:tcPr>
          <w:p>
            <w:pPr>
              <w:pStyle w:val="16"/>
            </w:pPr>
            <w:r>
              <w:t>本年支出合计</w:t>
            </w:r>
          </w:p>
        </w:tc>
        <w:tc>
          <w:tcPr>
            <w:tcW w:w="2126" w:type="dxa"/>
            <w:vAlign w:val="center"/>
          </w:tcPr>
          <w:p>
            <w:pPr>
              <w:pStyle w:val="17"/>
            </w:pPr>
            <w:r>
              <w:t>7231.54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2145.31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7231.54</w:t>
            </w:r>
          </w:p>
        </w:tc>
        <w:tc>
          <w:tcPr>
            <w:tcW w:w="4535" w:type="dxa"/>
            <w:vAlign w:val="center"/>
          </w:tcPr>
          <w:p>
            <w:pPr>
              <w:pStyle w:val="16"/>
            </w:pPr>
            <w:r>
              <w:t>支出总计</w:t>
            </w:r>
          </w:p>
        </w:tc>
        <w:tc>
          <w:tcPr>
            <w:tcW w:w="2126" w:type="dxa"/>
            <w:vAlign w:val="center"/>
          </w:tcPr>
          <w:p>
            <w:pPr>
              <w:pStyle w:val="17"/>
            </w:pPr>
            <w:r>
              <w:t>7231.54</w:t>
            </w:r>
          </w:p>
        </w:tc>
      </w:tr>
    </w:tbl>
    <w:p>
      <w:pPr>
        <w:sectPr>
          <w:footerReference r:id="rId4" w:type="default"/>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财政拨款收入</w:t>
            </w:r>
          </w:p>
        </w:tc>
        <w:tc>
          <w:tcPr>
            <w:tcW w:w="1134" w:type="dxa"/>
            <w:vAlign w:val="center"/>
          </w:tcPr>
          <w:p>
            <w:pPr>
              <w:pStyle w:val="12"/>
            </w:pPr>
            <w:r>
              <w:t>财政专户收入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7231.54</w:t>
            </w:r>
          </w:p>
        </w:tc>
        <w:tc>
          <w:tcPr>
            <w:tcW w:w="1134" w:type="dxa"/>
            <w:vAlign w:val="center"/>
          </w:tcPr>
          <w:p>
            <w:pPr>
              <w:pStyle w:val="17"/>
            </w:pPr>
            <w:r>
              <w:t>5086.22</w:t>
            </w:r>
          </w:p>
        </w:tc>
        <w:tc>
          <w:tcPr>
            <w:tcW w:w="1134" w:type="dxa"/>
            <w:vAlign w:val="center"/>
          </w:tcPr>
          <w:p>
            <w:pPr>
              <w:pStyle w:val="17"/>
            </w:pPr>
            <w:r>
              <w:t>5086.22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2145.31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807.66</w:t>
            </w:r>
          </w:p>
        </w:tc>
        <w:tc>
          <w:tcPr>
            <w:tcW w:w="1134" w:type="dxa"/>
            <w:vAlign w:val="center"/>
          </w:tcPr>
          <w:p>
            <w:pPr>
              <w:pStyle w:val="13"/>
            </w:pPr>
            <w:r>
              <w:t>778.15</w:t>
            </w:r>
          </w:p>
        </w:tc>
        <w:tc>
          <w:tcPr>
            <w:tcW w:w="1134" w:type="dxa"/>
            <w:vAlign w:val="center"/>
          </w:tcPr>
          <w:p>
            <w:pPr>
              <w:pStyle w:val="13"/>
            </w:pPr>
            <w:r>
              <w:t>778.15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725.02</w:t>
            </w:r>
          </w:p>
        </w:tc>
        <w:tc>
          <w:tcPr>
            <w:tcW w:w="1134" w:type="dxa"/>
            <w:vAlign w:val="center"/>
          </w:tcPr>
          <w:p>
            <w:pPr>
              <w:pStyle w:val="13"/>
            </w:pPr>
            <w:r>
              <w:t>716.15</w:t>
            </w:r>
          </w:p>
        </w:tc>
        <w:tc>
          <w:tcPr>
            <w:tcW w:w="1134" w:type="dxa"/>
            <w:vAlign w:val="center"/>
          </w:tcPr>
          <w:p>
            <w:pPr>
              <w:pStyle w:val="13"/>
            </w:pPr>
            <w:r>
              <w:t>716.15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687.43</w:t>
            </w:r>
          </w:p>
        </w:tc>
        <w:tc>
          <w:tcPr>
            <w:tcW w:w="1134" w:type="dxa"/>
            <w:vAlign w:val="center"/>
          </w:tcPr>
          <w:p>
            <w:pPr>
              <w:pStyle w:val="13"/>
            </w:pPr>
            <w:r>
              <w:t>680.68</w:t>
            </w:r>
          </w:p>
        </w:tc>
        <w:tc>
          <w:tcPr>
            <w:tcW w:w="1134" w:type="dxa"/>
            <w:vAlign w:val="center"/>
          </w:tcPr>
          <w:p>
            <w:pPr>
              <w:pStyle w:val="13"/>
            </w:pPr>
            <w:r>
              <w:t>680.68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2060102</w:t>
            </w:r>
          </w:p>
        </w:tc>
        <w:tc>
          <w:tcPr>
            <w:tcW w:w="1559" w:type="dxa"/>
            <w:vAlign w:val="center"/>
          </w:tcPr>
          <w:p>
            <w:pPr>
              <w:pStyle w:val="14"/>
            </w:pPr>
            <w:r>
              <w:t>一般行政管理事务</w:t>
            </w:r>
          </w:p>
        </w:tc>
        <w:tc>
          <w:tcPr>
            <w:tcW w:w="1134" w:type="dxa"/>
            <w:vAlign w:val="center"/>
          </w:tcPr>
          <w:p>
            <w:pPr>
              <w:pStyle w:val="13"/>
            </w:pPr>
            <w:r>
              <w:t>37.59</w:t>
            </w:r>
          </w:p>
        </w:tc>
        <w:tc>
          <w:tcPr>
            <w:tcW w:w="1134" w:type="dxa"/>
            <w:vAlign w:val="center"/>
          </w:tcPr>
          <w:p>
            <w:pPr>
              <w:pStyle w:val="13"/>
            </w:pPr>
            <w:r>
              <w:t>35.47</w:t>
            </w:r>
          </w:p>
        </w:tc>
        <w:tc>
          <w:tcPr>
            <w:tcW w:w="1134" w:type="dxa"/>
            <w:vAlign w:val="center"/>
          </w:tcPr>
          <w:p>
            <w:pPr>
              <w:pStyle w:val="13"/>
            </w:pPr>
            <w:r>
              <w:t>35.47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52.01</w:t>
            </w:r>
          </w:p>
        </w:tc>
        <w:tc>
          <w:tcPr>
            <w:tcW w:w="1134" w:type="dxa"/>
            <w:vAlign w:val="center"/>
          </w:tcPr>
          <w:p>
            <w:pPr>
              <w:pStyle w:val="13"/>
            </w:pPr>
            <w:r>
              <w:t>52.01</w:t>
            </w:r>
          </w:p>
        </w:tc>
        <w:tc>
          <w:tcPr>
            <w:tcW w:w="1134" w:type="dxa"/>
            <w:vAlign w:val="center"/>
          </w:tcPr>
          <w:p>
            <w:pPr>
              <w:pStyle w:val="13"/>
            </w:pPr>
            <w:r>
              <w:t>52.01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52.01</w:t>
            </w:r>
          </w:p>
        </w:tc>
        <w:tc>
          <w:tcPr>
            <w:tcW w:w="1134" w:type="dxa"/>
            <w:vAlign w:val="center"/>
          </w:tcPr>
          <w:p>
            <w:pPr>
              <w:pStyle w:val="13"/>
            </w:pPr>
            <w:r>
              <w:t>52.01</w:t>
            </w:r>
          </w:p>
        </w:tc>
        <w:tc>
          <w:tcPr>
            <w:tcW w:w="1134" w:type="dxa"/>
            <w:vAlign w:val="center"/>
          </w:tcPr>
          <w:p>
            <w:pPr>
              <w:pStyle w:val="13"/>
            </w:pPr>
            <w:r>
              <w:t>52.01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2060703</w:t>
            </w:r>
          </w:p>
        </w:tc>
        <w:tc>
          <w:tcPr>
            <w:tcW w:w="1559" w:type="dxa"/>
            <w:vAlign w:val="center"/>
          </w:tcPr>
          <w:p>
            <w:pPr>
              <w:pStyle w:val="14"/>
            </w:pPr>
            <w:r>
              <w:t>青少年科技活动</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25.64</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25.64</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165.84</w:t>
            </w:r>
          </w:p>
        </w:tc>
        <w:tc>
          <w:tcPr>
            <w:tcW w:w="1134" w:type="dxa"/>
            <w:vAlign w:val="center"/>
          </w:tcPr>
          <w:p>
            <w:pPr>
              <w:pStyle w:val="13"/>
            </w:pPr>
            <w:r>
              <w:t>165.84</w:t>
            </w:r>
          </w:p>
        </w:tc>
        <w:tc>
          <w:tcPr>
            <w:tcW w:w="1134" w:type="dxa"/>
            <w:vAlign w:val="center"/>
          </w:tcPr>
          <w:p>
            <w:pPr>
              <w:pStyle w:val="13"/>
            </w:pPr>
            <w:r>
              <w:t>165.84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143.19</w:t>
            </w:r>
          </w:p>
        </w:tc>
        <w:tc>
          <w:tcPr>
            <w:tcW w:w="1134" w:type="dxa"/>
            <w:vAlign w:val="center"/>
          </w:tcPr>
          <w:p>
            <w:pPr>
              <w:pStyle w:val="13"/>
            </w:pPr>
            <w:r>
              <w:t>143.19</w:t>
            </w:r>
          </w:p>
        </w:tc>
        <w:tc>
          <w:tcPr>
            <w:tcW w:w="1134" w:type="dxa"/>
            <w:vAlign w:val="center"/>
          </w:tcPr>
          <w:p>
            <w:pPr>
              <w:pStyle w:val="13"/>
            </w:pPr>
            <w:r>
              <w:t>143.19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136.61</w:t>
            </w:r>
          </w:p>
        </w:tc>
        <w:tc>
          <w:tcPr>
            <w:tcW w:w="1134" w:type="dxa"/>
            <w:vAlign w:val="center"/>
          </w:tcPr>
          <w:p>
            <w:pPr>
              <w:pStyle w:val="13"/>
            </w:pPr>
            <w:r>
              <w:t>136.61</w:t>
            </w:r>
          </w:p>
        </w:tc>
        <w:tc>
          <w:tcPr>
            <w:tcW w:w="1134" w:type="dxa"/>
            <w:vAlign w:val="center"/>
          </w:tcPr>
          <w:p>
            <w:pPr>
              <w:pStyle w:val="13"/>
            </w:pPr>
            <w:r>
              <w:t>136.61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6.58</w:t>
            </w:r>
          </w:p>
        </w:tc>
        <w:tc>
          <w:tcPr>
            <w:tcW w:w="1134" w:type="dxa"/>
            <w:vAlign w:val="center"/>
          </w:tcPr>
          <w:p>
            <w:pPr>
              <w:pStyle w:val="13"/>
            </w:pPr>
            <w:r>
              <w:t>6.58</w:t>
            </w:r>
          </w:p>
        </w:tc>
        <w:tc>
          <w:tcPr>
            <w:tcW w:w="1134" w:type="dxa"/>
            <w:vAlign w:val="center"/>
          </w:tcPr>
          <w:p>
            <w:pPr>
              <w:pStyle w:val="13"/>
            </w:pPr>
            <w:r>
              <w:t>6.58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22.65</w:t>
            </w:r>
          </w:p>
        </w:tc>
        <w:tc>
          <w:tcPr>
            <w:tcW w:w="1134" w:type="dxa"/>
            <w:vAlign w:val="center"/>
          </w:tcPr>
          <w:p>
            <w:pPr>
              <w:pStyle w:val="13"/>
            </w:pPr>
            <w:r>
              <w:t>22.65</w:t>
            </w:r>
          </w:p>
        </w:tc>
        <w:tc>
          <w:tcPr>
            <w:tcW w:w="1134" w:type="dxa"/>
            <w:vAlign w:val="center"/>
          </w:tcPr>
          <w:p>
            <w:pPr>
              <w:pStyle w:val="13"/>
            </w:pPr>
            <w:r>
              <w:t>22.65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22.65</w:t>
            </w:r>
          </w:p>
        </w:tc>
        <w:tc>
          <w:tcPr>
            <w:tcW w:w="1134" w:type="dxa"/>
            <w:vAlign w:val="center"/>
          </w:tcPr>
          <w:p>
            <w:pPr>
              <w:pStyle w:val="13"/>
            </w:pPr>
            <w:r>
              <w:t>22.65</w:t>
            </w:r>
          </w:p>
        </w:tc>
        <w:tc>
          <w:tcPr>
            <w:tcW w:w="1134" w:type="dxa"/>
            <w:vAlign w:val="center"/>
          </w:tcPr>
          <w:p>
            <w:pPr>
              <w:pStyle w:val="13"/>
            </w:pPr>
            <w:r>
              <w:t>22.65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r>
              <w:t>45.67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28.70</w:t>
            </w:r>
          </w:p>
        </w:tc>
        <w:tc>
          <w:tcPr>
            <w:tcW w:w="1134" w:type="dxa"/>
            <w:vAlign w:val="center"/>
          </w:tcPr>
          <w:p>
            <w:pPr>
              <w:pStyle w:val="13"/>
            </w:pPr>
            <w:r>
              <w:t>28.70</w:t>
            </w:r>
          </w:p>
        </w:tc>
        <w:tc>
          <w:tcPr>
            <w:tcW w:w="1134" w:type="dxa"/>
            <w:vAlign w:val="center"/>
          </w:tcPr>
          <w:p>
            <w:pPr>
              <w:pStyle w:val="13"/>
            </w:pPr>
            <w:r>
              <w:t>28.70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16.96</w:t>
            </w:r>
          </w:p>
        </w:tc>
        <w:tc>
          <w:tcPr>
            <w:tcW w:w="1134" w:type="dxa"/>
            <w:vAlign w:val="center"/>
          </w:tcPr>
          <w:p>
            <w:pPr>
              <w:pStyle w:val="13"/>
            </w:pPr>
            <w:r>
              <w:t>16.96</w:t>
            </w:r>
          </w:p>
        </w:tc>
        <w:tc>
          <w:tcPr>
            <w:tcW w:w="1134" w:type="dxa"/>
            <w:vAlign w:val="center"/>
          </w:tcPr>
          <w:p>
            <w:pPr>
              <w:pStyle w:val="13"/>
            </w:pPr>
            <w:r>
              <w:t>16.96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4041.92</w:t>
            </w:r>
          </w:p>
        </w:tc>
        <w:tc>
          <w:tcPr>
            <w:tcW w:w="1134" w:type="dxa"/>
            <w:vAlign w:val="center"/>
          </w:tcPr>
          <w:p>
            <w:pPr>
              <w:pStyle w:val="13"/>
            </w:pPr>
            <w:r>
              <w:t>3980.18</w:t>
            </w:r>
          </w:p>
        </w:tc>
        <w:tc>
          <w:tcPr>
            <w:tcW w:w="1134" w:type="dxa"/>
            <w:vAlign w:val="center"/>
          </w:tcPr>
          <w:p>
            <w:pPr>
              <w:pStyle w:val="13"/>
            </w:pPr>
            <w:r>
              <w:t>3980.18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4041.92</w:t>
            </w:r>
          </w:p>
        </w:tc>
        <w:tc>
          <w:tcPr>
            <w:tcW w:w="1134" w:type="dxa"/>
            <w:vAlign w:val="center"/>
          </w:tcPr>
          <w:p>
            <w:pPr>
              <w:pStyle w:val="13"/>
            </w:pPr>
            <w:r>
              <w:t>3980.18</w:t>
            </w:r>
          </w:p>
        </w:tc>
        <w:tc>
          <w:tcPr>
            <w:tcW w:w="1134" w:type="dxa"/>
            <w:vAlign w:val="center"/>
          </w:tcPr>
          <w:p>
            <w:pPr>
              <w:pStyle w:val="13"/>
            </w:pPr>
            <w:r>
              <w:t>3980.18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1.93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3239.99</w:t>
            </w:r>
          </w:p>
        </w:tc>
        <w:tc>
          <w:tcPr>
            <w:tcW w:w="1134" w:type="dxa"/>
            <w:vAlign w:val="center"/>
          </w:tcPr>
          <w:p>
            <w:pPr>
              <w:pStyle w:val="13"/>
            </w:pPr>
            <w:r>
              <w:t>3180.18</w:t>
            </w:r>
          </w:p>
        </w:tc>
        <w:tc>
          <w:tcPr>
            <w:tcW w:w="1134" w:type="dxa"/>
            <w:vAlign w:val="center"/>
          </w:tcPr>
          <w:p>
            <w:pPr>
              <w:pStyle w:val="13"/>
            </w:pPr>
            <w:r>
              <w:t>3180.18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r>
              <w:t>48.60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1810.89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21502</w:t>
            </w:r>
          </w:p>
        </w:tc>
        <w:tc>
          <w:tcPr>
            <w:tcW w:w="1559" w:type="dxa"/>
            <w:vAlign w:val="center"/>
          </w:tcPr>
          <w:p>
            <w:pPr>
              <w:pStyle w:val="14"/>
            </w:pPr>
            <w:r>
              <w:t>制造业</w:t>
            </w:r>
          </w:p>
        </w:tc>
        <w:tc>
          <w:tcPr>
            <w:tcW w:w="1134" w:type="dxa"/>
            <w:vAlign w:val="center"/>
          </w:tcPr>
          <w:p>
            <w:pPr>
              <w:pStyle w:val="13"/>
            </w:pPr>
            <w:r>
              <w:t>1774.00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2150299</w:t>
            </w:r>
          </w:p>
        </w:tc>
        <w:tc>
          <w:tcPr>
            <w:tcW w:w="1559" w:type="dxa"/>
            <w:vAlign w:val="center"/>
          </w:tcPr>
          <w:p>
            <w:pPr>
              <w:pStyle w:val="14"/>
            </w:pPr>
            <w:r>
              <w:t>其他制造业支出</w:t>
            </w:r>
          </w:p>
        </w:tc>
        <w:tc>
          <w:tcPr>
            <w:tcW w:w="1134" w:type="dxa"/>
            <w:vAlign w:val="center"/>
          </w:tcPr>
          <w:p>
            <w:pPr>
              <w:pStyle w:val="13"/>
            </w:pPr>
            <w:r>
              <w:t>1774.00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21505</w:t>
            </w:r>
          </w:p>
        </w:tc>
        <w:tc>
          <w:tcPr>
            <w:tcW w:w="1559" w:type="dxa"/>
            <w:vAlign w:val="center"/>
          </w:tcPr>
          <w:p>
            <w:pPr>
              <w:pStyle w:val="14"/>
            </w:pPr>
            <w:r>
              <w:t>工业和信息产业监管</w:t>
            </w:r>
          </w:p>
        </w:tc>
        <w:tc>
          <w:tcPr>
            <w:tcW w:w="1134" w:type="dxa"/>
            <w:vAlign w:val="center"/>
          </w:tcPr>
          <w:p>
            <w:pPr>
              <w:pStyle w:val="13"/>
            </w:pPr>
            <w:r>
              <w:t>31.89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2150517</w:t>
            </w:r>
          </w:p>
        </w:tc>
        <w:tc>
          <w:tcPr>
            <w:tcW w:w="1559" w:type="dxa"/>
            <w:vAlign w:val="center"/>
          </w:tcPr>
          <w:p>
            <w:pPr>
              <w:pStyle w:val="14"/>
            </w:pPr>
            <w:r>
              <w:t>产业发展</w:t>
            </w:r>
          </w:p>
        </w:tc>
        <w:tc>
          <w:tcPr>
            <w:tcW w:w="1134" w:type="dxa"/>
            <w:vAlign w:val="center"/>
          </w:tcPr>
          <w:p>
            <w:pPr>
              <w:pStyle w:val="13"/>
            </w:pPr>
            <w:r>
              <w:t>31.89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2150805</w:t>
            </w:r>
          </w:p>
        </w:tc>
        <w:tc>
          <w:tcPr>
            <w:tcW w:w="1559" w:type="dxa"/>
            <w:vAlign w:val="center"/>
          </w:tcPr>
          <w:p>
            <w:pPr>
              <w:pStyle w:val="14"/>
            </w:pPr>
            <w:r>
              <w:t>中小企业发展专项</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r>
              <w:t>40.90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222</w:t>
            </w:r>
          </w:p>
        </w:tc>
        <w:tc>
          <w:tcPr>
            <w:tcW w:w="1559" w:type="dxa"/>
            <w:vAlign w:val="center"/>
          </w:tcPr>
          <w:p>
            <w:pPr>
              <w:pStyle w:val="14"/>
            </w:pPr>
            <w:r>
              <w:t>粮油物资储备支出</w:t>
            </w:r>
          </w:p>
        </w:tc>
        <w:tc>
          <w:tcPr>
            <w:tcW w:w="1134" w:type="dxa"/>
            <w:vAlign w:val="center"/>
          </w:tcPr>
          <w:p>
            <w:pPr>
              <w:pStyle w:val="13"/>
            </w:pPr>
            <w:r>
              <w:t>270.06</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22201</w:t>
            </w:r>
          </w:p>
        </w:tc>
        <w:tc>
          <w:tcPr>
            <w:tcW w:w="1559" w:type="dxa"/>
            <w:vAlign w:val="center"/>
          </w:tcPr>
          <w:p>
            <w:pPr>
              <w:pStyle w:val="14"/>
            </w:pPr>
            <w:r>
              <w:t>粮油物资事务</w:t>
            </w:r>
          </w:p>
        </w:tc>
        <w:tc>
          <w:tcPr>
            <w:tcW w:w="1134" w:type="dxa"/>
            <w:vAlign w:val="center"/>
          </w:tcPr>
          <w:p>
            <w:pPr>
              <w:pStyle w:val="13"/>
            </w:pPr>
            <w:r>
              <w:t>20.06</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2220120</w:t>
            </w:r>
          </w:p>
        </w:tc>
        <w:tc>
          <w:tcPr>
            <w:tcW w:w="1559" w:type="dxa"/>
            <w:vAlign w:val="center"/>
          </w:tcPr>
          <w:p>
            <w:pPr>
              <w:pStyle w:val="14"/>
            </w:pPr>
            <w:r>
              <w:t>设施安全</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2220199</w:t>
            </w:r>
          </w:p>
        </w:tc>
        <w:tc>
          <w:tcPr>
            <w:tcW w:w="1559" w:type="dxa"/>
            <w:vAlign w:val="center"/>
          </w:tcPr>
          <w:p>
            <w:pPr>
              <w:pStyle w:val="14"/>
            </w:pPr>
            <w:r>
              <w:t>其他粮油物资事务支出</w:t>
            </w:r>
          </w:p>
        </w:tc>
        <w:tc>
          <w:tcPr>
            <w:tcW w:w="1134" w:type="dxa"/>
            <w:vAlign w:val="center"/>
          </w:tcPr>
          <w:p>
            <w:pPr>
              <w:pStyle w:val="13"/>
            </w:pPr>
            <w:r>
              <w:t>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22204</w:t>
            </w:r>
          </w:p>
        </w:tc>
        <w:tc>
          <w:tcPr>
            <w:tcW w:w="1559" w:type="dxa"/>
            <w:vAlign w:val="center"/>
          </w:tcPr>
          <w:p>
            <w:pPr>
              <w:pStyle w:val="14"/>
            </w:pPr>
            <w:r>
              <w:t>粮油储备</w:t>
            </w:r>
          </w:p>
        </w:tc>
        <w:tc>
          <w:tcPr>
            <w:tcW w:w="1134" w:type="dxa"/>
            <w:vAlign w:val="center"/>
          </w:tcPr>
          <w:p>
            <w:pPr>
              <w:pStyle w:val="13"/>
            </w:pPr>
            <w:r>
              <w:t>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2220403</w:t>
            </w:r>
          </w:p>
        </w:tc>
        <w:tc>
          <w:tcPr>
            <w:tcW w:w="1559" w:type="dxa"/>
            <w:vAlign w:val="center"/>
          </w:tcPr>
          <w:p>
            <w:pPr>
              <w:pStyle w:val="14"/>
            </w:pPr>
            <w:r>
              <w:t>储备粮（油）库建设</w:t>
            </w:r>
          </w:p>
        </w:tc>
        <w:tc>
          <w:tcPr>
            <w:tcW w:w="1134" w:type="dxa"/>
            <w:vAlign w:val="center"/>
          </w:tcPr>
          <w:p>
            <w:pPr>
              <w:pStyle w:val="13"/>
            </w:pPr>
            <w:r>
              <w:t>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7231.54</w:t>
            </w:r>
          </w:p>
        </w:tc>
        <w:tc>
          <w:tcPr>
            <w:tcW w:w="1361" w:type="dxa"/>
            <w:vAlign w:val="center"/>
          </w:tcPr>
          <w:p>
            <w:pPr>
              <w:pStyle w:val="17"/>
            </w:pPr>
            <w:r>
              <w:t>939.83</w:t>
            </w:r>
          </w:p>
        </w:tc>
        <w:tc>
          <w:tcPr>
            <w:tcW w:w="1361" w:type="dxa"/>
            <w:vAlign w:val="center"/>
          </w:tcPr>
          <w:p>
            <w:pPr>
              <w:pStyle w:val="17"/>
            </w:pPr>
            <w:r>
              <w:t>6291.71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807.66</w:t>
            </w:r>
          </w:p>
        </w:tc>
        <w:tc>
          <w:tcPr>
            <w:tcW w:w="1361" w:type="dxa"/>
            <w:vAlign w:val="center"/>
          </w:tcPr>
          <w:p>
            <w:pPr>
              <w:pStyle w:val="13"/>
            </w:pPr>
            <w:r>
              <w:t>687.43</w:t>
            </w:r>
          </w:p>
        </w:tc>
        <w:tc>
          <w:tcPr>
            <w:tcW w:w="1361" w:type="dxa"/>
            <w:vAlign w:val="center"/>
          </w:tcPr>
          <w:p>
            <w:pPr>
              <w:pStyle w:val="13"/>
            </w:pPr>
            <w:r>
              <w:t>120.24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725.02</w:t>
            </w:r>
          </w:p>
        </w:tc>
        <w:tc>
          <w:tcPr>
            <w:tcW w:w="1361" w:type="dxa"/>
            <w:vAlign w:val="center"/>
          </w:tcPr>
          <w:p>
            <w:pPr>
              <w:pStyle w:val="13"/>
            </w:pPr>
            <w:r>
              <w:t>687.43</w:t>
            </w:r>
          </w:p>
        </w:tc>
        <w:tc>
          <w:tcPr>
            <w:tcW w:w="1361" w:type="dxa"/>
            <w:vAlign w:val="center"/>
          </w:tcPr>
          <w:p>
            <w:pPr>
              <w:pStyle w:val="13"/>
            </w:pPr>
            <w:r>
              <w:t>37.59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687.43</w:t>
            </w:r>
          </w:p>
        </w:tc>
        <w:tc>
          <w:tcPr>
            <w:tcW w:w="1361" w:type="dxa"/>
            <w:vAlign w:val="center"/>
          </w:tcPr>
          <w:p>
            <w:pPr>
              <w:pStyle w:val="13"/>
            </w:pPr>
            <w:r>
              <w:t>687.43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2060102</w:t>
            </w:r>
          </w:p>
        </w:tc>
        <w:tc>
          <w:tcPr>
            <w:tcW w:w="4535" w:type="dxa"/>
            <w:vAlign w:val="center"/>
          </w:tcPr>
          <w:p>
            <w:pPr>
              <w:pStyle w:val="14"/>
            </w:pPr>
            <w:r>
              <w:t>一般行政管理事务</w:t>
            </w:r>
          </w:p>
        </w:tc>
        <w:tc>
          <w:tcPr>
            <w:tcW w:w="1361" w:type="dxa"/>
            <w:vAlign w:val="center"/>
          </w:tcPr>
          <w:p>
            <w:pPr>
              <w:pStyle w:val="13"/>
            </w:pPr>
            <w:r>
              <w:t>37.59</w:t>
            </w:r>
          </w:p>
        </w:tc>
        <w:tc>
          <w:tcPr>
            <w:tcW w:w="1361" w:type="dxa"/>
            <w:vAlign w:val="center"/>
          </w:tcPr>
          <w:p>
            <w:pPr>
              <w:pStyle w:val="13"/>
            </w:pPr>
          </w:p>
        </w:tc>
        <w:tc>
          <w:tcPr>
            <w:tcW w:w="1361" w:type="dxa"/>
            <w:vAlign w:val="center"/>
          </w:tcPr>
          <w:p>
            <w:pPr>
              <w:pStyle w:val="13"/>
            </w:pPr>
            <w:r>
              <w:t>37.59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52.01</w:t>
            </w:r>
          </w:p>
        </w:tc>
        <w:tc>
          <w:tcPr>
            <w:tcW w:w="1361" w:type="dxa"/>
            <w:vAlign w:val="center"/>
          </w:tcPr>
          <w:p>
            <w:pPr>
              <w:pStyle w:val="13"/>
            </w:pPr>
          </w:p>
        </w:tc>
        <w:tc>
          <w:tcPr>
            <w:tcW w:w="1361" w:type="dxa"/>
            <w:vAlign w:val="center"/>
          </w:tcPr>
          <w:p>
            <w:pPr>
              <w:pStyle w:val="13"/>
            </w:pPr>
            <w:r>
              <w:t>52.01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52.01</w:t>
            </w:r>
          </w:p>
        </w:tc>
        <w:tc>
          <w:tcPr>
            <w:tcW w:w="1361" w:type="dxa"/>
            <w:vAlign w:val="center"/>
          </w:tcPr>
          <w:p>
            <w:pPr>
              <w:pStyle w:val="13"/>
            </w:pPr>
          </w:p>
        </w:tc>
        <w:tc>
          <w:tcPr>
            <w:tcW w:w="1361" w:type="dxa"/>
            <w:vAlign w:val="center"/>
          </w:tcPr>
          <w:p>
            <w:pPr>
              <w:pStyle w:val="13"/>
            </w:pPr>
            <w:r>
              <w:t>52.01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2060703</w:t>
            </w:r>
          </w:p>
        </w:tc>
        <w:tc>
          <w:tcPr>
            <w:tcW w:w="4535" w:type="dxa"/>
            <w:vAlign w:val="center"/>
          </w:tcPr>
          <w:p>
            <w:pPr>
              <w:pStyle w:val="14"/>
            </w:pPr>
            <w:r>
              <w:t>青少年科技活动</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25.64</w:t>
            </w:r>
          </w:p>
        </w:tc>
        <w:tc>
          <w:tcPr>
            <w:tcW w:w="1361" w:type="dxa"/>
            <w:vAlign w:val="center"/>
          </w:tcPr>
          <w:p>
            <w:pPr>
              <w:pStyle w:val="13"/>
            </w:pPr>
          </w:p>
        </w:tc>
        <w:tc>
          <w:tcPr>
            <w:tcW w:w="1361" w:type="dxa"/>
            <w:vAlign w:val="center"/>
          </w:tcPr>
          <w:p>
            <w:pPr>
              <w:pStyle w:val="13"/>
            </w:pPr>
            <w:r>
              <w:t>25.64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25.64</w:t>
            </w:r>
          </w:p>
        </w:tc>
        <w:tc>
          <w:tcPr>
            <w:tcW w:w="1361" w:type="dxa"/>
            <w:vAlign w:val="center"/>
          </w:tcPr>
          <w:p>
            <w:pPr>
              <w:pStyle w:val="13"/>
            </w:pPr>
          </w:p>
        </w:tc>
        <w:tc>
          <w:tcPr>
            <w:tcW w:w="1361" w:type="dxa"/>
            <w:vAlign w:val="center"/>
          </w:tcPr>
          <w:p>
            <w:pPr>
              <w:pStyle w:val="13"/>
            </w:pPr>
            <w:r>
              <w:t>25.64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165.84</w:t>
            </w:r>
          </w:p>
        </w:tc>
        <w:tc>
          <w:tcPr>
            <w:tcW w:w="1361" w:type="dxa"/>
            <w:vAlign w:val="center"/>
          </w:tcPr>
          <w:p>
            <w:pPr>
              <w:pStyle w:val="13"/>
            </w:pPr>
            <w:r>
              <w:t>165.84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143.19</w:t>
            </w:r>
          </w:p>
        </w:tc>
        <w:tc>
          <w:tcPr>
            <w:tcW w:w="1361" w:type="dxa"/>
            <w:vAlign w:val="center"/>
          </w:tcPr>
          <w:p>
            <w:pPr>
              <w:pStyle w:val="13"/>
            </w:pPr>
            <w:r>
              <w:t>143.19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136.61</w:t>
            </w:r>
          </w:p>
        </w:tc>
        <w:tc>
          <w:tcPr>
            <w:tcW w:w="1361" w:type="dxa"/>
            <w:vAlign w:val="center"/>
          </w:tcPr>
          <w:p>
            <w:pPr>
              <w:pStyle w:val="13"/>
            </w:pPr>
            <w:r>
              <w:t>136.61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6.58</w:t>
            </w:r>
          </w:p>
        </w:tc>
        <w:tc>
          <w:tcPr>
            <w:tcW w:w="1361" w:type="dxa"/>
            <w:vAlign w:val="center"/>
          </w:tcPr>
          <w:p>
            <w:pPr>
              <w:pStyle w:val="13"/>
            </w:pPr>
            <w:r>
              <w:t>6.58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22.65</w:t>
            </w:r>
          </w:p>
        </w:tc>
        <w:tc>
          <w:tcPr>
            <w:tcW w:w="1361" w:type="dxa"/>
            <w:vAlign w:val="center"/>
          </w:tcPr>
          <w:p>
            <w:pPr>
              <w:pStyle w:val="13"/>
            </w:pPr>
            <w:r>
              <w:t>22.65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22.65</w:t>
            </w:r>
          </w:p>
        </w:tc>
        <w:tc>
          <w:tcPr>
            <w:tcW w:w="1361" w:type="dxa"/>
            <w:vAlign w:val="center"/>
          </w:tcPr>
          <w:p>
            <w:pPr>
              <w:pStyle w:val="13"/>
            </w:pPr>
            <w:r>
              <w:t>22.65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45.67</w:t>
            </w:r>
          </w:p>
        </w:tc>
        <w:tc>
          <w:tcPr>
            <w:tcW w:w="1361" w:type="dxa"/>
            <w:vAlign w:val="center"/>
          </w:tcPr>
          <w:p>
            <w:pPr>
              <w:pStyle w:val="13"/>
            </w:pPr>
            <w:r>
              <w:t>45.67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45.67</w:t>
            </w:r>
          </w:p>
        </w:tc>
        <w:tc>
          <w:tcPr>
            <w:tcW w:w="1361" w:type="dxa"/>
            <w:vAlign w:val="center"/>
          </w:tcPr>
          <w:p>
            <w:pPr>
              <w:pStyle w:val="13"/>
            </w:pPr>
            <w:r>
              <w:t>45.67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28.70</w:t>
            </w:r>
          </w:p>
        </w:tc>
        <w:tc>
          <w:tcPr>
            <w:tcW w:w="1361" w:type="dxa"/>
            <w:vAlign w:val="center"/>
          </w:tcPr>
          <w:p>
            <w:pPr>
              <w:pStyle w:val="13"/>
            </w:pPr>
            <w:r>
              <w:t>28.70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16.96</w:t>
            </w:r>
          </w:p>
        </w:tc>
        <w:tc>
          <w:tcPr>
            <w:tcW w:w="1361" w:type="dxa"/>
            <w:vAlign w:val="center"/>
          </w:tcPr>
          <w:p>
            <w:pPr>
              <w:pStyle w:val="13"/>
            </w:pPr>
            <w:r>
              <w:t>16.96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4041.92</w:t>
            </w:r>
          </w:p>
        </w:tc>
        <w:tc>
          <w:tcPr>
            <w:tcW w:w="1361" w:type="dxa"/>
            <w:vAlign w:val="center"/>
          </w:tcPr>
          <w:p>
            <w:pPr>
              <w:pStyle w:val="13"/>
            </w:pPr>
          </w:p>
        </w:tc>
        <w:tc>
          <w:tcPr>
            <w:tcW w:w="1361" w:type="dxa"/>
            <w:vAlign w:val="center"/>
          </w:tcPr>
          <w:p>
            <w:pPr>
              <w:pStyle w:val="13"/>
            </w:pPr>
            <w:r>
              <w:t>4041.92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4041.92</w:t>
            </w:r>
          </w:p>
        </w:tc>
        <w:tc>
          <w:tcPr>
            <w:tcW w:w="1361" w:type="dxa"/>
            <w:vAlign w:val="center"/>
          </w:tcPr>
          <w:p>
            <w:pPr>
              <w:pStyle w:val="13"/>
            </w:pPr>
          </w:p>
        </w:tc>
        <w:tc>
          <w:tcPr>
            <w:tcW w:w="1361" w:type="dxa"/>
            <w:vAlign w:val="center"/>
          </w:tcPr>
          <w:p>
            <w:pPr>
              <w:pStyle w:val="13"/>
            </w:pPr>
            <w:r>
              <w:t>4041.92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1.93</w:t>
            </w:r>
          </w:p>
        </w:tc>
        <w:tc>
          <w:tcPr>
            <w:tcW w:w="1361" w:type="dxa"/>
            <w:vAlign w:val="center"/>
          </w:tcPr>
          <w:p>
            <w:pPr>
              <w:pStyle w:val="13"/>
            </w:pPr>
          </w:p>
        </w:tc>
        <w:tc>
          <w:tcPr>
            <w:tcW w:w="1361" w:type="dxa"/>
            <w:vAlign w:val="center"/>
          </w:tcPr>
          <w:p>
            <w:pPr>
              <w:pStyle w:val="13"/>
            </w:pPr>
            <w:r>
              <w:t>1.93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3239.99</w:t>
            </w:r>
          </w:p>
        </w:tc>
        <w:tc>
          <w:tcPr>
            <w:tcW w:w="1361" w:type="dxa"/>
            <w:vAlign w:val="center"/>
          </w:tcPr>
          <w:p>
            <w:pPr>
              <w:pStyle w:val="13"/>
            </w:pPr>
          </w:p>
        </w:tc>
        <w:tc>
          <w:tcPr>
            <w:tcW w:w="1361" w:type="dxa"/>
            <w:vAlign w:val="center"/>
          </w:tcPr>
          <w:p>
            <w:pPr>
              <w:pStyle w:val="13"/>
            </w:pPr>
            <w:r>
              <w:t>3239.99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r>
              <w:t>48.60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1810.89</w:t>
            </w:r>
          </w:p>
        </w:tc>
        <w:tc>
          <w:tcPr>
            <w:tcW w:w="1361" w:type="dxa"/>
            <w:vAlign w:val="center"/>
          </w:tcPr>
          <w:p>
            <w:pPr>
              <w:pStyle w:val="13"/>
            </w:pPr>
          </w:p>
        </w:tc>
        <w:tc>
          <w:tcPr>
            <w:tcW w:w="1361" w:type="dxa"/>
            <w:vAlign w:val="center"/>
          </w:tcPr>
          <w:p>
            <w:pPr>
              <w:pStyle w:val="13"/>
            </w:pPr>
            <w:r>
              <w:t>1810.89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21502</w:t>
            </w:r>
          </w:p>
        </w:tc>
        <w:tc>
          <w:tcPr>
            <w:tcW w:w="4535" w:type="dxa"/>
            <w:vAlign w:val="center"/>
          </w:tcPr>
          <w:p>
            <w:pPr>
              <w:pStyle w:val="14"/>
            </w:pPr>
            <w:r>
              <w:t>制造业</w:t>
            </w:r>
          </w:p>
        </w:tc>
        <w:tc>
          <w:tcPr>
            <w:tcW w:w="1361" w:type="dxa"/>
            <w:vAlign w:val="center"/>
          </w:tcPr>
          <w:p>
            <w:pPr>
              <w:pStyle w:val="13"/>
            </w:pPr>
            <w:r>
              <w:t>1774.00</w:t>
            </w:r>
          </w:p>
        </w:tc>
        <w:tc>
          <w:tcPr>
            <w:tcW w:w="1361" w:type="dxa"/>
            <w:vAlign w:val="center"/>
          </w:tcPr>
          <w:p>
            <w:pPr>
              <w:pStyle w:val="13"/>
            </w:pPr>
          </w:p>
        </w:tc>
        <w:tc>
          <w:tcPr>
            <w:tcW w:w="1361" w:type="dxa"/>
            <w:vAlign w:val="center"/>
          </w:tcPr>
          <w:p>
            <w:pPr>
              <w:pStyle w:val="13"/>
            </w:pPr>
            <w:r>
              <w:t>1774.00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2150299</w:t>
            </w:r>
          </w:p>
        </w:tc>
        <w:tc>
          <w:tcPr>
            <w:tcW w:w="4535" w:type="dxa"/>
            <w:vAlign w:val="center"/>
          </w:tcPr>
          <w:p>
            <w:pPr>
              <w:pStyle w:val="14"/>
            </w:pPr>
            <w:r>
              <w:t>其他制造业支出</w:t>
            </w:r>
          </w:p>
        </w:tc>
        <w:tc>
          <w:tcPr>
            <w:tcW w:w="1361" w:type="dxa"/>
            <w:vAlign w:val="center"/>
          </w:tcPr>
          <w:p>
            <w:pPr>
              <w:pStyle w:val="13"/>
            </w:pPr>
            <w:r>
              <w:t>1774.00</w:t>
            </w:r>
          </w:p>
        </w:tc>
        <w:tc>
          <w:tcPr>
            <w:tcW w:w="1361" w:type="dxa"/>
            <w:vAlign w:val="center"/>
          </w:tcPr>
          <w:p>
            <w:pPr>
              <w:pStyle w:val="13"/>
            </w:pPr>
          </w:p>
        </w:tc>
        <w:tc>
          <w:tcPr>
            <w:tcW w:w="1361" w:type="dxa"/>
            <w:vAlign w:val="center"/>
          </w:tcPr>
          <w:p>
            <w:pPr>
              <w:pStyle w:val="13"/>
            </w:pPr>
            <w:r>
              <w:t>1774.00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21505</w:t>
            </w:r>
          </w:p>
        </w:tc>
        <w:tc>
          <w:tcPr>
            <w:tcW w:w="4535" w:type="dxa"/>
            <w:vAlign w:val="center"/>
          </w:tcPr>
          <w:p>
            <w:pPr>
              <w:pStyle w:val="14"/>
            </w:pPr>
            <w:r>
              <w:t>工业和信息产业监管</w:t>
            </w:r>
          </w:p>
        </w:tc>
        <w:tc>
          <w:tcPr>
            <w:tcW w:w="1361" w:type="dxa"/>
            <w:vAlign w:val="center"/>
          </w:tcPr>
          <w:p>
            <w:pPr>
              <w:pStyle w:val="13"/>
            </w:pPr>
            <w:r>
              <w:t>31.89</w:t>
            </w:r>
          </w:p>
        </w:tc>
        <w:tc>
          <w:tcPr>
            <w:tcW w:w="1361" w:type="dxa"/>
            <w:vAlign w:val="center"/>
          </w:tcPr>
          <w:p>
            <w:pPr>
              <w:pStyle w:val="13"/>
            </w:pPr>
          </w:p>
        </w:tc>
        <w:tc>
          <w:tcPr>
            <w:tcW w:w="1361" w:type="dxa"/>
            <w:vAlign w:val="center"/>
          </w:tcPr>
          <w:p>
            <w:pPr>
              <w:pStyle w:val="13"/>
            </w:pPr>
            <w:r>
              <w:t>31.89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2150517</w:t>
            </w:r>
          </w:p>
        </w:tc>
        <w:tc>
          <w:tcPr>
            <w:tcW w:w="4535" w:type="dxa"/>
            <w:vAlign w:val="center"/>
          </w:tcPr>
          <w:p>
            <w:pPr>
              <w:pStyle w:val="14"/>
            </w:pPr>
            <w:r>
              <w:t>产业发展</w:t>
            </w:r>
          </w:p>
        </w:tc>
        <w:tc>
          <w:tcPr>
            <w:tcW w:w="1361" w:type="dxa"/>
            <w:vAlign w:val="center"/>
          </w:tcPr>
          <w:p>
            <w:pPr>
              <w:pStyle w:val="13"/>
            </w:pPr>
            <w:r>
              <w:t>31.89</w:t>
            </w:r>
          </w:p>
        </w:tc>
        <w:tc>
          <w:tcPr>
            <w:tcW w:w="1361" w:type="dxa"/>
            <w:vAlign w:val="center"/>
          </w:tcPr>
          <w:p>
            <w:pPr>
              <w:pStyle w:val="13"/>
            </w:pPr>
          </w:p>
        </w:tc>
        <w:tc>
          <w:tcPr>
            <w:tcW w:w="1361" w:type="dxa"/>
            <w:vAlign w:val="center"/>
          </w:tcPr>
          <w:p>
            <w:pPr>
              <w:pStyle w:val="13"/>
            </w:pPr>
            <w:r>
              <w:t>31.89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2150805</w:t>
            </w:r>
          </w:p>
        </w:tc>
        <w:tc>
          <w:tcPr>
            <w:tcW w:w="4535" w:type="dxa"/>
            <w:vAlign w:val="center"/>
          </w:tcPr>
          <w:p>
            <w:pPr>
              <w:pStyle w:val="14"/>
            </w:pPr>
            <w:r>
              <w:t>中小企业发展专项</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40.90</w:t>
            </w:r>
          </w:p>
        </w:tc>
        <w:tc>
          <w:tcPr>
            <w:tcW w:w="1361" w:type="dxa"/>
            <w:vAlign w:val="center"/>
          </w:tcPr>
          <w:p>
            <w:pPr>
              <w:pStyle w:val="13"/>
            </w:pPr>
            <w:r>
              <w:t>40.90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40.90</w:t>
            </w:r>
          </w:p>
        </w:tc>
        <w:tc>
          <w:tcPr>
            <w:tcW w:w="1361" w:type="dxa"/>
            <w:vAlign w:val="center"/>
          </w:tcPr>
          <w:p>
            <w:pPr>
              <w:pStyle w:val="13"/>
            </w:pPr>
            <w:r>
              <w:t>40.90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40.90</w:t>
            </w:r>
          </w:p>
        </w:tc>
        <w:tc>
          <w:tcPr>
            <w:tcW w:w="1361" w:type="dxa"/>
            <w:vAlign w:val="center"/>
          </w:tcPr>
          <w:p>
            <w:pPr>
              <w:pStyle w:val="13"/>
            </w:pPr>
            <w:r>
              <w:t>40.90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222</w:t>
            </w:r>
          </w:p>
        </w:tc>
        <w:tc>
          <w:tcPr>
            <w:tcW w:w="4535" w:type="dxa"/>
            <w:vAlign w:val="center"/>
          </w:tcPr>
          <w:p>
            <w:pPr>
              <w:pStyle w:val="14"/>
            </w:pPr>
            <w:r>
              <w:t>粮油物资储备支出</w:t>
            </w:r>
          </w:p>
        </w:tc>
        <w:tc>
          <w:tcPr>
            <w:tcW w:w="1361" w:type="dxa"/>
            <w:vAlign w:val="center"/>
          </w:tcPr>
          <w:p>
            <w:pPr>
              <w:pStyle w:val="13"/>
            </w:pPr>
            <w:r>
              <w:t>270.06</w:t>
            </w:r>
          </w:p>
        </w:tc>
        <w:tc>
          <w:tcPr>
            <w:tcW w:w="1361" w:type="dxa"/>
            <w:vAlign w:val="center"/>
          </w:tcPr>
          <w:p>
            <w:pPr>
              <w:pStyle w:val="13"/>
            </w:pPr>
          </w:p>
        </w:tc>
        <w:tc>
          <w:tcPr>
            <w:tcW w:w="1361" w:type="dxa"/>
            <w:vAlign w:val="center"/>
          </w:tcPr>
          <w:p>
            <w:pPr>
              <w:pStyle w:val="13"/>
            </w:pPr>
            <w:r>
              <w:t>270.06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22201</w:t>
            </w:r>
          </w:p>
        </w:tc>
        <w:tc>
          <w:tcPr>
            <w:tcW w:w="4535" w:type="dxa"/>
            <w:vAlign w:val="center"/>
          </w:tcPr>
          <w:p>
            <w:pPr>
              <w:pStyle w:val="14"/>
            </w:pPr>
            <w:r>
              <w:t>粮油物资事务</w:t>
            </w:r>
          </w:p>
        </w:tc>
        <w:tc>
          <w:tcPr>
            <w:tcW w:w="1361" w:type="dxa"/>
            <w:vAlign w:val="center"/>
          </w:tcPr>
          <w:p>
            <w:pPr>
              <w:pStyle w:val="13"/>
            </w:pPr>
            <w:r>
              <w:t>20.06</w:t>
            </w:r>
          </w:p>
        </w:tc>
        <w:tc>
          <w:tcPr>
            <w:tcW w:w="1361" w:type="dxa"/>
            <w:vAlign w:val="center"/>
          </w:tcPr>
          <w:p>
            <w:pPr>
              <w:pStyle w:val="13"/>
            </w:pPr>
          </w:p>
        </w:tc>
        <w:tc>
          <w:tcPr>
            <w:tcW w:w="1361" w:type="dxa"/>
            <w:vAlign w:val="center"/>
          </w:tcPr>
          <w:p>
            <w:pPr>
              <w:pStyle w:val="13"/>
            </w:pPr>
            <w:r>
              <w:t>20.06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2220120</w:t>
            </w:r>
          </w:p>
        </w:tc>
        <w:tc>
          <w:tcPr>
            <w:tcW w:w="4535" w:type="dxa"/>
            <w:vAlign w:val="center"/>
          </w:tcPr>
          <w:p>
            <w:pPr>
              <w:pStyle w:val="14"/>
            </w:pPr>
            <w:r>
              <w:t>设施安全</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2220199</w:t>
            </w:r>
          </w:p>
        </w:tc>
        <w:tc>
          <w:tcPr>
            <w:tcW w:w="4535" w:type="dxa"/>
            <w:vAlign w:val="center"/>
          </w:tcPr>
          <w:p>
            <w:pPr>
              <w:pStyle w:val="14"/>
            </w:pPr>
            <w:r>
              <w:t>其他粮油物资事务支出</w:t>
            </w: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22204</w:t>
            </w:r>
          </w:p>
        </w:tc>
        <w:tc>
          <w:tcPr>
            <w:tcW w:w="4535" w:type="dxa"/>
            <w:vAlign w:val="center"/>
          </w:tcPr>
          <w:p>
            <w:pPr>
              <w:pStyle w:val="14"/>
            </w:pPr>
            <w:r>
              <w:t>粮油储备</w:t>
            </w: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2220403</w:t>
            </w:r>
          </w:p>
        </w:tc>
        <w:tc>
          <w:tcPr>
            <w:tcW w:w="4535" w:type="dxa"/>
            <w:vAlign w:val="center"/>
          </w:tcPr>
          <w:p>
            <w:pPr>
              <w:pStyle w:val="14"/>
            </w:pPr>
            <w:r>
              <w:t>储备粮（油）库建设</w:t>
            </w: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项目</w:t>
            </w:r>
          </w:p>
        </w:tc>
        <w:tc>
          <w:tcPr>
            <w:tcW w:w="1474" w:type="dxa"/>
            <w:vAlign w:val="center"/>
          </w:tcPr>
          <w:p>
            <w:pPr>
              <w:pStyle w:val="12"/>
            </w:pPr>
            <w:r>
              <w:t>金额</w:t>
            </w:r>
          </w:p>
        </w:tc>
        <w:tc>
          <w:tcPr>
            <w:tcW w:w="3402" w:type="dxa"/>
            <w:vAlign w:val="center"/>
          </w:tcPr>
          <w:p>
            <w:pPr>
              <w:pStyle w:val="12"/>
            </w:pPr>
            <w:r>
              <w:t>项目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1106.04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3980.18</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807.66</w:t>
            </w:r>
          </w:p>
        </w:tc>
        <w:tc>
          <w:tcPr>
            <w:tcW w:w="1474" w:type="dxa"/>
            <w:vAlign w:val="center"/>
          </w:tcPr>
          <w:p>
            <w:pPr>
              <w:pStyle w:val="13"/>
            </w:pPr>
            <w:r>
              <w:t>807.66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165.84</w:t>
            </w:r>
          </w:p>
        </w:tc>
        <w:tc>
          <w:tcPr>
            <w:tcW w:w="1474" w:type="dxa"/>
            <w:vAlign w:val="center"/>
          </w:tcPr>
          <w:p>
            <w:pPr>
              <w:pStyle w:val="13"/>
            </w:pPr>
            <w:r>
              <w:t>165.84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45.67</w:t>
            </w:r>
          </w:p>
        </w:tc>
        <w:tc>
          <w:tcPr>
            <w:tcW w:w="1474" w:type="dxa"/>
            <w:vAlign w:val="center"/>
          </w:tcPr>
          <w:p>
            <w:pPr>
              <w:pStyle w:val="13"/>
            </w:pPr>
            <w:r>
              <w:t>45.67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4041.92</w:t>
            </w:r>
          </w:p>
        </w:tc>
        <w:tc>
          <w:tcPr>
            <w:tcW w:w="1474" w:type="dxa"/>
            <w:vAlign w:val="center"/>
          </w:tcPr>
          <w:p>
            <w:pPr>
              <w:pStyle w:val="13"/>
            </w:pPr>
          </w:p>
        </w:tc>
        <w:tc>
          <w:tcPr>
            <w:tcW w:w="1474" w:type="dxa"/>
            <w:vAlign w:val="center"/>
          </w:tcPr>
          <w:p>
            <w:pPr>
              <w:pStyle w:val="13"/>
            </w:pPr>
            <w:r>
              <w:t>4041.92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48.60</w:t>
            </w:r>
          </w:p>
        </w:tc>
        <w:tc>
          <w:tcPr>
            <w:tcW w:w="1474" w:type="dxa"/>
            <w:vAlign w:val="center"/>
          </w:tcPr>
          <w:p>
            <w:pPr>
              <w:pStyle w:val="13"/>
            </w:pPr>
            <w:r>
              <w:t>48.60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1810.89</w:t>
            </w:r>
          </w:p>
        </w:tc>
        <w:tc>
          <w:tcPr>
            <w:tcW w:w="1474" w:type="dxa"/>
            <w:vAlign w:val="center"/>
          </w:tcPr>
          <w:p>
            <w:pPr>
              <w:pStyle w:val="13"/>
            </w:pPr>
            <w:r>
              <w:t>1810.89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40.90</w:t>
            </w:r>
          </w:p>
        </w:tc>
        <w:tc>
          <w:tcPr>
            <w:tcW w:w="1474" w:type="dxa"/>
            <w:vAlign w:val="center"/>
          </w:tcPr>
          <w:p>
            <w:pPr>
              <w:pStyle w:val="13"/>
            </w:pPr>
            <w:r>
              <w:t>40.90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r>
              <w:t>270.06</w:t>
            </w:r>
          </w:p>
        </w:tc>
        <w:tc>
          <w:tcPr>
            <w:tcW w:w="1474" w:type="dxa"/>
            <w:vAlign w:val="center"/>
          </w:tcPr>
          <w:p>
            <w:pPr>
              <w:pStyle w:val="13"/>
            </w:pPr>
            <w:r>
              <w:t>270.06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5086.22</w:t>
            </w:r>
          </w:p>
        </w:tc>
        <w:tc>
          <w:tcPr>
            <w:tcW w:w="3402" w:type="dxa"/>
            <w:vAlign w:val="center"/>
          </w:tcPr>
          <w:p>
            <w:pPr>
              <w:pStyle w:val="16"/>
            </w:pPr>
            <w:r>
              <w:t>本年支出合计</w:t>
            </w:r>
          </w:p>
        </w:tc>
        <w:tc>
          <w:tcPr>
            <w:tcW w:w="1474" w:type="dxa"/>
            <w:vAlign w:val="center"/>
          </w:tcPr>
          <w:p>
            <w:pPr>
              <w:pStyle w:val="17"/>
            </w:pPr>
            <w:r>
              <w:t>7231.54</w:t>
            </w:r>
          </w:p>
        </w:tc>
        <w:tc>
          <w:tcPr>
            <w:tcW w:w="1474" w:type="dxa"/>
            <w:vAlign w:val="center"/>
          </w:tcPr>
          <w:p>
            <w:pPr>
              <w:pStyle w:val="17"/>
            </w:pPr>
            <w:r>
              <w:t>3189.62</w:t>
            </w:r>
          </w:p>
        </w:tc>
        <w:tc>
          <w:tcPr>
            <w:tcW w:w="1474" w:type="dxa"/>
            <w:vAlign w:val="center"/>
          </w:tcPr>
          <w:p>
            <w:pPr>
              <w:pStyle w:val="17"/>
            </w:pPr>
            <w:r>
              <w:t>4041.92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2145.31</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2083.57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61.74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7231.54</w:t>
            </w:r>
          </w:p>
        </w:tc>
        <w:tc>
          <w:tcPr>
            <w:tcW w:w="3402" w:type="dxa"/>
            <w:vAlign w:val="center"/>
          </w:tcPr>
          <w:p>
            <w:pPr>
              <w:pStyle w:val="16"/>
            </w:pPr>
            <w:r>
              <w:t>支出总计</w:t>
            </w:r>
          </w:p>
        </w:tc>
        <w:tc>
          <w:tcPr>
            <w:tcW w:w="1474" w:type="dxa"/>
            <w:vAlign w:val="center"/>
          </w:tcPr>
          <w:p>
            <w:pPr>
              <w:pStyle w:val="17"/>
            </w:pPr>
            <w:r>
              <w:t>7231.54</w:t>
            </w:r>
          </w:p>
        </w:tc>
        <w:tc>
          <w:tcPr>
            <w:tcW w:w="1474" w:type="dxa"/>
            <w:vAlign w:val="center"/>
          </w:tcPr>
          <w:p>
            <w:pPr>
              <w:pStyle w:val="17"/>
            </w:pPr>
            <w:r>
              <w:t>3189.62</w:t>
            </w:r>
          </w:p>
        </w:tc>
        <w:tc>
          <w:tcPr>
            <w:tcW w:w="1474" w:type="dxa"/>
            <w:vAlign w:val="center"/>
          </w:tcPr>
          <w:p>
            <w:pPr>
              <w:pStyle w:val="17"/>
            </w:pPr>
            <w:r>
              <w:t>4041.92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3189.62</w:t>
            </w:r>
          </w:p>
        </w:tc>
        <w:tc>
          <w:tcPr>
            <w:tcW w:w="2551" w:type="dxa"/>
            <w:vAlign w:val="center"/>
          </w:tcPr>
          <w:p>
            <w:pPr>
              <w:pStyle w:val="17"/>
            </w:pPr>
            <w:r>
              <w:t>939.83</w:t>
            </w:r>
          </w:p>
        </w:tc>
        <w:tc>
          <w:tcPr>
            <w:tcW w:w="2551" w:type="dxa"/>
            <w:vAlign w:val="center"/>
          </w:tcPr>
          <w:p>
            <w:pPr>
              <w:pStyle w:val="17"/>
            </w:pPr>
            <w:r>
              <w:t>2249.79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807.66</w:t>
            </w:r>
          </w:p>
        </w:tc>
        <w:tc>
          <w:tcPr>
            <w:tcW w:w="2551" w:type="dxa"/>
            <w:vAlign w:val="center"/>
          </w:tcPr>
          <w:p>
            <w:pPr>
              <w:pStyle w:val="13"/>
            </w:pPr>
            <w:r>
              <w:t>687.43</w:t>
            </w:r>
          </w:p>
        </w:tc>
        <w:tc>
          <w:tcPr>
            <w:tcW w:w="2551" w:type="dxa"/>
            <w:vAlign w:val="center"/>
          </w:tcPr>
          <w:p>
            <w:pPr>
              <w:pStyle w:val="13"/>
            </w:pPr>
            <w:r>
              <w:t>120.24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725.02</w:t>
            </w:r>
          </w:p>
        </w:tc>
        <w:tc>
          <w:tcPr>
            <w:tcW w:w="2551" w:type="dxa"/>
            <w:vAlign w:val="center"/>
          </w:tcPr>
          <w:p>
            <w:pPr>
              <w:pStyle w:val="13"/>
            </w:pPr>
            <w:r>
              <w:t>687.43</w:t>
            </w:r>
          </w:p>
        </w:tc>
        <w:tc>
          <w:tcPr>
            <w:tcW w:w="2551" w:type="dxa"/>
            <w:vAlign w:val="center"/>
          </w:tcPr>
          <w:p>
            <w:pPr>
              <w:pStyle w:val="13"/>
            </w:pPr>
            <w:r>
              <w:t>37.59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687.43</w:t>
            </w:r>
          </w:p>
        </w:tc>
        <w:tc>
          <w:tcPr>
            <w:tcW w:w="2551" w:type="dxa"/>
            <w:vAlign w:val="center"/>
          </w:tcPr>
          <w:p>
            <w:pPr>
              <w:pStyle w:val="13"/>
            </w:pPr>
            <w:r>
              <w:t>687.43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2060102</w:t>
            </w:r>
          </w:p>
        </w:tc>
        <w:tc>
          <w:tcPr>
            <w:tcW w:w="4535" w:type="dxa"/>
            <w:vAlign w:val="center"/>
          </w:tcPr>
          <w:p>
            <w:pPr>
              <w:pStyle w:val="14"/>
            </w:pPr>
            <w:r>
              <w:t>一般行政管理事务</w:t>
            </w:r>
          </w:p>
        </w:tc>
        <w:tc>
          <w:tcPr>
            <w:tcW w:w="2551" w:type="dxa"/>
            <w:vAlign w:val="center"/>
          </w:tcPr>
          <w:p>
            <w:pPr>
              <w:pStyle w:val="13"/>
            </w:pPr>
            <w:r>
              <w:t>37.59</w:t>
            </w:r>
          </w:p>
        </w:tc>
        <w:tc>
          <w:tcPr>
            <w:tcW w:w="2551" w:type="dxa"/>
            <w:vAlign w:val="center"/>
          </w:tcPr>
          <w:p>
            <w:pPr>
              <w:pStyle w:val="13"/>
            </w:pPr>
          </w:p>
        </w:tc>
        <w:tc>
          <w:tcPr>
            <w:tcW w:w="2551" w:type="dxa"/>
            <w:vAlign w:val="center"/>
          </w:tcPr>
          <w:p>
            <w:pPr>
              <w:pStyle w:val="13"/>
            </w:pPr>
            <w:r>
              <w:t>37.59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52.01</w:t>
            </w:r>
          </w:p>
        </w:tc>
        <w:tc>
          <w:tcPr>
            <w:tcW w:w="2551" w:type="dxa"/>
            <w:vAlign w:val="center"/>
          </w:tcPr>
          <w:p>
            <w:pPr>
              <w:pStyle w:val="13"/>
            </w:pPr>
          </w:p>
        </w:tc>
        <w:tc>
          <w:tcPr>
            <w:tcW w:w="2551" w:type="dxa"/>
            <w:vAlign w:val="center"/>
          </w:tcPr>
          <w:p>
            <w:pPr>
              <w:pStyle w:val="13"/>
            </w:pPr>
            <w:r>
              <w:t>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52.01</w:t>
            </w:r>
          </w:p>
        </w:tc>
        <w:tc>
          <w:tcPr>
            <w:tcW w:w="2551" w:type="dxa"/>
            <w:vAlign w:val="center"/>
          </w:tcPr>
          <w:p>
            <w:pPr>
              <w:pStyle w:val="13"/>
            </w:pPr>
          </w:p>
        </w:tc>
        <w:tc>
          <w:tcPr>
            <w:tcW w:w="2551" w:type="dxa"/>
            <w:vAlign w:val="center"/>
          </w:tcPr>
          <w:p>
            <w:pPr>
              <w:pStyle w:val="13"/>
            </w:pPr>
            <w:r>
              <w:t>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2060703</w:t>
            </w:r>
          </w:p>
        </w:tc>
        <w:tc>
          <w:tcPr>
            <w:tcW w:w="4535" w:type="dxa"/>
            <w:vAlign w:val="center"/>
          </w:tcPr>
          <w:p>
            <w:pPr>
              <w:pStyle w:val="14"/>
            </w:pPr>
            <w:r>
              <w:t>青少年科技活动</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25.64</w:t>
            </w:r>
          </w:p>
        </w:tc>
        <w:tc>
          <w:tcPr>
            <w:tcW w:w="2551" w:type="dxa"/>
            <w:vAlign w:val="center"/>
          </w:tcPr>
          <w:p>
            <w:pPr>
              <w:pStyle w:val="13"/>
            </w:pPr>
          </w:p>
        </w:tc>
        <w:tc>
          <w:tcPr>
            <w:tcW w:w="2551" w:type="dxa"/>
            <w:vAlign w:val="center"/>
          </w:tcPr>
          <w:p>
            <w:pPr>
              <w:pStyle w:val="13"/>
            </w:pPr>
            <w:r>
              <w:t>25.64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25.64</w:t>
            </w:r>
          </w:p>
        </w:tc>
        <w:tc>
          <w:tcPr>
            <w:tcW w:w="2551" w:type="dxa"/>
            <w:vAlign w:val="center"/>
          </w:tcPr>
          <w:p>
            <w:pPr>
              <w:pStyle w:val="13"/>
            </w:pPr>
          </w:p>
        </w:tc>
        <w:tc>
          <w:tcPr>
            <w:tcW w:w="2551" w:type="dxa"/>
            <w:vAlign w:val="center"/>
          </w:tcPr>
          <w:p>
            <w:pPr>
              <w:pStyle w:val="13"/>
            </w:pPr>
            <w:r>
              <w:t>25.64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165.84</w:t>
            </w:r>
          </w:p>
        </w:tc>
        <w:tc>
          <w:tcPr>
            <w:tcW w:w="2551" w:type="dxa"/>
            <w:vAlign w:val="center"/>
          </w:tcPr>
          <w:p>
            <w:pPr>
              <w:pStyle w:val="13"/>
            </w:pPr>
            <w:r>
              <w:t>165.84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143.19</w:t>
            </w:r>
          </w:p>
        </w:tc>
        <w:tc>
          <w:tcPr>
            <w:tcW w:w="2551" w:type="dxa"/>
            <w:vAlign w:val="center"/>
          </w:tcPr>
          <w:p>
            <w:pPr>
              <w:pStyle w:val="13"/>
            </w:pPr>
            <w:r>
              <w:t>143.19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136.61</w:t>
            </w:r>
          </w:p>
        </w:tc>
        <w:tc>
          <w:tcPr>
            <w:tcW w:w="2551" w:type="dxa"/>
            <w:vAlign w:val="center"/>
          </w:tcPr>
          <w:p>
            <w:pPr>
              <w:pStyle w:val="13"/>
            </w:pPr>
            <w:r>
              <w:t>136.61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6.58</w:t>
            </w:r>
          </w:p>
        </w:tc>
        <w:tc>
          <w:tcPr>
            <w:tcW w:w="2551" w:type="dxa"/>
            <w:vAlign w:val="center"/>
          </w:tcPr>
          <w:p>
            <w:pPr>
              <w:pStyle w:val="13"/>
            </w:pPr>
            <w:r>
              <w:t>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22.65</w:t>
            </w:r>
          </w:p>
        </w:tc>
        <w:tc>
          <w:tcPr>
            <w:tcW w:w="2551" w:type="dxa"/>
            <w:vAlign w:val="center"/>
          </w:tcPr>
          <w:p>
            <w:pPr>
              <w:pStyle w:val="13"/>
            </w:pPr>
            <w:r>
              <w:t>22.65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22.65</w:t>
            </w:r>
          </w:p>
        </w:tc>
        <w:tc>
          <w:tcPr>
            <w:tcW w:w="2551" w:type="dxa"/>
            <w:vAlign w:val="center"/>
          </w:tcPr>
          <w:p>
            <w:pPr>
              <w:pStyle w:val="13"/>
            </w:pPr>
            <w:r>
              <w:t>22.65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45.67</w:t>
            </w:r>
          </w:p>
        </w:tc>
        <w:tc>
          <w:tcPr>
            <w:tcW w:w="2551" w:type="dxa"/>
            <w:vAlign w:val="center"/>
          </w:tcPr>
          <w:p>
            <w:pPr>
              <w:pStyle w:val="13"/>
            </w:pPr>
            <w:r>
              <w:t>45.67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45.67</w:t>
            </w:r>
          </w:p>
        </w:tc>
        <w:tc>
          <w:tcPr>
            <w:tcW w:w="2551" w:type="dxa"/>
            <w:vAlign w:val="center"/>
          </w:tcPr>
          <w:p>
            <w:pPr>
              <w:pStyle w:val="13"/>
            </w:pPr>
            <w:r>
              <w:t>45.67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28.70</w:t>
            </w:r>
          </w:p>
        </w:tc>
        <w:tc>
          <w:tcPr>
            <w:tcW w:w="2551" w:type="dxa"/>
            <w:vAlign w:val="center"/>
          </w:tcPr>
          <w:p>
            <w:pPr>
              <w:pStyle w:val="13"/>
            </w:pPr>
            <w:r>
              <w:t>28.70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16.96</w:t>
            </w:r>
          </w:p>
        </w:tc>
        <w:tc>
          <w:tcPr>
            <w:tcW w:w="2551" w:type="dxa"/>
            <w:vAlign w:val="center"/>
          </w:tcPr>
          <w:p>
            <w:pPr>
              <w:pStyle w:val="13"/>
            </w:pPr>
            <w:r>
              <w:t>16.96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48.60</w:t>
            </w:r>
          </w:p>
        </w:tc>
        <w:tc>
          <w:tcPr>
            <w:tcW w:w="2551" w:type="dxa"/>
            <w:vAlign w:val="center"/>
          </w:tcPr>
          <w:p>
            <w:pPr>
              <w:pStyle w:val="13"/>
            </w:pPr>
          </w:p>
        </w:tc>
        <w:tc>
          <w:tcPr>
            <w:tcW w:w="2551" w:type="dxa"/>
            <w:vAlign w:val="center"/>
          </w:tcPr>
          <w:p>
            <w:pPr>
              <w:pStyle w:val="13"/>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48.60</w:t>
            </w:r>
          </w:p>
        </w:tc>
        <w:tc>
          <w:tcPr>
            <w:tcW w:w="2551" w:type="dxa"/>
            <w:vAlign w:val="center"/>
          </w:tcPr>
          <w:p>
            <w:pPr>
              <w:pStyle w:val="13"/>
            </w:pPr>
          </w:p>
        </w:tc>
        <w:tc>
          <w:tcPr>
            <w:tcW w:w="2551" w:type="dxa"/>
            <w:vAlign w:val="center"/>
          </w:tcPr>
          <w:p>
            <w:pPr>
              <w:pStyle w:val="13"/>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48.60</w:t>
            </w:r>
          </w:p>
        </w:tc>
        <w:tc>
          <w:tcPr>
            <w:tcW w:w="2551" w:type="dxa"/>
            <w:vAlign w:val="center"/>
          </w:tcPr>
          <w:p>
            <w:pPr>
              <w:pStyle w:val="13"/>
            </w:pPr>
          </w:p>
        </w:tc>
        <w:tc>
          <w:tcPr>
            <w:tcW w:w="2551" w:type="dxa"/>
            <w:vAlign w:val="center"/>
          </w:tcPr>
          <w:p>
            <w:pPr>
              <w:pStyle w:val="13"/>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1810.89</w:t>
            </w:r>
          </w:p>
        </w:tc>
        <w:tc>
          <w:tcPr>
            <w:tcW w:w="2551" w:type="dxa"/>
            <w:vAlign w:val="center"/>
          </w:tcPr>
          <w:p>
            <w:pPr>
              <w:pStyle w:val="13"/>
            </w:pPr>
          </w:p>
        </w:tc>
        <w:tc>
          <w:tcPr>
            <w:tcW w:w="2551" w:type="dxa"/>
            <w:vAlign w:val="center"/>
          </w:tcPr>
          <w:p>
            <w:pPr>
              <w:pStyle w:val="13"/>
            </w:pPr>
            <w:r>
              <w:t>1810.89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21502</w:t>
            </w:r>
          </w:p>
        </w:tc>
        <w:tc>
          <w:tcPr>
            <w:tcW w:w="4535" w:type="dxa"/>
            <w:vAlign w:val="center"/>
          </w:tcPr>
          <w:p>
            <w:pPr>
              <w:pStyle w:val="14"/>
            </w:pPr>
            <w:r>
              <w:t>制造业</w:t>
            </w:r>
          </w:p>
        </w:tc>
        <w:tc>
          <w:tcPr>
            <w:tcW w:w="2551" w:type="dxa"/>
            <w:vAlign w:val="center"/>
          </w:tcPr>
          <w:p>
            <w:pPr>
              <w:pStyle w:val="13"/>
            </w:pPr>
            <w:r>
              <w:t>1774.00</w:t>
            </w:r>
          </w:p>
        </w:tc>
        <w:tc>
          <w:tcPr>
            <w:tcW w:w="2551" w:type="dxa"/>
            <w:vAlign w:val="center"/>
          </w:tcPr>
          <w:p>
            <w:pPr>
              <w:pStyle w:val="13"/>
            </w:pPr>
          </w:p>
        </w:tc>
        <w:tc>
          <w:tcPr>
            <w:tcW w:w="2551" w:type="dxa"/>
            <w:vAlign w:val="center"/>
          </w:tcPr>
          <w:p>
            <w:pPr>
              <w:pStyle w:val="13"/>
            </w:pPr>
            <w:r>
              <w:t>1774.00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2150299</w:t>
            </w:r>
          </w:p>
        </w:tc>
        <w:tc>
          <w:tcPr>
            <w:tcW w:w="4535" w:type="dxa"/>
            <w:vAlign w:val="center"/>
          </w:tcPr>
          <w:p>
            <w:pPr>
              <w:pStyle w:val="14"/>
            </w:pPr>
            <w:r>
              <w:t>其他制造业支出</w:t>
            </w:r>
          </w:p>
        </w:tc>
        <w:tc>
          <w:tcPr>
            <w:tcW w:w="2551" w:type="dxa"/>
            <w:vAlign w:val="center"/>
          </w:tcPr>
          <w:p>
            <w:pPr>
              <w:pStyle w:val="13"/>
            </w:pPr>
            <w:r>
              <w:t>1774.00</w:t>
            </w:r>
          </w:p>
        </w:tc>
        <w:tc>
          <w:tcPr>
            <w:tcW w:w="2551" w:type="dxa"/>
            <w:vAlign w:val="center"/>
          </w:tcPr>
          <w:p>
            <w:pPr>
              <w:pStyle w:val="13"/>
            </w:pPr>
          </w:p>
        </w:tc>
        <w:tc>
          <w:tcPr>
            <w:tcW w:w="2551" w:type="dxa"/>
            <w:vAlign w:val="center"/>
          </w:tcPr>
          <w:p>
            <w:pPr>
              <w:pStyle w:val="13"/>
            </w:pPr>
            <w:r>
              <w:t>1774.00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pPr>
            <w:r>
              <w:t>31.89</w:t>
            </w:r>
          </w:p>
        </w:tc>
        <w:tc>
          <w:tcPr>
            <w:tcW w:w="2551" w:type="dxa"/>
            <w:vAlign w:val="center"/>
          </w:tcPr>
          <w:p>
            <w:pPr>
              <w:pStyle w:val="13"/>
            </w:pPr>
          </w:p>
        </w:tc>
        <w:tc>
          <w:tcPr>
            <w:tcW w:w="2551" w:type="dxa"/>
            <w:vAlign w:val="center"/>
          </w:tcPr>
          <w:p>
            <w:pPr>
              <w:pStyle w:val="13"/>
            </w:pPr>
            <w:r>
              <w:t>31.89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2150517</w:t>
            </w:r>
          </w:p>
        </w:tc>
        <w:tc>
          <w:tcPr>
            <w:tcW w:w="4535" w:type="dxa"/>
            <w:vAlign w:val="center"/>
          </w:tcPr>
          <w:p>
            <w:pPr>
              <w:pStyle w:val="14"/>
            </w:pPr>
            <w:r>
              <w:t>产业发展</w:t>
            </w:r>
          </w:p>
        </w:tc>
        <w:tc>
          <w:tcPr>
            <w:tcW w:w="2551" w:type="dxa"/>
            <w:vAlign w:val="center"/>
          </w:tcPr>
          <w:p>
            <w:pPr>
              <w:pStyle w:val="13"/>
            </w:pPr>
            <w:r>
              <w:t>31.89</w:t>
            </w:r>
          </w:p>
        </w:tc>
        <w:tc>
          <w:tcPr>
            <w:tcW w:w="2551" w:type="dxa"/>
            <w:vAlign w:val="center"/>
          </w:tcPr>
          <w:p>
            <w:pPr>
              <w:pStyle w:val="13"/>
            </w:pPr>
          </w:p>
        </w:tc>
        <w:tc>
          <w:tcPr>
            <w:tcW w:w="2551" w:type="dxa"/>
            <w:vAlign w:val="center"/>
          </w:tcPr>
          <w:p>
            <w:pPr>
              <w:pStyle w:val="13"/>
            </w:pPr>
            <w:r>
              <w:t>31.89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2150805</w:t>
            </w:r>
          </w:p>
        </w:tc>
        <w:tc>
          <w:tcPr>
            <w:tcW w:w="4535" w:type="dxa"/>
            <w:vAlign w:val="center"/>
          </w:tcPr>
          <w:p>
            <w:pPr>
              <w:pStyle w:val="14"/>
            </w:pPr>
            <w:r>
              <w:t>中小企业发展专项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40.90</w:t>
            </w:r>
          </w:p>
        </w:tc>
        <w:tc>
          <w:tcPr>
            <w:tcW w:w="2551" w:type="dxa"/>
            <w:vAlign w:val="center"/>
          </w:tcPr>
          <w:p>
            <w:pPr>
              <w:pStyle w:val="13"/>
            </w:pPr>
            <w:r>
              <w:t>40.90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40.90</w:t>
            </w:r>
          </w:p>
        </w:tc>
        <w:tc>
          <w:tcPr>
            <w:tcW w:w="2551" w:type="dxa"/>
            <w:vAlign w:val="center"/>
          </w:tcPr>
          <w:p>
            <w:pPr>
              <w:pStyle w:val="13"/>
            </w:pPr>
            <w:r>
              <w:t>40.90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40.90</w:t>
            </w:r>
          </w:p>
        </w:tc>
        <w:tc>
          <w:tcPr>
            <w:tcW w:w="2551" w:type="dxa"/>
            <w:vAlign w:val="center"/>
          </w:tcPr>
          <w:p>
            <w:pPr>
              <w:pStyle w:val="13"/>
            </w:pPr>
            <w:r>
              <w:t>40.90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222</w:t>
            </w:r>
          </w:p>
        </w:tc>
        <w:tc>
          <w:tcPr>
            <w:tcW w:w="4535" w:type="dxa"/>
            <w:vAlign w:val="center"/>
          </w:tcPr>
          <w:p>
            <w:pPr>
              <w:pStyle w:val="14"/>
            </w:pPr>
            <w:r>
              <w:t>粮油物资储备支出</w:t>
            </w:r>
          </w:p>
        </w:tc>
        <w:tc>
          <w:tcPr>
            <w:tcW w:w="2551" w:type="dxa"/>
            <w:vAlign w:val="center"/>
          </w:tcPr>
          <w:p>
            <w:pPr>
              <w:pStyle w:val="13"/>
            </w:pPr>
            <w:r>
              <w:t>270.06</w:t>
            </w:r>
          </w:p>
        </w:tc>
        <w:tc>
          <w:tcPr>
            <w:tcW w:w="2551" w:type="dxa"/>
            <w:vAlign w:val="center"/>
          </w:tcPr>
          <w:p>
            <w:pPr>
              <w:pStyle w:val="13"/>
            </w:pPr>
          </w:p>
        </w:tc>
        <w:tc>
          <w:tcPr>
            <w:tcW w:w="2551" w:type="dxa"/>
            <w:vAlign w:val="center"/>
          </w:tcPr>
          <w:p>
            <w:pPr>
              <w:pStyle w:val="13"/>
            </w:pPr>
            <w:r>
              <w:t>270.06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22201</w:t>
            </w:r>
          </w:p>
        </w:tc>
        <w:tc>
          <w:tcPr>
            <w:tcW w:w="4535" w:type="dxa"/>
            <w:vAlign w:val="center"/>
          </w:tcPr>
          <w:p>
            <w:pPr>
              <w:pStyle w:val="14"/>
            </w:pPr>
            <w:r>
              <w:t>粮油物资事务</w:t>
            </w:r>
          </w:p>
        </w:tc>
        <w:tc>
          <w:tcPr>
            <w:tcW w:w="2551" w:type="dxa"/>
            <w:vAlign w:val="center"/>
          </w:tcPr>
          <w:p>
            <w:pPr>
              <w:pStyle w:val="13"/>
            </w:pPr>
            <w:r>
              <w:t>20.06</w:t>
            </w:r>
          </w:p>
        </w:tc>
        <w:tc>
          <w:tcPr>
            <w:tcW w:w="2551" w:type="dxa"/>
            <w:vAlign w:val="center"/>
          </w:tcPr>
          <w:p>
            <w:pPr>
              <w:pStyle w:val="13"/>
            </w:pPr>
          </w:p>
        </w:tc>
        <w:tc>
          <w:tcPr>
            <w:tcW w:w="2551" w:type="dxa"/>
            <w:vAlign w:val="center"/>
          </w:tcPr>
          <w:p>
            <w:pPr>
              <w:pStyle w:val="13"/>
            </w:pPr>
            <w:r>
              <w:t>20.06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2220120</w:t>
            </w:r>
          </w:p>
        </w:tc>
        <w:tc>
          <w:tcPr>
            <w:tcW w:w="4535" w:type="dxa"/>
            <w:vAlign w:val="center"/>
          </w:tcPr>
          <w:p>
            <w:pPr>
              <w:pStyle w:val="14"/>
            </w:pPr>
            <w:r>
              <w:t>设施安全</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2220199</w:t>
            </w:r>
          </w:p>
        </w:tc>
        <w:tc>
          <w:tcPr>
            <w:tcW w:w="4535" w:type="dxa"/>
            <w:vAlign w:val="center"/>
          </w:tcPr>
          <w:p>
            <w:pPr>
              <w:pStyle w:val="14"/>
            </w:pPr>
            <w:r>
              <w:t>其他粮油物资事务支出</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22204</w:t>
            </w:r>
          </w:p>
        </w:tc>
        <w:tc>
          <w:tcPr>
            <w:tcW w:w="4535" w:type="dxa"/>
            <w:vAlign w:val="center"/>
          </w:tcPr>
          <w:p>
            <w:pPr>
              <w:pStyle w:val="14"/>
            </w:pPr>
            <w:r>
              <w:t>粮油储备</w:t>
            </w:r>
          </w:p>
        </w:tc>
        <w:tc>
          <w:tcPr>
            <w:tcW w:w="2551" w:type="dxa"/>
            <w:vAlign w:val="center"/>
          </w:tcPr>
          <w:p>
            <w:pPr>
              <w:pStyle w:val="13"/>
            </w:pPr>
            <w:r>
              <w:t>250.00</w:t>
            </w:r>
          </w:p>
        </w:tc>
        <w:tc>
          <w:tcPr>
            <w:tcW w:w="2551" w:type="dxa"/>
            <w:vAlign w:val="center"/>
          </w:tcPr>
          <w:p>
            <w:pPr>
              <w:pStyle w:val="13"/>
            </w:pPr>
          </w:p>
        </w:tc>
        <w:tc>
          <w:tcPr>
            <w:tcW w:w="2551"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2220403</w:t>
            </w:r>
          </w:p>
        </w:tc>
        <w:tc>
          <w:tcPr>
            <w:tcW w:w="4535" w:type="dxa"/>
            <w:vAlign w:val="center"/>
          </w:tcPr>
          <w:p>
            <w:pPr>
              <w:pStyle w:val="14"/>
            </w:pPr>
            <w:r>
              <w:t>储备粮（油）库建设</w:t>
            </w:r>
          </w:p>
        </w:tc>
        <w:tc>
          <w:tcPr>
            <w:tcW w:w="2551" w:type="dxa"/>
            <w:vAlign w:val="center"/>
          </w:tcPr>
          <w:p>
            <w:pPr>
              <w:pStyle w:val="13"/>
            </w:pPr>
            <w:r>
              <w:t>250.00</w:t>
            </w:r>
          </w:p>
        </w:tc>
        <w:tc>
          <w:tcPr>
            <w:tcW w:w="2551" w:type="dxa"/>
            <w:vAlign w:val="center"/>
          </w:tcPr>
          <w:p>
            <w:pPr>
              <w:pStyle w:val="13"/>
            </w:pPr>
          </w:p>
        </w:tc>
        <w:tc>
          <w:tcPr>
            <w:tcW w:w="2551" w:type="dxa"/>
            <w:vAlign w:val="center"/>
          </w:tcPr>
          <w:p>
            <w:pPr>
              <w:pStyle w:val="13"/>
            </w:pPr>
            <w:r>
              <w:t>250.00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939.83</w:t>
            </w:r>
          </w:p>
        </w:tc>
        <w:tc>
          <w:tcPr>
            <w:tcW w:w="2551" w:type="dxa"/>
            <w:vAlign w:val="center"/>
          </w:tcPr>
          <w:p>
            <w:pPr>
              <w:pStyle w:val="17"/>
            </w:pPr>
            <w:r>
              <w:t>869.87</w:t>
            </w:r>
          </w:p>
        </w:tc>
        <w:tc>
          <w:tcPr>
            <w:tcW w:w="2551" w:type="dxa"/>
            <w:vAlign w:val="center"/>
          </w:tcPr>
          <w:p>
            <w:pPr>
              <w:pStyle w:val="17"/>
            </w:pPr>
            <w:r>
              <w:t>69.96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710.61</w:t>
            </w:r>
          </w:p>
        </w:tc>
        <w:tc>
          <w:tcPr>
            <w:tcW w:w="2551" w:type="dxa"/>
            <w:vAlign w:val="center"/>
          </w:tcPr>
          <w:p>
            <w:pPr>
              <w:pStyle w:val="13"/>
            </w:pPr>
            <w:r>
              <w:t>710.61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319.78</w:t>
            </w:r>
          </w:p>
        </w:tc>
        <w:tc>
          <w:tcPr>
            <w:tcW w:w="2551" w:type="dxa"/>
            <w:vAlign w:val="center"/>
          </w:tcPr>
          <w:p>
            <w:pPr>
              <w:pStyle w:val="13"/>
            </w:pPr>
            <w:r>
              <w:t>319.78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99.86</w:t>
            </w:r>
          </w:p>
        </w:tc>
        <w:tc>
          <w:tcPr>
            <w:tcW w:w="2551" w:type="dxa"/>
            <w:vAlign w:val="center"/>
          </w:tcPr>
          <w:p>
            <w:pPr>
              <w:pStyle w:val="13"/>
            </w:pPr>
            <w:r>
              <w:t>99.86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63.28</w:t>
            </w:r>
          </w:p>
        </w:tc>
        <w:tc>
          <w:tcPr>
            <w:tcW w:w="2551" w:type="dxa"/>
            <w:vAlign w:val="center"/>
          </w:tcPr>
          <w:p>
            <w:pPr>
              <w:pStyle w:val="13"/>
            </w:pPr>
            <w:r>
              <w:t>63.28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50.21</w:t>
            </w:r>
          </w:p>
        </w:tc>
        <w:tc>
          <w:tcPr>
            <w:tcW w:w="2551" w:type="dxa"/>
            <w:vAlign w:val="center"/>
          </w:tcPr>
          <w:p>
            <w:pPr>
              <w:pStyle w:val="13"/>
            </w:pPr>
            <w:r>
              <w:t>50.21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81.79</w:t>
            </w:r>
          </w:p>
        </w:tc>
        <w:tc>
          <w:tcPr>
            <w:tcW w:w="2551" w:type="dxa"/>
            <w:vAlign w:val="center"/>
          </w:tcPr>
          <w:p>
            <w:pPr>
              <w:pStyle w:val="13"/>
            </w:pPr>
            <w:r>
              <w:t>81.79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6.58</w:t>
            </w:r>
          </w:p>
        </w:tc>
        <w:tc>
          <w:tcPr>
            <w:tcW w:w="2551" w:type="dxa"/>
            <w:vAlign w:val="center"/>
          </w:tcPr>
          <w:p>
            <w:pPr>
              <w:pStyle w:val="13"/>
            </w:pPr>
            <w:r>
              <w:t>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42.47</w:t>
            </w:r>
          </w:p>
        </w:tc>
        <w:tc>
          <w:tcPr>
            <w:tcW w:w="2551" w:type="dxa"/>
            <w:vAlign w:val="center"/>
          </w:tcPr>
          <w:p>
            <w:pPr>
              <w:pStyle w:val="13"/>
            </w:pPr>
            <w:r>
              <w:t>42.47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5.75</w:t>
            </w:r>
          </w:p>
        </w:tc>
        <w:tc>
          <w:tcPr>
            <w:tcW w:w="2551" w:type="dxa"/>
            <w:vAlign w:val="center"/>
          </w:tcPr>
          <w:p>
            <w:pPr>
              <w:pStyle w:val="13"/>
            </w:pPr>
            <w:r>
              <w:t>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40.90</w:t>
            </w:r>
          </w:p>
        </w:tc>
        <w:tc>
          <w:tcPr>
            <w:tcW w:w="2551" w:type="dxa"/>
            <w:vAlign w:val="center"/>
          </w:tcPr>
          <w:p>
            <w:pPr>
              <w:pStyle w:val="13"/>
            </w:pPr>
            <w:r>
              <w:t>40.90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69.96</w:t>
            </w:r>
          </w:p>
        </w:tc>
        <w:tc>
          <w:tcPr>
            <w:tcW w:w="2551" w:type="dxa"/>
            <w:vAlign w:val="center"/>
          </w:tcPr>
          <w:p>
            <w:pPr>
              <w:pStyle w:val="13"/>
            </w:pPr>
          </w:p>
        </w:tc>
        <w:tc>
          <w:tcPr>
            <w:tcW w:w="2551" w:type="dxa"/>
            <w:vAlign w:val="center"/>
          </w:tcPr>
          <w:p>
            <w:pPr>
              <w:pStyle w:val="13"/>
            </w:pPr>
            <w:r>
              <w:t>69.96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3.14</w:t>
            </w:r>
          </w:p>
        </w:tc>
        <w:tc>
          <w:tcPr>
            <w:tcW w:w="2551" w:type="dxa"/>
            <w:vAlign w:val="center"/>
          </w:tcPr>
          <w:p>
            <w:pPr>
              <w:pStyle w:val="13"/>
            </w:pPr>
          </w:p>
        </w:tc>
        <w:tc>
          <w:tcPr>
            <w:tcW w:w="2551" w:type="dxa"/>
            <w:vAlign w:val="center"/>
          </w:tcPr>
          <w:p>
            <w:pPr>
              <w:pStyle w:val="13"/>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1.31</w:t>
            </w:r>
          </w:p>
        </w:tc>
        <w:tc>
          <w:tcPr>
            <w:tcW w:w="2551" w:type="dxa"/>
            <w:vAlign w:val="center"/>
          </w:tcPr>
          <w:p>
            <w:pPr>
              <w:pStyle w:val="13"/>
            </w:pPr>
          </w:p>
        </w:tc>
        <w:tc>
          <w:tcPr>
            <w:tcW w:w="2551" w:type="dxa"/>
            <w:vAlign w:val="center"/>
          </w:tcPr>
          <w:p>
            <w:pPr>
              <w:pStyle w:val="13"/>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2.69</w:t>
            </w:r>
          </w:p>
        </w:tc>
        <w:tc>
          <w:tcPr>
            <w:tcW w:w="2551" w:type="dxa"/>
            <w:vAlign w:val="center"/>
          </w:tcPr>
          <w:p>
            <w:pPr>
              <w:pStyle w:val="13"/>
            </w:pPr>
          </w:p>
        </w:tc>
        <w:tc>
          <w:tcPr>
            <w:tcW w:w="2551" w:type="dxa"/>
            <w:vAlign w:val="center"/>
          </w:tcPr>
          <w:p>
            <w:pPr>
              <w:pStyle w:val="13"/>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5.26</w:t>
            </w:r>
          </w:p>
        </w:tc>
        <w:tc>
          <w:tcPr>
            <w:tcW w:w="2551" w:type="dxa"/>
            <w:vAlign w:val="center"/>
          </w:tcPr>
          <w:p>
            <w:pPr>
              <w:pStyle w:val="13"/>
            </w:pPr>
          </w:p>
        </w:tc>
        <w:tc>
          <w:tcPr>
            <w:tcW w:w="2551" w:type="dxa"/>
            <w:vAlign w:val="center"/>
          </w:tcPr>
          <w:p>
            <w:pPr>
              <w:pStyle w:val="13"/>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5.74</w:t>
            </w:r>
          </w:p>
        </w:tc>
        <w:tc>
          <w:tcPr>
            <w:tcW w:w="2551" w:type="dxa"/>
            <w:vAlign w:val="center"/>
          </w:tcPr>
          <w:p>
            <w:pPr>
              <w:pStyle w:val="13"/>
            </w:pPr>
          </w:p>
        </w:tc>
        <w:tc>
          <w:tcPr>
            <w:tcW w:w="2551"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15.68</w:t>
            </w:r>
          </w:p>
        </w:tc>
        <w:tc>
          <w:tcPr>
            <w:tcW w:w="2551" w:type="dxa"/>
            <w:vAlign w:val="center"/>
          </w:tcPr>
          <w:p>
            <w:pPr>
              <w:pStyle w:val="13"/>
            </w:pPr>
          </w:p>
        </w:tc>
        <w:tc>
          <w:tcPr>
            <w:tcW w:w="2551" w:type="dxa"/>
            <w:vAlign w:val="center"/>
          </w:tcPr>
          <w:p>
            <w:pPr>
              <w:pStyle w:val="13"/>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35.06</w:t>
            </w:r>
          </w:p>
        </w:tc>
        <w:tc>
          <w:tcPr>
            <w:tcW w:w="2551" w:type="dxa"/>
            <w:vAlign w:val="center"/>
          </w:tcPr>
          <w:p>
            <w:pPr>
              <w:pStyle w:val="13"/>
            </w:pPr>
          </w:p>
        </w:tc>
        <w:tc>
          <w:tcPr>
            <w:tcW w:w="2551" w:type="dxa"/>
            <w:vAlign w:val="center"/>
          </w:tcPr>
          <w:p>
            <w:pPr>
              <w:pStyle w:val="13"/>
            </w:pPr>
            <w:r>
              <w:t>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159.26</w:t>
            </w:r>
          </w:p>
        </w:tc>
        <w:tc>
          <w:tcPr>
            <w:tcW w:w="2551" w:type="dxa"/>
            <w:vAlign w:val="center"/>
          </w:tcPr>
          <w:p>
            <w:pPr>
              <w:pStyle w:val="13"/>
            </w:pPr>
            <w:r>
              <w:t>159.26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11.68</w:t>
            </w:r>
          </w:p>
        </w:tc>
        <w:tc>
          <w:tcPr>
            <w:tcW w:w="2551" w:type="dxa"/>
            <w:vAlign w:val="center"/>
          </w:tcPr>
          <w:p>
            <w:pPr>
              <w:pStyle w:val="13"/>
            </w:pPr>
            <w:r>
              <w:t>11.68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124.93</w:t>
            </w:r>
          </w:p>
        </w:tc>
        <w:tc>
          <w:tcPr>
            <w:tcW w:w="2551" w:type="dxa"/>
            <w:vAlign w:val="center"/>
          </w:tcPr>
          <w:p>
            <w:pPr>
              <w:pStyle w:val="13"/>
            </w:pPr>
            <w:r>
              <w:t>124.93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22.65</w:t>
            </w:r>
          </w:p>
        </w:tc>
        <w:tc>
          <w:tcPr>
            <w:tcW w:w="2551" w:type="dxa"/>
            <w:vAlign w:val="center"/>
          </w:tcPr>
          <w:p>
            <w:pPr>
              <w:pStyle w:val="13"/>
            </w:pPr>
            <w:r>
              <w:t>22.65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4041.92</w:t>
            </w:r>
          </w:p>
        </w:tc>
        <w:tc>
          <w:tcPr>
            <w:tcW w:w="2551" w:type="dxa"/>
            <w:vAlign w:val="center"/>
          </w:tcPr>
          <w:p>
            <w:pPr>
              <w:pStyle w:val="17"/>
            </w:pPr>
          </w:p>
        </w:tc>
        <w:tc>
          <w:tcPr>
            <w:tcW w:w="2551" w:type="dxa"/>
            <w:vAlign w:val="center"/>
          </w:tcPr>
          <w:p>
            <w:pPr>
              <w:pStyle w:val="17"/>
            </w:pPr>
            <w:r>
              <w:t>4041.92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4041.92</w:t>
            </w:r>
          </w:p>
        </w:tc>
        <w:tc>
          <w:tcPr>
            <w:tcW w:w="2551" w:type="dxa"/>
            <w:vAlign w:val="center"/>
          </w:tcPr>
          <w:p>
            <w:pPr>
              <w:pStyle w:val="13"/>
            </w:pPr>
          </w:p>
        </w:tc>
        <w:tc>
          <w:tcPr>
            <w:tcW w:w="2551" w:type="dxa"/>
            <w:vAlign w:val="center"/>
          </w:tcPr>
          <w:p>
            <w:pPr>
              <w:pStyle w:val="13"/>
            </w:pPr>
            <w:r>
              <w:t>4041.92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4041.92</w:t>
            </w:r>
          </w:p>
        </w:tc>
        <w:tc>
          <w:tcPr>
            <w:tcW w:w="2551" w:type="dxa"/>
            <w:vAlign w:val="center"/>
          </w:tcPr>
          <w:p>
            <w:pPr>
              <w:pStyle w:val="13"/>
            </w:pPr>
          </w:p>
        </w:tc>
        <w:tc>
          <w:tcPr>
            <w:tcW w:w="2551" w:type="dxa"/>
            <w:vAlign w:val="center"/>
          </w:tcPr>
          <w:p>
            <w:pPr>
              <w:pStyle w:val="13"/>
            </w:pPr>
            <w:r>
              <w:t>4041.92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3239.99</w:t>
            </w:r>
          </w:p>
        </w:tc>
        <w:tc>
          <w:tcPr>
            <w:tcW w:w="2551" w:type="dxa"/>
            <w:vAlign w:val="center"/>
          </w:tcPr>
          <w:p>
            <w:pPr>
              <w:pStyle w:val="13"/>
            </w:pPr>
          </w:p>
        </w:tc>
        <w:tc>
          <w:tcPr>
            <w:tcW w:w="2551" w:type="dxa"/>
            <w:vAlign w:val="center"/>
          </w:tcPr>
          <w:p>
            <w:pPr>
              <w:pStyle w:val="13"/>
            </w:pPr>
            <w:r>
              <w:t>3239.99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项目</w:t>
            </w:r>
          </w:p>
        </w:tc>
        <w:tc>
          <w:tcPr>
            <w:tcW w:w="9524" w:type="dxa"/>
            <w:gridSpan w:val="4"/>
            <w:vAlign w:val="center"/>
          </w:tcPr>
          <w:p>
            <w:pPr>
              <w:pStyle w:val="12"/>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一般公共预算财政拨款</w:t>
            </w:r>
          </w:p>
        </w:tc>
        <w:tc>
          <w:tcPr>
            <w:tcW w:w="2381" w:type="dxa"/>
            <w:vAlign w:val="center"/>
          </w:tcPr>
          <w:p>
            <w:pPr>
              <w:pStyle w:val="12"/>
            </w:pPr>
            <w:r>
              <w:t>政府性基金预算拨款</w:t>
            </w:r>
          </w:p>
        </w:tc>
        <w:tc>
          <w:tcPr>
            <w:tcW w:w="238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34.18</w:t>
            </w:r>
          </w:p>
        </w:tc>
        <w:tc>
          <w:tcPr>
            <w:tcW w:w="2381" w:type="dxa"/>
            <w:vAlign w:val="center"/>
          </w:tcPr>
          <w:p>
            <w:pPr>
              <w:pStyle w:val="17"/>
            </w:pPr>
            <w:r>
              <w:t>15.68</w:t>
            </w:r>
          </w:p>
        </w:tc>
        <w:tc>
          <w:tcPr>
            <w:tcW w:w="2381" w:type="dxa"/>
            <w:vAlign w:val="center"/>
          </w:tcPr>
          <w:p>
            <w:pPr>
              <w:pStyle w:val="17"/>
            </w:pPr>
            <w:r>
              <w:t>18.50</w:t>
            </w: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w:t>
            </w:r>
          </w:p>
        </w:tc>
        <w:tc>
          <w:tcPr>
            <w:tcW w:w="2381" w:type="dxa"/>
            <w:vAlign w:val="center"/>
          </w:tcPr>
          <w:p>
            <w:pPr>
              <w:pStyle w:val="13"/>
            </w:pPr>
            <w:r>
              <w:t>34.18</w:t>
            </w:r>
          </w:p>
        </w:tc>
        <w:tc>
          <w:tcPr>
            <w:tcW w:w="2381" w:type="dxa"/>
            <w:vAlign w:val="center"/>
          </w:tcPr>
          <w:p>
            <w:pPr>
              <w:pStyle w:val="13"/>
            </w:pPr>
            <w:r>
              <w:t>15.68</w:t>
            </w:r>
          </w:p>
        </w:tc>
        <w:tc>
          <w:tcPr>
            <w:tcW w:w="2381" w:type="dxa"/>
            <w:vAlign w:val="center"/>
          </w:tcPr>
          <w:p>
            <w:pPr>
              <w:pStyle w:val="13"/>
            </w:pPr>
            <w:r>
              <w:t>18.50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其中：教育科研人员因公出国（境）费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lang w:eastAsia="zh-CN"/>
              </w:rPr>
            </w:pPr>
            <w: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25.68</w:t>
            </w:r>
          </w:p>
        </w:tc>
        <w:tc>
          <w:tcPr>
            <w:tcW w:w="2381" w:type="dxa"/>
            <w:vAlign w:val="center"/>
          </w:tcPr>
          <w:p>
            <w:pPr>
              <w:pStyle w:val="13"/>
            </w:pPr>
            <w:r>
              <w:t>15.68</w:t>
            </w:r>
          </w:p>
        </w:tc>
        <w:tc>
          <w:tcPr>
            <w:tcW w:w="2381" w:type="dxa"/>
            <w:vAlign w:val="center"/>
          </w:tcPr>
          <w:p>
            <w:pPr>
              <w:pStyle w:val="13"/>
            </w:pPr>
            <w:r>
              <w:t>10.00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rPr>
                <w:lang w:eastAsia="zh-CN"/>
              </w:rPr>
            </w:pPr>
            <w:r>
              <w:t>公务用车运行维护费</w:t>
            </w:r>
          </w:p>
        </w:tc>
        <w:tc>
          <w:tcPr>
            <w:tcW w:w="2381" w:type="dxa"/>
            <w:vAlign w:val="center"/>
          </w:tcPr>
          <w:p>
            <w:pPr>
              <w:pStyle w:val="13"/>
            </w:pPr>
            <w:r>
              <w:t>25.68</w:t>
            </w:r>
          </w:p>
        </w:tc>
        <w:tc>
          <w:tcPr>
            <w:tcW w:w="2381" w:type="dxa"/>
            <w:vAlign w:val="center"/>
          </w:tcPr>
          <w:p>
            <w:pPr>
              <w:pStyle w:val="13"/>
            </w:pPr>
            <w:r>
              <w:t>15.68</w:t>
            </w:r>
          </w:p>
        </w:tc>
        <w:tc>
          <w:tcPr>
            <w:tcW w:w="2381" w:type="dxa"/>
            <w:vAlign w:val="center"/>
          </w:tcPr>
          <w:p>
            <w:pPr>
              <w:pStyle w:val="13"/>
            </w:pPr>
            <w:r>
              <w:t>10.00</w:t>
            </w: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8.50</w:t>
            </w:r>
          </w:p>
        </w:tc>
        <w:tc>
          <w:tcPr>
            <w:tcW w:w="2381" w:type="dxa"/>
            <w:vAlign w:val="center"/>
          </w:tcPr>
          <w:p>
            <w:pPr>
              <w:pStyle w:val="13"/>
            </w:pPr>
          </w:p>
        </w:tc>
        <w:tc>
          <w:tcPr>
            <w:tcW w:w="2381" w:type="dxa"/>
            <w:vAlign w:val="center"/>
          </w:tcPr>
          <w:p>
            <w:pPr>
              <w:pStyle w:val="13"/>
            </w:pPr>
            <w:r>
              <w:t>8.50</w:t>
            </w: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青龙满族自治县发展和改革局本级2023年单位预算信息公开情况说明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 w:name="_GoBack"/>
      <w:bookmarkEnd w:id="1"/>
      <w:r>
        <w:rPr>
          <w:rFonts w:eastAsia="方正仿宋_GBK"/>
          <w:color w:val="000000"/>
          <w:sz w:val="28"/>
        </w:rPr>
        <w:t>、《地方预决算公开操作规程》和《关于进一步推进预算公开工作的实施意见》规定，现将青龙满族自治县发展和改革局本级2023年单位预算公开如下：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根据《发展和改革局职能配置、内设机构和人员编制规定》，发展和改革局的主要职责是：</w:t>
      </w:r>
    </w:p>
    <w:p>
      <w:pPr>
        <w:pStyle w:val="27"/>
      </w:pPr>
      <w:r>
        <w:t>1、机关日常管理负责各科室综合协调、文秘文电、机要通讯、档案管理、会务安排、公车管理、人事管理、信息上报，以及工青妇和离退休老干部工作。负责局党委系统党建及机关支部日常工作。保障机关正常高效运转。</w:t>
      </w:r>
    </w:p>
    <w:p>
      <w:pPr>
        <w:pStyle w:val="27"/>
        <w:rPr>
          <w:lang w:eastAsia="zh-CN"/>
        </w:rPr>
      </w:pPr>
      <w:r>
        <w:t>2、加快投资建设拟订全社会固定资产投资规模和投资结构的调控目标、政策措施。安排国家、省、市、县拨款或承担贷款责任的建设项目。进一步优化投资结构。</w:t>
      </w:r>
    </w:p>
    <w:p>
      <w:pPr>
        <w:pStyle w:val="27"/>
        <w:rPr>
          <w:lang w:eastAsia="zh-CN"/>
        </w:rPr>
      </w:pPr>
      <w:r>
        <w:t>3、推动农村经济发展拟订全县农业和农村经济发展战略，实施并组织工代赈工程和</w:t>
      </w:r>
      <w:r>
        <w:rPr>
          <w:rFonts w:hint="eastAsia"/>
          <w:lang w:eastAsia="zh-CN"/>
        </w:rPr>
        <w:t>易地扶贫</w:t>
      </w:r>
      <w:r>
        <w:t>搬迁工程。加快农村经济发展步伐。</w:t>
      </w:r>
    </w:p>
    <w:p>
      <w:pPr>
        <w:pStyle w:val="27"/>
      </w:pPr>
      <w:r>
        <w:t>4、开展农业区划相关工作编制农业资源规划，搞好农业区划调研成果转化、应用、推广，对辖区农业资源进行动态监测。推动山区农业资源可持续开发利用。</w:t>
      </w:r>
    </w:p>
    <w:p>
      <w:pPr>
        <w:pStyle w:val="27"/>
      </w:pPr>
      <w:r>
        <w:t>5、搞好经济体制改革制订经济体制方案，指导推进和综合协调经济体制改革。围绕发展与改革的重要问题进行调研，提出相关建议。</w:t>
      </w:r>
    </w:p>
    <w:p>
      <w:pPr>
        <w:pStyle w:val="27"/>
      </w:pPr>
      <w:r>
        <w:t>6、搞好项目审批管理负责固定资产投资项目的审批、核准、备案工作提供优质高效便捷服务，优化投资环境。</w:t>
      </w:r>
    </w:p>
    <w:p>
      <w:pPr>
        <w:pStyle w:val="27"/>
      </w:pPr>
      <w:r>
        <w:t>7、制定发展计划规划拟订并组织实施经济发展战略、中长期规划和年度发展计划。代县政府做国民经济和社会发展计划报告。承担国民经济动员办公室职责优化县域生产力布局。</w:t>
      </w:r>
    </w:p>
    <w:p>
      <w:pPr>
        <w:pStyle w:val="27"/>
      </w:pPr>
      <w:r>
        <w:t>8、加强节能降碳工作组织拟订发展循环经济、节能综合利用规划及政策措施，协调督导落实。加快推进资源节约型、环境友好型社会建设。</w:t>
      </w:r>
    </w:p>
    <w:p>
      <w:pPr>
        <w:pStyle w:val="27"/>
      </w:pPr>
      <w:r>
        <w:t>9、推动社会事业发展组织拟订社会事业发展战略、总体规划和年度计划，推进社会事业建设。研究就业、收入分配、社会保障等政策建议。督导、协调向上争取项目、资金、政策。促进社会各项事业协调发展。</w:t>
      </w:r>
    </w:p>
    <w:p>
      <w:pPr>
        <w:pStyle w:val="27"/>
      </w:pPr>
      <w:r>
        <w:t>10、搞好项目建设管理组织实施综合性产业政策，推进落实重大项目建设优化生产力布局，促进产业结构升级。</w:t>
      </w:r>
    </w:p>
    <w:p>
      <w:pPr>
        <w:pStyle w:val="27"/>
      </w:pPr>
      <w:r>
        <w:t>11、扩大对外对内开放参加各类经济技术交流活动，促进区域经济技术合作。承接京津产业转移，引进一批战略投资者，推动青龙经济快速发展。</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青龙满族自治县发展和改革局本级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7"/>
        <w:ind w:firstLine="0"/>
      </w:pPr>
      <w:r>
        <w:t>青龙满族自治县发展和改革局机关及所属事业单位的收支包含在单位预算中。按照预算管理有关规定，目前我县预单位的编制实行综合预算制度，即全部收入和支出都反映在预算中。</w:t>
      </w:r>
    </w:p>
    <w:p>
      <w:pPr>
        <w:pStyle w:val="27"/>
      </w:pPr>
      <w:r>
        <w:t>1、收入说明反映本</w:t>
      </w:r>
      <w:r>
        <w:rPr>
          <w:rFonts w:hint="eastAsia"/>
          <w:lang w:eastAsia="zh-CN"/>
        </w:rPr>
        <w:t>单位</w:t>
      </w:r>
      <w:r>
        <w:t>当年全部收入。2023年预算收入</w:t>
      </w:r>
      <w:r>
        <w:rPr>
          <w:rFonts w:hint="eastAsia"/>
          <w:lang w:eastAsia="zh-CN"/>
        </w:rPr>
        <w:t>7231.54</w:t>
      </w:r>
      <w:r>
        <w:t>万元，其中：一般公共预算收入</w:t>
      </w:r>
      <w:r>
        <w:rPr>
          <w:rFonts w:hint="eastAsia"/>
          <w:lang w:eastAsia="zh-CN"/>
        </w:rPr>
        <w:t>1106.04</w:t>
      </w:r>
      <w:r>
        <w:t>万元，基金预算收入</w:t>
      </w:r>
      <w:r>
        <w:rPr>
          <w:rFonts w:hint="eastAsia"/>
          <w:lang w:eastAsia="zh-CN"/>
        </w:rPr>
        <w:t>3980.18</w:t>
      </w:r>
      <w:r>
        <w:t>万元，上年结转</w:t>
      </w:r>
      <w:r>
        <w:rPr>
          <w:rFonts w:hint="eastAsia"/>
          <w:lang w:eastAsia="zh-CN"/>
        </w:rPr>
        <w:t>2145.31</w:t>
      </w:r>
      <w:r>
        <w:t>万元，财政专户核拨收入0万元，国有资本经营收入0万元。</w:t>
      </w:r>
    </w:p>
    <w:p>
      <w:pPr>
        <w:pStyle w:val="27"/>
        <w:rPr>
          <w:lang w:eastAsia="zh-CN"/>
        </w:rPr>
      </w:pPr>
      <w:r>
        <w:t>2、支出说明收支预算总表支出栏、基本支出表、项目支出表按经济分类和支出功能分类科目编制，反映发改局年度</w:t>
      </w:r>
      <w:r>
        <w:rPr>
          <w:rFonts w:hint="eastAsia"/>
          <w:lang w:eastAsia="zh-CN"/>
        </w:rPr>
        <w:t>单位</w:t>
      </w:r>
      <w:r>
        <w:t>预算中支出预算的总体情况。202</w:t>
      </w:r>
      <w:r>
        <w:rPr>
          <w:rFonts w:hint="eastAsia"/>
          <w:lang w:eastAsia="zh-CN"/>
        </w:rPr>
        <w:t>2</w:t>
      </w:r>
      <w:r>
        <w:t>年支出预算</w:t>
      </w:r>
      <w:r>
        <w:rPr>
          <w:rFonts w:hint="eastAsia"/>
          <w:lang w:eastAsia="zh-CN"/>
        </w:rPr>
        <w:t>7231.54</w:t>
      </w:r>
      <w:r>
        <w:t>万元，其中基本支出</w:t>
      </w:r>
      <w:r>
        <w:rPr>
          <w:rFonts w:hint="eastAsia"/>
          <w:lang w:eastAsia="zh-CN"/>
        </w:rPr>
        <w:t>939.83</w:t>
      </w:r>
      <w:r>
        <w:t>万元，包括人员经费</w:t>
      </w:r>
      <w:r>
        <w:rPr>
          <w:rFonts w:hint="eastAsia"/>
          <w:lang w:eastAsia="zh-CN"/>
        </w:rPr>
        <w:t>869.87</w:t>
      </w:r>
      <w:r>
        <w:t>万元和日常公用经费</w:t>
      </w:r>
      <w:r>
        <w:rPr>
          <w:rFonts w:hint="eastAsia"/>
          <w:lang w:eastAsia="zh-CN"/>
        </w:rPr>
        <w:t>69.96</w:t>
      </w:r>
      <w:r>
        <w:t>万元</w:t>
      </w:r>
      <w:r>
        <w:rPr>
          <w:rFonts w:hint="eastAsia"/>
          <w:lang w:eastAsia="zh-CN"/>
        </w:rPr>
        <w:t>；</w:t>
      </w:r>
      <w:r>
        <w:t>项目支出</w:t>
      </w:r>
      <w:r>
        <w:rPr>
          <w:rFonts w:hint="eastAsia"/>
          <w:lang w:eastAsia="zh-CN"/>
        </w:rPr>
        <w:t>6291.71</w:t>
      </w:r>
      <w:r>
        <w:t>万元，主要为支持先进制造业和现代服务业发展专项中央基建投资预算1774万元，中小企业扶持资金</w:t>
      </w:r>
      <w:r>
        <w:rPr>
          <w:rFonts w:hint="eastAsia"/>
          <w:lang w:eastAsia="zh-CN"/>
        </w:rPr>
        <w:t>500</w:t>
      </w:r>
      <w:r>
        <w:t>万元，洁净型煤及炉具款1000万元，矽肺病人员补偿资金1000万元，原丰安民爆公司企业改制</w:t>
      </w:r>
      <w:r>
        <w:rPr>
          <w:rFonts w:hint="eastAsia"/>
          <w:lang w:eastAsia="zh-CN"/>
        </w:rPr>
        <w:t>问题费用285.46</w:t>
      </w:r>
      <w:r>
        <w:t>万元等。</w:t>
      </w:r>
    </w:p>
    <w:p>
      <w:pPr>
        <w:pStyle w:val="27"/>
        <w:rPr>
          <w:lang w:eastAsia="zh-CN"/>
        </w:rPr>
      </w:pPr>
      <w:r>
        <w:t>3、比上年增减情况</w:t>
      </w:r>
      <w:r>
        <w:rPr>
          <w:rFonts w:hint="eastAsia"/>
          <w:lang w:eastAsia="zh-CN"/>
        </w:rPr>
        <w:t>2023</w:t>
      </w:r>
      <w:r>
        <w:t>年预算收支安排</w:t>
      </w:r>
      <w:r>
        <w:rPr>
          <w:rFonts w:hint="eastAsia"/>
          <w:lang w:eastAsia="zh-CN"/>
        </w:rPr>
        <w:t>7231.54</w:t>
      </w:r>
      <w:r>
        <w:t>万元，较</w:t>
      </w:r>
      <w:r>
        <w:rPr>
          <w:rFonts w:hint="eastAsia"/>
          <w:lang w:eastAsia="zh-CN"/>
        </w:rPr>
        <w:t>2022</w:t>
      </w:r>
      <w:r>
        <w:t>年预算</w:t>
      </w:r>
      <w:r>
        <w:rPr>
          <w:rFonts w:hint="eastAsia"/>
          <w:lang w:eastAsia="zh-CN"/>
        </w:rPr>
        <w:t>减少426.80</w:t>
      </w:r>
      <w:r>
        <w:t>万元，其中：基本支出减少</w:t>
      </w:r>
      <w:r>
        <w:rPr>
          <w:rFonts w:hint="eastAsia"/>
          <w:lang w:eastAsia="zh-CN"/>
        </w:rPr>
        <w:t>31.19</w:t>
      </w:r>
      <w:r>
        <w:t>万元，主要为减少日常公用支出；项目支出</w:t>
      </w:r>
      <w:r>
        <w:rPr>
          <w:rFonts w:hint="eastAsia"/>
          <w:lang w:eastAsia="zh-CN"/>
        </w:rPr>
        <w:t>减少395.61</w:t>
      </w:r>
      <w:r>
        <w:t>万元</w:t>
      </w:r>
      <w:r>
        <w:rPr>
          <w:rFonts w:hint="eastAsia"/>
          <w:lang w:eastAsia="zh-CN"/>
        </w:rPr>
        <w:t>，主要为减少中小企业扶持资金支出。</w:t>
      </w:r>
    </w:p>
    <w:p>
      <w:pPr>
        <w:spacing w:before="10" w:after="10"/>
        <w:ind w:firstLine="640"/>
        <w:outlineLvl w:val="5"/>
      </w:pPr>
      <w:r>
        <w:rPr>
          <w:rFonts w:ascii="黑体" w:hAnsi="黑体" w:eastAsia="黑体" w:cs="黑体"/>
          <w:color w:val="000000"/>
          <w:sz w:val="32"/>
        </w:rPr>
        <w:t>三、机关运行经费安排情况</w:t>
      </w:r>
    </w:p>
    <w:p>
      <w:pPr>
        <w:pStyle w:val="29"/>
        <w:rPr>
          <w:lang w:eastAsia="zh-CN"/>
        </w:rPr>
      </w:pPr>
      <w:r>
        <w:t>机关运行经费安排情况机关运行经费安排情况</w:t>
      </w:r>
      <w:r>
        <w:rPr>
          <w:rFonts w:hint="eastAsia"/>
          <w:lang w:eastAsia="zh-CN"/>
        </w:rPr>
        <w:t>2023</w:t>
      </w:r>
      <w:r>
        <w:t>年，我部门机关运行经费共计安排</w:t>
      </w:r>
      <w:r>
        <w:rPr>
          <w:rFonts w:hint="eastAsia"/>
          <w:lang w:eastAsia="zh-CN"/>
        </w:rPr>
        <w:t>69.96</w:t>
      </w:r>
      <w:r>
        <w:t>万元，主要用于差旅费</w:t>
      </w:r>
      <w:r>
        <w:rPr>
          <w:rFonts w:hint="eastAsia"/>
          <w:lang w:eastAsia="zh-CN"/>
        </w:rPr>
        <w:t>2.69</w:t>
      </w:r>
      <w:r>
        <w:t>万元、维修(护)费</w:t>
      </w:r>
      <w:r>
        <w:rPr>
          <w:rFonts w:hint="eastAsia"/>
          <w:lang w:eastAsia="zh-CN"/>
        </w:rPr>
        <w:t>5.26</w:t>
      </w:r>
      <w:r>
        <w:t>9万元，</w:t>
      </w:r>
      <w:r>
        <w:rPr>
          <w:rFonts w:hint="eastAsia"/>
          <w:lang w:eastAsia="zh-CN"/>
        </w:rPr>
        <w:t>劳务费5.74万元，</w:t>
      </w:r>
      <w:r>
        <w:t>公共用车维护</w:t>
      </w:r>
      <w:r>
        <w:rPr>
          <w:rFonts w:hint="eastAsia"/>
          <w:lang w:eastAsia="zh-CN"/>
        </w:rPr>
        <w:t>15.68</w:t>
      </w:r>
      <w:r>
        <w:t>万元、其他交通费</w:t>
      </w:r>
      <w:r>
        <w:rPr>
          <w:rFonts w:hint="eastAsia"/>
          <w:lang w:eastAsia="zh-CN"/>
        </w:rPr>
        <w:t>35.06</w:t>
      </w:r>
      <w:r>
        <w:t>万元等日常运行支出。</w:t>
      </w:r>
    </w:p>
    <w:p>
      <w:pPr>
        <w:pStyle w:val="27"/>
        <w:numPr>
          <w:ilvl w:val="0"/>
          <w:numId w:val="2"/>
        </w:numPr>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7"/>
        <w:ind w:firstLine="840" w:firstLineChars="300"/>
      </w:pPr>
      <w:r>
        <w:t>202</w:t>
      </w:r>
      <w:r>
        <w:rPr>
          <w:rFonts w:hint="eastAsia"/>
          <w:lang w:eastAsia="zh-CN"/>
        </w:rPr>
        <w:t>3</w:t>
      </w:r>
      <w:r>
        <w:t>年，我部门财政拨款“三公”经费预算安排</w:t>
      </w:r>
      <w:r>
        <w:rPr>
          <w:rFonts w:hint="eastAsia"/>
          <w:lang w:eastAsia="zh-CN"/>
        </w:rPr>
        <w:t>34.18</w:t>
      </w:r>
      <w:r>
        <w:t>万元，其中因公出国（境）费0万元，同比无变化，原因是无因公出国（境）安排；公务用车购置及运维费</w:t>
      </w:r>
      <w:r>
        <w:rPr>
          <w:rFonts w:hint="eastAsia"/>
          <w:lang w:eastAsia="zh-CN"/>
        </w:rPr>
        <w:t>25.68</w:t>
      </w:r>
      <w:r>
        <w:t>万元（其中：公务用车购置费为0万元，公务用车运维费</w:t>
      </w:r>
      <w:r>
        <w:rPr>
          <w:rFonts w:hint="eastAsia"/>
          <w:lang w:eastAsia="zh-CN"/>
        </w:rPr>
        <w:t>25.68</w:t>
      </w:r>
      <w:r>
        <w:t>万元)，同比</w:t>
      </w:r>
      <w:r>
        <w:rPr>
          <w:rFonts w:hint="eastAsia"/>
          <w:lang w:eastAsia="zh-CN"/>
        </w:rPr>
        <w:t>减少</w:t>
      </w:r>
      <w:r>
        <w:t>16.</w:t>
      </w:r>
      <w:r>
        <w:rPr>
          <w:rFonts w:hint="eastAsia"/>
          <w:lang w:eastAsia="zh-CN"/>
        </w:rPr>
        <w:t>86</w:t>
      </w:r>
      <w:r>
        <w:t>万元，增加了</w:t>
      </w:r>
      <w:r>
        <w:rPr>
          <w:rFonts w:hint="eastAsia"/>
          <w:lang w:eastAsia="zh-CN"/>
        </w:rPr>
        <w:t>39.63</w:t>
      </w:r>
      <w:r>
        <w:t>%，主要原因是我部门</w:t>
      </w:r>
      <w:r>
        <w:rPr>
          <w:rFonts w:hint="eastAsia"/>
          <w:lang w:eastAsia="zh-CN"/>
        </w:rPr>
        <w:t>相应政策节省开支。</w:t>
      </w:r>
      <w:r>
        <w:t>；公务接待费</w:t>
      </w:r>
      <w:r>
        <w:rPr>
          <w:rFonts w:hint="eastAsia"/>
          <w:lang w:eastAsia="zh-CN"/>
        </w:rPr>
        <w:t>8.5</w:t>
      </w:r>
      <w:r>
        <w:t>万元，同比增加</w:t>
      </w:r>
      <w:r>
        <w:rPr>
          <w:rFonts w:hint="eastAsia"/>
          <w:lang w:eastAsia="zh-CN"/>
        </w:rPr>
        <w:t>0.33</w:t>
      </w:r>
      <w:r>
        <w:t>万元，增加</w:t>
      </w:r>
      <w:r>
        <w:rPr>
          <w:rFonts w:hint="eastAsia"/>
          <w:lang w:eastAsia="zh-CN"/>
        </w:rPr>
        <w:t>4</w:t>
      </w:r>
      <w:r>
        <w:t>%，增加的主要原因为促进本县域经济发展，加大培训力度，多次开展培训等活动</w:t>
      </w:r>
      <w:r>
        <w:rPr>
          <w:rFonts w:hint="eastAsia"/>
          <w:lang w:eastAsia="zh-CN"/>
        </w:rPr>
        <w:t>。</w:t>
      </w:r>
    </w:p>
    <w:p>
      <w:pPr>
        <w:numPr>
          <w:ilvl w:val="0"/>
          <w:numId w:val="3"/>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黑体" w:hAnsi="黑体" w:eastAsia="黑体" w:cs="黑体"/>
          <w:color w:val="000000"/>
          <w:sz w:val="32"/>
        </w:rPr>
        <w:t>预算绩效信息</w:t>
      </w:r>
    </w:p>
    <w:p>
      <w:r>
        <w:rPr>
          <w:rFonts w:ascii="方正仿宋_GBK" w:hAnsi="方正仿宋_GBK" w:eastAsia="方正仿宋_GBK" w:cs="方正仿宋_GBK"/>
          <w:b/>
          <w:color w:val="000000"/>
          <w:sz w:val="28"/>
        </w:rPr>
        <w:t>1、板栗产业科技培训费绩效目标表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6.通过组织专家教授、培训教师、科技人员、农业技术人员开展科技大培训，促进农民科技素质提升。</w:t>
            </w:r>
          </w:p>
          <w:p>
            <w:pPr>
              <w:pStyle w:val="14"/>
            </w:pPr>
            <w:r>
              <w:t>7.通过培训提高农业技术水平，促进农村经济快速发展。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完成年度培训次数</w:t>
            </w:r>
          </w:p>
        </w:tc>
        <w:tc>
          <w:tcPr>
            <w:tcW w:w="2551" w:type="dxa"/>
            <w:vAlign w:val="center"/>
          </w:tcPr>
          <w:p>
            <w:pPr>
              <w:pStyle w:val="14"/>
            </w:pPr>
            <w:r>
              <w:t>≥30次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聘请专家数量</w:t>
            </w:r>
          </w:p>
        </w:tc>
        <w:tc>
          <w:tcPr>
            <w:tcW w:w="2835" w:type="dxa"/>
            <w:vAlign w:val="center"/>
          </w:tcPr>
          <w:p>
            <w:pPr>
              <w:pStyle w:val="14"/>
            </w:pPr>
            <w:r>
              <w:t>聘请培训专家人数</w:t>
            </w:r>
          </w:p>
        </w:tc>
        <w:tc>
          <w:tcPr>
            <w:tcW w:w="2551" w:type="dxa"/>
            <w:vAlign w:val="center"/>
          </w:tcPr>
          <w:p>
            <w:pPr>
              <w:pStyle w:val="14"/>
            </w:pPr>
            <w:r>
              <w:t>≥1人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培训普及人数</w:t>
            </w:r>
          </w:p>
        </w:tc>
        <w:tc>
          <w:tcPr>
            <w:tcW w:w="2835" w:type="dxa"/>
            <w:vAlign w:val="center"/>
          </w:tcPr>
          <w:p>
            <w:pPr>
              <w:pStyle w:val="14"/>
            </w:pPr>
            <w:r>
              <w:t>培训栗农（人/次）</w:t>
            </w:r>
          </w:p>
        </w:tc>
        <w:tc>
          <w:tcPr>
            <w:tcW w:w="2551" w:type="dxa"/>
            <w:vAlign w:val="center"/>
          </w:tcPr>
          <w:p>
            <w:pPr>
              <w:pStyle w:val="14"/>
            </w:pPr>
            <w:r>
              <w:t>≥3000人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培训技术应用率</w:t>
            </w:r>
          </w:p>
        </w:tc>
        <w:tc>
          <w:tcPr>
            <w:tcW w:w="2835" w:type="dxa"/>
            <w:vAlign w:val="center"/>
          </w:tcPr>
          <w:p>
            <w:pPr>
              <w:pStyle w:val="14"/>
            </w:pPr>
            <w:r>
              <w:t>培训技术应用人数占培训总人数的比例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按工作计划完成</w:t>
            </w:r>
          </w:p>
        </w:tc>
        <w:tc>
          <w:tcPr>
            <w:tcW w:w="2551" w:type="dxa"/>
            <w:vAlign w:val="center"/>
          </w:tcPr>
          <w:p>
            <w:pPr>
              <w:pStyle w:val="14"/>
            </w:pPr>
            <w:r>
              <w:t>2023年度</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专家顾问费</w:t>
            </w:r>
          </w:p>
        </w:tc>
        <w:tc>
          <w:tcPr>
            <w:tcW w:w="2835" w:type="dxa"/>
            <w:vAlign w:val="center"/>
          </w:tcPr>
          <w:p>
            <w:pPr>
              <w:pStyle w:val="14"/>
            </w:pPr>
            <w:r>
              <w:t>专家指导顾问费支付标准</w:t>
            </w:r>
          </w:p>
        </w:tc>
        <w:tc>
          <w:tcPr>
            <w:tcW w:w="2551" w:type="dxa"/>
            <w:vAlign w:val="center"/>
          </w:tcPr>
          <w:p>
            <w:pPr>
              <w:pStyle w:val="14"/>
            </w:pPr>
            <w:r>
              <w:t>≤2000元/半天</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委托合作社培训费</w:t>
            </w:r>
          </w:p>
        </w:tc>
        <w:tc>
          <w:tcPr>
            <w:tcW w:w="2835" w:type="dxa"/>
            <w:vAlign w:val="center"/>
          </w:tcPr>
          <w:p>
            <w:pPr>
              <w:pStyle w:val="14"/>
            </w:pPr>
            <w:r>
              <w:t>场地租赁费、餐费、资料费等</w:t>
            </w:r>
          </w:p>
        </w:tc>
        <w:tc>
          <w:tcPr>
            <w:tcW w:w="2551" w:type="dxa"/>
            <w:vAlign w:val="center"/>
          </w:tcPr>
          <w:p>
            <w:pPr>
              <w:pStyle w:val="14"/>
            </w:pPr>
            <w:r>
              <w:t>≤100元/人/天</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资料费</w:t>
            </w:r>
          </w:p>
        </w:tc>
        <w:tc>
          <w:tcPr>
            <w:tcW w:w="2835" w:type="dxa"/>
            <w:vAlign w:val="center"/>
          </w:tcPr>
          <w:p>
            <w:pPr>
              <w:pStyle w:val="14"/>
            </w:pPr>
            <w:r>
              <w:t>书籍、光盘等资料制作费</w:t>
            </w:r>
          </w:p>
        </w:tc>
        <w:tc>
          <w:tcPr>
            <w:tcW w:w="2551" w:type="dxa"/>
            <w:vAlign w:val="center"/>
          </w:tcPr>
          <w:p>
            <w:pPr>
              <w:pStyle w:val="14"/>
            </w:pPr>
            <w:r>
              <w:t>≤20元/本（个）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降低人力成本</w:t>
            </w:r>
          </w:p>
        </w:tc>
        <w:tc>
          <w:tcPr>
            <w:tcW w:w="2835" w:type="dxa"/>
            <w:vAlign w:val="center"/>
          </w:tcPr>
          <w:p>
            <w:pPr>
              <w:pStyle w:val="14"/>
            </w:pPr>
            <w:r>
              <w:t>降低板栗修剪管理投入人工成本</w:t>
            </w:r>
          </w:p>
        </w:tc>
        <w:tc>
          <w:tcPr>
            <w:tcW w:w="2551" w:type="dxa"/>
            <w:vAlign w:val="center"/>
          </w:tcPr>
          <w:p>
            <w:pPr>
              <w:pStyle w:val="14"/>
            </w:pPr>
            <w:r>
              <w:t>≥20%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提高百姓板栗种植积极性</w:t>
            </w:r>
          </w:p>
        </w:tc>
        <w:tc>
          <w:tcPr>
            <w:tcW w:w="2835" w:type="dxa"/>
            <w:vAlign w:val="center"/>
          </w:tcPr>
          <w:p>
            <w:pPr>
              <w:pStyle w:val="14"/>
            </w:pPr>
            <w:r>
              <w:t>带动当地百姓发展板栗种植、扩大其种植面积、加强相关技术管理</w:t>
            </w:r>
          </w:p>
        </w:tc>
        <w:tc>
          <w:tcPr>
            <w:tcW w:w="2551" w:type="dxa"/>
            <w:vAlign w:val="center"/>
          </w:tcPr>
          <w:p>
            <w:pPr>
              <w:pStyle w:val="14"/>
            </w:pPr>
            <w:r>
              <w:t>≥1万亩/年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提高板栗产量</w:t>
            </w:r>
          </w:p>
        </w:tc>
        <w:tc>
          <w:tcPr>
            <w:tcW w:w="2835" w:type="dxa"/>
            <w:vAlign w:val="center"/>
          </w:tcPr>
          <w:p>
            <w:pPr>
              <w:pStyle w:val="14"/>
            </w:pPr>
            <w:r>
              <w:t>持续提高板栗每年生产产量</w:t>
            </w:r>
          </w:p>
        </w:tc>
        <w:tc>
          <w:tcPr>
            <w:tcW w:w="2551" w:type="dxa"/>
            <w:vAlign w:val="center"/>
          </w:tcPr>
          <w:p>
            <w:pPr>
              <w:pStyle w:val="14"/>
            </w:pPr>
            <w:r>
              <w:t>≥10%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2、电子政务外网建设专项经费绩效目标表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6.通过租用移动和联通公司数据专线，实现全县电子政务外网畅通、有效运行。</w:t>
            </w:r>
          </w:p>
          <w:p>
            <w:pPr>
              <w:pStyle w:val="14"/>
            </w:pPr>
            <w:r>
              <w:t>7.通过全县电子政务外网全覆盖，提高政务运行效率。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租用移动数据专线数量</w:t>
            </w:r>
          </w:p>
        </w:tc>
        <w:tc>
          <w:tcPr>
            <w:tcW w:w="2835" w:type="dxa"/>
            <w:vAlign w:val="center"/>
          </w:tcPr>
          <w:p>
            <w:pPr>
              <w:pStyle w:val="14"/>
            </w:pPr>
            <w:r>
              <w:t>租用移动公司专线的数量</w:t>
            </w:r>
          </w:p>
        </w:tc>
        <w:tc>
          <w:tcPr>
            <w:tcW w:w="2551" w:type="dxa"/>
            <w:vAlign w:val="center"/>
          </w:tcPr>
          <w:p>
            <w:pPr>
              <w:pStyle w:val="14"/>
            </w:pPr>
            <w:r>
              <w:t>≥17条</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租用联通数据专线数量</w:t>
            </w:r>
          </w:p>
        </w:tc>
        <w:tc>
          <w:tcPr>
            <w:tcW w:w="2835" w:type="dxa"/>
            <w:vAlign w:val="center"/>
          </w:tcPr>
          <w:p>
            <w:pPr>
              <w:pStyle w:val="14"/>
            </w:pPr>
            <w:r>
              <w:t>租用联通公司专线的数量</w:t>
            </w:r>
          </w:p>
        </w:tc>
        <w:tc>
          <w:tcPr>
            <w:tcW w:w="2551" w:type="dxa"/>
            <w:vAlign w:val="center"/>
          </w:tcPr>
          <w:p>
            <w:pPr>
              <w:pStyle w:val="14"/>
            </w:pPr>
            <w:r>
              <w:t>≥65条</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政务外网覆盖率</w:t>
            </w:r>
          </w:p>
        </w:tc>
        <w:tc>
          <w:tcPr>
            <w:tcW w:w="2835" w:type="dxa"/>
            <w:vAlign w:val="center"/>
          </w:tcPr>
          <w:p>
            <w:pPr>
              <w:pStyle w:val="14"/>
            </w:pPr>
            <w:r>
              <w:t>全县电子政务外网覆盖的比例</w:t>
            </w:r>
          </w:p>
        </w:tc>
        <w:tc>
          <w:tcPr>
            <w:tcW w:w="2551" w:type="dxa"/>
            <w:vAlign w:val="center"/>
          </w:tcPr>
          <w:p>
            <w:pPr>
              <w:pStyle w:val="14"/>
            </w:pPr>
            <w:r>
              <w:t>100%</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网络稳定率</w:t>
            </w:r>
          </w:p>
        </w:tc>
        <w:tc>
          <w:tcPr>
            <w:tcW w:w="2835" w:type="dxa"/>
            <w:vAlign w:val="center"/>
          </w:tcPr>
          <w:p>
            <w:pPr>
              <w:pStyle w:val="14"/>
            </w:pPr>
            <w:r>
              <w:t>电子政务外网日常运行稳定率</w:t>
            </w:r>
          </w:p>
        </w:tc>
        <w:tc>
          <w:tcPr>
            <w:tcW w:w="2551" w:type="dxa"/>
            <w:vAlign w:val="center"/>
          </w:tcPr>
          <w:p>
            <w:pPr>
              <w:pStyle w:val="14"/>
            </w:pPr>
            <w:r>
              <w:t>≥80%</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完成租用专线数据的租赁费支付</w:t>
            </w:r>
          </w:p>
        </w:tc>
        <w:tc>
          <w:tcPr>
            <w:tcW w:w="2551" w:type="dxa"/>
            <w:vAlign w:val="center"/>
          </w:tcPr>
          <w:p>
            <w:pPr>
              <w:pStyle w:val="14"/>
            </w:pPr>
            <w:r>
              <w:t>100%</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租用单位成本</w:t>
            </w:r>
          </w:p>
        </w:tc>
        <w:tc>
          <w:tcPr>
            <w:tcW w:w="2835" w:type="dxa"/>
            <w:vAlign w:val="center"/>
          </w:tcPr>
          <w:p>
            <w:pPr>
              <w:pStyle w:val="14"/>
            </w:pPr>
            <w:r>
              <w:t>100M光纤资费单位成本</w:t>
            </w:r>
          </w:p>
        </w:tc>
        <w:tc>
          <w:tcPr>
            <w:tcW w:w="2551" w:type="dxa"/>
            <w:vAlign w:val="center"/>
          </w:tcPr>
          <w:p>
            <w:pPr>
              <w:pStyle w:val="14"/>
            </w:pPr>
            <w:r>
              <w:t>≤250元/条/月</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提升业务便利性</w:t>
            </w:r>
          </w:p>
        </w:tc>
        <w:tc>
          <w:tcPr>
            <w:tcW w:w="2835" w:type="dxa"/>
            <w:vAlign w:val="center"/>
          </w:tcPr>
          <w:p>
            <w:pPr>
              <w:pStyle w:val="14"/>
            </w:pPr>
            <w:r>
              <w:t>对县政府确定的信息化项目审核提供便利程度</w:t>
            </w:r>
          </w:p>
        </w:tc>
        <w:tc>
          <w:tcPr>
            <w:tcW w:w="2551" w:type="dxa"/>
            <w:vAlign w:val="center"/>
          </w:tcPr>
          <w:p>
            <w:pPr>
              <w:pStyle w:val="14"/>
            </w:pPr>
            <w:r>
              <w:t>≥80%</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可长期促进相关业务办理发挥其作用</w:t>
            </w:r>
          </w:p>
        </w:tc>
        <w:tc>
          <w:tcPr>
            <w:tcW w:w="2551" w:type="dxa"/>
            <w:vAlign w:val="center"/>
          </w:tcPr>
          <w:p>
            <w:pPr>
              <w:pStyle w:val="14"/>
            </w:pPr>
            <w:r>
              <w:t>≥1年</w:t>
            </w:r>
          </w:p>
        </w:tc>
        <w:tc>
          <w:tcPr>
            <w:tcW w:w="2268" w:type="dxa"/>
            <w:vAlign w:val="center"/>
          </w:tcPr>
          <w:p>
            <w:pPr>
              <w:pStyle w:val="14"/>
            </w:pPr>
            <w:r>
              <w:t>电子政务平台建设计划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服务对象满意数量占总数的比例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3、光伏、易地搬迁、科技扶贫、消费扶贫后续工作经费工作经费绩效目标表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1.通过加强资金管理，规范并提升项目实施进程。</w:t>
            </w:r>
          </w:p>
          <w:p>
            <w:pPr>
              <w:pStyle w:val="14"/>
            </w:pPr>
            <w:r>
              <w:t>2.通过对全县光伏、易地搬迁、科技扶贫、消费扶贫项目进行督导检查，促进项目目标有效达成。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组织易地搬迁下乡考察</w:t>
            </w:r>
          </w:p>
        </w:tc>
        <w:tc>
          <w:tcPr>
            <w:tcW w:w="2835" w:type="dxa"/>
            <w:vAlign w:val="center"/>
          </w:tcPr>
          <w:p>
            <w:pPr>
              <w:pStyle w:val="14"/>
            </w:pPr>
            <w:r>
              <w:t>反映易地搬迁下乡考察的次数</w:t>
            </w:r>
          </w:p>
        </w:tc>
        <w:tc>
          <w:tcPr>
            <w:tcW w:w="2551" w:type="dxa"/>
            <w:vAlign w:val="center"/>
          </w:tcPr>
          <w:p>
            <w:pPr>
              <w:pStyle w:val="14"/>
            </w:pPr>
            <w:r>
              <w:t>≥150次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参加企业的数量</w:t>
            </w:r>
          </w:p>
        </w:tc>
        <w:tc>
          <w:tcPr>
            <w:tcW w:w="2835" w:type="dxa"/>
            <w:vAlign w:val="center"/>
          </w:tcPr>
          <w:p>
            <w:pPr>
              <w:pStyle w:val="14"/>
            </w:pPr>
            <w:r>
              <w:t>反映每次组织产品对接会和产品推广会参加企业的数量</w:t>
            </w:r>
          </w:p>
        </w:tc>
        <w:tc>
          <w:tcPr>
            <w:tcW w:w="2551" w:type="dxa"/>
            <w:vAlign w:val="center"/>
          </w:tcPr>
          <w:p>
            <w:pPr>
              <w:pStyle w:val="14"/>
            </w:pPr>
            <w:r>
              <w:t>≥10个</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组织产品对接会和产品推广会次数</w:t>
            </w:r>
          </w:p>
        </w:tc>
        <w:tc>
          <w:tcPr>
            <w:tcW w:w="2835" w:type="dxa"/>
            <w:vAlign w:val="center"/>
          </w:tcPr>
          <w:p>
            <w:pPr>
              <w:pStyle w:val="14"/>
            </w:pPr>
            <w:r>
              <w:t>反映组织产品对接会和产品推广会次数</w:t>
            </w:r>
          </w:p>
        </w:tc>
        <w:tc>
          <w:tcPr>
            <w:tcW w:w="2551" w:type="dxa"/>
            <w:vAlign w:val="center"/>
          </w:tcPr>
          <w:p>
            <w:pPr>
              <w:pStyle w:val="14"/>
            </w:pPr>
            <w:r>
              <w:t>≥4次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组织光伏下乡考察的次数</w:t>
            </w:r>
          </w:p>
        </w:tc>
        <w:tc>
          <w:tcPr>
            <w:tcW w:w="2835" w:type="dxa"/>
            <w:vAlign w:val="center"/>
          </w:tcPr>
          <w:p>
            <w:pPr>
              <w:pStyle w:val="14"/>
            </w:pPr>
            <w:r>
              <w:t>反映组织光伏下乡考察的次数</w:t>
            </w:r>
          </w:p>
        </w:tc>
        <w:tc>
          <w:tcPr>
            <w:tcW w:w="2551" w:type="dxa"/>
            <w:vAlign w:val="center"/>
          </w:tcPr>
          <w:p>
            <w:pPr>
              <w:pStyle w:val="14"/>
            </w:pPr>
            <w:r>
              <w:t>≥10次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组织开展培训会的次数</w:t>
            </w:r>
          </w:p>
        </w:tc>
        <w:tc>
          <w:tcPr>
            <w:tcW w:w="2835" w:type="dxa"/>
            <w:vAlign w:val="center"/>
          </w:tcPr>
          <w:p>
            <w:pPr>
              <w:pStyle w:val="14"/>
            </w:pPr>
            <w:r>
              <w:t>反映组织开展培训会的次数</w:t>
            </w:r>
          </w:p>
        </w:tc>
        <w:tc>
          <w:tcPr>
            <w:tcW w:w="2551" w:type="dxa"/>
            <w:vAlign w:val="center"/>
          </w:tcPr>
          <w:p>
            <w:pPr>
              <w:pStyle w:val="14"/>
            </w:pPr>
            <w:r>
              <w:t>≥60次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参加培训会的人数</w:t>
            </w:r>
          </w:p>
        </w:tc>
        <w:tc>
          <w:tcPr>
            <w:tcW w:w="2835" w:type="dxa"/>
            <w:vAlign w:val="center"/>
          </w:tcPr>
          <w:p>
            <w:pPr>
              <w:pStyle w:val="14"/>
            </w:pPr>
            <w:r>
              <w:t>反映每次参加培训会的人数</w:t>
            </w:r>
          </w:p>
        </w:tc>
        <w:tc>
          <w:tcPr>
            <w:tcW w:w="2551" w:type="dxa"/>
            <w:vAlign w:val="center"/>
          </w:tcPr>
          <w:p>
            <w:pPr>
              <w:pStyle w:val="14"/>
            </w:pPr>
            <w:r>
              <w:t>≥30人</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正常运转电网数（个）</w:t>
            </w:r>
          </w:p>
        </w:tc>
        <w:tc>
          <w:tcPr>
            <w:tcW w:w="2835" w:type="dxa"/>
            <w:vAlign w:val="center"/>
          </w:tcPr>
          <w:p>
            <w:pPr>
              <w:pStyle w:val="14"/>
            </w:pPr>
            <w:r>
              <w:t>正常运转电网数（个）</w:t>
            </w:r>
          </w:p>
        </w:tc>
        <w:tc>
          <w:tcPr>
            <w:tcW w:w="2551" w:type="dxa"/>
            <w:vAlign w:val="center"/>
          </w:tcPr>
          <w:p>
            <w:pPr>
              <w:pStyle w:val="14"/>
            </w:pPr>
            <w:r>
              <w:t>≥20个</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各项活动完成率</w:t>
            </w:r>
          </w:p>
        </w:tc>
        <w:tc>
          <w:tcPr>
            <w:tcW w:w="2835" w:type="dxa"/>
            <w:vAlign w:val="center"/>
          </w:tcPr>
          <w:p>
            <w:pPr>
              <w:pStyle w:val="14"/>
            </w:pPr>
            <w:r>
              <w:t>反映组织各项活动完成率</w:t>
            </w:r>
          </w:p>
        </w:tc>
        <w:tc>
          <w:tcPr>
            <w:tcW w:w="2551" w:type="dxa"/>
            <w:vAlign w:val="center"/>
          </w:tcPr>
          <w:p>
            <w:pPr>
              <w:pStyle w:val="14"/>
            </w:pPr>
            <w:r>
              <w:t>≥90%</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对接会达成合作意向金额</w:t>
            </w:r>
          </w:p>
        </w:tc>
        <w:tc>
          <w:tcPr>
            <w:tcW w:w="2835" w:type="dxa"/>
            <w:vAlign w:val="center"/>
          </w:tcPr>
          <w:p>
            <w:pPr>
              <w:pStyle w:val="14"/>
            </w:pPr>
            <w:r>
              <w:t>反映组织产品对接会和产品推广会次数达成合作意向情况</w:t>
            </w:r>
          </w:p>
        </w:tc>
        <w:tc>
          <w:tcPr>
            <w:tcW w:w="2551" w:type="dxa"/>
            <w:vAlign w:val="center"/>
          </w:tcPr>
          <w:p>
            <w:pPr>
              <w:pStyle w:val="14"/>
            </w:pPr>
            <w:r>
              <w:t>≥600万元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组织推进消费扶贫和产销对接会</w:t>
            </w:r>
          </w:p>
        </w:tc>
        <w:tc>
          <w:tcPr>
            <w:tcW w:w="2835" w:type="dxa"/>
            <w:vAlign w:val="center"/>
          </w:tcPr>
          <w:p>
            <w:pPr>
              <w:pStyle w:val="14"/>
            </w:pPr>
            <w:r>
              <w:t>反映组织产品对接会和产品推广会次数成交情况</w:t>
            </w:r>
          </w:p>
        </w:tc>
        <w:tc>
          <w:tcPr>
            <w:tcW w:w="2551" w:type="dxa"/>
            <w:vAlign w:val="center"/>
          </w:tcPr>
          <w:p>
            <w:pPr>
              <w:pStyle w:val="14"/>
            </w:pPr>
            <w:r>
              <w:t>≥50万元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自动监测站点良好运行率</w:t>
            </w:r>
          </w:p>
        </w:tc>
        <w:tc>
          <w:tcPr>
            <w:tcW w:w="2835" w:type="dxa"/>
            <w:vAlign w:val="center"/>
          </w:tcPr>
          <w:p>
            <w:pPr>
              <w:pStyle w:val="14"/>
            </w:pPr>
            <w:r>
              <w:t>保证辐射环境自动监测站点的良好运行时间占自动监测站点的全年运行时间的比率</w:t>
            </w:r>
          </w:p>
        </w:tc>
        <w:tc>
          <w:tcPr>
            <w:tcW w:w="2551" w:type="dxa"/>
            <w:vAlign w:val="center"/>
          </w:tcPr>
          <w:p>
            <w:pPr>
              <w:pStyle w:val="14"/>
            </w:pPr>
            <w:r>
              <w:t>≥95%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及时支持奖励项目情况</w:t>
            </w:r>
          </w:p>
        </w:tc>
        <w:tc>
          <w:tcPr>
            <w:tcW w:w="2835" w:type="dxa"/>
            <w:vAlign w:val="center"/>
          </w:tcPr>
          <w:p>
            <w:pPr>
              <w:pStyle w:val="14"/>
            </w:pPr>
            <w:r>
              <w:t>反映及时支付扶持项目情况</w:t>
            </w:r>
          </w:p>
        </w:tc>
        <w:tc>
          <w:tcPr>
            <w:tcW w:w="2551" w:type="dxa"/>
            <w:vAlign w:val="center"/>
          </w:tcPr>
          <w:p>
            <w:pPr>
              <w:pStyle w:val="14"/>
            </w:pPr>
            <w:r>
              <w:t>2023年</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各项活动完成时间</w:t>
            </w:r>
          </w:p>
        </w:tc>
        <w:tc>
          <w:tcPr>
            <w:tcW w:w="2835" w:type="dxa"/>
            <w:vAlign w:val="center"/>
          </w:tcPr>
          <w:p>
            <w:pPr>
              <w:pStyle w:val="14"/>
            </w:pPr>
            <w:r>
              <w:t>反映各项活动完成时间</w:t>
            </w:r>
          </w:p>
        </w:tc>
        <w:tc>
          <w:tcPr>
            <w:tcW w:w="2551" w:type="dxa"/>
            <w:vAlign w:val="center"/>
          </w:tcPr>
          <w:p>
            <w:pPr>
              <w:pStyle w:val="14"/>
            </w:pPr>
            <w:r>
              <w:t>2023年底前</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按照年度工作计划及时检查</w:t>
            </w:r>
          </w:p>
        </w:tc>
        <w:tc>
          <w:tcPr>
            <w:tcW w:w="2835" w:type="dxa"/>
            <w:vAlign w:val="center"/>
          </w:tcPr>
          <w:p>
            <w:pPr>
              <w:pStyle w:val="14"/>
            </w:pPr>
            <w:r>
              <w:t>反映检查工作的及时性</w:t>
            </w:r>
          </w:p>
        </w:tc>
        <w:tc>
          <w:tcPr>
            <w:tcW w:w="2551" w:type="dxa"/>
            <w:vAlign w:val="center"/>
          </w:tcPr>
          <w:p>
            <w:pPr>
              <w:pStyle w:val="14"/>
            </w:pPr>
            <w:r>
              <w:t>≥90%</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反映办公费成本控制情况</w:t>
            </w:r>
          </w:p>
        </w:tc>
        <w:tc>
          <w:tcPr>
            <w:tcW w:w="2551" w:type="dxa"/>
            <w:vAlign w:val="center"/>
          </w:tcPr>
          <w:p>
            <w:pPr>
              <w:pStyle w:val="14"/>
            </w:pPr>
            <w:r>
              <w:t>≤1.93万元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促进农产品销售增长</w:t>
            </w:r>
          </w:p>
        </w:tc>
        <w:tc>
          <w:tcPr>
            <w:tcW w:w="2835" w:type="dxa"/>
            <w:vAlign w:val="center"/>
          </w:tcPr>
          <w:p>
            <w:pPr>
              <w:pStyle w:val="14"/>
            </w:pPr>
            <w:r>
              <w:t>通过新媒体及产销对接会等销售渠道促进农产品销售情况</w:t>
            </w:r>
          </w:p>
        </w:tc>
        <w:tc>
          <w:tcPr>
            <w:tcW w:w="2551" w:type="dxa"/>
            <w:vAlign w:val="center"/>
          </w:tcPr>
          <w:p>
            <w:pPr>
              <w:pStyle w:val="14"/>
            </w:pPr>
            <w:r>
              <w:t>≥5%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促进农村贫困户脱贫效果明显</w:t>
            </w:r>
          </w:p>
        </w:tc>
        <w:tc>
          <w:tcPr>
            <w:tcW w:w="2835" w:type="dxa"/>
            <w:vAlign w:val="center"/>
          </w:tcPr>
          <w:p>
            <w:pPr>
              <w:pStyle w:val="14"/>
            </w:pPr>
            <w:r>
              <w:t>反映贫困户脱贫情况</w:t>
            </w:r>
          </w:p>
        </w:tc>
        <w:tc>
          <w:tcPr>
            <w:tcW w:w="2551" w:type="dxa"/>
            <w:vAlign w:val="center"/>
          </w:tcPr>
          <w:p>
            <w:pPr>
              <w:pStyle w:val="14"/>
            </w:pPr>
            <w:r>
              <w:t>≥100元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通过消费脱贫工作促进农</w:t>
            </w:r>
          </w:p>
        </w:tc>
        <w:tc>
          <w:tcPr>
            <w:tcW w:w="2835" w:type="dxa"/>
            <w:vAlign w:val="center"/>
          </w:tcPr>
          <w:p>
            <w:pPr>
              <w:pStyle w:val="14"/>
            </w:pPr>
            <w:r>
              <w:t>消费脱贫工作促进农民脱贫效果情况</w:t>
            </w:r>
          </w:p>
        </w:tc>
        <w:tc>
          <w:tcPr>
            <w:tcW w:w="2551" w:type="dxa"/>
            <w:vAlign w:val="center"/>
          </w:tcPr>
          <w:p>
            <w:pPr>
              <w:pStyle w:val="14"/>
            </w:pPr>
            <w:r>
              <w:t>≥5%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4、光伏、易地搬迁、科技扶贫、消费扶贫后续工作经费工作经费绩效目标表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6.通过加强资金管理和规范，促进项目实施进程。</w:t>
            </w:r>
          </w:p>
          <w:p>
            <w:pPr>
              <w:pStyle w:val="14"/>
            </w:pPr>
            <w:r>
              <w:t>7.通过对全县光伏、易地搬迁、科技扶贫、消费扶贫项目进行督导检查，促进项目目标有效达成。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组织易地搬迁下乡考察</w:t>
            </w:r>
          </w:p>
        </w:tc>
        <w:tc>
          <w:tcPr>
            <w:tcW w:w="2835" w:type="dxa"/>
            <w:vAlign w:val="center"/>
          </w:tcPr>
          <w:p>
            <w:pPr>
              <w:pStyle w:val="14"/>
            </w:pPr>
            <w:r>
              <w:t>反映易地搬迁下乡考察的次数</w:t>
            </w:r>
          </w:p>
        </w:tc>
        <w:tc>
          <w:tcPr>
            <w:tcW w:w="2551" w:type="dxa"/>
            <w:vAlign w:val="center"/>
          </w:tcPr>
          <w:p>
            <w:pPr>
              <w:pStyle w:val="14"/>
            </w:pPr>
            <w:r>
              <w:t>≥15次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参加企业的数量</w:t>
            </w:r>
          </w:p>
        </w:tc>
        <w:tc>
          <w:tcPr>
            <w:tcW w:w="2835" w:type="dxa"/>
            <w:vAlign w:val="center"/>
          </w:tcPr>
          <w:p>
            <w:pPr>
              <w:pStyle w:val="14"/>
            </w:pPr>
            <w:r>
              <w:t>反映每次组织产品对接会和产品推广会参加企业的数量</w:t>
            </w:r>
          </w:p>
        </w:tc>
        <w:tc>
          <w:tcPr>
            <w:tcW w:w="2551" w:type="dxa"/>
            <w:vAlign w:val="center"/>
          </w:tcPr>
          <w:p>
            <w:pPr>
              <w:pStyle w:val="14"/>
            </w:pPr>
            <w:r>
              <w:t>≥10个</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组织产品对接会和产品推广会次数</w:t>
            </w:r>
          </w:p>
        </w:tc>
        <w:tc>
          <w:tcPr>
            <w:tcW w:w="2835" w:type="dxa"/>
            <w:vAlign w:val="center"/>
          </w:tcPr>
          <w:p>
            <w:pPr>
              <w:pStyle w:val="14"/>
            </w:pPr>
            <w:r>
              <w:t>反映组织产品对接会和产品推广会次数</w:t>
            </w:r>
          </w:p>
        </w:tc>
        <w:tc>
          <w:tcPr>
            <w:tcW w:w="2551" w:type="dxa"/>
            <w:vAlign w:val="center"/>
          </w:tcPr>
          <w:p>
            <w:pPr>
              <w:pStyle w:val="14"/>
            </w:pPr>
            <w:r>
              <w:t>≥4次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组织光伏下乡考察的次数</w:t>
            </w:r>
          </w:p>
        </w:tc>
        <w:tc>
          <w:tcPr>
            <w:tcW w:w="2835" w:type="dxa"/>
            <w:vAlign w:val="center"/>
          </w:tcPr>
          <w:p>
            <w:pPr>
              <w:pStyle w:val="14"/>
            </w:pPr>
            <w:r>
              <w:t>反映组织光伏下乡考察的次数</w:t>
            </w:r>
          </w:p>
        </w:tc>
        <w:tc>
          <w:tcPr>
            <w:tcW w:w="2551" w:type="dxa"/>
            <w:vAlign w:val="center"/>
          </w:tcPr>
          <w:p>
            <w:pPr>
              <w:pStyle w:val="14"/>
            </w:pPr>
            <w:r>
              <w:t>≥10次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组织开展培训会的次数</w:t>
            </w:r>
          </w:p>
        </w:tc>
        <w:tc>
          <w:tcPr>
            <w:tcW w:w="2835" w:type="dxa"/>
            <w:vAlign w:val="center"/>
          </w:tcPr>
          <w:p>
            <w:pPr>
              <w:pStyle w:val="14"/>
            </w:pPr>
            <w:r>
              <w:t>反映组织开展培训会的次数</w:t>
            </w:r>
          </w:p>
        </w:tc>
        <w:tc>
          <w:tcPr>
            <w:tcW w:w="2551" w:type="dxa"/>
            <w:vAlign w:val="center"/>
          </w:tcPr>
          <w:p>
            <w:pPr>
              <w:pStyle w:val="14"/>
            </w:pPr>
            <w:r>
              <w:t>≥30次</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参加培训会的人数</w:t>
            </w:r>
          </w:p>
        </w:tc>
        <w:tc>
          <w:tcPr>
            <w:tcW w:w="2835" w:type="dxa"/>
            <w:vAlign w:val="center"/>
          </w:tcPr>
          <w:p>
            <w:pPr>
              <w:pStyle w:val="14"/>
            </w:pPr>
            <w:r>
              <w:t>反映每次参加培训会的人数</w:t>
            </w:r>
          </w:p>
        </w:tc>
        <w:tc>
          <w:tcPr>
            <w:tcW w:w="2551" w:type="dxa"/>
            <w:vAlign w:val="center"/>
          </w:tcPr>
          <w:p>
            <w:pPr>
              <w:pStyle w:val="14"/>
            </w:pPr>
            <w:r>
              <w:t>≥30人</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正常运转电网数（个）</w:t>
            </w:r>
          </w:p>
        </w:tc>
        <w:tc>
          <w:tcPr>
            <w:tcW w:w="2835" w:type="dxa"/>
            <w:vAlign w:val="center"/>
          </w:tcPr>
          <w:p>
            <w:pPr>
              <w:pStyle w:val="14"/>
            </w:pPr>
            <w:r>
              <w:t>正常运转电网数（个）</w:t>
            </w:r>
          </w:p>
        </w:tc>
        <w:tc>
          <w:tcPr>
            <w:tcW w:w="2551" w:type="dxa"/>
            <w:vAlign w:val="center"/>
          </w:tcPr>
          <w:p>
            <w:pPr>
              <w:pStyle w:val="14"/>
            </w:pPr>
            <w:r>
              <w:t>≥20个</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各项活动完成率</w:t>
            </w:r>
          </w:p>
        </w:tc>
        <w:tc>
          <w:tcPr>
            <w:tcW w:w="2835" w:type="dxa"/>
            <w:vAlign w:val="center"/>
          </w:tcPr>
          <w:p>
            <w:pPr>
              <w:pStyle w:val="14"/>
            </w:pPr>
            <w:r>
              <w:t>反映组织各项活动完成率</w:t>
            </w:r>
          </w:p>
        </w:tc>
        <w:tc>
          <w:tcPr>
            <w:tcW w:w="2551" w:type="dxa"/>
            <w:vAlign w:val="center"/>
          </w:tcPr>
          <w:p>
            <w:pPr>
              <w:pStyle w:val="14"/>
            </w:pPr>
            <w:r>
              <w:t>≥90%</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对接会达成合作意向金额</w:t>
            </w:r>
          </w:p>
        </w:tc>
        <w:tc>
          <w:tcPr>
            <w:tcW w:w="2835" w:type="dxa"/>
            <w:vAlign w:val="center"/>
          </w:tcPr>
          <w:p>
            <w:pPr>
              <w:pStyle w:val="14"/>
            </w:pPr>
            <w:r>
              <w:t>反映组织产品对接会和产品推广会次数达成合作意向情况</w:t>
            </w:r>
          </w:p>
        </w:tc>
        <w:tc>
          <w:tcPr>
            <w:tcW w:w="2551" w:type="dxa"/>
            <w:vAlign w:val="center"/>
          </w:tcPr>
          <w:p>
            <w:pPr>
              <w:pStyle w:val="14"/>
            </w:pPr>
            <w:r>
              <w:t>≥10万元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组织推进消费扶贫和产销对接会</w:t>
            </w:r>
          </w:p>
        </w:tc>
        <w:tc>
          <w:tcPr>
            <w:tcW w:w="2835" w:type="dxa"/>
            <w:vAlign w:val="center"/>
          </w:tcPr>
          <w:p>
            <w:pPr>
              <w:pStyle w:val="14"/>
            </w:pPr>
            <w:r>
              <w:t>反映组织产品对接会和产品推广会次数成交情况</w:t>
            </w:r>
          </w:p>
        </w:tc>
        <w:tc>
          <w:tcPr>
            <w:tcW w:w="2551" w:type="dxa"/>
            <w:vAlign w:val="center"/>
          </w:tcPr>
          <w:p>
            <w:pPr>
              <w:pStyle w:val="14"/>
            </w:pPr>
            <w:r>
              <w:t>≥5万元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自动监测站点良好运行率</w:t>
            </w:r>
          </w:p>
        </w:tc>
        <w:tc>
          <w:tcPr>
            <w:tcW w:w="2835" w:type="dxa"/>
            <w:vAlign w:val="center"/>
          </w:tcPr>
          <w:p>
            <w:pPr>
              <w:pStyle w:val="14"/>
            </w:pPr>
            <w:r>
              <w:t>保证辐射环境自动监测站点的良好运行时间占自动监测站点的全年运行时间的比率</w:t>
            </w:r>
          </w:p>
        </w:tc>
        <w:tc>
          <w:tcPr>
            <w:tcW w:w="2551" w:type="dxa"/>
            <w:vAlign w:val="center"/>
          </w:tcPr>
          <w:p>
            <w:pPr>
              <w:pStyle w:val="14"/>
            </w:pPr>
            <w:r>
              <w:t>≥95%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及时支持奖励项目情况</w:t>
            </w:r>
          </w:p>
        </w:tc>
        <w:tc>
          <w:tcPr>
            <w:tcW w:w="2835" w:type="dxa"/>
            <w:vAlign w:val="center"/>
          </w:tcPr>
          <w:p>
            <w:pPr>
              <w:pStyle w:val="14"/>
            </w:pPr>
            <w:r>
              <w:t>反映及时支付扶持项目情况</w:t>
            </w:r>
          </w:p>
        </w:tc>
        <w:tc>
          <w:tcPr>
            <w:tcW w:w="2551" w:type="dxa"/>
            <w:vAlign w:val="center"/>
          </w:tcPr>
          <w:p>
            <w:pPr>
              <w:pStyle w:val="14"/>
            </w:pPr>
            <w:r>
              <w:t>2023年</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各项活动完成时间</w:t>
            </w:r>
          </w:p>
        </w:tc>
        <w:tc>
          <w:tcPr>
            <w:tcW w:w="2835" w:type="dxa"/>
            <w:vAlign w:val="center"/>
          </w:tcPr>
          <w:p>
            <w:pPr>
              <w:pStyle w:val="14"/>
            </w:pPr>
            <w:r>
              <w:t>反映各项活动完成时间</w:t>
            </w:r>
          </w:p>
        </w:tc>
        <w:tc>
          <w:tcPr>
            <w:tcW w:w="2551" w:type="dxa"/>
            <w:vAlign w:val="center"/>
          </w:tcPr>
          <w:p>
            <w:pPr>
              <w:pStyle w:val="14"/>
            </w:pPr>
            <w:r>
              <w:t>2023年底前</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按照年度工作计划及时检查</w:t>
            </w:r>
          </w:p>
        </w:tc>
        <w:tc>
          <w:tcPr>
            <w:tcW w:w="2835" w:type="dxa"/>
            <w:vAlign w:val="center"/>
          </w:tcPr>
          <w:p>
            <w:pPr>
              <w:pStyle w:val="14"/>
            </w:pPr>
            <w:r>
              <w:t>反映检查工作的及时性</w:t>
            </w:r>
          </w:p>
        </w:tc>
        <w:tc>
          <w:tcPr>
            <w:tcW w:w="2551" w:type="dxa"/>
            <w:vAlign w:val="center"/>
          </w:tcPr>
          <w:p>
            <w:pPr>
              <w:pStyle w:val="14"/>
            </w:pPr>
            <w:r>
              <w:t>≥90%</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反映办公费成本控制情况</w:t>
            </w:r>
          </w:p>
        </w:tc>
        <w:tc>
          <w:tcPr>
            <w:tcW w:w="2551" w:type="dxa"/>
            <w:vAlign w:val="center"/>
          </w:tcPr>
          <w:p>
            <w:pPr>
              <w:pStyle w:val="14"/>
            </w:pPr>
            <w:r>
              <w:t>≤16万元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促进农产品销售增长</w:t>
            </w:r>
          </w:p>
        </w:tc>
        <w:tc>
          <w:tcPr>
            <w:tcW w:w="2835" w:type="dxa"/>
            <w:vAlign w:val="center"/>
          </w:tcPr>
          <w:p>
            <w:pPr>
              <w:pStyle w:val="14"/>
            </w:pPr>
            <w:r>
              <w:t>通过新媒体及产销对接会等销售渠道促进农产品销售情况</w:t>
            </w:r>
          </w:p>
        </w:tc>
        <w:tc>
          <w:tcPr>
            <w:tcW w:w="2551" w:type="dxa"/>
            <w:vAlign w:val="center"/>
          </w:tcPr>
          <w:p>
            <w:pPr>
              <w:pStyle w:val="14"/>
            </w:pPr>
            <w:r>
              <w:t>≥5%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促进农村贫困户脱贫效果明显</w:t>
            </w:r>
          </w:p>
        </w:tc>
        <w:tc>
          <w:tcPr>
            <w:tcW w:w="2835" w:type="dxa"/>
            <w:vAlign w:val="center"/>
          </w:tcPr>
          <w:p>
            <w:pPr>
              <w:pStyle w:val="14"/>
            </w:pPr>
            <w:r>
              <w:t>反映贫困户脱贫情况</w:t>
            </w:r>
          </w:p>
        </w:tc>
        <w:tc>
          <w:tcPr>
            <w:tcW w:w="2551" w:type="dxa"/>
            <w:vAlign w:val="center"/>
          </w:tcPr>
          <w:p>
            <w:pPr>
              <w:pStyle w:val="14"/>
            </w:pPr>
            <w:r>
              <w:t>≥100元</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通过消费脱贫工作促进农</w:t>
            </w:r>
          </w:p>
        </w:tc>
        <w:tc>
          <w:tcPr>
            <w:tcW w:w="2835" w:type="dxa"/>
            <w:vAlign w:val="center"/>
          </w:tcPr>
          <w:p>
            <w:pPr>
              <w:pStyle w:val="14"/>
            </w:pPr>
            <w:r>
              <w:t>消费脱贫工作促进农民脱贫效果情况</w:t>
            </w:r>
          </w:p>
        </w:tc>
        <w:tc>
          <w:tcPr>
            <w:tcW w:w="2551" w:type="dxa"/>
            <w:vAlign w:val="center"/>
          </w:tcPr>
          <w:p>
            <w:pPr>
              <w:pStyle w:val="14"/>
            </w:pPr>
            <w:r>
              <w:t>≥5%</w:t>
            </w:r>
          </w:p>
        </w:tc>
        <w:tc>
          <w:tcPr>
            <w:tcW w:w="2268" w:type="dxa"/>
            <w:vAlign w:val="center"/>
          </w:tcPr>
          <w:p>
            <w:pPr>
              <w:pStyle w:val="14"/>
            </w:pPr>
            <w:r>
              <w:t>扶贫实施方案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5、价格认定费项目工作经费绩效目标表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6.通过接受司法机关、纪检监察机关、行政机关提出的价格认定事项，完成价格订定工作，促进价格管理规范化。</w:t>
            </w:r>
          </w:p>
          <w:p>
            <w:pPr>
              <w:pStyle w:val="14"/>
            </w:pPr>
            <w:r>
              <w:t>7.通过作出准确、可靠的价格认定结论，为司法机关、纪检监察机关、行政机关办理相关案件提供依据，促进工作顺利进行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价格认定件数</w:t>
            </w:r>
          </w:p>
        </w:tc>
        <w:tc>
          <w:tcPr>
            <w:tcW w:w="2835" w:type="dxa"/>
            <w:vAlign w:val="center"/>
          </w:tcPr>
          <w:p>
            <w:pPr>
              <w:pStyle w:val="14"/>
            </w:pPr>
            <w:r>
              <w:t>全年完成的价格认定件数</w:t>
            </w:r>
          </w:p>
        </w:tc>
        <w:tc>
          <w:tcPr>
            <w:tcW w:w="2551" w:type="dxa"/>
            <w:vAlign w:val="center"/>
          </w:tcPr>
          <w:p>
            <w:pPr>
              <w:pStyle w:val="14"/>
            </w:pPr>
            <w:r>
              <w:t>≥60件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保障价格认定的部门数</w:t>
            </w:r>
          </w:p>
        </w:tc>
        <w:tc>
          <w:tcPr>
            <w:tcW w:w="2835" w:type="dxa"/>
            <w:vAlign w:val="center"/>
          </w:tcPr>
          <w:p>
            <w:pPr>
              <w:pStyle w:val="14"/>
            </w:pPr>
            <w:r>
              <w:t>全年需要配合需求价格认定的部门数，以保障其进行正常的工作</w:t>
            </w:r>
          </w:p>
        </w:tc>
        <w:tc>
          <w:tcPr>
            <w:tcW w:w="2551" w:type="dxa"/>
            <w:vAlign w:val="center"/>
          </w:tcPr>
          <w:p>
            <w:pPr>
              <w:pStyle w:val="14"/>
            </w:pPr>
            <w:r>
              <w:t>≥5个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价格认定准确率</w:t>
            </w:r>
          </w:p>
        </w:tc>
        <w:tc>
          <w:tcPr>
            <w:tcW w:w="2835" w:type="dxa"/>
            <w:vAlign w:val="center"/>
          </w:tcPr>
          <w:p>
            <w:pPr>
              <w:pStyle w:val="14"/>
            </w:pPr>
            <w:r>
              <w:t>维持价格认定的件数除以价格认定的总数</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价格认定的完成率</w:t>
            </w:r>
          </w:p>
        </w:tc>
        <w:tc>
          <w:tcPr>
            <w:tcW w:w="2835" w:type="dxa"/>
            <w:vAlign w:val="center"/>
          </w:tcPr>
          <w:p>
            <w:pPr>
              <w:pStyle w:val="14"/>
            </w:pPr>
            <w:r>
              <w:t>被委托价格认定数除以已完成价格认定数</w:t>
            </w:r>
          </w:p>
        </w:tc>
        <w:tc>
          <w:tcPr>
            <w:tcW w:w="2551" w:type="dxa"/>
            <w:vAlign w:val="center"/>
          </w:tcPr>
          <w:p>
            <w:pPr>
              <w:pStyle w:val="14"/>
            </w:pPr>
            <w:r>
              <w:t>≥98%</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价格认定办结率</w:t>
            </w:r>
          </w:p>
        </w:tc>
        <w:tc>
          <w:tcPr>
            <w:tcW w:w="2835" w:type="dxa"/>
            <w:vAlign w:val="center"/>
          </w:tcPr>
          <w:p>
            <w:pPr>
              <w:pStyle w:val="14"/>
            </w:pPr>
            <w:r>
              <w:t>在规定时限内出具认定结论的份数占总数的比例</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w:t>
            </w:r>
          </w:p>
        </w:tc>
        <w:tc>
          <w:tcPr>
            <w:tcW w:w="2835" w:type="dxa"/>
            <w:vAlign w:val="center"/>
          </w:tcPr>
          <w:p>
            <w:pPr>
              <w:pStyle w:val="14"/>
            </w:pPr>
            <w:r>
              <w:t>严格进行差旅费成本控制，不超过预算数</w:t>
            </w:r>
          </w:p>
        </w:tc>
        <w:tc>
          <w:tcPr>
            <w:tcW w:w="2551" w:type="dxa"/>
            <w:vAlign w:val="center"/>
          </w:tcPr>
          <w:p>
            <w:pPr>
              <w:pStyle w:val="14"/>
            </w:pPr>
            <w:r>
              <w:t>≤4万元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w:t>
            </w:r>
          </w:p>
        </w:tc>
        <w:tc>
          <w:tcPr>
            <w:tcW w:w="2835" w:type="dxa"/>
            <w:vAlign w:val="center"/>
          </w:tcPr>
          <w:p>
            <w:pPr>
              <w:pStyle w:val="14"/>
            </w:pPr>
            <w:r>
              <w:t>通过价格认定，提高公共服务质量，促进社会和谐和稳定</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长期影响</w:t>
            </w:r>
          </w:p>
        </w:tc>
        <w:tc>
          <w:tcPr>
            <w:tcW w:w="2835" w:type="dxa"/>
            <w:vAlign w:val="center"/>
          </w:tcPr>
          <w:p>
            <w:pPr>
              <w:pStyle w:val="14"/>
            </w:pPr>
            <w:r>
              <w:t>保障价格的公平公正，维护市场经济秩序</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司法机构满意度</w:t>
            </w:r>
          </w:p>
        </w:tc>
        <w:tc>
          <w:tcPr>
            <w:tcW w:w="2835" w:type="dxa"/>
            <w:vAlign w:val="center"/>
          </w:tcPr>
          <w:p>
            <w:pPr>
              <w:pStyle w:val="14"/>
            </w:pPr>
            <w:r>
              <w:t>司法机构对价格认定工作的满意程度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6、节能执法监察经费绩效目标表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6.通过引导行业健康发展，提高全县产业和行业竞争力。</w:t>
            </w:r>
          </w:p>
          <w:p>
            <w:pPr>
              <w:pStyle w:val="14"/>
            </w:pPr>
            <w:r>
              <w:t>7.通过编制循环经济、节能等规划，促进全县节能工作有效提升。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编制循环经济节能等规划计划个数</w:t>
            </w:r>
          </w:p>
        </w:tc>
        <w:tc>
          <w:tcPr>
            <w:tcW w:w="2835" w:type="dxa"/>
            <w:vAlign w:val="center"/>
          </w:tcPr>
          <w:p>
            <w:pPr>
              <w:pStyle w:val="14"/>
            </w:pPr>
            <w:r>
              <w:t>反映编制循环经济节能等规划计划个数情况</w:t>
            </w:r>
          </w:p>
        </w:tc>
        <w:tc>
          <w:tcPr>
            <w:tcW w:w="2551" w:type="dxa"/>
            <w:vAlign w:val="center"/>
          </w:tcPr>
          <w:p>
            <w:pPr>
              <w:pStyle w:val="14"/>
            </w:pPr>
            <w:r>
              <w:t>≥10个</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开展节能评估审查项目个数</w:t>
            </w:r>
          </w:p>
        </w:tc>
        <w:tc>
          <w:tcPr>
            <w:tcW w:w="2835" w:type="dxa"/>
            <w:vAlign w:val="center"/>
          </w:tcPr>
          <w:p>
            <w:pPr>
              <w:pStyle w:val="14"/>
            </w:pPr>
            <w:r>
              <w:t>反映开展节能评估审查项目个数</w:t>
            </w:r>
          </w:p>
        </w:tc>
        <w:tc>
          <w:tcPr>
            <w:tcW w:w="2551" w:type="dxa"/>
            <w:vAlign w:val="center"/>
          </w:tcPr>
          <w:p>
            <w:pPr>
              <w:pStyle w:val="14"/>
            </w:pPr>
            <w:r>
              <w:t>≥15个</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检查指导资数</w:t>
            </w:r>
          </w:p>
        </w:tc>
        <w:tc>
          <w:tcPr>
            <w:tcW w:w="2835" w:type="dxa"/>
            <w:vAlign w:val="center"/>
          </w:tcPr>
          <w:p>
            <w:pPr>
              <w:pStyle w:val="14"/>
            </w:pPr>
            <w:r>
              <w:t>反映到乡镇和企业检查指导工作次</w:t>
            </w:r>
          </w:p>
        </w:tc>
        <w:tc>
          <w:tcPr>
            <w:tcW w:w="2551" w:type="dxa"/>
            <w:vAlign w:val="center"/>
          </w:tcPr>
          <w:p>
            <w:pPr>
              <w:pStyle w:val="14"/>
            </w:pPr>
            <w:r>
              <w:t>≥200次</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开展监察工作次数</w:t>
            </w:r>
          </w:p>
        </w:tc>
        <w:tc>
          <w:tcPr>
            <w:tcW w:w="2835" w:type="dxa"/>
            <w:vAlign w:val="center"/>
          </w:tcPr>
          <w:p>
            <w:pPr>
              <w:pStyle w:val="14"/>
            </w:pPr>
            <w:r>
              <w:t>反映开展监察工作次数</w:t>
            </w:r>
          </w:p>
        </w:tc>
        <w:tc>
          <w:tcPr>
            <w:tcW w:w="2551" w:type="dxa"/>
            <w:vAlign w:val="center"/>
          </w:tcPr>
          <w:p>
            <w:pPr>
              <w:pStyle w:val="14"/>
            </w:pPr>
            <w:r>
              <w:t>≥30次</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邀请相关专家指导人次</w:t>
            </w:r>
          </w:p>
        </w:tc>
        <w:tc>
          <w:tcPr>
            <w:tcW w:w="2835" w:type="dxa"/>
            <w:vAlign w:val="center"/>
          </w:tcPr>
          <w:p>
            <w:pPr>
              <w:pStyle w:val="14"/>
            </w:pPr>
            <w:r>
              <w:t>反映邀请相关专家指导人次</w:t>
            </w:r>
          </w:p>
        </w:tc>
        <w:tc>
          <w:tcPr>
            <w:tcW w:w="2551" w:type="dxa"/>
            <w:vAlign w:val="center"/>
          </w:tcPr>
          <w:p>
            <w:pPr>
              <w:pStyle w:val="14"/>
            </w:pPr>
            <w:r>
              <w:t>≥10人/次</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完成市县节能指标任务</w:t>
            </w:r>
          </w:p>
        </w:tc>
        <w:tc>
          <w:tcPr>
            <w:tcW w:w="2835" w:type="dxa"/>
            <w:vAlign w:val="center"/>
          </w:tcPr>
          <w:p>
            <w:pPr>
              <w:pStyle w:val="14"/>
            </w:pPr>
            <w:r>
              <w:t>反映完成市县节能指标任务情况</w:t>
            </w:r>
          </w:p>
        </w:tc>
        <w:tc>
          <w:tcPr>
            <w:tcW w:w="2551" w:type="dxa"/>
            <w:vAlign w:val="center"/>
          </w:tcPr>
          <w:p>
            <w:pPr>
              <w:pStyle w:val="14"/>
            </w:pPr>
            <w:r>
              <w:t>≥90%</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完成执法监察计划及时性</w:t>
            </w:r>
          </w:p>
        </w:tc>
        <w:tc>
          <w:tcPr>
            <w:tcW w:w="2835" w:type="dxa"/>
            <w:vAlign w:val="center"/>
          </w:tcPr>
          <w:p>
            <w:pPr>
              <w:pStyle w:val="14"/>
            </w:pPr>
            <w:r>
              <w:t>反映完成执法监察计划及时性</w:t>
            </w:r>
          </w:p>
        </w:tc>
        <w:tc>
          <w:tcPr>
            <w:tcW w:w="2551" w:type="dxa"/>
            <w:vAlign w:val="center"/>
          </w:tcPr>
          <w:p>
            <w:pPr>
              <w:pStyle w:val="14"/>
            </w:pPr>
            <w:r>
              <w:t>2023年</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反映办公费成本控制情况</w:t>
            </w:r>
          </w:p>
        </w:tc>
        <w:tc>
          <w:tcPr>
            <w:tcW w:w="2551" w:type="dxa"/>
            <w:vAlign w:val="center"/>
          </w:tcPr>
          <w:p>
            <w:pPr>
              <w:pStyle w:val="14"/>
            </w:pPr>
            <w:r>
              <w:t>≤4万元</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反映其他交通费成本控制情况</w:t>
            </w:r>
          </w:p>
        </w:tc>
        <w:tc>
          <w:tcPr>
            <w:tcW w:w="2551" w:type="dxa"/>
            <w:vAlign w:val="center"/>
          </w:tcPr>
          <w:p>
            <w:pPr>
              <w:pStyle w:val="14"/>
            </w:pPr>
            <w:r>
              <w:t>≤3万元</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促进节能降耗</w:t>
            </w:r>
          </w:p>
        </w:tc>
        <w:tc>
          <w:tcPr>
            <w:tcW w:w="2835" w:type="dxa"/>
            <w:vAlign w:val="center"/>
          </w:tcPr>
          <w:p>
            <w:pPr>
              <w:pStyle w:val="14"/>
            </w:pPr>
            <w:r>
              <w:t>反映促进节能降耗煤炭消耗控制情况</w:t>
            </w:r>
          </w:p>
        </w:tc>
        <w:tc>
          <w:tcPr>
            <w:tcW w:w="2551" w:type="dxa"/>
            <w:vAlign w:val="center"/>
          </w:tcPr>
          <w:p>
            <w:pPr>
              <w:pStyle w:val="14"/>
            </w:pPr>
            <w:r>
              <w:t>≥5%</w:t>
            </w:r>
          </w:p>
        </w:tc>
        <w:tc>
          <w:tcPr>
            <w:tcW w:w="2268" w:type="dxa"/>
            <w:vAlign w:val="center"/>
          </w:tcPr>
          <w:p>
            <w:pPr>
              <w:pStyle w:val="14"/>
            </w:pPr>
            <w:r>
              <w:t>节能执法监察工作计划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7、洁净型煤推广项目经费绩效目标表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1.通过开展洁净煤取暖工，实现群众温暖过冬的美好愿景。</w:t>
            </w:r>
          </w:p>
          <w:p>
            <w:pPr>
              <w:pStyle w:val="14"/>
            </w:pPr>
            <w:r>
              <w:t>2.通过工作有效开展，提高洁净型煤资金使用效益。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印制宣传册数</w:t>
            </w:r>
          </w:p>
        </w:tc>
        <w:tc>
          <w:tcPr>
            <w:tcW w:w="2835" w:type="dxa"/>
            <w:vAlign w:val="center"/>
          </w:tcPr>
          <w:p>
            <w:pPr>
              <w:pStyle w:val="14"/>
            </w:pPr>
            <w:r>
              <w:t>印制的宣传、推广册数</w:t>
            </w:r>
          </w:p>
        </w:tc>
        <w:tc>
          <w:tcPr>
            <w:tcW w:w="2551" w:type="dxa"/>
            <w:vAlign w:val="center"/>
          </w:tcPr>
          <w:p>
            <w:pPr>
              <w:pStyle w:val="14"/>
            </w:pPr>
            <w:r>
              <w:t>≥4万册</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下乡督导、检查次数</w:t>
            </w:r>
          </w:p>
        </w:tc>
        <w:tc>
          <w:tcPr>
            <w:tcW w:w="2835" w:type="dxa"/>
            <w:vAlign w:val="center"/>
          </w:tcPr>
          <w:p>
            <w:pPr>
              <w:pStyle w:val="14"/>
            </w:pPr>
            <w:r>
              <w:t>下乡督导、检查次数</w:t>
            </w:r>
          </w:p>
        </w:tc>
        <w:tc>
          <w:tcPr>
            <w:tcW w:w="2551" w:type="dxa"/>
            <w:vAlign w:val="center"/>
          </w:tcPr>
          <w:p>
            <w:pPr>
              <w:pStyle w:val="14"/>
            </w:pPr>
            <w:r>
              <w:t>≥50次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督导、检查的户数</w:t>
            </w:r>
          </w:p>
        </w:tc>
        <w:tc>
          <w:tcPr>
            <w:tcW w:w="2835" w:type="dxa"/>
            <w:vAlign w:val="center"/>
          </w:tcPr>
          <w:p>
            <w:pPr>
              <w:pStyle w:val="14"/>
            </w:pPr>
            <w:r>
              <w:t>下乡督导、检查的采暖用户数</w:t>
            </w:r>
          </w:p>
        </w:tc>
        <w:tc>
          <w:tcPr>
            <w:tcW w:w="2551" w:type="dxa"/>
            <w:vAlign w:val="center"/>
          </w:tcPr>
          <w:p>
            <w:pPr>
              <w:pStyle w:val="14"/>
            </w:pPr>
            <w:r>
              <w:t>≥1500户</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宣传合格率</w:t>
            </w:r>
          </w:p>
        </w:tc>
        <w:tc>
          <w:tcPr>
            <w:tcW w:w="2835" w:type="dxa"/>
            <w:vAlign w:val="center"/>
          </w:tcPr>
          <w:p>
            <w:pPr>
              <w:pStyle w:val="14"/>
            </w:pPr>
            <w:r>
              <w:t>印刷产品、多媒体手段等宣传材料制作的合格率</w:t>
            </w:r>
          </w:p>
        </w:tc>
        <w:tc>
          <w:tcPr>
            <w:tcW w:w="2551" w:type="dxa"/>
            <w:vAlign w:val="center"/>
          </w:tcPr>
          <w:p>
            <w:pPr>
              <w:pStyle w:val="14"/>
            </w:pPr>
            <w:r>
              <w:t>≥25%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督导、检查的完成率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按照年度工作计划及时组织宣传</w:t>
            </w:r>
          </w:p>
        </w:tc>
        <w:tc>
          <w:tcPr>
            <w:tcW w:w="2551" w:type="dxa"/>
            <w:vAlign w:val="center"/>
          </w:tcPr>
          <w:p>
            <w:pPr>
              <w:pStyle w:val="14"/>
            </w:pPr>
            <w:r>
              <w:t>2023年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宣传册单位成本</w:t>
            </w:r>
          </w:p>
        </w:tc>
        <w:tc>
          <w:tcPr>
            <w:tcW w:w="2835" w:type="dxa"/>
            <w:vAlign w:val="center"/>
          </w:tcPr>
          <w:p>
            <w:pPr>
              <w:pStyle w:val="14"/>
            </w:pPr>
            <w:r>
              <w:t>宣传册的单位成本</w:t>
            </w:r>
          </w:p>
        </w:tc>
        <w:tc>
          <w:tcPr>
            <w:tcW w:w="2551" w:type="dxa"/>
            <w:vAlign w:val="center"/>
          </w:tcPr>
          <w:p>
            <w:pPr>
              <w:pStyle w:val="14"/>
            </w:pPr>
            <w:r>
              <w:t>≤1元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检查、督导的单位成本</w:t>
            </w:r>
          </w:p>
        </w:tc>
        <w:tc>
          <w:tcPr>
            <w:tcW w:w="2835" w:type="dxa"/>
            <w:vAlign w:val="center"/>
          </w:tcPr>
          <w:p>
            <w:pPr>
              <w:pStyle w:val="14"/>
            </w:pPr>
            <w:r>
              <w:t>-次检查、督导的单位成本</w:t>
            </w:r>
          </w:p>
        </w:tc>
        <w:tc>
          <w:tcPr>
            <w:tcW w:w="2551" w:type="dxa"/>
            <w:vAlign w:val="center"/>
          </w:tcPr>
          <w:p>
            <w:pPr>
              <w:pStyle w:val="14"/>
            </w:pPr>
            <w:r>
              <w:t>≤200次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污染物排放降低率（%）</w:t>
            </w:r>
          </w:p>
        </w:tc>
        <w:tc>
          <w:tcPr>
            <w:tcW w:w="2835" w:type="dxa"/>
            <w:vAlign w:val="center"/>
          </w:tcPr>
          <w:p>
            <w:pPr>
              <w:pStyle w:val="14"/>
            </w:pPr>
            <w:r>
              <w:t>污染物排放总量同期下降的比率</w:t>
            </w:r>
          </w:p>
        </w:tc>
        <w:tc>
          <w:tcPr>
            <w:tcW w:w="2551" w:type="dxa"/>
            <w:vAlign w:val="center"/>
          </w:tcPr>
          <w:p>
            <w:pPr>
              <w:pStyle w:val="14"/>
            </w:pPr>
            <w:r>
              <w:t>≤20%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单位GDP能耗下降率（%）</w:t>
            </w:r>
          </w:p>
        </w:tc>
        <w:tc>
          <w:tcPr>
            <w:tcW w:w="2835" w:type="dxa"/>
            <w:vAlign w:val="center"/>
          </w:tcPr>
          <w:p>
            <w:pPr>
              <w:pStyle w:val="14"/>
            </w:pPr>
            <w:r>
              <w:t>单位GDP能耗的同期下降比率</w:t>
            </w:r>
          </w:p>
        </w:tc>
        <w:tc>
          <w:tcPr>
            <w:tcW w:w="2551" w:type="dxa"/>
            <w:vAlign w:val="center"/>
          </w:tcPr>
          <w:p>
            <w:pPr>
              <w:pStyle w:val="14"/>
            </w:pPr>
            <w:r>
              <w:t>≥25%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8、科技创新支撑和科技管理经费绩效目标表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6.通过开展市级科技示范园区、工程技术研究中心建设工作，促进全县科技创新有序发展。</w:t>
            </w:r>
          </w:p>
          <w:p>
            <w:pPr>
              <w:pStyle w:val="14"/>
            </w:pPr>
            <w:r>
              <w:t>7.通过培育发展众创空间、科技型中小企业、高新技术企业，提高全县科技型企业竞争能力。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科技创新平台增加数量</w:t>
            </w:r>
          </w:p>
        </w:tc>
        <w:tc>
          <w:tcPr>
            <w:tcW w:w="2835" w:type="dxa"/>
            <w:vAlign w:val="center"/>
          </w:tcPr>
          <w:p>
            <w:pPr>
              <w:pStyle w:val="14"/>
            </w:pPr>
            <w:r>
              <w:t>新增重点实验室、工程技术研究中心、产业技术研究院数量之和</w:t>
            </w:r>
          </w:p>
        </w:tc>
        <w:tc>
          <w:tcPr>
            <w:tcW w:w="2551" w:type="dxa"/>
            <w:vAlign w:val="center"/>
          </w:tcPr>
          <w:p>
            <w:pPr>
              <w:pStyle w:val="14"/>
            </w:pPr>
            <w:r>
              <w:t>≥2个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科技企业孵化器孵化企业数量</w:t>
            </w:r>
          </w:p>
        </w:tc>
        <w:tc>
          <w:tcPr>
            <w:tcW w:w="2835" w:type="dxa"/>
            <w:vAlign w:val="center"/>
          </w:tcPr>
          <w:p>
            <w:pPr>
              <w:pStyle w:val="14"/>
            </w:pPr>
            <w:r>
              <w:t>科技企业孵化器年度在孵科技企业数量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组织项目申报、中期检查</w:t>
            </w:r>
          </w:p>
        </w:tc>
        <w:tc>
          <w:tcPr>
            <w:tcW w:w="2835" w:type="dxa"/>
            <w:vAlign w:val="center"/>
          </w:tcPr>
          <w:p>
            <w:pPr>
              <w:pStyle w:val="14"/>
            </w:pPr>
            <w:r>
              <w:t>组织项目年度申报、检查项目数量</w:t>
            </w:r>
          </w:p>
        </w:tc>
        <w:tc>
          <w:tcPr>
            <w:tcW w:w="2551" w:type="dxa"/>
            <w:vAlign w:val="center"/>
          </w:tcPr>
          <w:p>
            <w:pPr>
              <w:pStyle w:val="14"/>
            </w:pPr>
            <w:r>
              <w:t>≥3个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发布科技信息新闻数量</w:t>
            </w:r>
          </w:p>
        </w:tc>
        <w:tc>
          <w:tcPr>
            <w:tcW w:w="2835" w:type="dxa"/>
            <w:vAlign w:val="center"/>
          </w:tcPr>
          <w:p>
            <w:pPr>
              <w:pStyle w:val="14"/>
            </w:pPr>
            <w:r>
              <w:t>年内在县级以上新闻媒体发布的科技信息及新闻数量</w:t>
            </w:r>
          </w:p>
        </w:tc>
        <w:tc>
          <w:tcPr>
            <w:tcW w:w="2551" w:type="dxa"/>
            <w:vAlign w:val="center"/>
          </w:tcPr>
          <w:p>
            <w:pPr>
              <w:pStyle w:val="14"/>
            </w:pPr>
            <w:r>
              <w:t>≥50条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深入企业、园区调研指导</w:t>
            </w:r>
          </w:p>
        </w:tc>
        <w:tc>
          <w:tcPr>
            <w:tcW w:w="2835" w:type="dxa"/>
            <w:vAlign w:val="center"/>
          </w:tcPr>
          <w:p>
            <w:pPr>
              <w:pStyle w:val="14"/>
            </w:pPr>
            <w:r>
              <w:t>到企业、园区开展宣传、调研、指导服务数量</w:t>
            </w:r>
          </w:p>
        </w:tc>
        <w:tc>
          <w:tcPr>
            <w:tcW w:w="2551" w:type="dxa"/>
            <w:vAlign w:val="center"/>
          </w:tcPr>
          <w:p>
            <w:pPr>
              <w:pStyle w:val="14"/>
            </w:pPr>
            <w:r>
              <w:t>≥30次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科技调研报告</w:t>
            </w:r>
          </w:p>
        </w:tc>
        <w:tc>
          <w:tcPr>
            <w:tcW w:w="2835" w:type="dxa"/>
            <w:vAlign w:val="center"/>
          </w:tcPr>
          <w:p>
            <w:pPr>
              <w:pStyle w:val="14"/>
            </w:pPr>
            <w:r>
              <w:t>完成年度内科技专项调研报告的数量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发展高新技术企业</w:t>
            </w:r>
          </w:p>
        </w:tc>
        <w:tc>
          <w:tcPr>
            <w:tcW w:w="2835" w:type="dxa"/>
            <w:vAlign w:val="center"/>
          </w:tcPr>
          <w:p>
            <w:pPr>
              <w:pStyle w:val="14"/>
            </w:pPr>
            <w:r>
              <w:t>高新技术企业增加数量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发展县级科技型中小企业</w:t>
            </w:r>
          </w:p>
        </w:tc>
        <w:tc>
          <w:tcPr>
            <w:tcW w:w="2835" w:type="dxa"/>
            <w:vAlign w:val="center"/>
          </w:tcPr>
          <w:p>
            <w:pPr>
              <w:pStyle w:val="14"/>
            </w:pPr>
            <w:r>
              <w:t>县级科技型中小企业增加数量</w:t>
            </w:r>
          </w:p>
        </w:tc>
        <w:tc>
          <w:tcPr>
            <w:tcW w:w="2551" w:type="dxa"/>
            <w:vAlign w:val="center"/>
          </w:tcPr>
          <w:p>
            <w:pPr>
              <w:pStyle w:val="14"/>
            </w:pPr>
            <w:r>
              <w:t>≥10个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推广普及率</w:t>
            </w:r>
          </w:p>
        </w:tc>
        <w:tc>
          <w:tcPr>
            <w:tcW w:w="2835" w:type="dxa"/>
            <w:vAlign w:val="center"/>
          </w:tcPr>
          <w:p>
            <w:pPr>
              <w:pStyle w:val="14"/>
            </w:pPr>
            <w:r>
              <w:t>重点企业对科技创新政策知晓率</w:t>
            </w:r>
          </w:p>
        </w:tc>
        <w:tc>
          <w:tcPr>
            <w:tcW w:w="2551" w:type="dxa"/>
            <w:vAlign w:val="center"/>
          </w:tcPr>
          <w:p>
            <w:pPr>
              <w:pStyle w:val="14"/>
            </w:pPr>
            <w:r>
              <w:t>≥80%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按计划时限组织完成各项工作</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费用控制数</w:t>
            </w:r>
          </w:p>
        </w:tc>
        <w:tc>
          <w:tcPr>
            <w:tcW w:w="2835" w:type="dxa"/>
            <w:vAlign w:val="center"/>
          </w:tcPr>
          <w:p>
            <w:pPr>
              <w:pStyle w:val="14"/>
            </w:pPr>
            <w:r>
              <w:t>办公费用控制在预算内</w:t>
            </w:r>
          </w:p>
        </w:tc>
        <w:tc>
          <w:tcPr>
            <w:tcW w:w="2551" w:type="dxa"/>
            <w:vAlign w:val="center"/>
          </w:tcPr>
          <w:p>
            <w:pPr>
              <w:pStyle w:val="14"/>
            </w:pPr>
            <w:r>
              <w:t>≤6万元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县域研发创新能力</w:t>
            </w:r>
          </w:p>
        </w:tc>
        <w:tc>
          <w:tcPr>
            <w:tcW w:w="2835" w:type="dxa"/>
            <w:vAlign w:val="center"/>
          </w:tcPr>
          <w:p>
            <w:pPr>
              <w:pStyle w:val="14"/>
            </w:pPr>
            <w:r>
              <w:t>全社会研发支出占GDP比重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9、科技特派员经费绩效目标表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6.通过引进推广新产品新技术，提高产业技术创新和服务能力。</w:t>
            </w:r>
          </w:p>
          <w:p>
            <w:pPr>
              <w:pStyle w:val="14"/>
            </w:pPr>
          </w:p>
          <w:p>
            <w:pPr>
              <w:pStyle w:val="14"/>
            </w:pPr>
            <w:r>
              <w:t>7.通过组织开展科技特派员创新创业及培训，提高人员创新创业能力。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开展培训次数</w:t>
            </w:r>
          </w:p>
        </w:tc>
        <w:tc>
          <w:tcPr>
            <w:tcW w:w="2835" w:type="dxa"/>
            <w:vAlign w:val="center"/>
          </w:tcPr>
          <w:p>
            <w:pPr>
              <w:pStyle w:val="14"/>
            </w:pPr>
            <w:r>
              <w:t>每名特派员对包联村或企业培训次数</w:t>
            </w:r>
          </w:p>
        </w:tc>
        <w:tc>
          <w:tcPr>
            <w:tcW w:w="2551" w:type="dxa"/>
            <w:vAlign w:val="center"/>
          </w:tcPr>
          <w:p>
            <w:pPr>
              <w:pStyle w:val="14"/>
            </w:pPr>
            <w:r>
              <w:t>≥1次/年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建设示范基地数量</w:t>
            </w:r>
          </w:p>
        </w:tc>
        <w:tc>
          <w:tcPr>
            <w:tcW w:w="2835" w:type="dxa"/>
            <w:vAlign w:val="center"/>
          </w:tcPr>
          <w:p>
            <w:pPr>
              <w:pStyle w:val="14"/>
            </w:pPr>
            <w:r>
              <w:t>建设科技示范基地</w:t>
            </w:r>
          </w:p>
        </w:tc>
        <w:tc>
          <w:tcPr>
            <w:tcW w:w="2551" w:type="dxa"/>
            <w:vAlign w:val="center"/>
          </w:tcPr>
          <w:p>
            <w:pPr>
              <w:pStyle w:val="14"/>
            </w:pPr>
            <w:r>
              <w:t>≥3个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特派员人才培养数量</w:t>
            </w:r>
          </w:p>
        </w:tc>
        <w:tc>
          <w:tcPr>
            <w:tcW w:w="2835" w:type="dxa"/>
            <w:vAlign w:val="center"/>
          </w:tcPr>
          <w:p>
            <w:pPr>
              <w:pStyle w:val="14"/>
            </w:pPr>
            <w:r>
              <w:t>培养科技特派员的数量</w:t>
            </w:r>
          </w:p>
        </w:tc>
        <w:tc>
          <w:tcPr>
            <w:tcW w:w="2551" w:type="dxa"/>
            <w:vAlign w:val="center"/>
          </w:tcPr>
          <w:p>
            <w:pPr>
              <w:pStyle w:val="14"/>
            </w:pPr>
            <w:r>
              <w:t>≥5个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特派员培训交流资数</w:t>
            </w:r>
          </w:p>
        </w:tc>
        <w:tc>
          <w:tcPr>
            <w:tcW w:w="2835" w:type="dxa"/>
            <w:vAlign w:val="center"/>
          </w:tcPr>
          <w:p>
            <w:pPr>
              <w:pStyle w:val="14"/>
            </w:pPr>
            <w:r>
              <w:t>每年对科技特派员进行培训，学习交流次数，每资培训人数在20人以上。</w:t>
            </w:r>
          </w:p>
        </w:tc>
        <w:tc>
          <w:tcPr>
            <w:tcW w:w="2551" w:type="dxa"/>
            <w:vAlign w:val="center"/>
          </w:tcPr>
          <w:p>
            <w:pPr>
              <w:pStyle w:val="14"/>
            </w:pPr>
            <w:r>
              <w:t>≥1次/年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推广实用新技术、新品种数量</w:t>
            </w:r>
          </w:p>
        </w:tc>
        <w:tc>
          <w:tcPr>
            <w:tcW w:w="2835" w:type="dxa"/>
            <w:vAlign w:val="center"/>
          </w:tcPr>
          <w:p>
            <w:pPr>
              <w:pStyle w:val="14"/>
            </w:pPr>
            <w:r>
              <w:t>转化推广新技术、新品种的数量</w:t>
            </w:r>
          </w:p>
        </w:tc>
        <w:tc>
          <w:tcPr>
            <w:tcW w:w="2551" w:type="dxa"/>
            <w:vAlign w:val="center"/>
          </w:tcPr>
          <w:p>
            <w:pPr>
              <w:pStyle w:val="14"/>
            </w:pPr>
            <w:r>
              <w:t>≥10项</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培训完成率</w:t>
            </w:r>
          </w:p>
        </w:tc>
        <w:tc>
          <w:tcPr>
            <w:tcW w:w="2835" w:type="dxa"/>
            <w:vAlign w:val="center"/>
          </w:tcPr>
          <w:p>
            <w:pPr>
              <w:pStyle w:val="14"/>
            </w:pPr>
            <w:r>
              <w:t>开展培训完成任务比例</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奖补发放率</w:t>
            </w:r>
          </w:p>
        </w:tc>
        <w:tc>
          <w:tcPr>
            <w:tcW w:w="2835" w:type="dxa"/>
            <w:vAlign w:val="center"/>
          </w:tcPr>
          <w:p>
            <w:pPr>
              <w:pStyle w:val="14"/>
            </w:pPr>
            <w:r>
              <w:t>对优秀特派员及示范基地奖励补贴发放率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按年度工作计划完成</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费用控制</w:t>
            </w:r>
          </w:p>
        </w:tc>
        <w:tc>
          <w:tcPr>
            <w:tcW w:w="2835" w:type="dxa"/>
            <w:vAlign w:val="center"/>
          </w:tcPr>
          <w:p>
            <w:pPr>
              <w:pStyle w:val="14"/>
            </w:pPr>
            <w:r>
              <w:t>办公用品费用控制在预算内</w:t>
            </w:r>
          </w:p>
        </w:tc>
        <w:tc>
          <w:tcPr>
            <w:tcW w:w="2551" w:type="dxa"/>
            <w:vAlign w:val="center"/>
          </w:tcPr>
          <w:p>
            <w:pPr>
              <w:pStyle w:val="14"/>
            </w:pPr>
            <w:r>
              <w:t>≤2万元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示范带动作用</w:t>
            </w:r>
          </w:p>
        </w:tc>
        <w:tc>
          <w:tcPr>
            <w:tcW w:w="2835" w:type="dxa"/>
            <w:vAlign w:val="center"/>
          </w:tcPr>
          <w:p>
            <w:pPr>
              <w:pStyle w:val="14"/>
            </w:pPr>
            <w:r>
              <w:t>每名特派员培养科技示范户和致富带动人</w:t>
            </w:r>
          </w:p>
        </w:tc>
        <w:tc>
          <w:tcPr>
            <w:tcW w:w="2551" w:type="dxa"/>
            <w:vAlign w:val="center"/>
          </w:tcPr>
          <w:p>
            <w:pPr>
              <w:pStyle w:val="14"/>
            </w:pPr>
            <w:r>
              <w:t>≥1户/人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技术骨干规模不断扩大</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10、粮食流通统计调查经费绩效目标表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6.通过开展粮食产、购、销、存、加等数据统计，促进数据信息全面、完整、正确、及时。</w:t>
            </w:r>
            <w:r>
              <w:tab/>
            </w:r>
            <w:r>
              <w:tab/>
            </w:r>
            <w:r>
              <w:tab/>
            </w:r>
          </w:p>
          <w:p>
            <w:pPr>
              <w:pStyle w:val="14"/>
            </w:pPr>
            <w:r>
              <w:t>7.通过仓储设施、国有资产、经济效益等宏观信息及时上报、汇总，实现国家粮食流通数据完整。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粮食流通统计调查次数</w:t>
            </w:r>
          </w:p>
        </w:tc>
        <w:tc>
          <w:tcPr>
            <w:tcW w:w="2835" w:type="dxa"/>
            <w:vAlign w:val="center"/>
          </w:tcPr>
          <w:p>
            <w:pPr>
              <w:pStyle w:val="14"/>
            </w:pPr>
            <w:r>
              <w:t>对全县居民粮食流通、仓储设施、粮油加工、粮食库存进行入户抽样调查</w:t>
            </w:r>
          </w:p>
        </w:tc>
        <w:tc>
          <w:tcPr>
            <w:tcW w:w="2551" w:type="dxa"/>
            <w:vAlign w:val="center"/>
          </w:tcPr>
          <w:p>
            <w:pPr>
              <w:pStyle w:val="14"/>
            </w:pPr>
            <w:r>
              <w:t>≥2次/年/户</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粮食流通统计调查户数</w:t>
            </w:r>
          </w:p>
        </w:tc>
        <w:tc>
          <w:tcPr>
            <w:tcW w:w="2835" w:type="dxa"/>
            <w:vAlign w:val="center"/>
          </w:tcPr>
          <w:p>
            <w:pPr>
              <w:pStyle w:val="14"/>
            </w:pPr>
            <w:r>
              <w:t>对全县居民粮食流通、仓储设施、粮油加工、粮食库存进行入户抽样调查</w:t>
            </w:r>
          </w:p>
        </w:tc>
        <w:tc>
          <w:tcPr>
            <w:tcW w:w="2551" w:type="dxa"/>
            <w:vAlign w:val="center"/>
          </w:tcPr>
          <w:p>
            <w:pPr>
              <w:pStyle w:val="14"/>
            </w:pPr>
            <w:r>
              <w:t>≥96户</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数据全面性</w:t>
            </w:r>
          </w:p>
        </w:tc>
        <w:tc>
          <w:tcPr>
            <w:tcW w:w="2835" w:type="dxa"/>
            <w:vAlign w:val="center"/>
          </w:tcPr>
          <w:p>
            <w:pPr>
              <w:pStyle w:val="14"/>
            </w:pPr>
            <w:r>
              <w:t>数据能够全面反映全县粮食总合供需状况</w:t>
            </w:r>
          </w:p>
        </w:tc>
        <w:tc>
          <w:tcPr>
            <w:tcW w:w="2551" w:type="dxa"/>
            <w:vAlign w:val="center"/>
          </w:tcPr>
          <w:p>
            <w:pPr>
              <w:pStyle w:val="14"/>
            </w:pPr>
            <w:r>
              <w:t>≥90%</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数据准确率</w:t>
            </w:r>
          </w:p>
        </w:tc>
        <w:tc>
          <w:tcPr>
            <w:tcW w:w="2835" w:type="dxa"/>
            <w:vAlign w:val="center"/>
          </w:tcPr>
          <w:p>
            <w:pPr>
              <w:pStyle w:val="14"/>
            </w:pPr>
            <w:r>
              <w:t>全部数据减去差错数据占全部数据总量的比例</w:t>
            </w:r>
          </w:p>
        </w:tc>
        <w:tc>
          <w:tcPr>
            <w:tcW w:w="2551" w:type="dxa"/>
            <w:vAlign w:val="center"/>
          </w:tcPr>
          <w:p>
            <w:pPr>
              <w:pStyle w:val="14"/>
            </w:pPr>
            <w:r>
              <w:t>≥90%</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调查覆盖率</w:t>
            </w:r>
          </w:p>
        </w:tc>
        <w:tc>
          <w:tcPr>
            <w:tcW w:w="2835" w:type="dxa"/>
            <w:vAlign w:val="center"/>
          </w:tcPr>
          <w:p>
            <w:pPr>
              <w:pStyle w:val="14"/>
            </w:pPr>
            <w:r>
              <w:t>全县抽样96户，每年入户两次，4月份进行一次专项调查，12月进行一次全面调查</w:t>
            </w:r>
          </w:p>
        </w:tc>
        <w:tc>
          <w:tcPr>
            <w:tcW w:w="2551" w:type="dxa"/>
            <w:vAlign w:val="center"/>
          </w:tcPr>
          <w:p>
            <w:pPr>
              <w:pStyle w:val="14"/>
            </w:pPr>
            <w:r>
              <w:t>≥95%</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数据完整率</w:t>
            </w:r>
          </w:p>
        </w:tc>
        <w:tc>
          <w:tcPr>
            <w:tcW w:w="2835" w:type="dxa"/>
            <w:vAlign w:val="center"/>
          </w:tcPr>
          <w:p>
            <w:pPr>
              <w:pStyle w:val="14"/>
            </w:pPr>
            <w:r>
              <w:t>年内按时报送粮食产购销存加数据和仓储设施、国有资产、经济效益等报表数据的次数占全年计划报送次数比重</w:t>
            </w:r>
          </w:p>
        </w:tc>
        <w:tc>
          <w:tcPr>
            <w:tcW w:w="2551" w:type="dxa"/>
            <w:vAlign w:val="center"/>
          </w:tcPr>
          <w:p>
            <w:pPr>
              <w:pStyle w:val="14"/>
            </w:pPr>
            <w:r>
              <w:t>≥96%</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统计上报完成及时性</w:t>
            </w:r>
          </w:p>
        </w:tc>
        <w:tc>
          <w:tcPr>
            <w:tcW w:w="2835" w:type="dxa"/>
            <w:vAlign w:val="center"/>
          </w:tcPr>
          <w:p>
            <w:pPr>
              <w:pStyle w:val="14"/>
            </w:pPr>
            <w:r>
              <w:t>按管理规定完成各项工作任务</w:t>
            </w:r>
          </w:p>
        </w:tc>
        <w:tc>
          <w:tcPr>
            <w:tcW w:w="2551" w:type="dxa"/>
            <w:vAlign w:val="center"/>
          </w:tcPr>
          <w:p>
            <w:pPr>
              <w:pStyle w:val="14"/>
            </w:pPr>
            <w:r>
              <w:t>100%</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粮食流通统计调查成本</w:t>
            </w:r>
          </w:p>
        </w:tc>
        <w:tc>
          <w:tcPr>
            <w:tcW w:w="2835" w:type="dxa"/>
            <w:vAlign w:val="center"/>
          </w:tcPr>
          <w:p>
            <w:pPr>
              <w:pStyle w:val="14"/>
            </w:pPr>
            <w:r>
              <w:t>粮食流通统计调查工作过程中的人工费等各项费用</w:t>
            </w:r>
          </w:p>
        </w:tc>
        <w:tc>
          <w:tcPr>
            <w:tcW w:w="2551" w:type="dxa"/>
            <w:vAlign w:val="center"/>
          </w:tcPr>
          <w:p>
            <w:pPr>
              <w:pStyle w:val="14"/>
            </w:pPr>
            <w:r>
              <w:t>≤3万元</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数据参考价值</w:t>
            </w:r>
          </w:p>
        </w:tc>
        <w:tc>
          <w:tcPr>
            <w:tcW w:w="2835" w:type="dxa"/>
            <w:vAlign w:val="center"/>
          </w:tcPr>
          <w:p>
            <w:pPr>
              <w:pStyle w:val="14"/>
            </w:pPr>
            <w:r>
              <w:t>及时准确反映粮食市场总体供需状况，为政府制定宏观调控政策提供数字依据</w:t>
            </w:r>
          </w:p>
        </w:tc>
        <w:tc>
          <w:tcPr>
            <w:tcW w:w="2551" w:type="dxa"/>
            <w:vAlign w:val="center"/>
          </w:tcPr>
          <w:p>
            <w:pPr>
              <w:pStyle w:val="14"/>
            </w:pPr>
            <w:r>
              <w:t>≥90%</w:t>
            </w:r>
          </w:p>
        </w:tc>
        <w:tc>
          <w:tcPr>
            <w:tcW w:w="2268" w:type="dxa"/>
            <w:vAlign w:val="center"/>
          </w:tcPr>
          <w:p>
            <w:pPr>
              <w:pStyle w:val="14"/>
            </w:pPr>
            <w:r>
              <w:t>《河北省粮食流通管理规定》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群众对粮食流通满意数量占总数的比例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11、粮食市场监测、粮食流通法规建设与监督检查经费绩效目标表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6.通过开展执法检查常规化，促进粮食流程市场规范运行。</w:t>
            </w:r>
          </w:p>
          <w:p>
            <w:pPr>
              <w:pStyle w:val="14"/>
            </w:pPr>
            <w:r>
              <w:t>7.通过落实行政执法责任制，规范粮食行政执法行为，提高行政执法水平。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执法检查粮食购销企业数量</w:t>
            </w:r>
          </w:p>
        </w:tc>
        <w:tc>
          <w:tcPr>
            <w:tcW w:w="2835" w:type="dxa"/>
            <w:vAlign w:val="center"/>
          </w:tcPr>
          <w:p>
            <w:pPr>
              <w:pStyle w:val="14"/>
            </w:pPr>
            <w:r>
              <w:t>对粮食购销企业定期检查</w:t>
            </w:r>
          </w:p>
        </w:tc>
        <w:tc>
          <w:tcPr>
            <w:tcW w:w="2551" w:type="dxa"/>
            <w:vAlign w:val="center"/>
          </w:tcPr>
          <w:p>
            <w:pPr>
              <w:pStyle w:val="14"/>
            </w:pPr>
            <w:r>
              <w:t>≥6家</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粮食行政执法次数</w:t>
            </w:r>
          </w:p>
        </w:tc>
        <w:tc>
          <w:tcPr>
            <w:tcW w:w="2835" w:type="dxa"/>
            <w:vAlign w:val="center"/>
          </w:tcPr>
          <w:p>
            <w:pPr>
              <w:pStyle w:val="14"/>
            </w:pPr>
            <w:r>
              <w:t>秋粮收购期对全县全面巡查进行粮食行政执法次数</w:t>
            </w:r>
          </w:p>
        </w:tc>
        <w:tc>
          <w:tcPr>
            <w:tcW w:w="2551" w:type="dxa"/>
            <w:vAlign w:val="center"/>
          </w:tcPr>
          <w:p>
            <w:pPr>
              <w:pStyle w:val="14"/>
            </w:pPr>
            <w:r>
              <w:t>≥50次</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执法规范率</w:t>
            </w:r>
          </w:p>
        </w:tc>
        <w:tc>
          <w:tcPr>
            <w:tcW w:w="2835" w:type="dxa"/>
            <w:vAlign w:val="center"/>
          </w:tcPr>
          <w:p>
            <w:pPr>
              <w:pStyle w:val="14"/>
            </w:pPr>
            <w:r>
              <w:t>粮食行政执法过程中持证上岗、依法依规检查</w:t>
            </w:r>
          </w:p>
        </w:tc>
        <w:tc>
          <w:tcPr>
            <w:tcW w:w="2551" w:type="dxa"/>
            <w:vAlign w:val="center"/>
          </w:tcPr>
          <w:p>
            <w:pPr>
              <w:pStyle w:val="14"/>
            </w:pPr>
            <w:r>
              <w:t>≥99%</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案件查处办结及时率</w:t>
            </w:r>
          </w:p>
        </w:tc>
        <w:tc>
          <w:tcPr>
            <w:tcW w:w="2835" w:type="dxa"/>
            <w:vAlign w:val="center"/>
          </w:tcPr>
          <w:p>
            <w:pPr>
              <w:pStyle w:val="14"/>
            </w:pPr>
            <w:r>
              <w:t>按规定时限查处案件数占查处案件总数的比率</w:t>
            </w:r>
          </w:p>
        </w:tc>
        <w:tc>
          <w:tcPr>
            <w:tcW w:w="2551" w:type="dxa"/>
            <w:vAlign w:val="center"/>
          </w:tcPr>
          <w:p>
            <w:pPr>
              <w:pStyle w:val="14"/>
            </w:pPr>
            <w:r>
              <w:t>≥95%</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按工作计划完成各项工作任务</w:t>
            </w:r>
          </w:p>
        </w:tc>
        <w:tc>
          <w:tcPr>
            <w:tcW w:w="2551" w:type="dxa"/>
            <w:vAlign w:val="center"/>
          </w:tcPr>
          <w:p>
            <w:pPr>
              <w:pStyle w:val="14"/>
            </w:pPr>
            <w:r>
              <w:t>100%</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秋粮收购办公费</w:t>
            </w:r>
          </w:p>
        </w:tc>
        <w:tc>
          <w:tcPr>
            <w:tcW w:w="2835" w:type="dxa"/>
            <w:vAlign w:val="center"/>
          </w:tcPr>
          <w:p>
            <w:pPr>
              <w:pStyle w:val="14"/>
            </w:pPr>
            <w:r>
              <w:t>秋粮收购其对全县全面巡查过程产生的办公费</w:t>
            </w:r>
          </w:p>
        </w:tc>
        <w:tc>
          <w:tcPr>
            <w:tcW w:w="2551" w:type="dxa"/>
            <w:vAlign w:val="center"/>
          </w:tcPr>
          <w:p>
            <w:pPr>
              <w:pStyle w:val="14"/>
            </w:pPr>
            <w:r>
              <w:t>≤2万元</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秋粮收购印刷费</w:t>
            </w:r>
          </w:p>
        </w:tc>
        <w:tc>
          <w:tcPr>
            <w:tcW w:w="2835" w:type="dxa"/>
            <w:vAlign w:val="center"/>
          </w:tcPr>
          <w:p>
            <w:pPr>
              <w:pStyle w:val="14"/>
            </w:pPr>
            <w:r>
              <w:t>秋粮收购其对全县全面巡查过程产生的印刷费</w:t>
            </w:r>
          </w:p>
        </w:tc>
        <w:tc>
          <w:tcPr>
            <w:tcW w:w="2551" w:type="dxa"/>
            <w:vAlign w:val="center"/>
          </w:tcPr>
          <w:p>
            <w:pPr>
              <w:pStyle w:val="14"/>
            </w:pPr>
            <w:r>
              <w:t>≤2万元</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最低保护价落实率</w:t>
            </w:r>
          </w:p>
        </w:tc>
        <w:tc>
          <w:tcPr>
            <w:tcW w:w="2835" w:type="dxa"/>
            <w:vAlign w:val="center"/>
          </w:tcPr>
          <w:p>
            <w:pPr>
              <w:pStyle w:val="14"/>
            </w:pPr>
            <w:r>
              <w:t>规范粮食收购行为，保证粮农利益</w:t>
            </w:r>
          </w:p>
        </w:tc>
        <w:tc>
          <w:tcPr>
            <w:tcW w:w="2551" w:type="dxa"/>
            <w:vAlign w:val="center"/>
          </w:tcPr>
          <w:p>
            <w:pPr>
              <w:pStyle w:val="14"/>
            </w:pPr>
            <w:r>
              <w:t>100%</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提高农民种粮积极性</w:t>
            </w:r>
          </w:p>
        </w:tc>
        <w:tc>
          <w:tcPr>
            <w:tcW w:w="2835" w:type="dxa"/>
            <w:vAlign w:val="center"/>
          </w:tcPr>
          <w:p>
            <w:pPr>
              <w:pStyle w:val="14"/>
            </w:pPr>
            <w:r>
              <w:t>播种面积/耕地面积</w:t>
            </w:r>
          </w:p>
        </w:tc>
        <w:tc>
          <w:tcPr>
            <w:tcW w:w="2551" w:type="dxa"/>
            <w:vAlign w:val="center"/>
          </w:tcPr>
          <w:p>
            <w:pPr>
              <w:pStyle w:val="14"/>
            </w:pPr>
            <w:r>
              <w:t>≥90%</w:t>
            </w:r>
          </w:p>
        </w:tc>
        <w:tc>
          <w:tcPr>
            <w:tcW w:w="2268" w:type="dxa"/>
            <w:vAlign w:val="center"/>
          </w:tcPr>
          <w:p>
            <w:pPr>
              <w:pStyle w:val="14"/>
            </w:pPr>
            <w:r>
              <w:t>河北省粮食流通管理条例和工作计划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6.通过加强信访维稳工作有效开展，促进机关正常工作高效运转，减少信访事件。</w:t>
            </w:r>
          </w:p>
          <w:p>
            <w:pPr>
              <w:pStyle w:val="14"/>
            </w:pPr>
            <w:r>
              <w:t>7.通过及时完成接访任务，实现社会稳定。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案件数量</w:t>
            </w:r>
          </w:p>
        </w:tc>
        <w:tc>
          <w:tcPr>
            <w:tcW w:w="2835" w:type="dxa"/>
            <w:vAlign w:val="center"/>
          </w:tcPr>
          <w:p>
            <w:pPr>
              <w:pStyle w:val="14"/>
            </w:pPr>
            <w:r>
              <w:t>办结信访案件数量</w:t>
            </w:r>
          </w:p>
        </w:tc>
        <w:tc>
          <w:tcPr>
            <w:tcW w:w="2551" w:type="dxa"/>
            <w:vAlign w:val="center"/>
          </w:tcPr>
          <w:p>
            <w:pPr>
              <w:pStyle w:val="14"/>
            </w:pPr>
            <w:r>
              <w:t>≥10件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反映信访案件办结率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案件受理率</w:t>
            </w:r>
          </w:p>
        </w:tc>
        <w:tc>
          <w:tcPr>
            <w:tcW w:w="2835" w:type="dxa"/>
            <w:vAlign w:val="center"/>
          </w:tcPr>
          <w:p>
            <w:pPr>
              <w:pStyle w:val="14"/>
            </w:pPr>
            <w:r>
              <w:t>反映信访案件受理率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信访接待率</w:t>
            </w:r>
          </w:p>
        </w:tc>
        <w:tc>
          <w:tcPr>
            <w:tcW w:w="2835" w:type="dxa"/>
            <w:vAlign w:val="center"/>
          </w:tcPr>
          <w:p>
            <w:pPr>
              <w:pStyle w:val="14"/>
            </w:pPr>
            <w:r>
              <w:t>项目信访群众接待人数占信访群众总人数的比重</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接访安全保障率</w:t>
            </w:r>
          </w:p>
        </w:tc>
        <w:tc>
          <w:tcPr>
            <w:tcW w:w="2835" w:type="dxa"/>
            <w:vAlign w:val="center"/>
          </w:tcPr>
          <w:p>
            <w:pPr>
              <w:pStyle w:val="14"/>
            </w:pPr>
            <w:r>
              <w:t>进京进省接访安全保障措施有效执行，保障安全接访的工作完成</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按年初计划完成各项工作任务</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信访工作支出</w:t>
            </w:r>
          </w:p>
        </w:tc>
        <w:tc>
          <w:tcPr>
            <w:tcW w:w="2835" w:type="dxa"/>
            <w:vAlign w:val="center"/>
          </w:tcPr>
          <w:p>
            <w:pPr>
              <w:pStyle w:val="14"/>
            </w:pPr>
            <w:r>
              <w:t>项目日常信访工作产生的差旅费等</w:t>
            </w:r>
          </w:p>
        </w:tc>
        <w:tc>
          <w:tcPr>
            <w:tcW w:w="2551" w:type="dxa"/>
            <w:vAlign w:val="center"/>
          </w:tcPr>
          <w:p>
            <w:pPr>
              <w:pStyle w:val="14"/>
            </w:pPr>
            <w:r>
              <w:t>≤3万元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信访工作支出</w:t>
            </w:r>
          </w:p>
        </w:tc>
        <w:tc>
          <w:tcPr>
            <w:tcW w:w="2835" w:type="dxa"/>
            <w:vAlign w:val="center"/>
          </w:tcPr>
          <w:p>
            <w:pPr>
              <w:pStyle w:val="14"/>
            </w:pPr>
            <w:r>
              <w:t>个性信访案件处理指出</w:t>
            </w:r>
          </w:p>
        </w:tc>
        <w:tc>
          <w:tcPr>
            <w:tcW w:w="2551" w:type="dxa"/>
            <w:vAlign w:val="center"/>
          </w:tcPr>
          <w:p>
            <w:pPr>
              <w:pStyle w:val="14"/>
            </w:pPr>
            <w:r>
              <w:t>≤1万元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无事故发生事件</w:t>
            </w:r>
          </w:p>
        </w:tc>
        <w:tc>
          <w:tcPr>
            <w:tcW w:w="2835" w:type="dxa"/>
            <w:vAlign w:val="center"/>
          </w:tcPr>
          <w:p>
            <w:pPr>
              <w:pStyle w:val="14"/>
            </w:pPr>
            <w:r>
              <w:t>及时化解信访引发的矛盾，解决群众反映强烈的信访问题，降低信访事故发生率</w:t>
            </w:r>
          </w:p>
        </w:tc>
        <w:tc>
          <w:tcPr>
            <w:tcW w:w="2551" w:type="dxa"/>
            <w:vAlign w:val="center"/>
          </w:tcPr>
          <w:p>
            <w:pPr>
              <w:pStyle w:val="14"/>
            </w:pPr>
            <w:r>
              <w:t>≥80%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调查中群众满意的人数占被群众总人数比重</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13、招商引资（含成品油规划）项目工作经费绩效目标表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1.通过邀请知名企业来青考察，开展小团组招商活动，促进招商引资工作目标完成。</w:t>
            </w:r>
          </w:p>
          <w:p>
            <w:pPr>
              <w:pStyle w:val="14"/>
            </w:pPr>
            <w:r>
              <w:t>2.通过举行各类招商座谈会洽谈会，促进招商工作效果提升。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开展小团组招商活动的次数</w:t>
            </w:r>
          </w:p>
        </w:tc>
        <w:tc>
          <w:tcPr>
            <w:tcW w:w="2551" w:type="dxa"/>
            <w:vAlign w:val="center"/>
          </w:tcPr>
          <w:p>
            <w:pPr>
              <w:pStyle w:val="14"/>
            </w:pPr>
            <w:r>
              <w:t>≥50次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招商推介洽谈会批次</w:t>
            </w:r>
          </w:p>
        </w:tc>
        <w:tc>
          <w:tcPr>
            <w:tcW w:w="2835" w:type="dxa"/>
            <w:vAlign w:val="center"/>
          </w:tcPr>
          <w:p>
            <w:pPr>
              <w:pStyle w:val="14"/>
            </w:pPr>
            <w:r>
              <w:t>赴外参加、举办招商推介洽谈会批次批次</w:t>
            </w:r>
          </w:p>
        </w:tc>
        <w:tc>
          <w:tcPr>
            <w:tcW w:w="2551" w:type="dxa"/>
            <w:vAlign w:val="center"/>
          </w:tcPr>
          <w:p>
            <w:pPr>
              <w:pStyle w:val="14"/>
            </w:pPr>
            <w:r>
              <w:t>≥5次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邀请考察洽谈批次</w:t>
            </w:r>
          </w:p>
        </w:tc>
        <w:tc>
          <w:tcPr>
            <w:tcW w:w="2835" w:type="dxa"/>
            <w:vAlign w:val="center"/>
          </w:tcPr>
          <w:p>
            <w:pPr>
              <w:pStyle w:val="14"/>
            </w:pPr>
            <w:r>
              <w:t>邀请企业、客商来青龙考察洽谈批次</w:t>
            </w:r>
          </w:p>
        </w:tc>
        <w:tc>
          <w:tcPr>
            <w:tcW w:w="2551" w:type="dxa"/>
            <w:vAlign w:val="center"/>
          </w:tcPr>
          <w:p>
            <w:pPr>
              <w:pStyle w:val="14"/>
            </w:pPr>
            <w:r>
              <w:t>≥100次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争取签订亿元以上项目的数量（个）</w:t>
            </w:r>
          </w:p>
        </w:tc>
        <w:tc>
          <w:tcPr>
            <w:tcW w:w="2551" w:type="dxa"/>
            <w:vAlign w:val="center"/>
          </w:tcPr>
          <w:p>
            <w:pPr>
              <w:pStyle w:val="14"/>
            </w:pPr>
            <w:r>
              <w:t>≥15个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包含市重点项目及县级千万元以上项目数量（个）</w:t>
            </w:r>
          </w:p>
        </w:tc>
        <w:tc>
          <w:tcPr>
            <w:tcW w:w="2551" w:type="dxa"/>
            <w:vAlign w:val="center"/>
          </w:tcPr>
          <w:p>
            <w:pPr>
              <w:pStyle w:val="14"/>
            </w:pPr>
            <w:r>
              <w:t>≥20个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资金数量增长比例</w:t>
            </w:r>
          </w:p>
        </w:tc>
        <w:tc>
          <w:tcPr>
            <w:tcW w:w="2835" w:type="dxa"/>
            <w:vAlign w:val="center"/>
          </w:tcPr>
          <w:p>
            <w:pPr>
              <w:pStyle w:val="14"/>
            </w:pPr>
            <w:r>
              <w:t>引进县外资金数量增长比例</w:t>
            </w:r>
          </w:p>
        </w:tc>
        <w:tc>
          <w:tcPr>
            <w:tcW w:w="2551" w:type="dxa"/>
            <w:vAlign w:val="center"/>
          </w:tcPr>
          <w:p>
            <w:pPr>
              <w:pStyle w:val="14"/>
            </w:pPr>
            <w:r>
              <w:t>≥7%</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招商引资目标完成率</w:t>
            </w:r>
          </w:p>
        </w:tc>
        <w:tc>
          <w:tcPr>
            <w:tcW w:w="2835" w:type="dxa"/>
            <w:vAlign w:val="center"/>
          </w:tcPr>
          <w:p>
            <w:pPr>
              <w:pStyle w:val="14"/>
            </w:pPr>
            <w:r>
              <w:t>成功组织小团组招商活动批次；赴外招商推介洽谈会批次；邀请企业、客商来青龙批次目标。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2022年度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小团组招商、赴外招商推介</w:t>
            </w:r>
          </w:p>
        </w:tc>
        <w:tc>
          <w:tcPr>
            <w:tcW w:w="2835" w:type="dxa"/>
            <w:vAlign w:val="center"/>
          </w:tcPr>
          <w:p>
            <w:pPr>
              <w:pStyle w:val="14"/>
            </w:pPr>
            <w:r>
              <w:t>严格控制小团组招商、赴外招商推介洽谈活动费用</w:t>
            </w:r>
          </w:p>
        </w:tc>
        <w:tc>
          <w:tcPr>
            <w:tcW w:w="2551" w:type="dxa"/>
            <w:vAlign w:val="center"/>
          </w:tcPr>
          <w:p>
            <w:pPr>
              <w:pStyle w:val="14"/>
            </w:pPr>
            <w:r>
              <w:t>≤2.97万元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来考察企业、客商接待</w:t>
            </w:r>
          </w:p>
        </w:tc>
        <w:tc>
          <w:tcPr>
            <w:tcW w:w="2835" w:type="dxa"/>
            <w:vAlign w:val="center"/>
          </w:tcPr>
          <w:p>
            <w:pPr>
              <w:pStyle w:val="14"/>
            </w:pPr>
            <w:r>
              <w:t>严格控制来请考察企业、客商接待标准和费用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其他费用</w:t>
            </w:r>
          </w:p>
        </w:tc>
        <w:tc>
          <w:tcPr>
            <w:tcW w:w="2835" w:type="dxa"/>
            <w:vAlign w:val="center"/>
          </w:tcPr>
          <w:p>
            <w:pPr>
              <w:pStyle w:val="14"/>
            </w:pPr>
            <w:r>
              <w:t>其他所需费用。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不断扩大落地投产项目的可持续影响，培育全产业链，推动产项链向上下游的延伸</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调查中满意和较满意的企业数占全部调查企业数的比率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14、重大项目前期工作经费绩效目标表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1.通过邀请知名企业来青考察，开展小团组招商活动，促进招商引资工作目标完成。</w:t>
            </w:r>
          </w:p>
          <w:p>
            <w:pPr>
              <w:pStyle w:val="14"/>
            </w:pPr>
            <w:r>
              <w:t>2.通过举行各类招商座谈会洽谈会，促进招商工作效果提升。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招商活动次数</w:t>
            </w:r>
          </w:p>
        </w:tc>
        <w:tc>
          <w:tcPr>
            <w:tcW w:w="2835" w:type="dxa"/>
            <w:vAlign w:val="center"/>
          </w:tcPr>
          <w:p>
            <w:pPr>
              <w:pStyle w:val="14"/>
            </w:pPr>
            <w:r>
              <w:t>开展小团组招商活动的次数</w:t>
            </w:r>
          </w:p>
        </w:tc>
        <w:tc>
          <w:tcPr>
            <w:tcW w:w="2551" w:type="dxa"/>
            <w:vAlign w:val="center"/>
          </w:tcPr>
          <w:p>
            <w:pPr>
              <w:pStyle w:val="14"/>
            </w:pPr>
            <w:r>
              <w:t>≥50次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招商推介洽谈会批次</w:t>
            </w:r>
          </w:p>
        </w:tc>
        <w:tc>
          <w:tcPr>
            <w:tcW w:w="2835" w:type="dxa"/>
            <w:vAlign w:val="center"/>
          </w:tcPr>
          <w:p>
            <w:pPr>
              <w:pStyle w:val="14"/>
            </w:pPr>
            <w:r>
              <w:t>赴外参加、举办招商推介洽谈会批次批次</w:t>
            </w:r>
          </w:p>
        </w:tc>
        <w:tc>
          <w:tcPr>
            <w:tcW w:w="2551" w:type="dxa"/>
            <w:vAlign w:val="center"/>
          </w:tcPr>
          <w:p>
            <w:pPr>
              <w:pStyle w:val="14"/>
            </w:pPr>
            <w:r>
              <w:t>≥5次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邀请考察洽谈批次</w:t>
            </w:r>
          </w:p>
        </w:tc>
        <w:tc>
          <w:tcPr>
            <w:tcW w:w="2835" w:type="dxa"/>
            <w:vAlign w:val="center"/>
          </w:tcPr>
          <w:p>
            <w:pPr>
              <w:pStyle w:val="14"/>
            </w:pPr>
            <w:r>
              <w:t>邀请企业、客商来青龙考察洽谈批次</w:t>
            </w:r>
          </w:p>
        </w:tc>
        <w:tc>
          <w:tcPr>
            <w:tcW w:w="2551" w:type="dxa"/>
            <w:vAlign w:val="center"/>
          </w:tcPr>
          <w:p>
            <w:pPr>
              <w:pStyle w:val="14"/>
            </w:pPr>
            <w:r>
              <w:t>≥100次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争取签订亿元以上项目的数量（个）</w:t>
            </w:r>
          </w:p>
        </w:tc>
        <w:tc>
          <w:tcPr>
            <w:tcW w:w="2551" w:type="dxa"/>
            <w:vAlign w:val="center"/>
          </w:tcPr>
          <w:p>
            <w:pPr>
              <w:pStyle w:val="14"/>
            </w:pPr>
            <w:r>
              <w:t>≥15个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签订项目数量</w:t>
            </w:r>
          </w:p>
        </w:tc>
        <w:tc>
          <w:tcPr>
            <w:tcW w:w="2835" w:type="dxa"/>
            <w:vAlign w:val="center"/>
          </w:tcPr>
          <w:p>
            <w:pPr>
              <w:pStyle w:val="14"/>
            </w:pPr>
            <w:r>
              <w:t>包含市重点项目及县级千万元以上项目数量（个）</w:t>
            </w:r>
          </w:p>
        </w:tc>
        <w:tc>
          <w:tcPr>
            <w:tcW w:w="2551" w:type="dxa"/>
            <w:vAlign w:val="center"/>
          </w:tcPr>
          <w:p>
            <w:pPr>
              <w:pStyle w:val="14"/>
            </w:pPr>
            <w:r>
              <w:t>≥20个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资金数量增长比例</w:t>
            </w:r>
          </w:p>
        </w:tc>
        <w:tc>
          <w:tcPr>
            <w:tcW w:w="2835" w:type="dxa"/>
            <w:vAlign w:val="center"/>
          </w:tcPr>
          <w:p>
            <w:pPr>
              <w:pStyle w:val="14"/>
            </w:pPr>
            <w:r>
              <w:t>引进县外资金数量增长比例</w:t>
            </w:r>
          </w:p>
        </w:tc>
        <w:tc>
          <w:tcPr>
            <w:tcW w:w="2551" w:type="dxa"/>
            <w:vAlign w:val="center"/>
          </w:tcPr>
          <w:p>
            <w:pPr>
              <w:pStyle w:val="14"/>
            </w:pPr>
            <w:r>
              <w:t>≥7%</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招商引资目标完成率</w:t>
            </w:r>
          </w:p>
        </w:tc>
        <w:tc>
          <w:tcPr>
            <w:tcW w:w="2835" w:type="dxa"/>
            <w:vAlign w:val="center"/>
          </w:tcPr>
          <w:p>
            <w:pPr>
              <w:pStyle w:val="14"/>
            </w:pPr>
            <w:r>
              <w:t>成功组织小团组招商活动批次；赴外招商推介洽谈会批次；邀请企业、客商来青龙批次目标。</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2023年度</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宣传材料费用</w:t>
            </w:r>
          </w:p>
        </w:tc>
        <w:tc>
          <w:tcPr>
            <w:tcW w:w="2835" w:type="dxa"/>
            <w:vAlign w:val="center"/>
          </w:tcPr>
          <w:p>
            <w:pPr>
              <w:pStyle w:val="14"/>
            </w:pPr>
            <w:r>
              <w:t>严格控制宣传材料设计、制作、印刷、装订、包装费用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小团组招商、赴外招商推介</w:t>
            </w:r>
          </w:p>
        </w:tc>
        <w:tc>
          <w:tcPr>
            <w:tcW w:w="2835" w:type="dxa"/>
            <w:vAlign w:val="center"/>
          </w:tcPr>
          <w:p>
            <w:pPr>
              <w:pStyle w:val="14"/>
            </w:pPr>
            <w:r>
              <w:t>严格控制小团组招商、赴外招商推介洽谈活动费用</w:t>
            </w:r>
          </w:p>
        </w:tc>
        <w:tc>
          <w:tcPr>
            <w:tcW w:w="2551" w:type="dxa"/>
            <w:vAlign w:val="center"/>
          </w:tcPr>
          <w:p>
            <w:pPr>
              <w:pStyle w:val="14"/>
            </w:pPr>
            <w:r>
              <w:t>≤35万元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来考察企业、客商接待</w:t>
            </w:r>
          </w:p>
        </w:tc>
        <w:tc>
          <w:tcPr>
            <w:tcW w:w="2835" w:type="dxa"/>
            <w:vAlign w:val="center"/>
          </w:tcPr>
          <w:p>
            <w:pPr>
              <w:pStyle w:val="14"/>
            </w:pPr>
            <w:r>
              <w:t>严格控制来请考察企业、客商接待标准和费用</w:t>
            </w:r>
          </w:p>
        </w:tc>
        <w:tc>
          <w:tcPr>
            <w:tcW w:w="2551" w:type="dxa"/>
            <w:vAlign w:val="center"/>
          </w:tcPr>
          <w:p>
            <w:pPr>
              <w:pStyle w:val="14"/>
            </w:pPr>
            <w:r>
              <w:t>≤25万元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其他费用</w:t>
            </w:r>
          </w:p>
        </w:tc>
        <w:tc>
          <w:tcPr>
            <w:tcW w:w="2835" w:type="dxa"/>
            <w:vAlign w:val="center"/>
          </w:tcPr>
          <w:p>
            <w:pPr>
              <w:pStyle w:val="14"/>
            </w:pPr>
            <w:r>
              <w:t>其他所需费用。</w:t>
            </w:r>
          </w:p>
        </w:tc>
        <w:tc>
          <w:tcPr>
            <w:tcW w:w="2551" w:type="dxa"/>
            <w:vAlign w:val="center"/>
          </w:tcPr>
          <w:p>
            <w:pPr>
              <w:pStyle w:val="14"/>
            </w:pPr>
            <w:r>
              <w:t>≤20万元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引进投资款增长比率</w:t>
            </w:r>
          </w:p>
        </w:tc>
        <w:tc>
          <w:tcPr>
            <w:tcW w:w="2835" w:type="dxa"/>
            <w:vAlign w:val="center"/>
          </w:tcPr>
          <w:p>
            <w:pPr>
              <w:pStyle w:val="14"/>
            </w:pPr>
            <w:r>
              <w:t>引进投资款增长比率</w:t>
            </w:r>
          </w:p>
        </w:tc>
        <w:tc>
          <w:tcPr>
            <w:tcW w:w="2551" w:type="dxa"/>
            <w:vAlign w:val="center"/>
          </w:tcPr>
          <w:p>
            <w:pPr>
              <w:pStyle w:val="14"/>
            </w:pPr>
            <w:r>
              <w:t>≥5%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对内投资环境影响</w:t>
            </w:r>
          </w:p>
        </w:tc>
        <w:tc>
          <w:tcPr>
            <w:tcW w:w="2835" w:type="dxa"/>
            <w:vAlign w:val="center"/>
          </w:tcPr>
          <w:p>
            <w:pPr>
              <w:pStyle w:val="14"/>
            </w:pPr>
            <w:r>
              <w:t>持续改善我县对内投资环境，不断增加就业岗位</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不断扩大落地投产项目的可持续影响，培育全产业链，推动产项链向上下游的延伸</w:t>
            </w:r>
          </w:p>
        </w:tc>
        <w:tc>
          <w:tcPr>
            <w:tcW w:w="2551" w:type="dxa"/>
            <w:vAlign w:val="center"/>
          </w:tcPr>
          <w:p>
            <w:pPr>
              <w:pStyle w:val="14"/>
            </w:pPr>
            <w:r>
              <w:t>≥3年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调查中满意和较满意的企业数占全部调查企业数的比率</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15、2021年向上争取资金工作奖励金绩效目标表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1.通过有效开展向上争取资金工作，获得奖金增加工作经费，进一步促进向上争取资金工作良好发展。</w:t>
            </w:r>
          </w:p>
          <w:p>
            <w:pPr>
              <w:pStyle w:val="14"/>
            </w:pPr>
            <w:r>
              <w:t>2.通过合理使用向上争取奖金，促进招商引资工作顺利进行。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争取奖励金单位数</w:t>
            </w:r>
          </w:p>
        </w:tc>
        <w:tc>
          <w:tcPr>
            <w:tcW w:w="2835" w:type="dxa"/>
            <w:vAlign w:val="center"/>
          </w:tcPr>
          <w:p>
            <w:pPr>
              <w:pStyle w:val="14"/>
            </w:pPr>
            <w:r>
              <w:t>向上争取奖励金单位数量</w:t>
            </w:r>
          </w:p>
        </w:tc>
        <w:tc>
          <w:tcPr>
            <w:tcW w:w="2551" w:type="dxa"/>
            <w:vAlign w:val="center"/>
          </w:tcPr>
          <w:p>
            <w:pPr>
              <w:pStyle w:val="14"/>
            </w:pPr>
            <w:r>
              <w:t>1家</w:t>
            </w:r>
          </w:p>
        </w:tc>
        <w:tc>
          <w:tcPr>
            <w:tcW w:w="2268" w:type="dxa"/>
            <w:vAlign w:val="center"/>
          </w:tcPr>
          <w:p>
            <w:pPr>
              <w:pStyle w:val="14"/>
            </w:pPr>
            <w:r>
              <w:t>青发改【2022】21号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出差次数</w:t>
            </w:r>
          </w:p>
        </w:tc>
        <w:tc>
          <w:tcPr>
            <w:tcW w:w="2835" w:type="dxa"/>
            <w:vAlign w:val="center"/>
          </w:tcPr>
          <w:p>
            <w:pPr>
              <w:pStyle w:val="14"/>
            </w:pPr>
            <w:r>
              <w:t>招商引资出差次数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招商引资合规率</w:t>
            </w:r>
          </w:p>
        </w:tc>
        <w:tc>
          <w:tcPr>
            <w:tcW w:w="2835" w:type="dxa"/>
            <w:vAlign w:val="center"/>
          </w:tcPr>
          <w:p>
            <w:pPr>
              <w:pStyle w:val="14"/>
            </w:pPr>
            <w:r>
              <w:t>按照相关规定使用向上争取奖金的比率</w:t>
            </w:r>
          </w:p>
        </w:tc>
        <w:tc>
          <w:tcPr>
            <w:tcW w:w="2551" w:type="dxa"/>
            <w:vAlign w:val="center"/>
          </w:tcPr>
          <w:p>
            <w:pPr>
              <w:pStyle w:val="14"/>
            </w:pPr>
            <w:r>
              <w:t>≥98%</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向上争取资金工作奖励完成时间</w:t>
            </w:r>
          </w:p>
        </w:tc>
        <w:tc>
          <w:tcPr>
            <w:tcW w:w="2551" w:type="dxa"/>
            <w:vAlign w:val="center"/>
          </w:tcPr>
          <w:p>
            <w:pPr>
              <w:pStyle w:val="14"/>
            </w:pPr>
            <w:r>
              <w:t>2022年度</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住宿费</w:t>
            </w:r>
          </w:p>
        </w:tc>
        <w:tc>
          <w:tcPr>
            <w:tcW w:w="2835" w:type="dxa"/>
            <w:vAlign w:val="center"/>
          </w:tcPr>
          <w:p>
            <w:pPr>
              <w:pStyle w:val="14"/>
            </w:pPr>
            <w:r>
              <w:t>招商引资工作报销住宿成本</w:t>
            </w:r>
          </w:p>
        </w:tc>
        <w:tc>
          <w:tcPr>
            <w:tcW w:w="2551" w:type="dxa"/>
            <w:vAlign w:val="center"/>
          </w:tcPr>
          <w:p>
            <w:pPr>
              <w:pStyle w:val="14"/>
            </w:pPr>
            <w:r>
              <w:t>≤1万元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差旅费</w:t>
            </w:r>
          </w:p>
        </w:tc>
        <w:tc>
          <w:tcPr>
            <w:tcW w:w="2835" w:type="dxa"/>
            <w:vAlign w:val="center"/>
          </w:tcPr>
          <w:p>
            <w:pPr>
              <w:pStyle w:val="14"/>
            </w:pPr>
            <w:r>
              <w:t>招商引资工作报销差旅成本</w:t>
            </w:r>
          </w:p>
        </w:tc>
        <w:tc>
          <w:tcPr>
            <w:tcW w:w="2551" w:type="dxa"/>
            <w:vAlign w:val="center"/>
          </w:tcPr>
          <w:p>
            <w:pPr>
              <w:pStyle w:val="14"/>
            </w:pPr>
            <w:r>
              <w:t>≤4万元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增加单位工作经费比率</w:t>
            </w:r>
          </w:p>
        </w:tc>
        <w:tc>
          <w:tcPr>
            <w:tcW w:w="2835" w:type="dxa"/>
            <w:vAlign w:val="center"/>
          </w:tcPr>
          <w:p>
            <w:pPr>
              <w:pStyle w:val="14"/>
            </w:pPr>
            <w:r>
              <w:t>奖励金增加单位招商引资工作的工作经费比率</w:t>
            </w:r>
          </w:p>
        </w:tc>
        <w:tc>
          <w:tcPr>
            <w:tcW w:w="2551" w:type="dxa"/>
            <w:vAlign w:val="center"/>
          </w:tcPr>
          <w:p>
            <w:pPr>
              <w:pStyle w:val="14"/>
            </w:pPr>
            <w:r>
              <w:t>≥4%</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示范效应</w:t>
            </w:r>
          </w:p>
        </w:tc>
        <w:tc>
          <w:tcPr>
            <w:tcW w:w="2835" w:type="dxa"/>
            <w:vAlign w:val="center"/>
          </w:tcPr>
          <w:p>
            <w:pPr>
              <w:pStyle w:val="14"/>
            </w:pPr>
            <w:r>
              <w:t>通过有效开展向上争取资金工作，获得奖金为各单位起到示范效应，带动相关单位数量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单位职工满意度</w:t>
            </w:r>
          </w:p>
        </w:tc>
        <w:tc>
          <w:tcPr>
            <w:tcW w:w="2835" w:type="dxa"/>
            <w:vAlign w:val="center"/>
          </w:tcPr>
          <w:p>
            <w:pPr>
              <w:pStyle w:val="14"/>
            </w:pPr>
            <w:r>
              <w:t>相关调查中，单位职工满意，基本满意占比情况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16、储备粮利息费用补贴绩效目标表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6.通过足额轮入5200吨优质小麦，促进县级储备粮工作顺利完成</w:t>
            </w:r>
          </w:p>
          <w:p>
            <w:pPr>
              <w:pStyle w:val="14"/>
            </w:pPr>
            <w:r>
              <w:t>7.通过按时支付农业发展银行贷款利息，促进储备粮工作正常运行。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储备粮吨数</w:t>
            </w:r>
          </w:p>
        </w:tc>
        <w:tc>
          <w:tcPr>
            <w:tcW w:w="2835" w:type="dxa"/>
            <w:vAlign w:val="center"/>
          </w:tcPr>
          <w:p>
            <w:pPr>
              <w:pStyle w:val="14"/>
            </w:pPr>
            <w:r>
              <w:t>县级储备粮数量</w:t>
            </w:r>
          </w:p>
        </w:tc>
        <w:tc>
          <w:tcPr>
            <w:tcW w:w="2551" w:type="dxa"/>
            <w:vAlign w:val="center"/>
          </w:tcPr>
          <w:p>
            <w:pPr>
              <w:pStyle w:val="14"/>
            </w:pPr>
            <w:r>
              <w:t>≥5200吨</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储备粮贷款额度</w:t>
            </w:r>
          </w:p>
        </w:tc>
        <w:tc>
          <w:tcPr>
            <w:tcW w:w="2835" w:type="dxa"/>
            <w:vAlign w:val="center"/>
          </w:tcPr>
          <w:p>
            <w:pPr>
              <w:pStyle w:val="14"/>
            </w:pPr>
            <w:r>
              <w:t>保证完成储备粮农业发展银行贷款额度</w:t>
            </w:r>
          </w:p>
        </w:tc>
        <w:tc>
          <w:tcPr>
            <w:tcW w:w="2551" w:type="dxa"/>
            <w:vAlign w:val="center"/>
          </w:tcPr>
          <w:p>
            <w:pPr>
              <w:pStyle w:val="14"/>
            </w:pPr>
            <w:r>
              <w:t>≥1225.6万元</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储备粮达标率</w:t>
            </w:r>
          </w:p>
        </w:tc>
        <w:tc>
          <w:tcPr>
            <w:tcW w:w="2835" w:type="dxa"/>
            <w:vAlign w:val="center"/>
          </w:tcPr>
          <w:p>
            <w:pPr>
              <w:pStyle w:val="14"/>
            </w:pPr>
            <w:r>
              <w:t>达到入库二等以上优质小麦</w:t>
            </w:r>
          </w:p>
        </w:tc>
        <w:tc>
          <w:tcPr>
            <w:tcW w:w="2551" w:type="dxa"/>
            <w:vAlign w:val="center"/>
          </w:tcPr>
          <w:p>
            <w:pPr>
              <w:pStyle w:val="14"/>
            </w:pPr>
            <w:r>
              <w:t>100%</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贷款利息补贴率</w:t>
            </w:r>
          </w:p>
        </w:tc>
        <w:tc>
          <w:tcPr>
            <w:tcW w:w="2835" w:type="dxa"/>
            <w:vAlign w:val="center"/>
          </w:tcPr>
          <w:p>
            <w:pPr>
              <w:pStyle w:val="14"/>
            </w:pPr>
            <w:r>
              <w:t>储备粮农业发展银行贷款利息补贴比率</w:t>
            </w:r>
          </w:p>
        </w:tc>
        <w:tc>
          <w:tcPr>
            <w:tcW w:w="2551" w:type="dxa"/>
            <w:vAlign w:val="center"/>
          </w:tcPr>
          <w:p>
            <w:pPr>
              <w:pStyle w:val="14"/>
            </w:pPr>
            <w:r>
              <w:t>100%</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按县级储备粮管理办法完成各项工作任务</w:t>
            </w:r>
          </w:p>
        </w:tc>
        <w:tc>
          <w:tcPr>
            <w:tcW w:w="2551" w:type="dxa"/>
            <w:vAlign w:val="center"/>
          </w:tcPr>
          <w:p>
            <w:pPr>
              <w:pStyle w:val="14"/>
            </w:pPr>
            <w:r>
              <w:t>2023年底</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县级储备粮管理费</w:t>
            </w:r>
          </w:p>
        </w:tc>
        <w:tc>
          <w:tcPr>
            <w:tcW w:w="2835" w:type="dxa"/>
            <w:vAlign w:val="center"/>
          </w:tcPr>
          <w:p>
            <w:pPr>
              <w:pStyle w:val="14"/>
            </w:pPr>
            <w:r>
              <w:t>每吨县级储备粮管理费补贴</w:t>
            </w:r>
          </w:p>
        </w:tc>
        <w:tc>
          <w:tcPr>
            <w:tcW w:w="2551" w:type="dxa"/>
            <w:vAlign w:val="center"/>
          </w:tcPr>
          <w:p>
            <w:pPr>
              <w:pStyle w:val="14"/>
            </w:pPr>
            <w:r>
              <w:t>≤20万元</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储备粮贷款利息利率</w:t>
            </w:r>
          </w:p>
        </w:tc>
        <w:tc>
          <w:tcPr>
            <w:tcW w:w="2835" w:type="dxa"/>
            <w:vAlign w:val="center"/>
          </w:tcPr>
          <w:p>
            <w:pPr>
              <w:pStyle w:val="14"/>
            </w:pPr>
            <w:r>
              <w:t>储备粮贷款实际利率</w:t>
            </w:r>
          </w:p>
        </w:tc>
        <w:tc>
          <w:tcPr>
            <w:tcW w:w="2551" w:type="dxa"/>
            <w:vAlign w:val="center"/>
          </w:tcPr>
          <w:p>
            <w:pPr>
              <w:pStyle w:val="14"/>
            </w:pPr>
            <w:r>
              <w:t>≤138.4万元</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确保粮食安全</w:t>
            </w:r>
          </w:p>
        </w:tc>
        <w:tc>
          <w:tcPr>
            <w:tcW w:w="2835" w:type="dxa"/>
            <w:vAlign w:val="center"/>
          </w:tcPr>
          <w:p>
            <w:pPr>
              <w:pStyle w:val="14"/>
            </w:pPr>
            <w:r>
              <w:t>落实县级储备计划，确保粮食安全</w:t>
            </w:r>
          </w:p>
        </w:tc>
        <w:tc>
          <w:tcPr>
            <w:tcW w:w="2551" w:type="dxa"/>
            <w:vAlign w:val="center"/>
          </w:tcPr>
          <w:p>
            <w:pPr>
              <w:pStyle w:val="14"/>
            </w:pPr>
            <w:r>
              <w:t>100%</w:t>
            </w:r>
          </w:p>
        </w:tc>
        <w:tc>
          <w:tcPr>
            <w:tcW w:w="2268" w:type="dxa"/>
            <w:vAlign w:val="center"/>
          </w:tcPr>
          <w:p>
            <w:pPr>
              <w:pStyle w:val="14"/>
            </w:pPr>
            <w:r>
              <w:t>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承储企业和贷款银行满意度</w:t>
            </w:r>
          </w:p>
        </w:tc>
        <w:tc>
          <w:tcPr>
            <w:tcW w:w="2835" w:type="dxa"/>
            <w:vAlign w:val="center"/>
          </w:tcPr>
          <w:p>
            <w:pPr>
              <w:pStyle w:val="14"/>
            </w:pPr>
            <w:r>
              <w:t>承储企业和贷款银行满意数量占总数的比例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17、代发企业改制人员退休费绩效目标表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1.按工作计划完成全县粮食、商务、工信系统改制人员社保缴费。</w:t>
            </w:r>
          </w:p>
          <w:p>
            <w:pPr>
              <w:pStyle w:val="14"/>
            </w:pPr>
            <w:r>
              <w:t>2.巩固系统改制成果，保证系统改制人员基本生活。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大病统筹退休人数</w:t>
            </w:r>
          </w:p>
        </w:tc>
        <w:tc>
          <w:tcPr>
            <w:tcW w:w="2835" w:type="dxa"/>
            <w:vAlign w:val="center"/>
          </w:tcPr>
          <w:p>
            <w:pPr>
              <w:pStyle w:val="14"/>
            </w:pPr>
            <w:r>
              <w:t>原粮食、工信、商务大病统筹退休人数</w:t>
            </w:r>
          </w:p>
        </w:tc>
        <w:tc>
          <w:tcPr>
            <w:tcW w:w="2551" w:type="dxa"/>
            <w:vAlign w:val="center"/>
          </w:tcPr>
          <w:p>
            <w:pPr>
              <w:pStyle w:val="14"/>
            </w:pPr>
            <w:r>
              <w:t>≥165人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补缴养老保险人数</w:t>
            </w:r>
          </w:p>
        </w:tc>
        <w:tc>
          <w:tcPr>
            <w:tcW w:w="2835" w:type="dxa"/>
            <w:vAlign w:val="center"/>
          </w:tcPr>
          <w:p>
            <w:pPr>
              <w:pStyle w:val="14"/>
            </w:pPr>
            <w:r>
              <w:t>原粮食下岗职工补缴养老保险人数</w:t>
            </w:r>
          </w:p>
        </w:tc>
        <w:tc>
          <w:tcPr>
            <w:tcW w:w="2551" w:type="dxa"/>
            <w:vAlign w:val="center"/>
          </w:tcPr>
          <w:p>
            <w:pPr>
              <w:pStyle w:val="14"/>
            </w:pPr>
            <w:r>
              <w:t>20人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离退休护理费人数</w:t>
            </w:r>
          </w:p>
        </w:tc>
        <w:tc>
          <w:tcPr>
            <w:tcW w:w="2835" w:type="dxa"/>
            <w:vAlign w:val="center"/>
          </w:tcPr>
          <w:p>
            <w:pPr>
              <w:pStyle w:val="14"/>
            </w:pPr>
            <w:r>
              <w:t>原粮食、工信、商务护理费退休人数</w:t>
            </w:r>
          </w:p>
        </w:tc>
        <w:tc>
          <w:tcPr>
            <w:tcW w:w="2551" w:type="dxa"/>
            <w:vAlign w:val="center"/>
          </w:tcPr>
          <w:p>
            <w:pPr>
              <w:pStyle w:val="14"/>
            </w:pPr>
            <w:r>
              <w:t>28人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离退休交通费人数</w:t>
            </w:r>
          </w:p>
        </w:tc>
        <w:tc>
          <w:tcPr>
            <w:tcW w:w="2835" w:type="dxa"/>
            <w:vAlign w:val="center"/>
          </w:tcPr>
          <w:p>
            <w:pPr>
              <w:pStyle w:val="14"/>
            </w:pPr>
            <w:r>
              <w:t>原粮食、工信、商务交通费退休人数</w:t>
            </w:r>
          </w:p>
        </w:tc>
        <w:tc>
          <w:tcPr>
            <w:tcW w:w="2551" w:type="dxa"/>
            <w:vAlign w:val="center"/>
          </w:tcPr>
          <w:p>
            <w:pPr>
              <w:pStyle w:val="14"/>
            </w:pPr>
            <w:r>
              <w:t>124人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离退休遗属人数</w:t>
            </w:r>
          </w:p>
        </w:tc>
        <w:tc>
          <w:tcPr>
            <w:tcW w:w="2835" w:type="dxa"/>
            <w:vAlign w:val="center"/>
          </w:tcPr>
          <w:p>
            <w:pPr>
              <w:pStyle w:val="14"/>
            </w:pPr>
            <w:r>
              <w:t>原粮食、工信、商务遗属人数</w:t>
            </w:r>
          </w:p>
        </w:tc>
        <w:tc>
          <w:tcPr>
            <w:tcW w:w="2551" w:type="dxa"/>
            <w:vAlign w:val="center"/>
          </w:tcPr>
          <w:p>
            <w:pPr>
              <w:pStyle w:val="14"/>
            </w:pPr>
            <w:r>
              <w:t>193人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离退休年终慰问金人数</w:t>
            </w:r>
          </w:p>
        </w:tc>
        <w:tc>
          <w:tcPr>
            <w:tcW w:w="2835" w:type="dxa"/>
            <w:vAlign w:val="center"/>
          </w:tcPr>
          <w:p>
            <w:pPr>
              <w:pStyle w:val="14"/>
            </w:pPr>
            <w:r>
              <w:t>原粮食、工信、商务年终慰问金退休人数</w:t>
            </w:r>
          </w:p>
        </w:tc>
        <w:tc>
          <w:tcPr>
            <w:tcW w:w="2551" w:type="dxa"/>
            <w:vAlign w:val="center"/>
          </w:tcPr>
          <w:p>
            <w:pPr>
              <w:pStyle w:val="14"/>
            </w:pPr>
            <w:r>
              <w:t>≥100人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计算准确率</w:t>
            </w:r>
          </w:p>
        </w:tc>
        <w:tc>
          <w:tcPr>
            <w:tcW w:w="2835" w:type="dxa"/>
            <w:vAlign w:val="center"/>
          </w:tcPr>
          <w:p>
            <w:pPr>
              <w:pStyle w:val="14"/>
            </w:pPr>
            <w:r>
              <w:t>社保缴费金额符合有关政策规定</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缴费及时率</w:t>
            </w:r>
          </w:p>
        </w:tc>
        <w:tc>
          <w:tcPr>
            <w:tcW w:w="2835" w:type="dxa"/>
            <w:vAlign w:val="center"/>
          </w:tcPr>
          <w:p>
            <w:pPr>
              <w:pStyle w:val="14"/>
            </w:pPr>
            <w:r>
              <w:t>按工作计划完成统改制人员社保缴费及时率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遗属成本</w:t>
            </w:r>
          </w:p>
        </w:tc>
        <w:tc>
          <w:tcPr>
            <w:tcW w:w="2835" w:type="dxa"/>
            <w:vAlign w:val="center"/>
          </w:tcPr>
          <w:p>
            <w:pPr>
              <w:pStyle w:val="14"/>
            </w:pPr>
            <w:r>
              <w:t>原粮食、工信、商务遗属成本</w:t>
            </w:r>
          </w:p>
        </w:tc>
        <w:tc>
          <w:tcPr>
            <w:tcW w:w="2551" w:type="dxa"/>
            <w:vAlign w:val="center"/>
          </w:tcPr>
          <w:p>
            <w:pPr>
              <w:pStyle w:val="14"/>
            </w:pPr>
            <w:r>
              <w:t>10万元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年终慰问金成本</w:t>
            </w:r>
          </w:p>
        </w:tc>
        <w:tc>
          <w:tcPr>
            <w:tcW w:w="2835" w:type="dxa"/>
            <w:vAlign w:val="center"/>
          </w:tcPr>
          <w:p>
            <w:pPr>
              <w:pStyle w:val="14"/>
            </w:pPr>
            <w:r>
              <w:t>原粮食、工信、商务年终慰问金退休人数</w:t>
            </w:r>
          </w:p>
        </w:tc>
        <w:tc>
          <w:tcPr>
            <w:tcW w:w="2551" w:type="dxa"/>
            <w:vAlign w:val="center"/>
          </w:tcPr>
          <w:p>
            <w:pPr>
              <w:pStyle w:val="14"/>
            </w:pPr>
            <w:r>
              <w:t>≤5.64万元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基本生活保障</w:t>
            </w:r>
          </w:p>
        </w:tc>
        <w:tc>
          <w:tcPr>
            <w:tcW w:w="2835" w:type="dxa"/>
            <w:vAlign w:val="center"/>
          </w:tcPr>
          <w:p>
            <w:pPr>
              <w:pStyle w:val="14"/>
            </w:pPr>
            <w:r>
              <w:t>巩固系统改制成果，保证全县粮食、商务、工信系统改制人员基本生活</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离退休人员中满意人数占调查总人数的比率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18、代发企业改制人员退休费绩效目标表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6.通过按工作计划完成全县粮食、商务、工信系统改制人员社保缴费，提高改制人员满意度。</w:t>
            </w:r>
          </w:p>
          <w:p>
            <w:pPr>
              <w:pStyle w:val="14"/>
            </w:pPr>
            <w:r>
              <w:t>7.通过巩固系统改制成果，保证系统改制人员基本生活。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大病统筹退休人数</w:t>
            </w:r>
          </w:p>
        </w:tc>
        <w:tc>
          <w:tcPr>
            <w:tcW w:w="2835" w:type="dxa"/>
            <w:vAlign w:val="center"/>
          </w:tcPr>
          <w:p>
            <w:pPr>
              <w:pStyle w:val="14"/>
            </w:pPr>
            <w:r>
              <w:t>原粮食、工信、商务、民爆公司改制大病统筹退休人数</w:t>
            </w:r>
          </w:p>
        </w:tc>
        <w:tc>
          <w:tcPr>
            <w:tcW w:w="2551" w:type="dxa"/>
            <w:vAlign w:val="center"/>
          </w:tcPr>
          <w:p>
            <w:pPr>
              <w:pStyle w:val="14"/>
            </w:pPr>
            <w:r>
              <w:t>≥141人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补缴养老保险人数</w:t>
            </w:r>
          </w:p>
        </w:tc>
        <w:tc>
          <w:tcPr>
            <w:tcW w:w="2835" w:type="dxa"/>
            <w:vAlign w:val="center"/>
          </w:tcPr>
          <w:p>
            <w:pPr>
              <w:pStyle w:val="14"/>
            </w:pPr>
            <w:r>
              <w:t>原粮食、原商务局下岗职工补缴养老保险人数</w:t>
            </w:r>
          </w:p>
        </w:tc>
        <w:tc>
          <w:tcPr>
            <w:tcW w:w="2551" w:type="dxa"/>
            <w:vAlign w:val="center"/>
          </w:tcPr>
          <w:p>
            <w:pPr>
              <w:pStyle w:val="14"/>
            </w:pPr>
            <w:r>
              <w:t>40人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离退休护理费人数</w:t>
            </w:r>
          </w:p>
        </w:tc>
        <w:tc>
          <w:tcPr>
            <w:tcW w:w="2835" w:type="dxa"/>
            <w:vAlign w:val="center"/>
          </w:tcPr>
          <w:p>
            <w:pPr>
              <w:pStyle w:val="14"/>
            </w:pPr>
            <w:r>
              <w:t>原粮食、工信、商务护理费退休人数</w:t>
            </w:r>
          </w:p>
        </w:tc>
        <w:tc>
          <w:tcPr>
            <w:tcW w:w="2551" w:type="dxa"/>
            <w:vAlign w:val="center"/>
          </w:tcPr>
          <w:p>
            <w:pPr>
              <w:pStyle w:val="14"/>
            </w:pPr>
            <w:r>
              <w:t>29人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离退休交通费人数</w:t>
            </w:r>
          </w:p>
        </w:tc>
        <w:tc>
          <w:tcPr>
            <w:tcW w:w="2835" w:type="dxa"/>
            <w:vAlign w:val="center"/>
          </w:tcPr>
          <w:p>
            <w:pPr>
              <w:pStyle w:val="14"/>
            </w:pPr>
            <w:r>
              <w:t>原粮食、工信、商务交通费退休人数</w:t>
            </w:r>
          </w:p>
        </w:tc>
        <w:tc>
          <w:tcPr>
            <w:tcW w:w="2551" w:type="dxa"/>
            <w:vAlign w:val="center"/>
          </w:tcPr>
          <w:p>
            <w:pPr>
              <w:pStyle w:val="14"/>
            </w:pPr>
            <w:r>
              <w:t>97人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离退休遗属人数</w:t>
            </w:r>
          </w:p>
        </w:tc>
        <w:tc>
          <w:tcPr>
            <w:tcW w:w="2835" w:type="dxa"/>
            <w:vAlign w:val="center"/>
          </w:tcPr>
          <w:p>
            <w:pPr>
              <w:pStyle w:val="14"/>
            </w:pPr>
            <w:r>
              <w:t>原粮食、工信、商务遗属人数</w:t>
            </w:r>
          </w:p>
        </w:tc>
        <w:tc>
          <w:tcPr>
            <w:tcW w:w="2551" w:type="dxa"/>
            <w:vAlign w:val="center"/>
          </w:tcPr>
          <w:p>
            <w:pPr>
              <w:pStyle w:val="14"/>
            </w:pPr>
            <w:r>
              <w:t>197人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计算准确率</w:t>
            </w:r>
          </w:p>
        </w:tc>
        <w:tc>
          <w:tcPr>
            <w:tcW w:w="2835" w:type="dxa"/>
            <w:vAlign w:val="center"/>
          </w:tcPr>
          <w:p>
            <w:pPr>
              <w:pStyle w:val="14"/>
            </w:pPr>
            <w:r>
              <w:t>社保缴费金额符合有关政策规定</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缴费及时率</w:t>
            </w:r>
          </w:p>
        </w:tc>
        <w:tc>
          <w:tcPr>
            <w:tcW w:w="2835" w:type="dxa"/>
            <w:vAlign w:val="center"/>
          </w:tcPr>
          <w:p>
            <w:pPr>
              <w:pStyle w:val="14"/>
            </w:pPr>
            <w:r>
              <w:t>按工作计划完成统改制人员社保缴费及时率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大病统筹成本</w:t>
            </w:r>
          </w:p>
        </w:tc>
        <w:tc>
          <w:tcPr>
            <w:tcW w:w="2835" w:type="dxa"/>
            <w:vAlign w:val="center"/>
          </w:tcPr>
          <w:p>
            <w:pPr>
              <w:pStyle w:val="14"/>
            </w:pPr>
            <w:r>
              <w:t>原粮食、工信、商务、民爆公司改制大病统筹成本</w:t>
            </w:r>
          </w:p>
        </w:tc>
        <w:tc>
          <w:tcPr>
            <w:tcW w:w="2551" w:type="dxa"/>
            <w:vAlign w:val="center"/>
          </w:tcPr>
          <w:p>
            <w:pPr>
              <w:pStyle w:val="14"/>
            </w:pPr>
            <w:r>
              <w:t>2.12万元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下岗职工补缴养老保险成本</w:t>
            </w:r>
          </w:p>
        </w:tc>
        <w:tc>
          <w:tcPr>
            <w:tcW w:w="2835" w:type="dxa"/>
            <w:vAlign w:val="center"/>
          </w:tcPr>
          <w:p>
            <w:pPr>
              <w:pStyle w:val="14"/>
            </w:pPr>
            <w:r>
              <w:t>原粮食，原商务局下岗职工补缴养老保险成本</w:t>
            </w:r>
          </w:p>
        </w:tc>
        <w:tc>
          <w:tcPr>
            <w:tcW w:w="2551" w:type="dxa"/>
            <w:vAlign w:val="center"/>
          </w:tcPr>
          <w:p>
            <w:pPr>
              <w:pStyle w:val="14"/>
            </w:pPr>
            <w:r>
              <w:t>8万元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护理费成本</w:t>
            </w:r>
          </w:p>
        </w:tc>
        <w:tc>
          <w:tcPr>
            <w:tcW w:w="2835" w:type="dxa"/>
            <w:vAlign w:val="center"/>
          </w:tcPr>
          <w:p>
            <w:pPr>
              <w:pStyle w:val="14"/>
            </w:pPr>
            <w:r>
              <w:t>原粮食、工信、商务护理费成本</w:t>
            </w:r>
          </w:p>
        </w:tc>
        <w:tc>
          <w:tcPr>
            <w:tcW w:w="2551" w:type="dxa"/>
            <w:vAlign w:val="center"/>
          </w:tcPr>
          <w:p>
            <w:pPr>
              <w:pStyle w:val="14"/>
            </w:pPr>
            <w:r>
              <w:t>2.07万元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住房补贴及工伤职工医疗费</w:t>
            </w:r>
          </w:p>
        </w:tc>
        <w:tc>
          <w:tcPr>
            <w:tcW w:w="2835" w:type="dxa"/>
            <w:vAlign w:val="center"/>
          </w:tcPr>
          <w:p>
            <w:pPr>
              <w:pStyle w:val="14"/>
            </w:pPr>
            <w:r>
              <w:t>住房补贴及工伤职工医疗费成本</w:t>
            </w:r>
          </w:p>
        </w:tc>
        <w:tc>
          <w:tcPr>
            <w:tcW w:w="2551" w:type="dxa"/>
            <w:vAlign w:val="center"/>
          </w:tcPr>
          <w:p>
            <w:pPr>
              <w:pStyle w:val="14"/>
            </w:pPr>
            <w:r>
              <w:t>1.3万元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交通费成本</w:t>
            </w:r>
          </w:p>
        </w:tc>
        <w:tc>
          <w:tcPr>
            <w:tcW w:w="2835" w:type="dxa"/>
            <w:vAlign w:val="center"/>
          </w:tcPr>
          <w:p>
            <w:pPr>
              <w:pStyle w:val="14"/>
            </w:pPr>
            <w:r>
              <w:t>原粮食、工信、商务交通费成本</w:t>
            </w:r>
          </w:p>
        </w:tc>
        <w:tc>
          <w:tcPr>
            <w:tcW w:w="2551" w:type="dxa"/>
            <w:vAlign w:val="center"/>
          </w:tcPr>
          <w:p>
            <w:pPr>
              <w:pStyle w:val="14"/>
            </w:pPr>
            <w:r>
              <w:t>7.23万元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遗属成本</w:t>
            </w:r>
          </w:p>
        </w:tc>
        <w:tc>
          <w:tcPr>
            <w:tcW w:w="2835" w:type="dxa"/>
            <w:vAlign w:val="center"/>
          </w:tcPr>
          <w:p>
            <w:pPr>
              <w:pStyle w:val="14"/>
            </w:pPr>
            <w:r>
              <w:t>原粮食、工信、商务遗属成本</w:t>
            </w:r>
          </w:p>
        </w:tc>
        <w:tc>
          <w:tcPr>
            <w:tcW w:w="2551" w:type="dxa"/>
            <w:vAlign w:val="center"/>
          </w:tcPr>
          <w:p>
            <w:pPr>
              <w:pStyle w:val="14"/>
            </w:pPr>
            <w:r>
              <w:t>14.75万元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基本生活保障</w:t>
            </w:r>
          </w:p>
        </w:tc>
        <w:tc>
          <w:tcPr>
            <w:tcW w:w="2835" w:type="dxa"/>
            <w:vAlign w:val="center"/>
          </w:tcPr>
          <w:p>
            <w:pPr>
              <w:pStyle w:val="14"/>
            </w:pPr>
            <w:r>
              <w:t>巩固系统改制成果，保证全县粮食、商务、工信系统改制人员基本生活</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离退休人员中满意人数占调查总人数的比率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19、关于提前下达2023年支持工业互联网创新发展等项目资金预算的通知（冀财建[2022]239号）绩效目标表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1.通过支持企业购买工业设计服务，充分发挥财政资金对工业企业的引导和激励作用。</w:t>
            </w:r>
          </w:p>
          <w:p>
            <w:pPr>
              <w:pStyle w:val="14"/>
            </w:pPr>
            <w:r>
              <w:t>2.通过支持企业购买工业设计服务，增强企业竞争力。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支持企业购买工业设计服务企业数量</w:t>
            </w:r>
          </w:p>
        </w:tc>
        <w:tc>
          <w:tcPr>
            <w:tcW w:w="2551" w:type="dxa"/>
            <w:vAlign w:val="center"/>
          </w:tcPr>
          <w:p>
            <w:pPr>
              <w:pStyle w:val="14"/>
            </w:pPr>
            <w:r>
              <w:t>1家</w:t>
            </w:r>
          </w:p>
        </w:tc>
        <w:tc>
          <w:tcPr>
            <w:tcW w:w="2268" w:type="dxa"/>
            <w:vAlign w:val="center"/>
          </w:tcPr>
          <w:p>
            <w:pPr>
              <w:pStyle w:val="14"/>
            </w:pPr>
            <w: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达到相关要求</w:t>
            </w:r>
          </w:p>
        </w:tc>
        <w:tc>
          <w:tcPr>
            <w:tcW w:w="2835" w:type="dxa"/>
            <w:vAlign w:val="center"/>
          </w:tcPr>
          <w:p>
            <w:pPr>
              <w:pStyle w:val="14"/>
            </w:pPr>
            <w:r>
              <w:t>达到资金管理规范</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申报材料合规率</w:t>
            </w:r>
          </w:p>
        </w:tc>
        <w:tc>
          <w:tcPr>
            <w:tcW w:w="2835" w:type="dxa"/>
            <w:vAlign w:val="center"/>
          </w:tcPr>
          <w:p>
            <w:pPr>
              <w:pStyle w:val="14"/>
            </w:pPr>
            <w:r>
              <w:t>企业申报资料合规率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财政资金拨付及时率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奖励成本</w:t>
            </w:r>
          </w:p>
        </w:tc>
        <w:tc>
          <w:tcPr>
            <w:tcW w:w="2835" w:type="dxa"/>
            <w:vAlign w:val="center"/>
          </w:tcPr>
          <w:p>
            <w:pPr>
              <w:pStyle w:val="14"/>
            </w:pPr>
            <w:r>
              <w:t>支持企业购买工业设计服务成本</w:t>
            </w:r>
          </w:p>
        </w:tc>
        <w:tc>
          <w:tcPr>
            <w:tcW w:w="2551" w:type="dxa"/>
            <w:vAlign w:val="center"/>
          </w:tcPr>
          <w:p>
            <w:pPr>
              <w:pStyle w:val="14"/>
            </w:pPr>
            <w:r>
              <w:t>6.89万元</w:t>
            </w:r>
          </w:p>
        </w:tc>
        <w:tc>
          <w:tcPr>
            <w:tcW w:w="2268" w:type="dxa"/>
            <w:vAlign w:val="center"/>
          </w:tcPr>
          <w:p>
            <w:pPr>
              <w:pStyle w:val="14"/>
            </w:pPr>
            <w:r>
              <w:t>冀财建【2022】239号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增加企业收入</w:t>
            </w:r>
          </w:p>
        </w:tc>
        <w:tc>
          <w:tcPr>
            <w:tcW w:w="2835" w:type="dxa"/>
            <w:vAlign w:val="center"/>
          </w:tcPr>
          <w:p>
            <w:pPr>
              <w:pStyle w:val="14"/>
            </w:pPr>
            <w:r>
              <w:t>增加购买工业设计服务企业收入</w:t>
            </w:r>
          </w:p>
        </w:tc>
        <w:tc>
          <w:tcPr>
            <w:tcW w:w="2551" w:type="dxa"/>
            <w:vAlign w:val="center"/>
          </w:tcPr>
          <w:p>
            <w:pPr>
              <w:pStyle w:val="14"/>
            </w:pPr>
            <w:r>
              <w:t>6.89万元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企业购买积极性</w:t>
            </w:r>
          </w:p>
        </w:tc>
        <w:tc>
          <w:tcPr>
            <w:tcW w:w="2835" w:type="dxa"/>
            <w:vAlign w:val="center"/>
          </w:tcPr>
          <w:p>
            <w:pPr>
              <w:pStyle w:val="14"/>
            </w:pPr>
            <w:r>
              <w:t>增强工业企业购买工业设计服务购买积极性</w:t>
            </w:r>
          </w:p>
        </w:tc>
        <w:tc>
          <w:tcPr>
            <w:tcW w:w="2551" w:type="dxa"/>
            <w:vAlign w:val="center"/>
          </w:tcPr>
          <w:p>
            <w:pPr>
              <w:pStyle w:val="14"/>
            </w:pPr>
            <w:r>
              <w:t>≥10%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促进企业长期发展</w:t>
            </w:r>
          </w:p>
        </w:tc>
        <w:tc>
          <w:tcPr>
            <w:tcW w:w="2835" w:type="dxa"/>
            <w:vAlign w:val="center"/>
          </w:tcPr>
          <w:p>
            <w:pPr>
              <w:pStyle w:val="14"/>
            </w:pPr>
            <w:r>
              <w:t>增强企业竞争力，促进企业长期发展</w:t>
            </w:r>
          </w:p>
        </w:tc>
        <w:tc>
          <w:tcPr>
            <w:tcW w:w="2551" w:type="dxa"/>
            <w:vAlign w:val="center"/>
          </w:tcPr>
          <w:p>
            <w:pPr>
              <w:pStyle w:val="14"/>
            </w:pPr>
            <w:r>
              <w:t>≥3年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企业投诉率</w:t>
            </w:r>
          </w:p>
        </w:tc>
        <w:tc>
          <w:tcPr>
            <w:tcW w:w="2835" w:type="dxa"/>
            <w:vAlign w:val="center"/>
          </w:tcPr>
          <w:p>
            <w:pPr>
              <w:pStyle w:val="14"/>
            </w:pPr>
            <w:r>
              <w:t>提出不满意意见或投诉的企业数占支持企业总数的比例</w:t>
            </w:r>
          </w:p>
        </w:tc>
        <w:tc>
          <w:tcPr>
            <w:tcW w:w="2551" w:type="dxa"/>
            <w:vAlign w:val="center"/>
          </w:tcPr>
          <w:p>
            <w:pPr>
              <w:pStyle w:val="14"/>
            </w:pPr>
            <w:r>
              <w:t>≤5%</w:t>
            </w:r>
          </w:p>
        </w:tc>
        <w:tc>
          <w:tcPr>
            <w:tcW w:w="2268" w:type="dxa"/>
            <w:vAlign w:val="center"/>
          </w:tcPr>
          <w:p>
            <w:pPr>
              <w:pStyle w:val="14"/>
            </w:pPr>
            <w:r>
              <w:t>企业投诉情况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20、关于提前下达2023年支持市县科技创新和科学普及专项资金预算的通知（冀财教【2022】165号）绩效目标表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1.通过开展科技企业研发投入后补助发放工作，带动县域相关企业创新能力提高。</w:t>
            </w:r>
            <w:r>
              <w:tab/>
            </w:r>
            <w:r>
              <w:tab/>
            </w:r>
            <w:r>
              <w:tab/>
            </w:r>
            <w:r>
              <w:tab/>
            </w:r>
            <w:r>
              <w:tab/>
            </w:r>
            <w:r>
              <w:tab/>
            </w:r>
          </w:p>
          <w:p>
            <w:pPr>
              <w:pStyle w:val="14"/>
            </w:pPr>
          </w:p>
          <w:p>
            <w:pPr>
              <w:pStyle w:val="14"/>
            </w:pPr>
            <w:r>
              <w:t>2.通过开展科技企业研发投入后补助发放工作，提高科技企业研发积极性。</w:t>
            </w:r>
            <w:r>
              <w:tab/>
            </w:r>
            <w:r>
              <w:tab/>
            </w:r>
            <w:r>
              <w:tab/>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补助企业数量</w:t>
            </w:r>
          </w:p>
        </w:tc>
        <w:tc>
          <w:tcPr>
            <w:tcW w:w="2835" w:type="dxa"/>
            <w:vAlign w:val="center"/>
          </w:tcPr>
          <w:p>
            <w:pPr>
              <w:pStyle w:val="14"/>
            </w:pPr>
            <w:r>
              <w:t>科技企业研发后补助企业数量</w:t>
            </w:r>
          </w:p>
        </w:tc>
        <w:tc>
          <w:tcPr>
            <w:tcW w:w="2551" w:type="dxa"/>
            <w:vAlign w:val="center"/>
          </w:tcPr>
          <w:p>
            <w:pPr>
              <w:pStyle w:val="14"/>
            </w:pPr>
            <w:r>
              <w:t>3家</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补助资金拨付率</w:t>
            </w:r>
          </w:p>
        </w:tc>
        <w:tc>
          <w:tcPr>
            <w:tcW w:w="2835" w:type="dxa"/>
            <w:vAlign w:val="center"/>
          </w:tcPr>
          <w:p>
            <w:pPr>
              <w:pStyle w:val="14"/>
            </w:pPr>
            <w:r>
              <w:t>符合补助标准的企业，补助资金拨付到位比例</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企业资质达标率</w:t>
            </w:r>
          </w:p>
        </w:tc>
        <w:tc>
          <w:tcPr>
            <w:tcW w:w="2835" w:type="dxa"/>
            <w:vAlign w:val="center"/>
          </w:tcPr>
          <w:p>
            <w:pPr>
              <w:pStyle w:val="14"/>
            </w:pPr>
            <w:r>
              <w:t>根据相关规定获得科技企业研发投入后补助的企业资质达标率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补助资金拨付到位时间</w:t>
            </w:r>
          </w:p>
        </w:tc>
        <w:tc>
          <w:tcPr>
            <w:tcW w:w="2835" w:type="dxa"/>
            <w:vAlign w:val="center"/>
          </w:tcPr>
          <w:p>
            <w:pPr>
              <w:pStyle w:val="14"/>
            </w:pPr>
            <w:r>
              <w:t>科技企业研发投入后补助资金拨付到位时间</w:t>
            </w:r>
          </w:p>
        </w:tc>
        <w:tc>
          <w:tcPr>
            <w:tcW w:w="2551" w:type="dxa"/>
            <w:vAlign w:val="center"/>
          </w:tcPr>
          <w:p>
            <w:pPr>
              <w:pStyle w:val="14"/>
            </w:pPr>
            <w:r>
              <w:t>2023年12月底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利通电缆有限公司补助成本</w:t>
            </w:r>
          </w:p>
        </w:tc>
        <w:tc>
          <w:tcPr>
            <w:tcW w:w="2835" w:type="dxa"/>
            <w:vAlign w:val="center"/>
          </w:tcPr>
          <w:p>
            <w:pPr>
              <w:pStyle w:val="14"/>
            </w:pPr>
            <w:r>
              <w:t>对河北利通电缆有限公司补助成本</w:t>
            </w:r>
          </w:p>
        </w:tc>
        <w:tc>
          <w:tcPr>
            <w:tcW w:w="2551" w:type="dxa"/>
            <w:vAlign w:val="center"/>
          </w:tcPr>
          <w:p>
            <w:pPr>
              <w:pStyle w:val="14"/>
            </w:pPr>
            <w:r>
              <w:t>295354元</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天兴矿业有限公司补助</w:t>
            </w:r>
          </w:p>
        </w:tc>
        <w:tc>
          <w:tcPr>
            <w:tcW w:w="2835" w:type="dxa"/>
            <w:vAlign w:val="center"/>
          </w:tcPr>
          <w:p>
            <w:pPr>
              <w:pStyle w:val="14"/>
            </w:pPr>
            <w:r>
              <w:t>对天兴矿业有限公司补助成本</w:t>
            </w:r>
          </w:p>
        </w:tc>
        <w:tc>
          <w:tcPr>
            <w:tcW w:w="2551" w:type="dxa"/>
            <w:vAlign w:val="center"/>
          </w:tcPr>
          <w:p>
            <w:pPr>
              <w:pStyle w:val="14"/>
            </w:pPr>
            <w:r>
              <w:t>218956元</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中红三融农牧有限公司补助成本</w:t>
            </w:r>
          </w:p>
        </w:tc>
        <w:tc>
          <w:tcPr>
            <w:tcW w:w="2835" w:type="dxa"/>
            <w:vAlign w:val="center"/>
          </w:tcPr>
          <w:p>
            <w:pPr>
              <w:pStyle w:val="14"/>
            </w:pPr>
            <w:r>
              <w:t>中红三融农牧有限公司补助成本</w:t>
            </w:r>
          </w:p>
        </w:tc>
        <w:tc>
          <w:tcPr>
            <w:tcW w:w="2551" w:type="dxa"/>
            <w:vAlign w:val="center"/>
          </w:tcPr>
          <w:p>
            <w:pPr>
              <w:pStyle w:val="14"/>
            </w:pPr>
            <w:r>
              <w:t>5745元</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降低企业经营成本</w:t>
            </w:r>
          </w:p>
        </w:tc>
        <w:tc>
          <w:tcPr>
            <w:tcW w:w="2835" w:type="dxa"/>
            <w:vAlign w:val="center"/>
          </w:tcPr>
          <w:p>
            <w:pPr>
              <w:pStyle w:val="14"/>
            </w:pPr>
            <w:r>
              <w:t>通过给予企业补助资金降低企业经营成本</w:t>
            </w:r>
          </w:p>
          <w:p>
            <w:pPr>
              <w:pStyle w:val="14"/>
            </w:pPr>
          </w:p>
        </w:tc>
        <w:tc>
          <w:tcPr>
            <w:tcW w:w="2551" w:type="dxa"/>
            <w:vAlign w:val="center"/>
          </w:tcPr>
          <w:p>
            <w:pPr>
              <w:pStyle w:val="14"/>
            </w:pPr>
            <w:r>
              <w:t>520055元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带动相关企业参与科技研发活动</w:t>
            </w:r>
          </w:p>
        </w:tc>
        <w:tc>
          <w:tcPr>
            <w:tcW w:w="2835" w:type="dxa"/>
            <w:vAlign w:val="center"/>
          </w:tcPr>
          <w:p>
            <w:pPr>
              <w:pStyle w:val="14"/>
            </w:pPr>
            <w:r>
              <w:t>通过发放科技企业研发投入后补助，带动县域相关企业参与科技企业研发活动数</w:t>
            </w:r>
          </w:p>
        </w:tc>
        <w:tc>
          <w:tcPr>
            <w:tcW w:w="2551" w:type="dxa"/>
            <w:vAlign w:val="center"/>
          </w:tcPr>
          <w:p>
            <w:pPr>
              <w:pStyle w:val="14"/>
            </w:pPr>
            <w:r>
              <w:t>≥3家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调查受益企业中满意企业数占全部受益企业数的比率</w:t>
            </w:r>
          </w:p>
        </w:tc>
        <w:tc>
          <w:tcPr>
            <w:tcW w:w="2551" w:type="dxa"/>
            <w:vAlign w:val="center"/>
          </w:tcPr>
          <w:p>
            <w:pPr>
              <w:pStyle w:val="14"/>
            </w:pPr>
            <w:r>
              <w:t>≥95%</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21、关于提前下达2023年支持市县科技创新和科学普及专项资金预算的通知（冀财教【2022】165号）-高企认定奖励资金绩效目标表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1.通过开展高企认定奖励资金发放工作，带动县域相关企业创新能力提高。</w:t>
            </w:r>
            <w:r>
              <w:tab/>
            </w:r>
            <w:r>
              <w:tab/>
            </w:r>
            <w:r>
              <w:tab/>
            </w:r>
          </w:p>
          <w:p>
            <w:pPr>
              <w:pStyle w:val="14"/>
            </w:pPr>
          </w:p>
          <w:p>
            <w:pPr>
              <w:pStyle w:val="14"/>
            </w:pPr>
            <w:r>
              <w:t>2.通过开展高企认定奖励资金发放工作，提高科技企业研发积极性。</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补助企业数量</w:t>
            </w:r>
          </w:p>
        </w:tc>
        <w:tc>
          <w:tcPr>
            <w:tcW w:w="2835" w:type="dxa"/>
            <w:vAlign w:val="center"/>
          </w:tcPr>
          <w:p>
            <w:pPr>
              <w:pStyle w:val="14"/>
            </w:pPr>
            <w:r>
              <w:t>科技企业研发后补助企业数量</w:t>
            </w:r>
          </w:p>
        </w:tc>
        <w:tc>
          <w:tcPr>
            <w:tcW w:w="2551" w:type="dxa"/>
            <w:vAlign w:val="center"/>
          </w:tcPr>
          <w:p>
            <w:pPr>
              <w:pStyle w:val="14"/>
            </w:pPr>
            <w:r>
              <w:t>1家</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补助资金拨付率</w:t>
            </w:r>
          </w:p>
        </w:tc>
        <w:tc>
          <w:tcPr>
            <w:tcW w:w="2835" w:type="dxa"/>
            <w:vAlign w:val="center"/>
          </w:tcPr>
          <w:p>
            <w:pPr>
              <w:pStyle w:val="14"/>
            </w:pPr>
            <w:r>
              <w:t>符合补助标准的企业，补助资金拨付到位比例</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企业资质达标率</w:t>
            </w:r>
          </w:p>
        </w:tc>
        <w:tc>
          <w:tcPr>
            <w:tcW w:w="2835" w:type="dxa"/>
            <w:vAlign w:val="center"/>
          </w:tcPr>
          <w:p>
            <w:pPr>
              <w:pStyle w:val="14"/>
            </w:pPr>
            <w:r>
              <w:t>根据相关规定获得高企认定奖励资金的企业资质达标率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补助资金拨付到位时间</w:t>
            </w:r>
          </w:p>
        </w:tc>
        <w:tc>
          <w:tcPr>
            <w:tcW w:w="2835" w:type="dxa"/>
            <w:vAlign w:val="center"/>
          </w:tcPr>
          <w:p>
            <w:pPr>
              <w:pStyle w:val="14"/>
            </w:pPr>
            <w:r>
              <w:t>高企认定奖励资金拨付到位时间</w:t>
            </w:r>
          </w:p>
        </w:tc>
        <w:tc>
          <w:tcPr>
            <w:tcW w:w="2551" w:type="dxa"/>
            <w:vAlign w:val="center"/>
          </w:tcPr>
          <w:p>
            <w:pPr>
              <w:pStyle w:val="14"/>
            </w:pPr>
            <w:r>
              <w:t>2023年12月底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秦皇岛市冠峰金属金属物资有限公司奖励资金成本</w:t>
            </w:r>
          </w:p>
        </w:tc>
        <w:tc>
          <w:tcPr>
            <w:tcW w:w="2835" w:type="dxa"/>
            <w:vAlign w:val="center"/>
          </w:tcPr>
          <w:p>
            <w:pPr>
              <w:pStyle w:val="14"/>
            </w:pPr>
            <w:r>
              <w:t>秦皇岛市冠峰金属金属物资有限公司高企认定奖励资金成本</w:t>
            </w:r>
          </w:p>
          <w:p>
            <w:pPr>
              <w:pStyle w:val="14"/>
            </w:pPr>
          </w:p>
        </w:tc>
        <w:tc>
          <w:tcPr>
            <w:tcW w:w="2551" w:type="dxa"/>
            <w:vAlign w:val="center"/>
          </w:tcPr>
          <w:p>
            <w:pPr>
              <w:pStyle w:val="14"/>
            </w:pPr>
            <w:r>
              <w:t>10万元</w:t>
            </w:r>
          </w:p>
        </w:tc>
        <w:tc>
          <w:tcPr>
            <w:tcW w:w="2268" w:type="dxa"/>
            <w:vAlign w:val="center"/>
          </w:tcPr>
          <w:p>
            <w:pPr>
              <w:pStyle w:val="14"/>
            </w:pPr>
            <w:r>
              <w:t>冀财教[2022]165号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带动相关企业参与科技研发活动</w:t>
            </w:r>
          </w:p>
        </w:tc>
        <w:tc>
          <w:tcPr>
            <w:tcW w:w="2835" w:type="dxa"/>
            <w:vAlign w:val="center"/>
          </w:tcPr>
          <w:p>
            <w:pPr>
              <w:pStyle w:val="14"/>
            </w:pPr>
            <w:r>
              <w:t>通过开展高企认定奖励资金发放工作，带动县域相关企业参与科技企业研发活动数</w:t>
            </w:r>
          </w:p>
        </w:tc>
        <w:tc>
          <w:tcPr>
            <w:tcW w:w="2551" w:type="dxa"/>
            <w:vAlign w:val="center"/>
          </w:tcPr>
          <w:p>
            <w:pPr>
              <w:pStyle w:val="14"/>
            </w:pPr>
            <w:r>
              <w:t>≥3家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降低企业经营成本</w:t>
            </w:r>
          </w:p>
        </w:tc>
        <w:tc>
          <w:tcPr>
            <w:tcW w:w="2835" w:type="dxa"/>
            <w:vAlign w:val="center"/>
          </w:tcPr>
          <w:p>
            <w:pPr>
              <w:pStyle w:val="14"/>
            </w:pPr>
            <w:r>
              <w:t>通过发放高企认定奖励资金降低企业经营成本</w:t>
            </w:r>
          </w:p>
          <w:p>
            <w:pPr>
              <w:pStyle w:val="14"/>
            </w:pPr>
          </w:p>
        </w:tc>
        <w:tc>
          <w:tcPr>
            <w:tcW w:w="2551" w:type="dxa"/>
            <w:vAlign w:val="center"/>
          </w:tcPr>
          <w:p>
            <w:pPr>
              <w:pStyle w:val="14"/>
            </w:pPr>
            <w:r>
              <w:t>10万元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促进企业长期发展</w:t>
            </w:r>
          </w:p>
        </w:tc>
        <w:tc>
          <w:tcPr>
            <w:tcW w:w="2835" w:type="dxa"/>
            <w:vAlign w:val="center"/>
          </w:tcPr>
          <w:p>
            <w:pPr>
              <w:pStyle w:val="14"/>
            </w:pPr>
            <w:r>
              <w:t>增强企业竞争力，促进企业长期发展</w:t>
            </w:r>
          </w:p>
        </w:tc>
        <w:tc>
          <w:tcPr>
            <w:tcW w:w="2551" w:type="dxa"/>
            <w:vAlign w:val="center"/>
          </w:tcPr>
          <w:p>
            <w:pPr>
              <w:pStyle w:val="14"/>
            </w:pPr>
            <w:r>
              <w:t>≥1年</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调查受益企业中满意企业数占全部受益企业数的比率</w:t>
            </w:r>
          </w:p>
        </w:tc>
        <w:tc>
          <w:tcPr>
            <w:tcW w:w="2551" w:type="dxa"/>
            <w:vAlign w:val="center"/>
          </w:tcPr>
          <w:p>
            <w:pPr>
              <w:pStyle w:val="14"/>
            </w:pPr>
            <w:r>
              <w:t>≥95%</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22、关于下达2021年度新增规上工业企业奖励资金的通知（秦财企【2022】410号）绩效目标表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1.通过发放企业奖励资金，充分发挥财政资金对工业企业的引导和激励作用。</w:t>
            </w:r>
          </w:p>
          <w:p>
            <w:pPr>
              <w:pStyle w:val="14"/>
            </w:pPr>
            <w:r>
              <w:t>2.通过规模扩大和技术创新，增强规上企业竞争力。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规上企业奖励个数</w:t>
            </w:r>
          </w:p>
        </w:tc>
        <w:tc>
          <w:tcPr>
            <w:tcW w:w="2835" w:type="dxa"/>
            <w:vAlign w:val="center"/>
          </w:tcPr>
          <w:p>
            <w:pPr>
              <w:pStyle w:val="14"/>
            </w:pPr>
            <w:r>
              <w:t>奖励资金规上企业个数</w:t>
            </w:r>
          </w:p>
        </w:tc>
        <w:tc>
          <w:tcPr>
            <w:tcW w:w="2551" w:type="dxa"/>
            <w:vAlign w:val="center"/>
          </w:tcPr>
          <w:p>
            <w:pPr>
              <w:pStyle w:val="14"/>
            </w:pPr>
            <w:r>
              <w:t>5个</w:t>
            </w:r>
          </w:p>
        </w:tc>
        <w:tc>
          <w:tcPr>
            <w:tcW w:w="2268" w:type="dxa"/>
            <w:vAlign w:val="center"/>
          </w:tcPr>
          <w:p>
            <w:pPr>
              <w:pStyle w:val="14"/>
            </w:pPr>
            <w:r>
              <w:t>秦财企【2022】410号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达到相关要求</w:t>
            </w:r>
          </w:p>
        </w:tc>
        <w:tc>
          <w:tcPr>
            <w:tcW w:w="2835" w:type="dxa"/>
            <w:vAlign w:val="center"/>
          </w:tcPr>
          <w:p>
            <w:pPr>
              <w:pStyle w:val="14"/>
            </w:pPr>
            <w:r>
              <w:t>达到资金管理规范</w:t>
            </w:r>
          </w:p>
        </w:tc>
        <w:tc>
          <w:tcPr>
            <w:tcW w:w="2551" w:type="dxa"/>
            <w:vAlign w:val="center"/>
          </w:tcPr>
          <w:p>
            <w:pPr>
              <w:pStyle w:val="14"/>
            </w:pPr>
            <w:r>
              <w:t>100%</w:t>
            </w:r>
          </w:p>
        </w:tc>
        <w:tc>
          <w:tcPr>
            <w:tcW w:w="2268"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申报材料合规率</w:t>
            </w:r>
          </w:p>
        </w:tc>
        <w:tc>
          <w:tcPr>
            <w:tcW w:w="2835" w:type="dxa"/>
            <w:vAlign w:val="center"/>
          </w:tcPr>
          <w:p>
            <w:pPr>
              <w:pStyle w:val="14"/>
            </w:pPr>
            <w:r>
              <w:t>企业申报资料合规率</w:t>
            </w:r>
          </w:p>
        </w:tc>
        <w:tc>
          <w:tcPr>
            <w:tcW w:w="2551" w:type="dxa"/>
            <w:vAlign w:val="center"/>
          </w:tcPr>
          <w:p>
            <w:pPr>
              <w:pStyle w:val="14"/>
            </w:pPr>
            <w:r>
              <w:t>100%</w:t>
            </w:r>
          </w:p>
        </w:tc>
        <w:tc>
          <w:tcPr>
            <w:tcW w:w="2268" w:type="dxa"/>
            <w:vAlign w:val="center"/>
          </w:tcPr>
          <w:p>
            <w:pPr>
              <w:pStyle w:val="14"/>
            </w:pPr>
            <w:r>
              <w:t>工作计划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增加企业收入</w:t>
            </w:r>
          </w:p>
        </w:tc>
        <w:tc>
          <w:tcPr>
            <w:tcW w:w="2835" w:type="dxa"/>
            <w:vAlign w:val="center"/>
          </w:tcPr>
          <w:p>
            <w:pPr>
              <w:pStyle w:val="14"/>
            </w:pPr>
            <w:r>
              <w:t>增加奖励规上企业收入</w:t>
            </w:r>
          </w:p>
        </w:tc>
        <w:tc>
          <w:tcPr>
            <w:tcW w:w="2551" w:type="dxa"/>
            <w:vAlign w:val="center"/>
          </w:tcPr>
          <w:p>
            <w:pPr>
              <w:pStyle w:val="14"/>
            </w:pPr>
            <w:r>
              <w:t>≥5万元</w:t>
            </w:r>
          </w:p>
        </w:tc>
        <w:tc>
          <w:tcPr>
            <w:tcW w:w="2268" w:type="dxa"/>
            <w:vAlign w:val="center"/>
          </w:tcPr>
          <w:p>
            <w:pPr>
              <w:pStyle w:val="14"/>
            </w:pPr>
            <w:r>
              <w:t>秦财企【2022】410号</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调查中满意和较满意</w:t>
            </w:r>
            <w:r>
              <w:rPr>
                <w:rFonts w:hint="eastAsia"/>
                <w:lang w:eastAsia="zh-CN"/>
              </w:rPr>
              <w:t>的</w:t>
            </w:r>
            <w:r>
              <w:t>企业数占调查总企业的比率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23、关于下达2022年第六批新增政府债券资金通知粮食和应急物资综合储备库项目（冀财债[2022]30号）绩效目标表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1.通过建设万吨标准化粮食储备库，保障地方粮食安全。</w:t>
            </w:r>
            <w:r>
              <w:tab/>
            </w:r>
            <w:r>
              <w:tab/>
            </w:r>
            <w:r>
              <w:tab/>
            </w:r>
          </w:p>
          <w:p>
            <w:pPr>
              <w:pStyle w:val="14"/>
            </w:pPr>
          </w:p>
          <w:p>
            <w:pPr>
              <w:pStyle w:val="14"/>
            </w:pPr>
            <w:r>
              <w:t>2.通过建成品种齐备、数量充足、管理规范的应急物资储备系统，提升突发事件保障能力。</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县级储备粮仓储量</w:t>
            </w:r>
          </w:p>
        </w:tc>
        <w:tc>
          <w:tcPr>
            <w:tcW w:w="2835" w:type="dxa"/>
            <w:vAlign w:val="center"/>
          </w:tcPr>
          <w:p>
            <w:pPr>
              <w:pStyle w:val="14"/>
            </w:pPr>
            <w:r>
              <w:t>新增储备粮仓储量</w:t>
            </w:r>
          </w:p>
        </w:tc>
        <w:tc>
          <w:tcPr>
            <w:tcW w:w="2551" w:type="dxa"/>
            <w:vAlign w:val="center"/>
          </w:tcPr>
          <w:p>
            <w:pPr>
              <w:pStyle w:val="14"/>
            </w:pPr>
            <w:r>
              <w:t>≥10000吨</w:t>
            </w:r>
          </w:p>
        </w:tc>
        <w:tc>
          <w:tcPr>
            <w:tcW w:w="2268" w:type="dxa"/>
            <w:vAlign w:val="center"/>
          </w:tcPr>
          <w:p>
            <w:pPr>
              <w:pStyle w:val="14"/>
            </w:pPr>
            <w:r>
              <w:t>青审批投资【2020】62号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应急物资储备库面积</w:t>
            </w:r>
          </w:p>
        </w:tc>
        <w:tc>
          <w:tcPr>
            <w:tcW w:w="2835" w:type="dxa"/>
            <w:vAlign w:val="center"/>
          </w:tcPr>
          <w:p>
            <w:pPr>
              <w:pStyle w:val="14"/>
            </w:pPr>
            <w:r>
              <w:t>新建规范化物资储备面积</w:t>
            </w:r>
          </w:p>
        </w:tc>
        <w:tc>
          <w:tcPr>
            <w:tcW w:w="2551" w:type="dxa"/>
            <w:vAlign w:val="center"/>
          </w:tcPr>
          <w:p>
            <w:pPr>
              <w:pStyle w:val="14"/>
            </w:pPr>
            <w:r>
              <w:t>≥900平方米</w:t>
            </w:r>
          </w:p>
        </w:tc>
        <w:tc>
          <w:tcPr>
            <w:tcW w:w="2268" w:type="dxa"/>
            <w:vAlign w:val="center"/>
          </w:tcPr>
          <w:p>
            <w:pPr>
              <w:pStyle w:val="14"/>
            </w:pPr>
            <w:r>
              <w:t>青审批投资【2020】62号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工程按设计标准通过验收比率</w:t>
            </w:r>
          </w:p>
        </w:tc>
        <w:tc>
          <w:tcPr>
            <w:tcW w:w="2551" w:type="dxa"/>
            <w:vAlign w:val="center"/>
          </w:tcPr>
          <w:p>
            <w:pPr>
              <w:pStyle w:val="14"/>
            </w:pPr>
            <w:r>
              <w:t>≥98%</w:t>
            </w:r>
          </w:p>
        </w:tc>
        <w:tc>
          <w:tcPr>
            <w:tcW w:w="2268"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按期完工率</w:t>
            </w:r>
          </w:p>
        </w:tc>
        <w:tc>
          <w:tcPr>
            <w:tcW w:w="2835" w:type="dxa"/>
            <w:vAlign w:val="center"/>
          </w:tcPr>
          <w:p>
            <w:pPr>
              <w:pStyle w:val="14"/>
            </w:pPr>
            <w:r>
              <w:t>按合同约定时间完成进度比率</w:t>
            </w:r>
          </w:p>
        </w:tc>
        <w:tc>
          <w:tcPr>
            <w:tcW w:w="2551" w:type="dxa"/>
            <w:vAlign w:val="center"/>
          </w:tcPr>
          <w:p>
            <w:pPr>
              <w:pStyle w:val="14"/>
            </w:pPr>
            <w:r>
              <w:t>100%</w:t>
            </w:r>
          </w:p>
        </w:tc>
        <w:tc>
          <w:tcPr>
            <w:tcW w:w="2268" w:type="dxa"/>
            <w:vAlign w:val="center"/>
          </w:tcPr>
          <w:p>
            <w:pPr>
              <w:pStyle w:val="14"/>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平方仓主体成本</w:t>
            </w:r>
          </w:p>
        </w:tc>
        <w:tc>
          <w:tcPr>
            <w:tcW w:w="2835" w:type="dxa"/>
            <w:vAlign w:val="center"/>
          </w:tcPr>
          <w:p>
            <w:pPr>
              <w:pStyle w:val="14"/>
            </w:pPr>
            <w:r>
              <w:t>平方仓主体建设成本</w:t>
            </w:r>
          </w:p>
        </w:tc>
        <w:tc>
          <w:tcPr>
            <w:tcW w:w="2551" w:type="dxa"/>
            <w:vAlign w:val="center"/>
          </w:tcPr>
          <w:p>
            <w:pPr>
              <w:pStyle w:val="14"/>
            </w:pPr>
            <w:r>
              <w:t>250万元</w:t>
            </w:r>
          </w:p>
        </w:tc>
        <w:tc>
          <w:tcPr>
            <w:tcW w:w="2268" w:type="dxa"/>
            <w:vAlign w:val="center"/>
          </w:tcPr>
          <w:p>
            <w:pPr>
              <w:pStyle w:val="14"/>
            </w:pPr>
            <w:r>
              <w:t>项目预算评审报告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提升粮食和应急物资储备水平</w:t>
            </w:r>
          </w:p>
        </w:tc>
        <w:tc>
          <w:tcPr>
            <w:tcW w:w="2835" w:type="dxa"/>
            <w:vAlign w:val="center"/>
          </w:tcPr>
          <w:p>
            <w:pPr>
              <w:pStyle w:val="14"/>
            </w:pPr>
            <w:r>
              <w:t>提高粮食和物资储备水平，保障县城粮食安全，提升突发事件保障能力</w:t>
            </w:r>
          </w:p>
        </w:tc>
        <w:tc>
          <w:tcPr>
            <w:tcW w:w="2551" w:type="dxa"/>
            <w:vAlign w:val="center"/>
          </w:tcPr>
          <w:p>
            <w:pPr>
              <w:pStyle w:val="14"/>
            </w:pPr>
            <w:r>
              <w:t>全县粮食储备量7900吨以上</w:t>
            </w:r>
          </w:p>
        </w:tc>
        <w:tc>
          <w:tcPr>
            <w:tcW w:w="2268" w:type="dxa"/>
            <w:vAlign w:val="center"/>
          </w:tcPr>
          <w:p>
            <w:pPr>
              <w:pStyle w:val="14"/>
            </w:pPr>
            <w:r>
              <w:t>青发粮投资【2020】62号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带动杂粮产业发展</w:t>
            </w:r>
          </w:p>
        </w:tc>
        <w:tc>
          <w:tcPr>
            <w:tcW w:w="2835" w:type="dxa"/>
            <w:vAlign w:val="center"/>
          </w:tcPr>
          <w:p>
            <w:pPr>
              <w:pStyle w:val="14"/>
            </w:pPr>
            <w:r>
              <w:t>发挥杂粮收纳功能，发展青龙杂粮产业、促进农民增收</w:t>
            </w:r>
          </w:p>
        </w:tc>
        <w:tc>
          <w:tcPr>
            <w:tcW w:w="2551" w:type="dxa"/>
            <w:vAlign w:val="center"/>
          </w:tcPr>
          <w:p>
            <w:pPr>
              <w:pStyle w:val="14"/>
            </w:pPr>
            <w:r>
              <w:t>年收纳杂粮量1000吨以上</w:t>
            </w:r>
          </w:p>
        </w:tc>
        <w:tc>
          <w:tcPr>
            <w:tcW w:w="2268" w:type="dxa"/>
            <w:vAlign w:val="center"/>
          </w:tcPr>
          <w:p>
            <w:pPr>
              <w:pStyle w:val="14"/>
            </w:pPr>
            <w:r>
              <w:t>青发粮投资【2020】62号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实现绿色仓库</w:t>
            </w:r>
          </w:p>
        </w:tc>
        <w:tc>
          <w:tcPr>
            <w:tcW w:w="2835" w:type="dxa"/>
            <w:vAlign w:val="center"/>
          </w:tcPr>
          <w:p>
            <w:pPr>
              <w:pStyle w:val="14"/>
            </w:pPr>
            <w:r>
              <w:t>达到除尘降噪、环保高效的绿色仓储要求</w:t>
            </w:r>
          </w:p>
        </w:tc>
        <w:tc>
          <w:tcPr>
            <w:tcW w:w="2551" w:type="dxa"/>
            <w:vAlign w:val="center"/>
          </w:tcPr>
          <w:p>
            <w:pPr>
              <w:pStyle w:val="14"/>
            </w:pPr>
            <w:r>
              <w:t>≥70%</w:t>
            </w:r>
          </w:p>
        </w:tc>
        <w:tc>
          <w:tcPr>
            <w:tcW w:w="2268" w:type="dxa"/>
            <w:vAlign w:val="center"/>
          </w:tcPr>
          <w:p>
            <w:pPr>
              <w:pStyle w:val="14"/>
            </w:pPr>
            <w:r>
              <w:t>青发粮投资【2020】62号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粮库可使用年限</w:t>
            </w:r>
          </w:p>
        </w:tc>
        <w:tc>
          <w:tcPr>
            <w:tcW w:w="2835" w:type="dxa"/>
            <w:vAlign w:val="center"/>
          </w:tcPr>
          <w:p>
            <w:pPr>
              <w:pStyle w:val="14"/>
            </w:pPr>
            <w:r>
              <w:t>新增储量粮库使用年限</w:t>
            </w:r>
          </w:p>
        </w:tc>
        <w:tc>
          <w:tcPr>
            <w:tcW w:w="2551" w:type="dxa"/>
            <w:vAlign w:val="center"/>
          </w:tcPr>
          <w:p>
            <w:pPr>
              <w:pStyle w:val="14"/>
            </w:pPr>
            <w:r>
              <w:t>≥10年</w:t>
            </w:r>
          </w:p>
        </w:tc>
        <w:tc>
          <w:tcPr>
            <w:tcW w:w="2268" w:type="dxa"/>
            <w:vAlign w:val="center"/>
          </w:tcPr>
          <w:p>
            <w:pPr>
              <w:pStyle w:val="14"/>
            </w:pPr>
            <w:r>
              <w:t>青发粮投资【2020】62号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调查中满意群众数占调查群众总数的比率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24、关于下达2022年县级支持市县科技创新和科学普及专项资金（第四批）的通知（冀财教[2022]35号）绩效目标表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1.通过智慧农业大棚相关课程与技术培训，能够为当地农业农村的发展起到一定借鉴作用。</w:t>
            </w:r>
          </w:p>
          <w:p>
            <w:pPr>
              <w:pStyle w:val="14"/>
            </w:pPr>
            <w:r>
              <w:t>2.通过智慧农业大棚相关课程与技术培训，让学生掌握科技智慧大棚的控制方法，原理。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讲座培训次数</w:t>
            </w:r>
          </w:p>
        </w:tc>
        <w:tc>
          <w:tcPr>
            <w:tcW w:w="2835" w:type="dxa"/>
            <w:vAlign w:val="center"/>
          </w:tcPr>
          <w:p>
            <w:pPr>
              <w:pStyle w:val="14"/>
            </w:pPr>
            <w:r>
              <w:t>完成年度讲座培训次数</w:t>
            </w:r>
          </w:p>
        </w:tc>
        <w:tc>
          <w:tcPr>
            <w:tcW w:w="2551" w:type="dxa"/>
            <w:vAlign w:val="center"/>
          </w:tcPr>
          <w:p>
            <w:pPr>
              <w:pStyle w:val="14"/>
            </w:pPr>
            <w:r>
              <w:t>6次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培训普及人数</w:t>
            </w:r>
          </w:p>
        </w:tc>
        <w:tc>
          <w:tcPr>
            <w:tcW w:w="2835" w:type="dxa"/>
            <w:vAlign w:val="center"/>
          </w:tcPr>
          <w:p>
            <w:pPr>
              <w:pStyle w:val="14"/>
            </w:pPr>
            <w:r>
              <w:t>参加培训总人数</w:t>
            </w:r>
          </w:p>
        </w:tc>
        <w:tc>
          <w:tcPr>
            <w:tcW w:w="2551" w:type="dxa"/>
            <w:vAlign w:val="center"/>
          </w:tcPr>
          <w:p>
            <w:pPr>
              <w:pStyle w:val="14"/>
            </w:pPr>
            <w:r>
              <w:t>≥350人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聘请专家数量</w:t>
            </w:r>
          </w:p>
        </w:tc>
        <w:tc>
          <w:tcPr>
            <w:tcW w:w="2835" w:type="dxa"/>
            <w:vAlign w:val="center"/>
          </w:tcPr>
          <w:p>
            <w:pPr>
              <w:pStyle w:val="14"/>
            </w:pPr>
            <w:r>
              <w:t>聘请培训专家人数</w:t>
            </w:r>
          </w:p>
        </w:tc>
        <w:tc>
          <w:tcPr>
            <w:tcW w:w="2551" w:type="dxa"/>
            <w:vAlign w:val="center"/>
          </w:tcPr>
          <w:p>
            <w:pPr>
              <w:pStyle w:val="14"/>
            </w:pPr>
            <w:r>
              <w:t>6人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培训技术应用率</w:t>
            </w:r>
          </w:p>
        </w:tc>
        <w:tc>
          <w:tcPr>
            <w:tcW w:w="2835" w:type="dxa"/>
            <w:vAlign w:val="center"/>
          </w:tcPr>
          <w:p>
            <w:pPr>
              <w:pStyle w:val="14"/>
            </w:pPr>
            <w:r>
              <w:t>培训技术应用人数占培训总人数的比例</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2835" w:type="dxa"/>
            <w:vAlign w:val="center"/>
          </w:tcPr>
          <w:p>
            <w:pPr>
              <w:pStyle w:val="14"/>
            </w:pPr>
            <w:r>
              <w:t>按工作计划完成培训</w:t>
            </w:r>
          </w:p>
        </w:tc>
        <w:tc>
          <w:tcPr>
            <w:tcW w:w="2551" w:type="dxa"/>
            <w:vAlign w:val="center"/>
          </w:tcPr>
          <w:p>
            <w:pPr>
              <w:pStyle w:val="14"/>
            </w:pPr>
            <w:r>
              <w:t>2022年12月份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相关设备成本</w:t>
            </w:r>
          </w:p>
        </w:tc>
        <w:tc>
          <w:tcPr>
            <w:tcW w:w="2835" w:type="dxa"/>
            <w:vAlign w:val="center"/>
          </w:tcPr>
          <w:p>
            <w:pPr>
              <w:pStyle w:val="14"/>
            </w:pPr>
            <w:r>
              <w:t>进行培训相关设备成本</w:t>
            </w:r>
          </w:p>
        </w:tc>
        <w:tc>
          <w:tcPr>
            <w:tcW w:w="2551" w:type="dxa"/>
            <w:vAlign w:val="center"/>
          </w:tcPr>
          <w:p>
            <w:pPr>
              <w:pStyle w:val="14"/>
            </w:pPr>
            <w:r>
              <w:t>≤3万元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专家顾问费</w:t>
            </w:r>
          </w:p>
        </w:tc>
        <w:tc>
          <w:tcPr>
            <w:tcW w:w="2835" w:type="dxa"/>
            <w:vAlign w:val="center"/>
          </w:tcPr>
          <w:p>
            <w:pPr>
              <w:pStyle w:val="14"/>
            </w:pPr>
            <w:r>
              <w:t>专家指导顾问费支付标准</w:t>
            </w:r>
          </w:p>
        </w:tc>
        <w:tc>
          <w:tcPr>
            <w:tcW w:w="2551" w:type="dxa"/>
            <w:vAlign w:val="center"/>
          </w:tcPr>
          <w:p>
            <w:pPr>
              <w:pStyle w:val="14"/>
            </w:pPr>
            <w:r>
              <w:t>≤1.5万元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相关材料成本</w:t>
            </w:r>
          </w:p>
        </w:tc>
        <w:tc>
          <w:tcPr>
            <w:tcW w:w="2835" w:type="dxa"/>
            <w:vAlign w:val="center"/>
          </w:tcPr>
          <w:p>
            <w:pPr>
              <w:pStyle w:val="14"/>
            </w:pPr>
            <w:r>
              <w:t>进行培训相关材料成本实际支出</w:t>
            </w:r>
          </w:p>
        </w:tc>
        <w:tc>
          <w:tcPr>
            <w:tcW w:w="2551" w:type="dxa"/>
            <w:vAlign w:val="center"/>
          </w:tcPr>
          <w:p>
            <w:pPr>
              <w:pStyle w:val="14"/>
            </w:pPr>
            <w:r>
              <w:t>≤0.5万元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持续提高大棚种植产量和品质</w:t>
            </w:r>
          </w:p>
        </w:tc>
        <w:tc>
          <w:tcPr>
            <w:tcW w:w="2835" w:type="dxa"/>
            <w:vAlign w:val="center"/>
          </w:tcPr>
          <w:p>
            <w:pPr>
              <w:pStyle w:val="14"/>
            </w:pPr>
            <w:r>
              <w:t>通过培训，持续提高大棚种植产量和品质</w:t>
            </w:r>
          </w:p>
        </w:tc>
        <w:tc>
          <w:tcPr>
            <w:tcW w:w="2551" w:type="dxa"/>
            <w:vAlign w:val="center"/>
          </w:tcPr>
          <w:p>
            <w:pPr>
              <w:pStyle w:val="14"/>
            </w:pPr>
            <w:r>
              <w:t>≥2%</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2835" w:type="dxa"/>
            <w:vAlign w:val="center"/>
          </w:tcPr>
          <w:p>
            <w:pPr>
              <w:pStyle w:val="14"/>
            </w:pPr>
            <w:r>
              <w:t>学生满意度数量占总数的比例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25、关于下达2022年县级中小企业发展专项资金（第一批）的通知（冀财建【2022】63号）绩效目标表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1.通过举办中小企业“百场万家”公益服务活动，优化中小企业营商环境，促进本县经济发展。</w:t>
            </w:r>
          </w:p>
          <w:p>
            <w:pPr>
              <w:pStyle w:val="14"/>
            </w:pPr>
            <w:r>
              <w:t>2.通过举办中小企业“百场万家”公益服务活动，解决中小企业融资、解决纠纷等方面问题。</w:t>
            </w:r>
          </w:p>
          <w:p>
            <w:pPr>
              <w:pStyle w:val="14"/>
            </w:pP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活动场次</w:t>
            </w:r>
          </w:p>
        </w:tc>
        <w:tc>
          <w:tcPr>
            <w:tcW w:w="2835" w:type="dxa"/>
            <w:vAlign w:val="center"/>
          </w:tcPr>
          <w:p>
            <w:pPr>
              <w:pStyle w:val="14"/>
            </w:pPr>
            <w:r>
              <w:t>开展‘百场万家“公益服务活动场次</w:t>
            </w:r>
          </w:p>
        </w:tc>
        <w:tc>
          <w:tcPr>
            <w:tcW w:w="2551" w:type="dxa"/>
            <w:vAlign w:val="center"/>
          </w:tcPr>
          <w:p>
            <w:pPr>
              <w:pStyle w:val="14"/>
            </w:pPr>
            <w:r>
              <w:t>1次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服务企业个数</w:t>
            </w:r>
          </w:p>
        </w:tc>
        <w:tc>
          <w:tcPr>
            <w:tcW w:w="2835" w:type="dxa"/>
            <w:vAlign w:val="center"/>
          </w:tcPr>
          <w:p>
            <w:pPr>
              <w:pStyle w:val="14"/>
            </w:pPr>
            <w:r>
              <w:t>通过线上线下相结合的方式，服务全县中小企业个数</w:t>
            </w:r>
          </w:p>
        </w:tc>
        <w:tc>
          <w:tcPr>
            <w:tcW w:w="2551" w:type="dxa"/>
            <w:vAlign w:val="center"/>
          </w:tcPr>
          <w:p>
            <w:pPr>
              <w:pStyle w:val="14"/>
            </w:pPr>
            <w:r>
              <w:t>≥150家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参加活动人员构成</w:t>
            </w:r>
          </w:p>
        </w:tc>
        <w:tc>
          <w:tcPr>
            <w:tcW w:w="2835" w:type="dxa"/>
            <w:vAlign w:val="center"/>
          </w:tcPr>
          <w:p>
            <w:pPr>
              <w:pStyle w:val="14"/>
            </w:pPr>
            <w:r>
              <w:t>企业董事长、总经理人数占企业参加人数的比率</w:t>
            </w:r>
          </w:p>
        </w:tc>
        <w:tc>
          <w:tcPr>
            <w:tcW w:w="2551" w:type="dxa"/>
            <w:vAlign w:val="center"/>
          </w:tcPr>
          <w:p>
            <w:pPr>
              <w:pStyle w:val="14"/>
            </w:pPr>
            <w:r>
              <w:t>≥50%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活动完成率</w:t>
            </w:r>
          </w:p>
        </w:tc>
        <w:tc>
          <w:tcPr>
            <w:tcW w:w="2835" w:type="dxa"/>
            <w:vAlign w:val="center"/>
          </w:tcPr>
          <w:p>
            <w:pPr>
              <w:pStyle w:val="14"/>
            </w:pPr>
            <w:r>
              <w:t>实际完成服务企业数与年度计划服务企业数之比</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活动完成时间</w:t>
            </w:r>
          </w:p>
        </w:tc>
        <w:tc>
          <w:tcPr>
            <w:tcW w:w="2551" w:type="dxa"/>
            <w:vAlign w:val="center"/>
          </w:tcPr>
          <w:p>
            <w:pPr>
              <w:pStyle w:val="14"/>
            </w:pPr>
            <w:r>
              <w:t>2022年12月份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2835" w:type="dxa"/>
            <w:vAlign w:val="center"/>
          </w:tcPr>
          <w:p>
            <w:pPr>
              <w:pStyle w:val="14"/>
            </w:pPr>
            <w:r>
              <w:t>开展‘百场万家“公益服务活动成本</w:t>
            </w:r>
          </w:p>
        </w:tc>
        <w:tc>
          <w:tcPr>
            <w:tcW w:w="2551" w:type="dxa"/>
            <w:vAlign w:val="center"/>
          </w:tcPr>
          <w:p>
            <w:pPr>
              <w:pStyle w:val="14"/>
            </w:pPr>
            <w:r>
              <w:t>5万元</w:t>
            </w:r>
          </w:p>
        </w:tc>
        <w:tc>
          <w:tcPr>
            <w:tcW w:w="2268" w:type="dxa"/>
            <w:vAlign w:val="center"/>
          </w:tcPr>
          <w:p>
            <w:pPr>
              <w:pStyle w:val="14"/>
            </w:pPr>
            <w:r>
              <w:t>冀财建【2022】63号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优化中小企业营商环境</w:t>
            </w:r>
          </w:p>
        </w:tc>
        <w:tc>
          <w:tcPr>
            <w:tcW w:w="2835" w:type="dxa"/>
            <w:vAlign w:val="center"/>
          </w:tcPr>
          <w:p>
            <w:pPr>
              <w:pStyle w:val="14"/>
            </w:pPr>
            <w:r>
              <w:t>引导开展公益服务活动，在中小企业融资、解决纠纷、减少损失、企业上云等方面提供服务优化中小企业营商环境</w:t>
            </w:r>
          </w:p>
        </w:tc>
        <w:tc>
          <w:tcPr>
            <w:tcW w:w="2551" w:type="dxa"/>
            <w:vAlign w:val="center"/>
          </w:tcPr>
          <w:p>
            <w:pPr>
              <w:pStyle w:val="14"/>
            </w:pPr>
            <w:r>
              <w:t>进一步优化中小企业营商环境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工作可持续性</w:t>
            </w:r>
          </w:p>
        </w:tc>
        <w:tc>
          <w:tcPr>
            <w:tcW w:w="2835" w:type="dxa"/>
            <w:vAlign w:val="center"/>
          </w:tcPr>
          <w:p>
            <w:pPr>
              <w:pStyle w:val="14"/>
            </w:pPr>
            <w:r>
              <w:t>通过举办中小企业“百场万家”公益服务活动，解决中小企业融资、解决纠纷等方面问题，促进企业与时俱进</w:t>
            </w:r>
          </w:p>
        </w:tc>
        <w:tc>
          <w:tcPr>
            <w:tcW w:w="2551" w:type="dxa"/>
            <w:vAlign w:val="center"/>
          </w:tcPr>
          <w:p>
            <w:pPr>
              <w:pStyle w:val="14"/>
            </w:pPr>
            <w:r>
              <w:t>≥1年</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调查满意和较满意的企业占调查总企业的比率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26、关于下达2022年先进制造业和现代服务业发展专项（第一批）中央基建投资预算的通知（冀财建【2022】42号）绩效目标表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1.涉密</w:t>
            </w:r>
          </w:p>
          <w:p>
            <w:pPr>
              <w:pStyle w:val="14"/>
            </w:pPr>
            <w:r>
              <w:t>2.涉密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涉密</w:t>
            </w:r>
          </w:p>
        </w:tc>
        <w:tc>
          <w:tcPr>
            <w:tcW w:w="2835" w:type="dxa"/>
            <w:vAlign w:val="center"/>
          </w:tcPr>
          <w:p>
            <w:pPr>
              <w:pStyle w:val="14"/>
            </w:pPr>
            <w:r>
              <w:t>涉密</w:t>
            </w:r>
          </w:p>
        </w:tc>
        <w:tc>
          <w:tcPr>
            <w:tcW w:w="2551" w:type="dxa"/>
            <w:vAlign w:val="center"/>
          </w:tcPr>
          <w:p>
            <w:pPr>
              <w:pStyle w:val="14"/>
            </w:pPr>
            <w:r>
              <w:t>涉密</w:t>
            </w:r>
          </w:p>
        </w:tc>
        <w:tc>
          <w:tcPr>
            <w:tcW w:w="2268" w:type="dxa"/>
            <w:vAlign w:val="center"/>
          </w:tcPr>
          <w:p>
            <w:pPr>
              <w:pStyle w:val="14"/>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27、客户体验中心项目所需配套资金绩效目标表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6.通过资金拨付，促进客户体验中心及时使用。</w:t>
            </w:r>
          </w:p>
          <w:p>
            <w:pPr>
              <w:pStyle w:val="14"/>
            </w:pPr>
            <w:r>
              <w:t>7.通过客户体验中心完善，实现本地电子商务快速发展。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坐席数量</w:t>
            </w:r>
          </w:p>
        </w:tc>
        <w:tc>
          <w:tcPr>
            <w:tcW w:w="2835" w:type="dxa"/>
            <w:vAlign w:val="center"/>
          </w:tcPr>
          <w:p>
            <w:pPr>
              <w:pStyle w:val="14"/>
            </w:pPr>
            <w:r>
              <w:t>体验中心达到坐席数量</w:t>
            </w:r>
          </w:p>
        </w:tc>
        <w:tc>
          <w:tcPr>
            <w:tcW w:w="2551" w:type="dxa"/>
            <w:vAlign w:val="center"/>
          </w:tcPr>
          <w:p>
            <w:pPr>
              <w:pStyle w:val="14"/>
              <w:rPr>
                <w:lang w:eastAsia="zh-CN"/>
              </w:rPr>
            </w:pPr>
            <w:r>
              <w:t>≥200个</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变压器数量</w:t>
            </w:r>
          </w:p>
        </w:tc>
        <w:tc>
          <w:tcPr>
            <w:tcW w:w="2835" w:type="dxa"/>
            <w:vAlign w:val="center"/>
          </w:tcPr>
          <w:p>
            <w:pPr>
              <w:pStyle w:val="14"/>
            </w:pPr>
            <w:r>
              <w:t>新增变压器数量</w:t>
            </w:r>
          </w:p>
        </w:tc>
        <w:tc>
          <w:tcPr>
            <w:tcW w:w="2551" w:type="dxa"/>
            <w:vAlign w:val="center"/>
          </w:tcPr>
          <w:p>
            <w:pPr>
              <w:pStyle w:val="14"/>
            </w:pPr>
            <w:r>
              <w:t>1个</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购买器材及用具达标率</w:t>
            </w:r>
          </w:p>
        </w:tc>
        <w:tc>
          <w:tcPr>
            <w:tcW w:w="2835" w:type="dxa"/>
            <w:vAlign w:val="center"/>
          </w:tcPr>
          <w:p>
            <w:pPr>
              <w:pStyle w:val="14"/>
            </w:pPr>
            <w:r>
              <w:t>体验中心购买器材及用具达标率</w:t>
            </w:r>
          </w:p>
        </w:tc>
        <w:tc>
          <w:tcPr>
            <w:tcW w:w="2551" w:type="dxa"/>
            <w:vAlign w:val="center"/>
          </w:tcPr>
          <w:p>
            <w:pPr>
              <w:pStyle w:val="14"/>
            </w:pPr>
            <w:r>
              <w:t>≥95%</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w:t>
            </w:r>
          </w:p>
        </w:tc>
        <w:tc>
          <w:tcPr>
            <w:tcW w:w="2835" w:type="dxa"/>
            <w:vAlign w:val="center"/>
          </w:tcPr>
          <w:p>
            <w:pPr>
              <w:pStyle w:val="14"/>
            </w:pPr>
            <w:r>
              <w:t>资金拨付及时率</w:t>
            </w:r>
          </w:p>
        </w:tc>
        <w:tc>
          <w:tcPr>
            <w:tcW w:w="2551" w:type="dxa"/>
            <w:vAlign w:val="center"/>
          </w:tcPr>
          <w:p>
            <w:pPr>
              <w:pStyle w:val="14"/>
            </w:pPr>
            <w:r>
              <w:t>≥90%</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变压器单项成本</w:t>
            </w:r>
          </w:p>
        </w:tc>
        <w:tc>
          <w:tcPr>
            <w:tcW w:w="2835" w:type="dxa"/>
            <w:vAlign w:val="center"/>
          </w:tcPr>
          <w:p>
            <w:pPr>
              <w:pStyle w:val="14"/>
            </w:pPr>
            <w:r>
              <w:t>购买变压器单项成本</w:t>
            </w:r>
          </w:p>
        </w:tc>
        <w:tc>
          <w:tcPr>
            <w:tcW w:w="2551" w:type="dxa"/>
            <w:vAlign w:val="center"/>
          </w:tcPr>
          <w:p>
            <w:pPr>
              <w:pStyle w:val="14"/>
            </w:pPr>
            <w:r>
              <w:t>36万元</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退换房租单项成本</w:t>
            </w:r>
          </w:p>
        </w:tc>
        <w:tc>
          <w:tcPr>
            <w:tcW w:w="2835" w:type="dxa"/>
            <w:vAlign w:val="center"/>
          </w:tcPr>
          <w:p>
            <w:pPr>
              <w:pStyle w:val="14"/>
            </w:pPr>
            <w:r>
              <w:t>使用商贸中心大楼，退还商户房租</w:t>
            </w:r>
          </w:p>
        </w:tc>
        <w:tc>
          <w:tcPr>
            <w:tcW w:w="2551" w:type="dxa"/>
            <w:vAlign w:val="center"/>
          </w:tcPr>
          <w:p>
            <w:pPr>
              <w:pStyle w:val="14"/>
            </w:pPr>
            <w:r>
              <w:t>≤1.4万元</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拉动本地生产和发展</w:t>
            </w:r>
          </w:p>
        </w:tc>
        <w:tc>
          <w:tcPr>
            <w:tcW w:w="2835" w:type="dxa"/>
            <w:vAlign w:val="center"/>
          </w:tcPr>
          <w:p>
            <w:pPr>
              <w:pStyle w:val="14"/>
            </w:pPr>
            <w:r>
              <w:t>拉动本地生产和发展，助力共同富裕</w:t>
            </w:r>
          </w:p>
        </w:tc>
        <w:tc>
          <w:tcPr>
            <w:tcW w:w="2551" w:type="dxa"/>
            <w:vAlign w:val="center"/>
          </w:tcPr>
          <w:p>
            <w:pPr>
              <w:pStyle w:val="14"/>
            </w:pPr>
            <w:r>
              <w:t>≥2%</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发展电子商务</w:t>
            </w:r>
          </w:p>
        </w:tc>
        <w:tc>
          <w:tcPr>
            <w:tcW w:w="2835" w:type="dxa"/>
            <w:vAlign w:val="center"/>
          </w:tcPr>
          <w:p>
            <w:pPr>
              <w:pStyle w:val="14"/>
            </w:pPr>
            <w:r>
              <w:t>发展电子商务，促进乡村振兴</w:t>
            </w:r>
          </w:p>
        </w:tc>
        <w:tc>
          <w:tcPr>
            <w:tcW w:w="2551" w:type="dxa"/>
            <w:vAlign w:val="center"/>
          </w:tcPr>
          <w:p>
            <w:pPr>
              <w:pStyle w:val="14"/>
            </w:pPr>
            <w:r>
              <w:t>≥5%</w:t>
            </w:r>
          </w:p>
        </w:tc>
        <w:tc>
          <w:tcPr>
            <w:tcW w:w="2268" w:type="dxa"/>
            <w:vAlign w:val="center"/>
          </w:tcPr>
          <w:p>
            <w:pPr>
              <w:pStyle w:val="14"/>
            </w:pPr>
            <w:r>
              <w:t>青发改[2021]132号文件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28、粮食基础设施维护资金绩效目标表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6.通过粮食基础设施维修，实现粮食仓储损耗控制在国家、省市标准范围内。</w:t>
            </w:r>
            <w:r>
              <w:tab/>
            </w:r>
          </w:p>
          <w:p>
            <w:pPr>
              <w:pStyle w:val="14"/>
            </w:pPr>
          </w:p>
          <w:p>
            <w:pPr>
              <w:pStyle w:val="14"/>
            </w:pPr>
            <w:r>
              <w:t>7.通过科学储粮率技术应用，实现满足应急供给需求。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粮库维修数量</w:t>
            </w:r>
          </w:p>
        </w:tc>
        <w:tc>
          <w:tcPr>
            <w:tcW w:w="2835" w:type="dxa"/>
            <w:vAlign w:val="center"/>
          </w:tcPr>
          <w:p>
            <w:pPr>
              <w:pStyle w:val="14"/>
            </w:pPr>
            <w:r>
              <w:t>在乡镇、县城维修粮食应急供应点的个数</w:t>
            </w:r>
          </w:p>
        </w:tc>
        <w:tc>
          <w:tcPr>
            <w:tcW w:w="2551" w:type="dxa"/>
            <w:vAlign w:val="center"/>
          </w:tcPr>
          <w:p>
            <w:pPr>
              <w:pStyle w:val="14"/>
            </w:pPr>
            <w:r>
              <w:t>≥31个</w:t>
            </w:r>
          </w:p>
        </w:tc>
        <w:tc>
          <w:tcPr>
            <w:tcW w:w="2268" w:type="dxa"/>
            <w:vAlign w:val="center"/>
          </w:tcPr>
          <w:p>
            <w:pPr>
              <w:pStyle w:val="14"/>
            </w:pPr>
            <w:r>
              <w:t>冀粮维修办[2015]24号和工作计划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增加仓容量</w:t>
            </w:r>
          </w:p>
        </w:tc>
        <w:tc>
          <w:tcPr>
            <w:tcW w:w="2835" w:type="dxa"/>
            <w:vAlign w:val="center"/>
          </w:tcPr>
          <w:p>
            <w:pPr>
              <w:pStyle w:val="14"/>
            </w:pPr>
            <w:r>
              <w:t>新建粮食储备库的粮食仓容量</w:t>
            </w:r>
          </w:p>
        </w:tc>
        <w:tc>
          <w:tcPr>
            <w:tcW w:w="2551" w:type="dxa"/>
            <w:vAlign w:val="center"/>
          </w:tcPr>
          <w:p>
            <w:pPr>
              <w:pStyle w:val="14"/>
            </w:pPr>
            <w:r>
              <w:t>≥2021万吨</w:t>
            </w:r>
          </w:p>
        </w:tc>
        <w:tc>
          <w:tcPr>
            <w:tcW w:w="2268" w:type="dxa"/>
            <w:vAlign w:val="center"/>
          </w:tcPr>
          <w:p>
            <w:pPr>
              <w:pStyle w:val="14"/>
            </w:pPr>
            <w:r>
              <w:t>冀粮维修办[2015]25号和工作计划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仓储设施完好率</w:t>
            </w:r>
          </w:p>
        </w:tc>
        <w:tc>
          <w:tcPr>
            <w:tcW w:w="2835" w:type="dxa"/>
            <w:vAlign w:val="center"/>
          </w:tcPr>
          <w:p>
            <w:pPr>
              <w:pStyle w:val="14"/>
            </w:pPr>
            <w:r>
              <w:t>完好仓房、设备数占全部仓房、设备数的比例</w:t>
            </w:r>
          </w:p>
        </w:tc>
        <w:tc>
          <w:tcPr>
            <w:tcW w:w="2551" w:type="dxa"/>
            <w:vAlign w:val="center"/>
          </w:tcPr>
          <w:p>
            <w:pPr>
              <w:pStyle w:val="14"/>
            </w:pPr>
            <w:r>
              <w:t>≥90%</w:t>
            </w:r>
          </w:p>
        </w:tc>
        <w:tc>
          <w:tcPr>
            <w:tcW w:w="2268" w:type="dxa"/>
            <w:vAlign w:val="center"/>
          </w:tcPr>
          <w:p>
            <w:pPr>
              <w:pStyle w:val="14"/>
            </w:pPr>
            <w:r>
              <w:t>冀粮维修办[2015]26号和工作计划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粮库维修达标率</w:t>
            </w:r>
          </w:p>
        </w:tc>
        <w:tc>
          <w:tcPr>
            <w:tcW w:w="2835" w:type="dxa"/>
            <w:vAlign w:val="center"/>
          </w:tcPr>
          <w:p>
            <w:pPr>
              <w:pStyle w:val="14"/>
            </w:pPr>
            <w:r>
              <w:t>粮库维修达到标准</w:t>
            </w:r>
          </w:p>
        </w:tc>
        <w:tc>
          <w:tcPr>
            <w:tcW w:w="2551" w:type="dxa"/>
            <w:vAlign w:val="center"/>
          </w:tcPr>
          <w:p>
            <w:pPr>
              <w:pStyle w:val="14"/>
            </w:pPr>
            <w:r>
              <w:t>≥95%</w:t>
            </w:r>
          </w:p>
        </w:tc>
        <w:tc>
          <w:tcPr>
            <w:tcW w:w="2268" w:type="dxa"/>
            <w:vAlign w:val="center"/>
          </w:tcPr>
          <w:p>
            <w:pPr>
              <w:pStyle w:val="14"/>
            </w:pPr>
            <w:r>
              <w:t>冀粮维修办[2015]26号和工作计划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按工作计划时间完成各项工作任务</w:t>
            </w:r>
          </w:p>
        </w:tc>
        <w:tc>
          <w:tcPr>
            <w:tcW w:w="2551" w:type="dxa"/>
            <w:vAlign w:val="center"/>
          </w:tcPr>
          <w:p>
            <w:pPr>
              <w:pStyle w:val="14"/>
            </w:pPr>
            <w:r>
              <w:t>2023年底前</w:t>
            </w:r>
          </w:p>
        </w:tc>
        <w:tc>
          <w:tcPr>
            <w:tcW w:w="2268" w:type="dxa"/>
            <w:vAlign w:val="center"/>
          </w:tcPr>
          <w:p>
            <w:pPr>
              <w:pStyle w:val="14"/>
            </w:pPr>
            <w:r>
              <w:t>冀粮维修办[2015]27号和工作计划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粮库基础设施维修</w:t>
            </w:r>
          </w:p>
        </w:tc>
        <w:tc>
          <w:tcPr>
            <w:tcW w:w="2835" w:type="dxa"/>
            <w:vAlign w:val="center"/>
          </w:tcPr>
          <w:p>
            <w:pPr>
              <w:pStyle w:val="14"/>
            </w:pPr>
            <w:r>
              <w:t>粮食应急供应点维修费用</w:t>
            </w:r>
          </w:p>
        </w:tc>
        <w:tc>
          <w:tcPr>
            <w:tcW w:w="2551" w:type="dxa"/>
            <w:vAlign w:val="center"/>
          </w:tcPr>
          <w:p>
            <w:pPr>
              <w:pStyle w:val="14"/>
            </w:pPr>
            <w:r>
              <w:t>≤3万元</w:t>
            </w:r>
          </w:p>
        </w:tc>
        <w:tc>
          <w:tcPr>
            <w:tcW w:w="2268" w:type="dxa"/>
            <w:vAlign w:val="center"/>
          </w:tcPr>
          <w:p>
            <w:pPr>
              <w:pStyle w:val="14"/>
            </w:pPr>
            <w:r>
              <w:t>冀粮维修办[2015]28号和工作计划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设备维护费用</w:t>
            </w:r>
          </w:p>
        </w:tc>
        <w:tc>
          <w:tcPr>
            <w:tcW w:w="2835" w:type="dxa"/>
            <w:vAlign w:val="center"/>
          </w:tcPr>
          <w:p>
            <w:pPr>
              <w:pStyle w:val="14"/>
            </w:pPr>
            <w:r>
              <w:t>仓房、设备维护费用</w:t>
            </w:r>
          </w:p>
        </w:tc>
        <w:tc>
          <w:tcPr>
            <w:tcW w:w="2551" w:type="dxa"/>
            <w:vAlign w:val="center"/>
          </w:tcPr>
          <w:p>
            <w:pPr>
              <w:pStyle w:val="14"/>
            </w:pPr>
            <w:r>
              <w:t>≤17万元</w:t>
            </w:r>
          </w:p>
        </w:tc>
        <w:tc>
          <w:tcPr>
            <w:tcW w:w="2268" w:type="dxa"/>
            <w:vAlign w:val="center"/>
          </w:tcPr>
          <w:p>
            <w:pPr>
              <w:pStyle w:val="14"/>
            </w:pPr>
            <w:r>
              <w:t>冀粮维修办[2015]29号和工作计划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仓容利用率</w:t>
            </w:r>
          </w:p>
        </w:tc>
        <w:tc>
          <w:tcPr>
            <w:tcW w:w="2835" w:type="dxa"/>
            <w:vAlign w:val="center"/>
          </w:tcPr>
          <w:p>
            <w:pPr>
              <w:pStyle w:val="14"/>
            </w:pPr>
            <w:r>
              <w:t>仓容实际使用量/仓容总量</w:t>
            </w:r>
          </w:p>
        </w:tc>
        <w:tc>
          <w:tcPr>
            <w:tcW w:w="2551" w:type="dxa"/>
            <w:vAlign w:val="center"/>
          </w:tcPr>
          <w:p>
            <w:pPr>
              <w:pStyle w:val="14"/>
            </w:pPr>
            <w:r>
              <w:t>≥90%</w:t>
            </w:r>
          </w:p>
        </w:tc>
        <w:tc>
          <w:tcPr>
            <w:tcW w:w="2268" w:type="dxa"/>
            <w:vAlign w:val="center"/>
          </w:tcPr>
          <w:p>
            <w:pPr>
              <w:pStyle w:val="14"/>
            </w:pPr>
            <w:r>
              <w:t>冀粮维修办[2015]30号和工作计划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基础设施满足需求率</w:t>
            </w:r>
          </w:p>
        </w:tc>
        <w:tc>
          <w:tcPr>
            <w:tcW w:w="2835" w:type="dxa"/>
            <w:vAlign w:val="center"/>
          </w:tcPr>
          <w:p>
            <w:pPr>
              <w:pStyle w:val="14"/>
            </w:pPr>
            <w:r>
              <w:t>基础设施能满施政策性粮食仓储、应急供给需求</w:t>
            </w:r>
          </w:p>
        </w:tc>
        <w:tc>
          <w:tcPr>
            <w:tcW w:w="2551" w:type="dxa"/>
            <w:vAlign w:val="center"/>
          </w:tcPr>
          <w:p>
            <w:pPr>
              <w:pStyle w:val="14"/>
            </w:pPr>
            <w:r>
              <w:t>≥95%</w:t>
            </w:r>
          </w:p>
        </w:tc>
        <w:tc>
          <w:tcPr>
            <w:tcW w:w="2268" w:type="dxa"/>
            <w:vAlign w:val="center"/>
          </w:tcPr>
          <w:p>
            <w:pPr>
              <w:pStyle w:val="14"/>
            </w:pPr>
            <w:r>
              <w:t>冀粮维修办[2015]31号和工作计划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群众对粮食基础设施维护满意人数占被总人数比重</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29、清洁取暖县级配套资金绩效目标表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6.通过购买洁净型煤，实现燃煤用户温暖过冬。</w:t>
            </w:r>
            <w:r>
              <w:tab/>
            </w:r>
            <w:r>
              <w:tab/>
            </w:r>
            <w:r>
              <w:tab/>
            </w:r>
          </w:p>
          <w:p>
            <w:pPr>
              <w:pStyle w:val="14"/>
            </w:pPr>
          </w:p>
          <w:p>
            <w:pPr>
              <w:pStyle w:val="14"/>
            </w:pPr>
            <w:r>
              <w:t>7.通过有效禁止散煤复燃，实现减少大气污染。</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预供应型煤数量</w:t>
            </w:r>
          </w:p>
        </w:tc>
        <w:tc>
          <w:tcPr>
            <w:tcW w:w="2835" w:type="dxa"/>
            <w:vAlign w:val="center"/>
          </w:tcPr>
          <w:p>
            <w:pPr>
              <w:pStyle w:val="14"/>
            </w:pPr>
            <w:r>
              <w:t>2021年-2022年预供应型煤数量</w:t>
            </w:r>
          </w:p>
        </w:tc>
        <w:tc>
          <w:tcPr>
            <w:tcW w:w="2551" w:type="dxa"/>
            <w:vAlign w:val="center"/>
          </w:tcPr>
          <w:p>
            <w:pPr>
              <w:pStyle w:val="14"/>
            </w:pPr>
            <w:r>
              <w:t>≥1.9万吨</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保供乡镇个数</w:t>
            </w:r>
          </w:p>
        </w:tc>
        <w:tc>
          <w:tcPr>
            <w:tcW w:w="2835" w:type="dxa"/>
            <w:vAlign w:val="center"/>
          </w:tcPr>
          <w:p>
            <w:pPr>
              <w:pStyle w:val="14"/>
            </w:pPr>
            <w:r>
              <w:t>洁净型煤保供乡镇个数</w:t>
            </w:r>
          </w:p>
        </w:tc>
        <w:tc>
          <w:tcPr>
            <w:tcW w:w="2551" w:type="dxa"/>
            <w:vAlign w:val="center"/>
          </w:tcPr>
          <w:p>
            <w:pPr>
              <w:pStyle w:val="14"/>
            </w:pPr>
            <w:r>
              <w:t>≥24个</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达到型煤标准</w:t>
            </w:r>
          </w:p>
        </w:tc>
        <w:tc>
          <w:tcPr>
            <w:tcW w:w="2835" w:type="dxa"/>
            <w:vAlign w:val="center"/>
          </w:tcPr>
          <w:p>
            <w:pPr>
              <w:pStyle w:val="14"/>
            </w:pPr>
            <w:r>
              <w:t>保供煤达到型煤标准</w:t>
            </w:r>
          </w:p>
        </w:tc>
        <w:tc>
          <w:tcPr>
            <w:tcW w:w="2551" w:type="dxa"/>
            <w:vAlign w:val="center"/>
          </w:tcPr>
          <w:p>
            <w:pPr>
              <w:pStyle w:val="14"/>
            </w:pPr>
            <w:r>
              <w:t>≥98%</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供应的及时率</w:t>
            </w:r>
          </w:p>
        </w:tc>
        <w:tc>
          <w:tcPr>
            <w:tcW w:w="2835" w:type="dxa"/>
            <w:vAlign w:val="center"/>
          </w:tcPr>
          <w:p>
            <w:pPr>
              <w:pStyle w:val="14"/>
            </w:pPr>
            <w:r>
              <w:t>型煤供应到户的及时率</w:t>
            </w:r>
          </w:p>
        </w:tc>
        <w:tc>
          <w:tcPr>
            <w:tcW w:w="2551" w:type="dxa"/>
            <w:vAlign w:val="center"/>
          </w:tcPr>
          <w:p>
            <w:pPr>
              <w:pStyle w:val="14"/>
            </w:pPr>
            <w:r>
              <w:t>≥90%</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型煤购买成本</w:t>
            </w:r>
          </w:p>
        </w:tc>
        <w:tc>
          <w:tcPr>
            <w:tcW w:w="2835" w:type="dxa"/>
            <w:vAlign w:val="center"/>
          </w:tcPr>
          <w:p>
            <w:pPr>
              <w:pStyle w:val="14"/>
            </w:pPr>
            <w:r>
              <w:t>每吨购买型煤成本</w:t>
            </w:r>
          </w:p>
        </w:tc>
        <w:tc>
          <w:tcPr>
            <w:tcW w:w="2551" w:type="dxa"/>
            <w:vAlign w:val="center"/>
          </w:tcPr>
          <w:p>
            <w:pPr>
              <w:pStyle w:val="14"/>
            </w:pPr>
            <w:r>
              <w:t>≤2600元/吨</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满足燃煤用户取暖需求</w:t>
            </w:r>
          </w:p>
        </w:tc>
        <w:tc>
          <w:tcPr>
            <w:tcW w:w="2835" w:type="dxa"/>
            <w:vAlign w:val="center"/>
          </w:tcPr>
          <w:p>
            <w:pPr>
              <w:pStyle w:val="14"/>
            </w:pPr>
            <w:r>
              <w:t>实现清洁温暖过冬</w:t>
            </w:r>
          </w:p>
        </w:tc>
        <w:tc>
          <w:tcPr>
            <w:tcW w:w="2551" w:type="dxa"/>
            <w:vAlign w:val="center"/>
          </w:tcPr>
          <w:p>
            <w:pPr>
              <w:pStyle w:val="14"/>
            </w:pPr>
            <w:r>
              <w:t>≥90%</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改善空气质量</w:t>
            </w:r>
          </w:p>
        </w:tc>
        <w:tc>
          <w:tcPr>
            <w:tcW w:w="2835" w:type="dxa"/>
            <w:vAlign w:val="center"/>
          </w:tcPr>
          <w:p>
            <w:pPr>
              <w:pStyle w:val="14"/>
            </w:pPr>
            <w:r>
              <w:t>有效禁止散煤复燃，推进空气质量持续改善</w:t>
            </w:r>
          </w:p>
        </w:tc>
        <w:tc>
          <w:tcPr>
            <w:tcW w:w="2551" w:type="dxa"/>
            <w:vAlign w:val="center"/>
          </w:tcPr>
          <w:p>
            <w:pPr>
              <w:pStyle w:val="14"/>
            </w:pPr>
            <w:r>
              <w:t>≥80%</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实现冬季燃煤户清洁取暖</w:t>
            </w:r>
          </w:p>
        </w:tc>
        <w:tc>
          <w:tcPr>
            <w:tcW w:w="2835" w:type="dxa"/>
            <w:vAlign w:val="center"/>
          </w:tcPr>
          <w:p>
            <w:pPr>
              <w:pStyle w:val="14"/>
            </w:pPr>
            <w:r>
              <w:t>实现2021-2022年冬季农村地区群众清洁取暖</w:t>
            </w:r>
          </w:p>
        </w:tc>
        <w:tc>
          <w:tcPr>
            <w:tcW w:w="2551" w:type="dxa"/>
            <w:vAlign w:val="center"/>
          </w:tcPr>
          <w:p>
            <w:pPr>
              <w:pStyle w:val="14"/>
            </w:pPr>
            <w:r>
              <w:t>≥90%</w:t>
            </w:r>
          </w:p>
        </w:tc>
        <w:tc>
          <w:tcPr>
            <w:tcW w:w="2268" w:type="dxa"/>
            <w:vAlign w:val="center"/>
          </w:tcPr>
          <w:p>
            <w:pPr>
              <w:pStyle w:val="14"/>
            </w:pPr>
            <w:r>
              <w:t>冀财建【2021】159号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调查中满意和较满意的群众数占调查总群众数的比率</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30、山神庙化工厂迁建补偿款绩效目标表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6.通过及时拨付拆迁补偿款，促进拆迁政策有效落实。</w:t>
            </w:r>
          </w:p>
          <w:p>
            <w:pPr>
              <w:pStyle w:val="14"/>
            </w:pPr>
            <w:r>
              <w:t>7.通过及时支付补偿款，保障企业正常运行。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拆迁企业数</w:t>
            </w:r>
          </w:p>
        </w:tc>
        <w:tc>
          <w:tcPr>
            <w:tcW w:w="2835" w:type="dxa"/>
            <w:vAlign w:val="center"/>
          </w:tcPr>
          <w:p>
            <w:pPr>
              <w:pStyle w:val="14"/>
            </w:pPr>
            <w:r>
              <w:t>纳入拆迁的企业数量</w:t>
            </w:r>
          </w:p>
        </w:tc>
        <w:tc>
          <w:tcPr>
            <w:tcW w:w="2551" w:type="dxa"/>
            <w:vAlign w:val="center"/>
          </w:tcPr>
          <w:p>
            <w:pPr>
              <w:pStyle w:val="14"/>
            </w:pPr>
            <w:r>
              <w:t>1家</w:t>
            </w:r>
          </w:p>
        </w:tc>
        <w:tc>
          <w:tcPr>
            <w:tcW w:w="2268" w:type="dxa"/>
            <w:vAlign w:val="center"/>
          </w:tcPr>
          <w:p>
            <w:pPr>
              <w:pStyle w:val="14"/>
            </w:pPr>
            <w:r>
              <w:t>拆迁补偿协议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拆迁征地的面积</w:t>
            </w:r>
          </w:p>
        </w:tc>
        <w:tc>
          <w:tcPr>
            <w:tcW w:w="2835" w:type="dxa"/>
            <w:vAlign w:val="center"/>
          </w:tcPr>
          <w:p>
            <w:pPr>
              <w:pStyle w:val="14"/>
            </w:pPr>
            <w:r>
              <w:t>企业拆迁，征收土地的面积</w:t>
            </w:r>
          </w:p>
        </w:tc>
        <w:tc>
          <w:tcPr>
            <w:tcW w:w="2551" w:type="dxa"/>
            <w:vAlign w:val="center"/>
          </w:tcPr>
          <w:p>
            <w:pPr>
              <w:pStyle w:val="14"/>
            </w:pPr>
            <w:r>
              <w:t>14271平方米</w:t>
            </w:r>
          </w:p>
        </w:tc>
        <w:tc>
          <w:tcPr>
            <w:tcW w:w="2268" w:type="dxa"/>
            <w:vAlign w:val="center"/>
          </w:tcPr>
          <w:p>
            <w:pPr>
              <w:pStyle w:val="14"/>
            </w:pPr>
            <w:r>
              <w:t>拆迁补偿协议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房产面积</w:t>
            </w:r>
          </w:p>
        </w:tc>
        <w:tc>
          <w:tcPr>
            <w:tcW w:w="2835" w:type="dxa"/>
            <w:vAlign w:val="center"/>
          </w:tcPr>
          <w:p>
            <w:pPr>
              <w:pStyle w:val="14"/>
            </w:pPr>
            <w:r>
              <w:t>企业拆迁，征收房产的面积</w:t>
            </w:r>
          </w:p>
        </w:tc>
        <w:tc>
          <w:tcPr>
            <w:tcW w:w="2551" w:type="dxa"/>
            <w:vAlign w:val="center"/>
          </w:tcPr>
          <w:p>
            <w:pPr>
              <w:pStyle w:val="14"/>
            </w:pPr>
            <w:r>
              <w:t>6279.48平方米</w:t>
            </w:r>
          </w:p>
        </w:tc>
        <w:tc>
          <w:tcPr>
            <w:tcW w:w="2268" w:type="dxa"/>
            <w:vAlign w:val="center"/>
          </w:tcPr>
          <w:p>
            <w:pPr>
              <w:pStyle w:val="14"/>
            </w:pPr>
            <w:r>
              <w:t>拆迁补偿协议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机器设备台套数</w:t>
            </w:r>
          </w:p>
        </w:tc>
        <w:tc>
          <w:tcPr>
            <w:tcW w:w="2835" w:type="dxa"/>
            <w:vAlign w:val="center"/>
          </w:tcPr>
          <w:p>
            <w:pPr>
              <w:pStyle w:val="14"/>
            </w:pPr>
            <w:r>
              <w:t>企业拆迁，需要补偿的机器设备台套数</w:t>
            </w:r>
          </w:p>
        </w:tc>
        <w:tc>
          <w:tcPr>
            <w:tcW w:w="2551" w:type="dxa"/>
            <w:vAlign w:val="center"/>
          </w:tcPr>
          <w:p>
            <w:pPr>
              <w:pStyle w:val="14"/>
            </w:pPr>
            <w:r>
              <w:t>164台</w:t>
            </w:r>
          </w:p>
        </w:tc>
        <w:tc>
          <w:tcPr>
            <w:tcW w:w="2268" w:type="dxa"/>
            <w:vAlign w:val="center"/>
          </w:tcPr>
          <w:p>
            <w:pPr>
              <w:pStyle w:val="14"/>
            </w:pPr>
            <w:r>
              <w:t>拆迁补偿协议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支付拆迁补偿款准确率</w:t>
            </w:r>
          </w:p>
        </w:tc>
        <w:tc>
          <w:tcPr>
            <w:tcW w:w="2835" w:type="dxa"/>
            <w:vAlign w:val="center"/>
          </w:tcPr>
          <w:p>
            <w:pPr>
              <w:pStyle w:val="14"/>
            </w:pPr>
            <w:r>
              <w:t>反映按拆迁补偿标准支付拆迁补偿款准确性</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拆迁补偿款支付及时性</w:t>
            </w:r>
          </w:p>
        </w:tc>
        <w:tc>
          <w:tcPr>
            <w:tcW w:w="2835" w:type="dxa"/>
            <w:vAlign w:val="center"/>
          </w:tcPr>
          <w:p>
            <w:pPr>
              <w:pStyle w:val="14"/>
            </w:pPr>
            <w:r>
              <w:t>反映支付拆迁补偿款及时性</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控制在预算范围内合理使用</w:t>
            </w:r>
          </w:p>
        </w:tc>
        <w:tc>
          <w:tcPr>
            <w:tcW w:w="2551" w:type="dxa"/>
            <w:vAlign w:val="center"/>
          </w:tcPr>
          <w:p>
            <w:pPr>
              <w:pStyle w:val="14"/>
            </w:pPr>
            <w:r>
              <w:t>≤300万元</w:t>
            </w:r>
          </w:p>
        </w:tc>
        <w:tc>
          <w:tcPr>
            <w:tcW w:w="2268" w:type="dxa"/>
            <w:vAlign w:val="center"/>
          </w:tcPr>
          <w:p>
            <w:pPr>
              <w:pStyle w:val="14"/>
            </w:pPr>
            <w:r>
              <w:t>拆迁补偿协议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增加就业人数</w:t>
            </w:r>
          </w:p>
        </w:tc>
        <w:tc>
          <w:tcPr>
            <w:tcW w:w="2835" w:type="dxa"/>
            <w:vAlign w:val="center"/>
          </w:tcPr>
          <w:p>
            <w:pPr>
              <w:pStyle w:val="14"/>
            </w:pPr>
            <w:r>
              <w:t>促进企业发展，增加就业人数</w:t>
            </w:r>
          </w:p>
        </w:tc>
        <w:tc>
          <w:tcPr>
            <w:tcW w:w="2551" w:type="dxa"/>
            <w:vAlign w:val="center"/>
          </w:tcPr>
          <w:p>
            <w:pPr>
              <w:pStyle w:val="14"/>
            </w:pPr>
            <w:r>
              <w:t>≥20人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被拆迁企业满意度</w:t>
            </w:r>
          </w:p>
        </w:tc>
        <w:tc>
          <w:tcPr>
            <w:tcW w:w="2835" w:type="dxa"/>
            <w:vAlign w:val="center"/>
          </w:tcPr>
          <w:p>
            <w:pPr>
              <w:pStyle w:val="14"/>
            </w:pPr>
            <w:r>
              <w:t>被拆迁企业对拆迁工作满意度</w:t>
            </w:r>
          </w:p>
        </w:tc>
        <w:tc>
          <w:tcPr>
            <w:tcW w:w="2551" w:type="dxa"/>
            <w:vAlign w:val="center"/>
          </w:tcPr>
          <w:p>
            <w:pPr>
              <w:pStyle w:val="14"/>
            </w:pPr>
            <w:r>
              <w:t>100%</w:t>
            </w:r>
          </w:p>
        </w:tc>
        <w:tc>
          <w:tcPr>
            <w:tcW w:w="2268"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31、上缴2023年政策性新增粮食财务挂账占用贷款利息支出绩效目标表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6.通过及时偿还贷款利息，避免产生逾期。</w:t>
            </w:r>
            <w:r>
              <w:tab/>
            </w:r>
            <w:r>
              <w:tab/>
            </w:r>
            <w:r>
              <w:tab/>
            </w:r>
          </w:p>
          <w:p>
            <w:pPr>
              <w:pStyle w:val="14"/>
            </w:pPr>
          </w:p>
          <w:p>
            <w:pPr>
              <w:pStyle w:val="14"/>
            </w:pPr>
            <w:r>
              <w:t>7.提高储备粮贷款使用效果，维护政府信用。</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储备粮贷款额度</w:t>
            </w:r>
          </w:p>
        </w:tc>
        <w:tc>
          <w:tcPr>
            <w:tcW w:w="2835" w:type="dxa"/>
            <w:vAlign w:val="center"/>
          </w:tcPr>
          <w:p>
            <w:pPr>
              <w:pStyle w:val="14"/>
            </w:pPr>
            <w:r>
              <w:t>保证完成农业发展银行贷款额度</w:t>
            </w:r>
          </w:p>
        </w:tc>
        <w:tc>
          <w:tcPr>
            <w:tcW w:w="2551" w:type="dxa"/>
            <w:vAlign w:val="center"/>
          </w:tcPr>
          <w:p>
            <w:pPr>
              <w:pStyle w:val="14"/>
            </w:pPr>
            <w:r>
              <w:t>1162万元</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利息金额</w:t>
            </w:r>
          </w:p>
        </w:tc>
        <w:tc>
          <w:tcPr>
            <w:tcW w:w="2835" w:type="dxa"/>
            <w:vAlign w:val="center"/>
          </w:tcPr>
          <w:p>
            <w:pPr>
              <w:pStyle w:val="14"/>
            </w:pPr>
            <w:r>
              <w:t>贷款利息金额</w:t>
            </w:r>
          </w:p>
        </w:tc>
        <w:tc>
          <w:tcPr>
            <w:tcW w:w="2551" w:type="dxa"/>
            <w:vAlign w:val="center"/>
          </w:tcPr>
          <w:p>
            <w:pPr>
              <w:pStyle w:val="14"/>
            </w:pPr>
            <w:r>
              <w:t>46.12万元</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贷款利息补贴率</w:t>
            </w:r>
          </w:p>
        </w:tc>
        <w:tc>
          <w:tcPr>
            <w:tcW w:w="2835" w:type="dxa"/>
            <w:vAlign w:val="center"/>
          </w:tcPr>
          <w:p>
            <w:pPr>
              <w:pStyle w:val="14"/>
            </w:pPr>
            <w:r>
              <w:t>1162万元储备粮农业发展银行贷款利息补贴比率</w:t>
            </w:r>
          </w:p>
        </w:tc>
        <w:tc>
          <w:tcPr>
            <w:tcW w:w="2551" w:type="dxa"/>
            <w:vAlign w:val="center"/>
          </w:tcPr>
          <w:p>
            <w:pPr>
              <w:pStyle w:val="14"/>
            </w:pPr>
            <w:r>
              <w:t>100%</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按时完成贷款还息</w:t>
            </w:r>
          </w:p>
        </w:tc>
        <w:tc>
          <w:tcPr>
            <w:tcW w:w="2551" w:type="dxa"/>
            <w:vAlign w:val="center"/>
          </w:tcPr>
          <w:p>
            <w:pPr>
              <w:pStyle w:val="14"/>
            </w:pPr>
            <w:r>
              <w:t>2023年底</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计算正确率</w:t>
            </w:r>
          </w:p>
        </w:tc>
        <w:tc>
          <w:tcPr>
            <w:tcW w:w="2835" w:type="dxa"/>
            <w:vAlign w:val="center"/>
          </w:tcPr>
          <w:p>
            <w:pPr>
              <w:pStyle w:val="14"/>
            </w:pPr>
            <w:r>
              <w:t>贷款利息计算正确率</w:t>
            </w:r>
          </w:p>
        </w:tc>
        <w:tc>
          <w:tcPr>
            <w:tcW w:w="2551" w:type="dxa"/>
            <w:vAlign w:val="center"/>
          </w:tcPr>
          <w:p>
            <w:pPr>
              <w:pStyle w:val="14"/>
            </w:pPr>
            <w:r>
              <w:t>100%</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落实国家政策</w:t>
            </w:r>
          </w:p>
        </w:tc>
        <w:tc>
          <w:tcPr>
            <w:tcW w:w="2835" w:type="dxa"/>
            <w:vAlign w:val="center"/>
          </w:tcPr>
          <w:p>
            <w:pPr>
              <w:pStyle w:val="14"/>
            </w:pPr>
            <w:r>
              <w:t>落实原国家政策，维持储备粮贷款及时供应。</w:t>
            </w:r>
          </w:p>
        </w:tc>
        <w:tc>
          <w:tcPr>
            <w:tcW w:w="2551" w:type="dxa"/>
            <w:vAlign w:val="center"/>
          </w:tcPr>
          <w:p>
            <w:pPr>
              <w:pStyle w:val="14"/>
            </w:pPr>
            <w:r>
              <w:t>≥90%</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维护政府信用</w:t>
            </w:r>
          </w:p>
        </w:tc>
        <w:tc>
          <w:tcPr>
            <w:tcW w:w="2835" w:type="dxa"/>
            <w:vAlign w:val="center"/>
          </w:tcPr>
          <w:p>
            <w:pPr>
              <w:pStyle w:val="14"/>
            </w:pPr>
            <w:r>
              <w:t>通过及时偿还贷款利息维护政府良好信用</w:t>
            </w:r>
          </w:p>
        </w:tc>
        <w:tc>
          <w:tcPr>
            <w:tcW w:w="2551" w:type="dxa"/>
            <w:vAlign w:val="center"/>
          </w:tcPr>
          <w:p>
            <w:pPr>
              <w:pStyle w:val="14"/>
            </w:pPr>
            <w:r>
              <w:t>≥90%</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保证农发行对储备粮的资金支持</w:t>
            </w:r>
          </w:p>
        </w:tc>
        <w:tc>
          <w:tcPr>
            <w:tcW w:w="2835" w:type="dxa"/>
            <w:vAlign w:val="center"/>
          </w:tcPr>
          <w:p>
            <w:pPr>
              <w:pStyle w:val="14"/>
            </w:pPr>
            <w:r>
              <w:t>保证农发行对储备粮的资金支持，维护粮食安全</w:t>
            </w:r>
          </w:p>
        </w:tc>
        <w:tc>
          <w:tcPr>
            <w:tcW w:w="2551" w:type="dxa"/>
            <w:vAlign w:val="center"/>
          </w:tcPr>
          <w:p>
            <w:pPr>
              <w:pStyle w:val="14"/>
            </w:pPr>
            <w:r>
              <w:t>750.6万元</w:t>
            </w:r>
          </w:p>
        </w:tc>
        <w:tc>
          <w:tcPr>
            <w:tcW w:w="2268" w:type="dxa"/>
            <w:vAlign w:val="center"/>
          </w:tcPr>
          <w:p>
            <w:pPr>
              <w:pStyle w:val="14"/>
            </w:pPr>
            <w:r>
              <w:t>关于上缴2023年政策性新增粮食财务挂账占用贷款利息补贴的通知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贷款银行满意度</w:t>
            </w:r>
          </w:p>
        </w:tc>
        <w:tc>
          <w:tcPr>
            <w:tcW w:w="2835" w:type="dxa"/>
            <w:vAlign w:val="center"/>
          </w:tcPr>
          <w:p>
            <w:pPr>
              <w:pStyle w:val="14"/>
            </w:pPr>
            <w:r>
              <w:t>贷款银行满意数量占总数的比例</w:t>
            </w:r>
          </w:p>
        </w:tc>
        <w:tc>
          <w:tcPr>
            <w:tcW w:w="2551" w:type="dxa"/>
            <w:vAlign w:val="center"/>
          </w:tcPr>
          <w:p>
            <w:pPr>
              <w:pStyle w:val="14"/>
            </w:pPr>
            <w:r>
              <w:t>≥98%</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32、水库移民粮食补贴绩效目标表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1.通过做好粮食供应，确保提升服务水平。</w:t>
            </w:r>
          </w:p>
          <w:p>
            <w:pPr>
              <w:pStyle w:val="14"/>
            </w:pPr>
            <w:r>
              <w:t>2.通过供应达标粮品，保障居民用粮安全。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水库移民粮食供应人数</w:t>
            </w:r>
          </w:p>
        </w:tc>
        <w:tc>
          <w:tcPr>
            <w:tcW w:w="2835" w:type="dxa"/>
            <w:vAlign w:val="center"/>
          </w:tcPr>
          <w:p>
            <w:pPr>
              <w:pStyle w:val="14"/>
            </w:pPr>
            <w:r>
              <w:t>二道丈子村水库移民粮食供应人数</w:t>
            </w:r>
          </w:p>
        </w:tc>
        <w:tc>
          <w:tcPr>
            <w:tcW w:w="2551" w:type="dxa"/>
            <w:vAlign w:val="center"/>
          </w:tcPr>
          <w:p>
            <w:pPr>
              <w:pStyle w:val="14"/>
            </w:pPr>
            <w:r>
              <w:t>≥1170人</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水库移民粮食供应斤数</w:t>
            </w:r>
          </w:p>
        </w:tc>
        <w:tc>
          <w:tcPr>
            <w:tcW w:w="2835" w:type="dxa"/>
            <w:vAlign w:val="center"/>
          </w:tcPr>
          <w:p>
            <w:pPr>
              <w:pStyle w:val="14"/>
            </w:pPr>
            <w:r>
              <w:t>二道丈子村水库移民粮食供应总斤数</w:t>
            </w:r>
          </w:p>
        </w:tc>
        <w:tc>
          <w:tcPr>
            <w:tcW w:w="2551" w:type="dxa"/>
            <w:vAlign w:val="center"/>
          </w:tcPr>
          <w:p>
            <w:pPr>
              <w:pStyle w:val="14"/>
            </w:pPr>
            <w:r>
              <w:t>≥22.76万斤</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供应粮品质达标率</w:t>
            </w:r>
          </w:p>
        </w:tc>
        <w:tc>
          <w:tcPr>
            <w:tcW w:w="2835" w:type="dxa"/>
            <w:vAlign w:val="center"/>
          </w:tcPr>
          <w:p>
            <w:pPr>
              <w:pStyle w:val="14"/>
            </w:pPr>
            <w:r>
              <w:t>所供粮食确保达到相应质量标准</w:t>
            </w:r>
          </w:p>
        </w:tc>
        <w:tc>
          <w:tcPr>
            <w:tcW w:w="2551" w:type="dxa"/>
            <w:vAlign w:val="center"/>
          </w:tcPr>
          <w:p>
            <w:pPr>
              <w:pStyle w:val="14"/>
            </w:pPr>
            <w:r>
              <w:t>100%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按县政府相关文件及工作计划完成粮食补贴工作</w:t>
            </w:r>
          </w:p>
        </w:tc>
        <w:tc>
          <w:tcPr>
            <w:tcW w:w="2551" w:type="dxa"/>
            <w:vAlign w:val="center"/>
          </w:tcPr>
          <w:p>
            <w:pPr>
              <w:pStyle w:val="14"/>
            </w:pPr>
            <w:r>
              <w:t>2022年底</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水库移民粮食补贴</w:t>
            </w:r>
          </w:p>
        </w:tc>
        <w:tc>
          <w:tcPr>
            <w:tcW w:w="2835" w:type="dxa"/>
            <w:vAlign w:val="center"/>
          </w:tcPr>
          <w:p>
            <w:pPr>
              <w:pStyle w:val="14"/>
            </w:pPr>
            <w:r>
              <w:t>水库移民人均粮食补贴人均成本</w:t>
            </w:r>
          </w:p>
        </w:tc>
        <w:tc>
          <w:tcPr>
            <w:tcW w:w="2551" w:type="dxa"/>
            <w:vAlign w:val="center"/>
          </w:tcPr>
          <w:p>
            <w:pPr>
              <w:pStyle w:val="14"/>
            </w:pPr>
            <w:r>
              <w:t>≤363元/人</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减少水库移民家庭支出</w:t>
            </w:r>
          </w:p>
        </w:tc>
        <w:tc>
          <w:tcPr>
            <w:tcW w:w="2835" w:type="dxa"/>
            <w:vAlign w:val="center"/>
          </w:tcPr>
          <w:p>
            <w:pPr>
              <w:pStyle w:val="14"/>
            </w:pPr>
            <w:r>
              <w:t>减少水库移民家庭支出，保障基本生活</w:t>
            </w:r>
          </w:p>
        </w:tc>
        <w:tc>
          <w:tcPr>
            <w:tcW w:w="2551" w:type="dxa"/>
            <w:vAlign w:val="center"/>
          </w:tcPr>
          <w:p>
            <w:pPr>
              <w:pStyle w:val="14"/>
            </w:pPr>
            <w:r>
              <w:t>≥7%</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提高社会稳定性</w:t>
            </w:r>
          </w:p>
        </w:tc>
        <w:tc>
          <w:tcPr>
            <w:tcW w:w="2835" w:type="dxa"/>
            <w:vAlign w:val="center"/>
          </w:tcPr>
          <w:p>
            <w:pPr>
              <w:pStyle w:val="14"/>
            </w:pPr>
            <w:r>
              <w:t>补贴粮保质保量及时发放，保证二道杖子村水库移民利益，社会稳定性较上一年有所提高。</w:t>
            </w:r>
          </w:p>
        </w:tc>
        <w:tc>
          <w:tcPr>
            <w:tcW w:w="2551" w:type="dxa"/>
            <w:vAlign w:val="center"/>
          </w:tcPr>
          <w:p>
            <w:pPr>
              <w:pStyle w:val="14"/>
            </w:pPr>
            <w:r>
              <w:t>≥10%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确保水库移民持续稳定</w:t>
            </w:r>
          </w:p>
        </w:tc>
        <w:tc>
          <w:tcPr>
            <w:tcW w:w="2835" w:type="dxa"/>
            <w:vAlign w:val="center"/>
          </w:tcPr>
          <w:p>
            <w:pPr>
              <w:pStyle w:val="14"/>
            </w:pPr>
            <w:r>
              <w:t>确保水库移民情绪持续稳定</w:t>
            </w:r>
          </w:p>
        </w:tc>
        <w:tc>
          <w:tcPr>
            <w:tcW w:w="2551" w:type="dxa"/>
            <w:vAlign w:val="center"/>
          </w:tcPr>
          <w:p>
            <w:pPr>
              <w:pStyle w:val="14"/>
            </w:pPr>
            <w:r>
              <w:t>≥90%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水库移民满意度</w:t>
            </w:r>
          </w:p>
        </w:tc>
        <w:tc>
          <w:tcPr>
            <w:tcW w:w="2835" w:type="dxa"/>
            <w:vAlign w:val="center"/>
          </w:tcPr>
          <w:p>
            <w:pPr>
              <w:pStyle w:val="14"/>
            </w:pPr>
            <w:r>
              <w:t>水库移民对于粮食补贴满意人数占总数的比例</w:t>
            </w:r>
          </w:p>
        </w:tc>
        <w:tc>
          <w:tcPr>
            <w:tcW w:w="2551" w:type="dxa"/>
            <w:vAlign w:val="center"/>
          </w:tcPr>
          <w:p>
            <w:pPr>
              <w:pStyle w:val="14"/>
            </w:pPr>
            <w:r>
              <w:t>≥90%</w:t>
            </w:r>
          </w:p>
        </w:tc>
        <w:tc>
          <w:tcPr>
            <w:tcW w:w="2268" w:type="dxa"/>
            <w:vAlign w:val="center"/>
          </w:tcPr>
          <w:p>
            <w:pPr>
              <w:pStyle w:val="14"/>
            </w:pPr>
            <w:r>
              <w:t>县政府青政办（2002）50号和水库移民粮食补贴工作计划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33、水库移民粮食补贴（二道杖子）绩效目标表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6.通过做好粮食供应，提高服务水平。</w:t>
            </w:r>
          </w:p>
          <w:p>
            <w:pPr>
              <w:pStyle w:val="14"/>
            </w:pPr>
            <w:r>
              <w:t>7.通过供应达标粮品，实现居民用粮安全。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水库移民粮食供应人数</w:t>
            </w:r>
          </w:p>
        </w:tc>
        <w:tc>
          <w:tcPr>
            <w:tcW w:w="2835" w:type="dxa"/>
            <w:vAlign w:val="center"/>
          </w:tcPr>
          <w:p>
            <w:pPr>
              <w:pStyle w:val="14"/>
            </w:pPr>
            <w:r>
              <w:t>二道丈子村水库移民粮食供应人数</w:t>
            </w:r>
          </w:p>
        </w:tc>
        <w:tc>
          <w:tcPr>
            <w:tcW w:w="2551" w:type="dxa"/>
            <w:vAlign w:val="center"/>
          </w:tcPr>
          <w:p>
            <w:pPr>
              <w:pStyle w:val="14"/>
            </w:pPr>
            <w:r>
              <w:t>≥1170人</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水库移民粮食供应斤数</w:t>
            </w:r>
          </w:p>
        </w:tc>
        <w:tc>
          <w:tcPr>
            <w:tcW w:w="2835" w:type="dxa"/>
            <w:vAlign w:val="center"/>
          </w:tcPr>
          <w:p>
            <w:pPr>
              <w:pStyle w:val="14"/>
            </w:pPr>
            <w:r>
              <w:t>二道丈子村水库移民粮食供应总斤数</w:t>
            </w:r>
          </w:p>
        </w:tc>
        <w:tc>
          <w:tcPr>
            <w:tcW w:w="2551" w:type="dxa"/>
            <w:vAlign w:val="center"/>
          </w:tcPr>
          <w:p>
            <w:pPr>
              <w:pStyle w:val="14"/>
            </w:pPr>
            <w:r>
              <w:t>≥22.76万斤</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供应粮品质达标率</w:t>
            </w:r>
          </w:p>
        </w:tc>
        <w:tc>
          <w:tcPr>
            <w:tcW w:w="2835" w:type="dxa"/>
            <w:vAlign w:val="center"/>
          </w:tcPr>
          <w:p>
            <w:pPr>
              <w:pStyle w:val="14"/>
            </w:pPr>
            <w:r>
              <w:t>所供粮食确保达到相应质量标准</w:t>
            </w:r>
          </w:p>
        </w:tc>
        <w:tc>
          <w:tcPr>
            <w:tcW w:w="2551" w:type="dxa"/>
            <w:vAlign w:val="center"/>
          </w:tcPr>
          <w:p>
            <w:pPr>
              <w:pStyle w:val="14"/>
            </w:pPr>
            <w:r>
              <w:t>100%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按县政府相关文件及工作计划完成粮食补贴工作</w:t>
            </w:r>
          </w:p>
        </w:tc>
        <w:tc>
          <w:tcPr>
            <w:tcW w:w="2551" w:type="dxa"/>
            <w:vAlign w:val="center"/>
          </w:tcPr>
          <w:p>
            <w:pPr>
              <w:pStyle w:val="14"/>
            </w:pPr>
            <w:r>
              <w:t>2023年底</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水库移民粮食补贴</w:t>
            </w:r>
          </w:p>
        </w:tc>
        <w:tc>
          <w:tcPr>
            <w:tcW w:w="2835" w:type="dxa"/>
            <w:vAlign w:val="center"/>
          </w:tcPr>
          <w:p>
            <w:pPr>
              <w:pStyle w:val="14"/>
            </w:pPr>
            <w:r>
              <w:t>水库移民人均粮食补贴人均成本</w:t>
            </w:r>
          </w:p>
        </w:tc>
        <w:tc>
          <w:tcPr>
            <w:tcW w:w="2551" w:type="dxa"/>
            <w:vAlign w:val="center"/>
          </w:tcPr>
          <w:p>
            <w:pPr>
              <w:pStyle w:val="14"/>
            </w:pPr>
            <w:r>
              <w:t>≤415.4元/人</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减少水库移民家庭支出</w:t>
            </w:r>
          </w:p>
        </w:tc>
        <w:tc>
          <w:tcPr>
            <w:tcW w:w="2835" w:type="dxa"/>
            <w:vAlign w:val="center"/>
          </w:tcPr>
          <w:p>
            <w:pPr>
              <w:pStyle w:val="14"/>
            </w:pPr>
            <w:r>
              <w:t>减少水库移民家庭支出，保障基本生活</w:t>
            </w:r>
          </w:p>
        </w:tc>
        <w:tc>
          <w:tcPr>
            <w:tcW w:w="2551" w:type="dxa"/>
            <w:vAlign w:val="center"/>
          </w:tcPr>
          <w:p>
            <w:pPr>
              <w:pStyle w:val="14"/>
            </w:pPr>
            <w:r>
              <w:t>≥7%</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提高社会稳定性</w:t>
            </w:r>
          </w:p>
        </w:tc>
        <w:tc>
          <w:tcPr>
            <w:tcW w:w="2835" w:type="dxa"/>
            <w:vAlign w:val="center"/>
          </w:tcPr>
          <w:p>
            <w:pPr>
              <w:pStyle w:val="14"/>
            </w:pPr>
            <w:r>
              <w:t>补贴粮保质保量及时发放，保证二道杖子村水库移民利益，社会稳定性较上一年有所提高。</w:t>
            </w:r>
          </w:p>
        </w:tc>
        <w:tc>
          <w:tcPr>
            <w:tcW w:w="2551" w:type="dxa"/>
            <w:vAlign w:val="center"/>
          </w:tcPr>
          <w:p>
            <w:pPr>
              <w:pStyle w:val="14"/>
            </w:pPr>
            <w:r>
              <w:t>≥10%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确保水库移民持续稳定</w:t>
            </w:r>
          </w:p>
        </w:tc>
        <w:tc>
          <w:tcPr>
            <w:tcW w:w="2835" w:type="dxa"/>
            <w:vAlign w:val="center"/>
          </w:tcPr>
          <w:p>
            <w:pPr>
              <w:pStyle w:val="14"/>
            </w:pPr>
            <w:r>
              <w:t>确保水库移民情绪持续稳定</w:t>
            </w:r>
          </w:p>
        </w:tc>
        <w:tc>
          <w:tcPr>
            <w:tcW w:w="2551" w:type="dxa"/>
            <w:vAlign w:val="center"/>
          </w:tcPr>
          <w:p>
            <w:pPr>
              <w:pStyle w:val="14"/>
            </w:pPr>
            <w:r>
              <w:t>≥90%</w:t>
            </w:r>
          </w:p>
        </w:tc>
        <w:tc>
          <w:tcPr>
            <w:tcW w:w="2268" w:type="dxa"/>
            <w:vAlign w:val="center"/>
          </w:tcPr>
          <w:p>
            <w:pPr>
              <w:pStyle w:val="14"/>
            </w:pPr>
            <w:r>
              <w:t>县政府青政办（2002）50号和水库移民粮食补贴工作计划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水库移民满意度</w:t>
            </w:r>
          </w:p>
          <w:p>
            <w:pPr>
              <w:pStyle w:val="14"/>
            </w:pPr>
          </w:p>
        </w:tc>
        <w:tc>
          <w:tcPr>
            <w:tcW w:w="2835" w:type="dxa"/>
            <w:vAlign w:val="center"/>
          </w:tcPr>
          <w:p>
            <w:pPr>
              <w:pStyle w:val="14"/>
            </w:pPr>
            <w:r>
              <w:t>水库移民对于粮食补贴满意人数占总数的比例</w:t>
            </w:r>
          </w:p>
        </w:tc>
        <w:tc>
          <w:tcPr>
            <w:tcW w:w="2551" w:type="dxa"/>
            <w:vAlign w:val="center"/>
          </w:tcPr>
          <w:p>
            <w:pPr>
              <w:pStyle w:val="14"/>
            </w:pPr>
            <w:r>
              <w:t>≥90%</w:t>
            </w:r>
          </w:p>
        </w:tc>
        <w:tc>
          <w:tcPr>
            <w:tcW w:w="2268" w:type="dxa"/>
            <w:vAlign w:val="center"/>
          </w:tcPr>
          <w:p>
            <w:pPr>
              <w:pStyle w:val="14"/>
            </w:pPr>
            <w:r>
              <w:t>县政府青政办（2002）50号和水库移民粮食补贴工作计划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34、矽肺病人补助资金绩效目标表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1.通过对国企提出矽肺病申请人员进行职业病诊断，维护社会稳定。</w:t>
            </w:r>
          </w:p>
          <w:p>
            <w:pPr>
              <w:pStyle w:val="14"/>
            </w:pPr>
            <w:r>
              <w:t>2.通过工伤鉴定，对矽肺病人员进行赔偿，保障矽肺病人员生活水平。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工伤鉴定人员数量</w:t>
            </w:r>
          </w:p>
        </w:tc>
        <w:tc>
          <w:tcPr>
            <w:tcW w:w="2835" w:type="dxa"/>
            <w:vAlign w:val="center"/>
          </w:tcPr>
          <w:p>
            <w:pPr>
              <w:pStyle w:val="14"/>
            </w:pPr>
            <w:r>
              <w:t>需要进行工伤鉴定人数</w:t>
            </w:r>
          </w:p>
        </w:tc>
        <w:tc>
          <w:tcPr>
            <w:tcW w:w="2551" w:type="dxa"/>
            <w:vAlign w:val="center"/>
          </w:tcPr>
          <w:p>
            <w:pPr>
              <w:pStyle w:val="14"/>
            </w:pPr>
            <w:r>
              <w:t>≥57人</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职业病诊断人数</w:t>
            </w:r>
          </w:p>
        </w:tc>
        <w:tc>
          <w:tcPr>
            <w:tcW w:w="2835" w:type="dxa"/>
            <w:vAlign w:val="center"/>
          </w:tcPr>
          <w:p>
            <w:pPr>
              <w:pStyle w:val="14"/>
            </w:pPr>
            <w:r>
              <w:t>需要进行职业病诊断人数</w:t>
            </w:r>
          </w:p>
        </w:tc>
        <w:tc>
          <w:tcPr>
            <w:tcW w:w="2551" w:type="dxa"/>
            <w:vAlign w:val="center"/>
          </w:tcPr>
          <w:p>
            <w:pPr>
              <w:pStyle w:val="14"/>
            </w:pPr>
            <w:r>
              <w:t>≥58人</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工伤赔偿人员数量</w:t>
            </w:r>
          </w:p>
        </w:tc>
        <w:tc>
          <w:tcPr>
            <w:tcW w:w="2835" w:type="dxa"/>
            <w:vAlign w:val="center"/>
          </w:tcPr>
          <w:p>
            <w:pPr>
              <w:pStyle w:val="14"/>
            </w:pPr>
            <w:r>
              <w:t>需要进行工伤赔偿人员数</w:t>
            </w:r>
          </w:p>
        </w:tc>
        <w:tc>
          <w:tcPr>
            <w:tcW w:w="2551" w:type="dxa"/>
            <w:vAlign w:val="center"/>
          </w:tcPr>
          <w:p>
            <w:pPr>
              <w:pStyle w:val="14"/>
            </w:pPr>
            <w:r>
              <w:t>≥58人</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金额计算准确率</w:t>
            </w:r>
          </w:p>
        </w:tc>
        <w:tc>
          <w:tcPr>
            <w:tcW w:w="2835" w:type="dxa"/>
            <w:vAlign w:val="center"/>
          </w:tcPr>
          <w:p>
            <w:pPr>
              <w:pStyle w:val="14"/>
            </w:pPr>
            <w:r>
              <w:t>对需要赔偿人员的赔偿金额计算准确率</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诊断的准确率</w:t>
            </w:r>
          </w:p>
        </w:tc>
        <w:tc>
          <w:tcPr>
            <w:tcW w:w="2835" w:type="dxa"/>
            <w:vAlign w:val="center"/>
          </w:tcPr>
          <w:p>
            <w:pPr>
              <w:pStyle w:val="14"/>
            </w:pPr>
            <w:r>
              <w:t>诊断的准确率</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支付准确率</w:t>
            </w:r>
          </w:p>
        </w:tc>
        <w:tc>
          <w:tcPr>
            <w:tcW w:w="2835" w:type="dxa"/>
            <w:vAlign w:val="center"/>
          </w:tcPr>
          <w:p>
            <w:pPr>
              <w:pStyle w:val="14"/>
            </w:pPr>
            <w:r>
              <w:t>资金支付的准确率</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2022年底前</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职业病诊断、工伤鉴定费用标准</w:t>
            </w:r>
          </w:p>
        </w:tc>
        <w:tc>
          <w:tcPr>
            <w:tcW w:w="2835" w:type="dxa"/>
            <w:vAlign w:val="center"/>
          </w:tcPr>
          <w:p>
            <w:pPr>
              <w:pStyle w:val="14"/>
            </w:pPr>
            <w:r>
              <w:t>对每人进行职业病诊断、工伤鉴定的金额</w:t>
            </w:r>
          </w:p>
        </w:tc>
        <w:tc>
          <w:tcPr>
            <w:tcW w:w="2551" w:type="dxa"/>
            <w:vAlign w:val="center"/>
          </w:tcPr>
          <w:p>
            <w:pPr>
              <w:pStyle w:val="14"/>
            </w:pPr>
            <w:r>
              <w:t>600元/人/次</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职业病诊断交通费标准</w:t>
            </w:r>
          </w:p>
        </w:tc>
        <w:tc>
          <w:tcPr>
            <w:tcW w:w="2835" w:type="dxa"/>
            <w:vAlign w:val="center"/>
          </w:tcPr>
          <w:p>
            <w:pPr>
              <w:pStyle w:val="14"/>
            </w:pPr>
            <w:r>
              <w:t>职业病诊断的交通费金额</w:t>
            </w:r>
          </w:p>
        </w:tc>
        <w:tc>
          <w:tcPr>
            <w:tcW w:w="2551" w:type="dxa"/>
            <w:vAlign w:val="center"/>
          </w:tcPr>
          <w:p>
            <w:pPr>
              <w:pStyle w:val="14"/>
            </w:pPr>
            <w:r>
              <w:t>300元/人</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提高病人生活水平</w:t>
            </w:r>
          </w:p>
        </w:tc>
        <w:tc>
          <w:tcPr>
            <w:tcW w:w="2835" w:type="dxa"/>
            <w:vAlign w:val="center"/>
          </w:tcPr>
          <w:p>
            <w:pPr>
              <w:pStyle w:val="14"/>
            </w:pPr>
            <w:r>
              <w:t>对矽肺病人员进行赔偿，保证病人的正常生活</w:t>
            </w:r>
          </w:p>
        </w:tc>
        <w:tc>
          <w:tcPr>
            <w:tcW w:w="2551" w:type="dxa"/>
            <w:vAlign w:val="center"/>
          </w:tcPr>
          <w:p>
            <w:pPr>
              <w:pStyle w:val="14"/>
            </w:pPr>
            <w:r>
              <w:t>80%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矽肺病人员的满意度</w:t>
            </w:r>
          </w:p>
        </w:tc>
        <w:tc>
          <w:tcPr>
            <w:tcW w:w="2835" w:type="dxa"/>
            <w:vAlign w:val="center"/>
          </w:tcPr>
          <w:p>
            <w:pPr>
              <w:pStyle w:val="14"/>
            </w:pPr>
            <w:r>
              <w:t>调查中满意和较满意的矽肺病人数占全部调查人数的比率</w:t>
            </w:r>
          </w:p>
        </w:tc>
        <w:tc>
          <w:tcPr>
            <w:tcW w:w="2551" w:type="dxa"/>
            <w:vAlign w:val="center"/>
          </w:tcPr>
          <w:p>
            <w:pPr>
              <w:pStyle w:val="14"/>
            </w:pPr>
            <w:r>
              <w:t>≥95%</w:t>
            </w:r>
          </w:p>
        </w:tc>
        <w:tc>
          <w:tcPr>
            <w:tcW w:w="2268" w:type="dxa"/>
            <w:vAlign w:val="center"/>
          </w:tcPr>
          <w:p>
            <w:pPr>
              <w:pStyle w:val="14"/>
            </w:pPr>
            <w:r>
              <w:t>1</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35、矽肺病人补助资金绩效目标表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6.通过对国企提出矽肺病申请人员进行职业病诊断，实现维护社会稳定。</w:t>
            </w:r>
          </w:p>
          <w:p>
            <w:pPr>
              <w:pStyle w:val="14"/>
            </w:pPr>
            <w:r>
              <w:t>7.通过工伤鉴定，对矽肺病人员进行赔偿，提高矽肺病人员生活水平。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工伤鉴定人员数量</w:t>
            </w:r>
          </w:p>
        </w:tc>
        <w:tc>
          <w:tcPr>
            <w:tcW w:w="2835" w:type="dxa"/>
            <w:vAlign w:val="center"/>
          </w:tcPr>
          <w:p>
            <w:pPr>
              <w:pStyle w:val="14"/>
            </w:pPr>
            <w:r>
              <w:t>需要进行工伤鉴定人数</w:t>
            </w:r>
          </w:p>
        </w:tc>
        <w:tc>
          <w:tcPr>
            <w:tcW w:w="2551" w:type="dxa"/>
            <w:vAlign w:val="center"/>
          </w:tcPr>
          <w:p>
            <w:pPr>
              <w:pStyle w:val="14"/>
            </w:pPr>
            <w:r>
              <w:t>≥57人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职业病诊断人数</w:t>
            </w:r>
          </w:p>
        </w:tc>
        <w:tc>
          <w:tcPr>
            <w:tcW w:w="2835" w:type="dxa"/>
            <w:vAlign w:val="center"/>
          </w:tcPr>
          <w:p>
            <w:pPr>
              <w:pStyle w:val="14"/>
            </w:pPr>
            <w:r>
              <w:t>需要进行职业病诊断人数</w:t>
            </w:r>
          </w:p>
        </w:tc>
        <w:tc>
          <w:tcPr>
            <w:tcW w:w="2551" w:type="dxa"/>
            <w:vAlign w:val="center"/>
          </w:tcPr>
          <w:p>
            <w:pPr>
              <w:pStyle w:val="14"/>
            </w:pPr>
            <w:r>
              <w:t>≥58人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工伤赔偿人员数量</w:t>
            </w:r>
          </w:p>
        </w:tc>
        <w:tc>
          <w:tcPr>
            <w:tcW w:w="2835" w:type="dxa"/>
            <w:vAlign w:val="center"/>
          </w:tcPr>
          <w:p>
            <w:pPr>
              <w:pStyle w:val="14"/>
            </w:pPr>
            <w:r>
              <w:t>需要进行工伤赔偿人员数</w:t>
            </w:r>
          </w:p>
        </w:tc>
        <w:tc>
          <w:tcPr>
            <w:tcW w:w="2551" w:type="dxa"/>
            <w:vAlign w:val="center"/>
          </w:tcPr>
          <w:p>
            <w:pPr>
              <w:pStyle w:val="14"/>
            </w:pPr>
            <w:r>
              <w:t>≥58人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金额计算准确率</w:t>
            </w:r>
          </w:p>
        </w:tc>
        <w:tc>
          <w:tcPr>
            <w:tcW w:w="2835" w:type="dxa"/>
            <w:vAlign w:val="center"/>
          </w:tcPr>
          <w:p>
            <w:pPr>
              <w:pStyle w:val="14"/>
            </w:pPr>
            <w:r>
              <w:t>对需要赔偿人员的赔偿金额计算准确率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诊断的准确率</w:t>
            </w:r>
          </w:p>
        </w:tc>
        <w:tc>
          <w:tcPr>
            <w:tcW w:w="2835" w:type="dxa"/>
            <w:vAlign w:val="center"/>
          </w:tcPr>
          <w:p>
            <w:pPr>
              <w:pStyle w:val="14"/>
            </w:pPr>
            <w:r>
              <w:t>诊断的准确率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支付准确率</w:t>
            </w:r>
          </w:p>
        </w:tc>
        <w:tc>
          <w:tcPr>
            <w:tcW w:w="2835" w:type="dxa"/>
            <w:vAlign w:val="center"/>
          </w:tcPr>
          <w:p>
            <w:pPr>
              <w:pStyle w:val="14"/>
            </w:pPr>
            <w:r>
              <w:t>资金支付的准确率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认真按照年度招商引资工作方案和计划的时间节点推进招商引资工作</w:t>
            </w:r>
          </w:p>
        </w:tc>
        <w:tc>
          <w:tcPr>
            <w:tcW w:w="2551" w:type="dxa"/>
            <w:vAlign w:val="center"/>
          </w:tcPr>
          <w:p>
            <w:pPr>
              <w:pStyle w:val="14"/>
            </w:pPr>
            <w:r>
              <w:t>2023年底前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职业病诊断、工伤鉴定费用标准</w:t>
            </w:r>
          </w:p>
        </w:tc>
        <w:tc>
          <w:tcPr>
            <w:tcW w:w="2835" w:type="dxa"/>
            <w:vAlign w:val="center"/>
          </w:tcPr>
          <w:p>
            <w:pPr>
              <w:pStyle w:val="14"/>
            </w:pPr>
            <w:r>
              <w:t>对每人进行职业病诊断、工伤鉴定的金额</w:t>
            </w:r>
          </w:p>
        </w:tc>
        <w:tc>
          <w:tcPr>
            <w:tcW w:w="2551" w:type="dxa"/>
            <w:vAlign w:val="center"/>
          </w:tcPr>
          <w:p>
            <w:pPr>
              <w:pStyle w:val="14"/>
            </w:pPr>
            <w:r>
              <w:t>600元/人/次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职业病诊断交通费标准</w:t>
            </w:r>
          </w:p>
        </w:tc>
        <w:tc>
          <w:tcPr>
            <w:tcW w:w="2835" w:type="dxa"/>
            <w:vAlign w:val="center"/>
          </w:tcPr>
          <w:p>
            <w:pPr>
              <w:pStyle w:val="14"/>
            </w:pPr>
            <w:r>
              <w:t>职业病诊断的交通费金额</w:t>
            </w:r>
          </w:p>
        </w:tc>
        <w:tc>
          <w:tcPr>
            <w:tcW w:w="2551" w:type="dxa"/>
            <w:vAlign w:val="center"/>
          </w:tcPr>
          <w:p>
            <w:pPr>
              <w:pStyle w:val="14"/>
            </w:pPr>
            <w:r>
              <w:t>300元/人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提高病人生活水平</w:t>
            </w:r>
          </w:p>
        </w:tc>
        <w:tc>
          <w:tcPr>
            <w:tcW w:w="2835" w:type="dxa"/>
            <w:vAlign w:val="center"/>
          </w:tcPr>
          <w:p>
            <w:pPr>
              <w:pStyle w:val="14"/>
            </w:pPr>
            <w:r>
              <w:t>对矽肺病人员进行赔偿，保证病人的正常生活</w:t>
            </w:r>
          </w:p>
        </w:tc>
        <w:tc>
          <w:tcPr>
            <w:tcW w:w="2551" w:type="dxa"/>
            <w:vAlign w:val="center"/>
          </w:tcPr>
          <w:p>
            <w:pPr>
              <w:pStyle w:val="14"/>
            </w:pPr>
            <w:r>
              <w:t>≥80%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矽肺病人员的满意度</w:t>
            </w:r>
          </w:p>
        </w:tc>
        <w:tc>
          <w:tcPr>
            <w:tcW w:w="2835" w:type="dxa"/>
            <w:vAlign w:val="center"/>
          </w:tcPr>
          <w:p>
            <w:pPr>
              <w:pStyle w:val="14"/>
            </w:pPr>
            <w:r>
              <w:t>调查中满意和较满意的矽肺病人数占全部调查人数的比率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36、县城至迁安国防光缆迁改项目绩效目标表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1.通过实施县城至迁安国防光缆迁改项目，推进安胜御景等重点项目的建设，推动县域经济快速发展。</w:t>
            </w:r>
          </w:p>
          <w:p>
            <w:pPr>
              <w:pStyle w:val="14"/>
            </w:pPr>
            <w:r>
              <w:t>2.通过对国防光缆的修复，保障国防光缆的通信安全。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修复断点数</w:t>
            </w:r>
          </w:p>
        </w:tc>
        <w:tc>
          <w:tcPr>
            <w:tcW w:w="2835" w:type="dxa"/>
            <w:vAlign w:val="center"/>
          </w:tcPr>
          <w:p>
            <w:pPr>
              <w:pStyle w:val="14"/>
            </w:pPr>
            <w:r>
              <w:t>需要修复的断点数</w:t>
            </w:r>
          </w:p>
        </w:tc>
        <w:tc>
          <w:tcPr>
            <w:tcW w:w="2551" w:type="dxa"/>
            <w:vAlign w:val="center"/>
          </w:tcPr>
          <w:p>
            <w:pPr>
              <w:pStyle w:val="14"/>
            </w:pPr>
            <w:r>
              <w:t>≥10个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改迁的公里数</w:t>
            </w:r>
          </w:p>
        </w:tc>
        <w:tc>
          <w:tcPr>
            <w:tcW w:w="2835" w:type="dxa"/>
            <w:vAlign w:val="center"/>
          </w:tcPr>
          <w:p>
            <w:pPr>
              <w:pStyle w:val="14"/>
            </w:pPr>
            <w:r>
              <w:t>改迁</w:t>
            </w:r>
            <w:r>
              <w:rPr>
                <w:rFonts w:hint="eastAsia"/>
                <w:lang w:eastAsia="zh-CN"/>
              </w:rPr>
              <w:t>的</w:t>
            </w:r>
            <w:r>
              <w:t>国防光缆</w:t>
            </w:r>
          </w:p>
        </w:tc>
        <w:tc>
          <w:tcPr>
            <w:tcW w:w="2551" w:type="dxa"/>
            <w:vAlign w:val="center"/>
          </w:tcPr>
          <w:p>
            <w:pPr>
              <w:pStyle w:val="14"/>
            </w:pPr>
            <w:r>
              <w:t>≥3公里</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按照施工合同按时完成</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在预算范围内严格进行成本控制</w:t>
            </w:r>
          </w:p>
        </w:tc>
        <w:tc>
          <w:tcPr>
            <w:tcW w:w="2551" w:type="dxa"/>
            <w:vAlign w:val="center"/>
          </w:tcPr>
          <w:p>
            <w:pPr>
              <w:pStyle w:val="14"/>
            </w:pPr>
            <w:r>
              <w:t>≤0.15万元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增加纳税收入</w:t>
            </w:r>
          </w:p>
        </w:tc>
        <w:tc>
          <w:tcPr>
            <w:tcW w:w="2835" w:type="dxa"/>
            <w:vAlign w:val="center"/>
          </w:tcPr>
          <w:p>
            <w:pPr>
              <w:pStyle w:val="14"/>
            </w:pPr>
            <w:r>
              <w:t>增加纳税收入</w:t>
            </w:r>
          </w:p>
        </w:tc>
        <w:tc>
          <w:tcPr>
            <w:tcW w:w="2551" w:type="dxa"/>
            <w:vAlign w:val="center"/>
          </w:tcPr>
          <w:p>
            <w:pPr>
              <w:pStyle w:val="14"/>
            </w:pPr>
            <w:r>
              <w:t>≥0.15万元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提高土地利用率</w:t>
            </w:r>
          </w:p>
        </w:tc>
        <w:tc>
          <w:tcPr>
            <w:tcW w:w="2835" w:type="dxa"/>
            <w:vAlign w:val="center"/>
          </w:tcPr>
          <w:p>
            <w:pPr>
              <w:pStyle w:val="14"/>
            </w:pPr>
            <w:r>
              <w:t>提高土地开发利用率，便于城镇建设。</w:t>
            </w:r>
          </w:p>
        </w:tc>
        <w:tc>
          <w:tcPr>
            <w:tcW w:w="2551" w:type="dxa"/>
            <w:vAlign w:val="center"/>
          </w:tcPr>
          <w:p>
            <w:pPr>
              <w:pStyle w:val="14"/>
            </w:pPr>
            <w:r>
              <w:t>≥0.1%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中长期影响实现</w:t>
            </w:r>
          </w:p>
        </w:tc>
        <w:tc>
          <w:tcPr>
            <w:tcW w:w="2835" w:type="dxa"/>
            <w:vAlign w:val="center"/>
          </w:tcPr>
          <w:p>
            <w:pPr>
              <w:pStyle w:val="14"/>
            </w:pPr>
            <w:r>
              <w:t>持续推动县域全需发展</w:t>
            </w:r>
          </w:p>
        </w:tc>
        <w:tc>
          <w:tcPr>
            <w:tcW w:w="2551" w:type="dxa"/>
            <w:vAlign w:val="center"/>
          </w:tcPr>
          <w:p>
            <w:pPr>
              <w:pStyle w:val="14"/>
            </w:pPr>
            <w:r>
              <w:t>≥5年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服务对象满意数量占总数的比例。</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37、遗留问题资金(张玉山）绩效目标表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1.通过及时付清相关人员费用，保障群众合法权益。</w:t>
            </w:r>
          </w:p>
          <w:p>
            <w:pPr>
              <w:pStyle w:val="14"/>
            </w:pPr>
            <w:r>
              <w:t>2.通过给予相关待遇，稳定人员情绪、解决遗留问题。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遗留问题数量</w:t>
            </w:r>
          </w:p>
        </w:tc>
        <w:tc>
          <w:tcPr>
            <w:tcW w:w="2835" w:type="dxa"/>
            <w:vAlign w:val="center"/>
          </w:tcPr>
          <w:p>
            <w:pPr>
              <w:pStyle w:val="14"/>
            </w:pPr>
            <w:r>
              <w:t>实际解决遗留问题数量</w:t>
            </w:r>
          </w:p>
        </w:tc>
        <w:tc>
          <w:tcPr>
            <w:tcW w:w="2551" w:type="dxa"/>
            <w:vAlign w:val="center"/>
          </w:tcPr>
          <w:p>
            <w:pPr>
              <w:pStyle w:val="14"/>
            </w:pPr>
            <w:r>
              <w:t>1个</w:t>
            </w:r>
          </w:p>
        </w:tc>
        <w:tc>
          <w:tcPr>
            <w:tcW w:w="2268" w:type="dxa"/>
            <w:vAlign w:val="center"/>
          </w:tcPr>
          <w:p>
            <w:pPr>
              <w:pStyle w:val="14"/>
            </w:pPr>
            <w:r>
              <w:t>青发改【2022】1号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支付准确率</w:t>
            </w:r>
          </w:p>
        </w:tc>
        <w:tc>
          <w:tcPr>
            <w:tcW w:w="2835" w:type="dxa"/>
            <w:vAlign w:val="center"/>
          </w:tcPr>
          <w:p>
            <w:pPr>
              <w:pStyle w:val="14"/>
            </w:pPr>
            <w:r>
              <w:t>全部用于支付费用及保险</w:t>
            </w:r>
          </w:p>
        </w:tc>
        <w:tc>
          <w:tcPr>
            <w:tcW w:w="2551" w:type="dxa"/>
            <w:vAlign w:val="center"/>
          </w:tcPr>
          <w:p>
            <w:pPr>
              <w:pStyle w:val="14"/>
            </w:pPr>
            <w:r>
              <w:t>100%</w:t>
            </w:r>
          </w:p>
        </w:tc>
        <w:tc>
          <w:tcPr>
            <w:tcW w:w="2268" w:type="dxa"/>
            <w:vAlign w:val="center"/>
          </w:tcPr>
          <w:p>
            <w:pPr>
              <w:pStyle w:val="14"/>
            </w:pPr>
            <w:r>
              <w:t>青发改【2022】1号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支付及时性</w:t>
            </w:r>
          </w:p>
        </w:tc>
        <w:tc>
          <w:tcPr>
            <w:tcW w:w="2835" w:type="dxa"/>
            <w:vAlign w:val="center"/>
          </w:tcPr>
          <w:p>
            <w:pPr>
              <w:pStyle w:val="14"/>
            </w:pPr>
            <w:r>
              <w:t>对张玉山各项费用的支付及时性</w:t>
            </w:r>
          </w:p>
        </w:tc>
        <w:tc>
          <w:tcPr>
            <w:tcW w:w="2551" w:type="dxa"/>
            <w:vAlign w:val="center"/>
          </w:tcPr>
          <w:p>
            <w:pPr>
              <w:pStyle w:val="14"/>
            </w:pPr>
            <w:r>
              <w:t>2022年11月前</w:t>
            </w:r>
          </w:p>
        </w:tc>
        <w:tc>
          <w:tcPr>
            <w:tcW w:w="2268" w:type="dxa"/>
            <w:vAlign w:val="center"/>
          </w:tcPr>
          <w:p>
            <w:pPr>
              <w:pStyle w:val="14"/>
            </w:pPr>
            <w:r>
              <w:t>青发改【2022】1号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补偿金</w:t>
            </w:r>
          </w:p>
        </w:tc>
        <w:tc>
          <w:tcPr>
            <w:tcW w:w="2835" w:type="dxa"/>
            <w:vAlign w:val="center"/>
          </w:tcPr>
          <w:p>
            <w:pPr>
              <w:pStyle w:val="14"/>
            </w:pPr>
            <w:r>
              <w:t>支付工作解除劳动补偿金</w:t>
            </w:r>
          </w:p>
        </w:tc>
        <w:tc>
          <w:tcPr>
            <w:tcW w:w="2551" w:type="dxa"/>
            <w:vAlign w:val="center"/>
          </w:tcPr>
          <w:p>
            <w:pPr>
              <w:pStyle w:val="14"/>
            </w:pPr>
            <w:r>
              <w:t>2.12元</w:t>
            </w:r>
          </w:p>
        </w:tc>
        <w:tc>
          <w:tcPr>
            <w:tcW w:w="2268" w:type="dxa"/>
            <w:vAlign w:val="center"/>
          </w:tcPr>
          <w:p>
            <w:pPr>
              <w:pStyle w:val="14"/>
            </w:pPr>
            <w:r>
              <w:t>青发改【2022】1号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切实解决遗留问题</w:t>
            </w:r>
          </w:p>
        </w:tc>
        <w:tc>
          <w:tcPr>
            <w:tcW w:w="2835" w:type="dxa"/>
            <w:vAlign w:val="center"/>
          </w:tcPr>
          <w:p>
            <w:pPr>
              <w:pStyle w:val="14"/>
            </w:pPr>
            <w:r>
              <w:t>通过给予相关待遇，及时解决张玉山遗留问题</w:t>
            </w:r>
          </w:p>
        </w:tc>
        <w:tc>
          <w:tcPr>
            <w:tcW w:w="2551" w:type="dxa"/>
            <w:vAlign w:val="center"/>
          </w:tcPr>
          <w:p>
            <w:pPr>
              <w:pStyle w:val="14"/>
            </w:pPr>
            <w:r>
              <w:t>100%</w:t>
            </w:r>
          </w:p>
        </w:tc>
        <w:tc>
          <w:tcPr>
            <w:tcW w:w="2268" w:type="dxa"/>
            <w:vAlign w:val="center"/>
          </w:tcPr>
          <w:p>
            <w:pPr>
              <w:pStyle w:val="14"/>
            </w:pPr>
            <w:r>
              <w:t>青发改【2022】1号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青发改【2022】1号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38、易地扶贫搬迁资金绩效目标表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1.通过易地扶贫搬迁项目建设，解决农村群众出行难问题，改善贫困村生产生活条件。</w:t>
            </w:r>
            <w:r>
              <w:tab/>
            </w:r>
            <w:r>
              <w:tab/>
            </w:r>
            <w:r>
              <w:tab/>
            </w:r>
          </w:p>
          <w:p>
            <w:pPr>
              <w:pStyle w:val="14"/>
            </w:pPr>
          </w:p>
          <w:p>
            <w:pPr>
              <w:pStyle w:val="14"/>
            </w:pPr>
            <w:r>
              <w:t>2.通过易地扶贫搬迁项目建设，解决群众取暖生活问题，提高生活质量。</w:t>
            </w:r>
            <w:r>
              <w:tab/>
            </w:r>
            <w:r>
              <w:tab/>
            </w:r>
            <w:r>
              <w:tab/>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相关乡镇数量</w:t>
            </w:r>
          </w:p>
        </w:tc>
        <w:tc>
          <w:tcPr>
            <w:tcW w:w="2835" w:type="dxa"/>
            <w:vAlign w:val="center"/>
          </w:tcPr>
          <w:p>
            <w:pPr>
              <w:pStyle w:val="14"/>
            </w:pPr>
            <w:r>
              <w:t>开展易地扶贫搬迁项目乡镇数量</w:t>
            </w:r>
          </w:p>
        </w:tc>
        <w:tc>
          <w:tcPr>
            <w:tcW w:w="2551" w:type="dxa"/>
            <w:vAlign w:val="center"/>
          </w:tcPr>
          <w:p>
            <w:pPr>
              <w:pStyle w:val="14"/>
            </w:pPr>
            <w:r>
              <w:t>4个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易地扶贫搬迁项目验收合格占总数比率</w:t>
            </w:r>
          </w:p>
        </w:tc>
        <w:tc>
          <w:tcPr>
            <w:tcW w:w="2551" w:type="dxa"/>
            <w:vAlign w:val="center"/>
          </w:tcPr>
          <w:p>
            <w:pPr>
              <w:pStyle w:val="14"/>
            </w:pPr>
            <w:r>
              <w:t>≥95%</w:t>
            </w:r>
          </w:p>
        </w:tc>
        <w:tc>
          <w:tcPr>
            <w:tcW w:w="2268" w:type="dxa"/>
            <w:vAlign w:val="center"/>
          </w:tcPr>
          <w:p>
            <w:pPr>
              <w:pStyle w:val="14"/>
            </w:pPr>
            <w:r>
              <w:t>易地搬迁管理办法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项目完成及时率</w:t>
            </w:r>
          </w:p>
        </w:tc>
        <w:tc>
          <w:tcPr>
            <w:tcW w:w="2835" w:type="dxa"/>
            <w:vAlign w:val="center"/>
          </w:tcPr>
          <w:p>
            <w:pPr>
              <w:pStyle w:val="14"/>
            </w:pPr>
            <w:r>
              <w:t>易地扶贫搬迁项目完成占总数比率</w:t>
            </w:r>
          </w:p>
        </w:tc>
        <w:tc>
          <w:tcPr>
            <w:tcW w:w="2551" w:type="dxa"/>
            <w:vAlign w:val="center"/>
          </w:tcPr>
          <w:p>
            <w:pPr>
              <w:pStyle w:val="14"/>
            </w:pPr>
            <w:r>
              <w:t>≥95%</w:t>
            </w:r>
          </w:p>
        </w:tc>
        <w:tc>
          <w:tcPr>
            <w:tcW w:w="2268" w:type="dxa"/>
            <w:vAlign w:val="center"/>
          </w:tcPr>
          <w:p>
            <w:pPr>
              <w:pStyle w:val="14"/>
            </w:pPr>
            <w:r>
              <w:t>易地搬迁管理办法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及时偿还易地搬迁贷款</w:t>
            </w:r>
          </w:p>
        </w:tc>
        <w:tc>
          <w:tcPr>
            <w:tcW w:w="2835" w:type="dxa"/>
            <w:vAlign w:val="center"/>
          </w:tcPr>
          <w:p>
            <w:pPr>
              <w:pStyle w:val="14"/>
            </w:pPr>
            <w:r>
              <w:t>按照相关规定及时偿还易地搬迁贷款</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易地扶贫搬迁项目总成本</w:t>
            </w:r>
          </w:p>
        </w:tc>
        <w:tc>
          <w:tcPr>
            <w:tcW w:w="2551" w:type="dxa"/>
            <w:vAlign w:val="center"/>
          </w:tcPr>
          <w:p>
            <w:pPr>
              <w:pStyle w:val="14"/>
            </w:pPr>
            <w:r>
              <w:t>500万元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改善生产生活条件</w:t>
            </w:r>
          </w:p>
        </w:tc>
        <w:tc>
          <w:tcPr>
            <w:tcW w:w="2835" w:type="dxa"/>
            <w:vAlign w:val="center"/>
          </w:tcPr>
          <w:p>
            <w:pPr>
              <w:pStyle w:val="14"/>
            </w:pPr>
            <w:r>
              <w:t>改善生产生活条件，增加搬迁群众收入</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取暖条件改善程度</w:t>
            </w:r>
          </w:p>
        </w:tc>
        <w:tc>
          <w:tcPr>
            <w:tcW w:w="2835" w:type="dxa"/>
            <w:vAlign w:val="center"/>
          </w:tcPr>
          <w:p>
            <w:pPr>
              <w:pStyle w:val="14"/>
            </w:pPr>
            <w:r>
              <w:t>通过易地搬迁项目建设，改善木头凳中心村取暖条件程度</w:t>
            </w:r>
          </w:p>
        </w:tc>
        <w:tc>
          <w:tcPr>
            <w:tcW w:w="2551" w:type="dxa"/>
            <w:vAlign w:val="center"/>
          </w:tcPr>
          <w:p>
            <w:pPr>
              <w:pStyle w:val="14"/>
            </w:pPr>
            <w:r>
              <w:t>≥90%</w:t>
            </w:r>
          </w:p>
        </w:tc>
        <w:tc>
          <w:tcPr>
            <w:tcW w:w="2268" w:type="dxa"/>
            <w:vAlign w:val="center"/>
          </w:tcPr>
          <w:p>
            <w:pPr>
              <w:pStyle w:val="14"/>
            </w:pPr>
            <w:r>
              <w:t>易地搬迁管理办法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工程最少使用年限</w:t>
            </w:r>
          </w:p>
        </w:tc>
        <w:tc>
          <w:tcPr>
            <w:tcW w:w="2551" w:type="dxa"/>
            <w:vAlign w:val="center"/>
          </w:tcPr>
          <w:p>
            <w:pPr>
              <w:pStyle w:val="14"/>
            </w:pPr>
            <w:r>
              <w:t>≥10年</w:t>
            </w:r>
          </w:p>
        </w:tc>
        <w:tc>
          <w:tcPr>
            <w:tcW w:w="2268" w:type="dxa"/>
            <w:vAlign w:val="center"/>
          </w:tcPr>
          <w:p>
            <w:pPr>
              <w:pStyle w:val="14"/>
            </w:pPr>
            <w:r>
              <w:t>易地搬迁管理办法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39、原民爆公司遗留问题费用绩效目标表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6.通过付清土地出让金及税费，实现顺利过户。</w:t>
            </w:r>
          </w:p>
          <w:p>
            <w:pPr>
              <w:pStyle w:val="14"/>
            </w:pPr>
            <w:r>
              <w:t>7.通过付清原民爆公司原外欠债务，实现维护社会稳定。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还清遗留问题个数</w:t>
            </w:r>
          </w:p>
        </w:tc>
        <w:tc>
          <w:tcPr>
            <w:tcW w:w="2835" w:type="dxa"/>
            <w:vAlign w:val="center"/>
          </w:tcPr>
          <w:p>
            <w:pPr>
              <w:pStyle w:val="14"/>
            </w:pPr>
            <w:r>
              <w:t>外欠遗留问题</w:t>
            </w:r>
          </w:p>
        </w:tc>
        <w:tc>
          <w:tcPr>
            <w:tcW w:w="2551" w:type="dxa"/>
            <w:vAlign w:val="center"/>
          </w:tcPr>
          <w:p>
            <w:pPr>
              <w:pStyle w:val="14"/>
            </w:pPr>
            <w:r>
              <w:t>2个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支付准确率</w:t>
            </w:r>
          </w:p>
        </w:tc>
        <w:tc>
          <w:tcPr>
            <w:tcW w:w="2835" w:type="dxa"/>
            <w:vAlign w:val="center"/>
          </w:tcPr>
          <w:p>
            <w:pPr>
              <w:pStyle w:val="14"/>
            </w:pPr>
            <w:r>
              <w:t>反映准确偿还债务情况准确率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债务偿还及时性</w:t>
            </w:r>
          </w:p>
        </w:tc>
        <w:tc>
          <w:tcPr>
            <w:tcW w:w="2835" w:type="dxa"/>
            <w:vAlign w:val="center"/>
          </w:tcPr>
          <w:p>
            <w:pPr>
              <w:pStyle w:val="14"/>
            </w:pPr>
            <w:r>
              <w:t>反映及时偿还各项债务情况</w:t>
            </w:r>
          </w:p>
        </w:tc>
        <w:tc>
          <w:tcPr>
            <w:tcW w:w="2551" w:type="dxa"/>
            <w:vAlign w:val="center"/>
          </w:tcPr>
          <w:p>
            <w:pPr>
              <w:pStyle w:val="14"/>
            </w:pPr>
            <w:r>
              <w:t>≥90%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偿还费用</w:t>
            </w:r>
          </w:p>
        </w:tc>
        <w:tc>
          <w:tcPr>
            <w:tcW w:w="2835" w:type="dxa"/>
            <w:vAlign w:val="center"/>
          </w:tcPr>
          <w:p>
            <w:pPr>
              <w:pStyle w:val="14"/>
            </w:pPr>
            <w:r>
              <w:t>偿还编制整理等费用控制在预算批复以内</w:t>
            </w:r>
          </w:p>
        </w:tc>
        <w:tc>
          <w:tcPr>
            <w:tcW w:w="2551" w:type="dxa"/>
            <w:vAlign w:val="center"/>
          </w:tcPr>
          <w:p>
            <w:pPr>
              <w:pStyle w:val="14"/>
            </w:pPr>
            <w:r>
              <w:t>≤10万元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土地出让金及税费金额</w:t>
            </w:r>
          </w:p>
        </w:tc>
        <w:tc>
          <w:tcPr>
            <w:tcW w:w="2835" w:type="dxa"/>
            <w:vAlign w:val="center"/>
          </w:tcPr>
          <w:p>
            <w:pPr>
              <w:pStyle w:val="14"/>
            </w:pPr>
            <w:r>
              <w:t>土地出让金及税费</w:t>
            </w:r>
          </w:p>
        </w:tc>
        <w:tc>
          <w:tcPr>
            <w:tcW w:w="2551" w:type="dxa"/>
            <w:vAlign w:val="center"/>
          </w:tcPr>
          <w:p>
            <w:pPr>
              <w:pStyle w:val="14"/>
            </w:pPr>
            <w:r>
              <w:t>≤274万元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通过及时偿还债务促进社会稳定水平逐步提高</w:t>
            </w:r>
          </w:p>
        </w:tc>
        <w:tc>
          <w:tcPr>
            <w:tcW w:w="2551" w:type="dxa"/>
            <w:vAlign w:val="center"/>
          </w:tcPr>
          <w:p>
            <w:pPr>
              <w:pStyle w:val="14"/>
            </w:pPr>
            <w:r>
              <w:t>≥1%</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增加税收收入</w:t>
            </w:r>
          </w:p>
        </w:tc>
        <w:tc>
          <w:tcPr>
            <w:tcW w:w="2835" w:type="dxa"/>
            <w:vAlign w:val="center"/>
          </w:tcPr>
          <w:p>
            <w:pPr>
              <w:pStyle w:val="14"/>
            </w:pPr>
            <w:r>
              <w:t>原民爆公司拍卖增加政府土地出让金及税费收入增加</w:t>
            </w:r>
          </w:p>
        </w:tc>
        <w:tc>
          <w:tcPr>
            <w:tcW w:w="2551" w:type="dxa"/>
            <w:vAlign w:val="center"/>
          </w:tcPr>
          <w:p>
            <w:pPr>
              <w:pStyle w:val="14"/>
            </w:pPr>
            <w:r>
              <w:t>≤274万元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企业满意数量占总数的比例。</w:t>
            </w: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40、中小企业扶持资金绩效目标表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1.通过为中小、民营企业提供的公共服务，提高融资担保规模，全县中小和民营企业规模数量及效益水平明显改善。</w:t>
            </w:r>
          </w:p>
          <w:p>
            <w:pPr>
              <w:pStyle w:val="14"/>
            </w:pPr>
            <w:r>
              <w:t>2.通过为中小企业提供专项资金和家庭手工业专项资金支持，促进企业减负，提升从业人员水平。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提供服务数量</w:t>
            </w:r>
          </w:p>
        </w:tc>
        <w:tc>
          <w:tcPr>
            <w:tcW w:w="2835" w:type="dxa"/>
            <w:vAlign w:val="center"/>
          </w:tcPr>
          <w:p>
            <w:pPr>
              <w:pStyle w:val="14"/>
            </w:pPr>
            <w:r>
              <w:t>为中小、民营企业提供的中小企业“订单式”服务数量</w:t>
            </w:r>
          </w:p>
        </w:tc>
        <w:tc>
          <w:tcPr>
            <w:tcW w:w="2551" w:type="dxa"/>
            <w:vAlign w:val="center"/>
          </w:tcPr>
          <w:p>
            <w:pPr>
              <w:pStyle w:val="14"/>
            </w:pPr>
            <w:r>
              <w:t>≥2家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申请专项资金企业数量</w:t>
            </w:r>
          </w:p>
        </w:tc>
        <w:tc>
          <w:tcPr>
            <w:tcW w:w="2835" w:type="dxa"/>
            <w:vAlign w:val="center"/>
          </w:tcPr>
          <w:p>
            <w:pPr>
              <w:pStyle w:val="14"/>
            </w:pPr>
            <w:r>
              <w:t>发放中小企业专项资金企业数量</w:t>
            </w:r>
          </w:p>
        </w:tc>
        <w:tc>
          <w:tcPr>
            <w:tcW w:w="2551" w:type="dxa"/>
            <w:vAlign w:val="center"/>
          </w:tcPr>
          <w:p>
            <w:pPr>
              <w:pStyle w:val="14"/>
            </w:pPr>
            <w:r>
              <w:t>≥5家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申请专项资金家庭数量</w:t>
            </w:r>
          </w:p>
        </w:tc>
        <w:tc>
          <w:tcPr>
            <w:tcW w:w="2835" w:type="dxa"/>
            <w:vAlign w:val="center"/>
          </w:tcPr>
          <w:p>
            <w:pPr>
              <w:pStyle w:val="14"/>
            </w:pPr>
            <w:r>
              <w:t>发放家庭手工业专项资金家庭数量</w:t>
            </w:r>
          </w:p>
        </w:tc>
        <w:tc>
          <w:tcPr>
            <w:tcW w:w="2551" w:type="dxa"/>
            <w:vAlign w:val="center"/>
          </w:tcPr>
          <w:p>
            <w:pPr>
              <w:pStyle w:val="14"/>
            </w:pPr>
            <w:r>
              <w:t>≥2家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增加担保企业规模</w:t>
            </w:r>
          </w:p>
        </w:tc>
        <w:tc>
          <w:tcPr>
            <w:tcW w:w="2835" w:type="dxa"/>
            <w:vAlign w:val="center"/>
          </w:tcPr>
          <w:p>
            <w:pPr>
              <w:pStyle w:val="14"/>
            </w:pPr>
            <w:r>
              <w:t>增加提供担保企业数量</w:t>
            </w:r>
          </w:p>
        </w:tc>
        <w:tc>
          <w:tcPr>
            <w:tcW w:w="2551" w:type="dxa"/>
            <w:vAlign w:val="center"/>
          </w:tcPr>
          <w:p>
            <w:pPr>
              <w:pStyle w:val="14"/>
            </w:pPr>
            <w:r>
              <w:t>≥1家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支持产业合作活动次数</w:t>
            </w:r>
          </w:p>
        </w:tc>
        <w:tc>
          <w:tcPr>
            <w:tcW w:w="2835" w:type="dxa"/>
            <w:vAlign w:val="center"/>
          </w:tcPr>
          <w:p>
            <w:pPr>
              <w:pStyle w:val="14"/>
            </w:pPr>
            <w:r>
              <w:t>支持县内成长型区域特色产业合作活动次数</w:t>
            </w:r>
          </w:p>
        </w:tc>
        <w:tc>
          <w:tcPr>
            <w:tcW w:w="2551" w:type="dxa"/>
            <w:vAlign w:val="center"/>
          </w:tcPr>
          <w:p>
            <w:pPr>
              <w:pStyle w:val="14"/>
            </w:pPr>
            <w:r>
              <w:t>≥10次</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中小企业“订单式”服务</w:t>
            </w:r>
          </w:p>
        </w:tc>
        <w:tc>
          <w:tcPr>
            <w:tcW w:w="2835" w:type="dxa"/>
            <w:vAlign w:val="center"/>
          </w:tcPr>
          <w:p>
            <w:pPr>
              <w:pStyle w:val="14"/>
            </w:pPr>
            <w:r>
              <w:t>中小企业“订单式”服务活动完成率</w:t>
            </w:r>
          </w:p>
        </w:tc>
        <w:tc>
          <w:tcPr>
            <w:tcW w:w="2551" w:type="dxa"/>
            <w:vAlign w:val="center"/>
          </w:tcPr>
          <w:p>
            <w:pPr>
              <w:pStyle w:val="14"/>
            </w:pPr>
            <w:r>
              <w:t>≥90%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发放专项资金合规性</w:t>
            </w:r>
          </w:p>
        </w:tc>
        <w:tc>
          <w:tcPr>
            <w:tcW w:w="2835" w:type="dxa"/>
            <w:vAlign w:val="center"/>
          </w:tcPr>
          <w:p>
            <w:pPr>
              <w:pStyle w:val="14"/>
            </w:pPr>
            <w:r>
              <w:t>发放中小企业专项资金和家庭手工业专项资金的申请、发放、监管均符合相应的申报指南及专项资金管理办法</w:t>
            </w:r>
          </w:p>
        </w:tc>
        <w:tc>
          <w:tcPr>
            <w:tcW w:w="2551" w:type="dxa"/>
            <w:vAlign w:val="center"/>
          </w:tcPr>
          <w:p>
            <w:pPr>
              <w:pStyle w:val="14"/>
            </w:pPr>
            <w:r>
              <w:t>≥90%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不良担保贷款比率</w:t>
            </w:r>
          </w:p>
        </w:tc>
        <w:tc>
          <w:tcPr>
            <w:tcW w:w="2835" w:type="dxa"/>
            <w:vAlign w:val="center"/>
          </w:tcPr>
          <w:p>
            <w:pPr>
              <w:pStyle w:val="14"/>
            </w:pPr>
            <w:r>
              <w:t>不良担保贷款企业占所有担保贷款企业比例</w:t>
            </w:r>
          </w:p>
        </w:tc>
        <w:tc>
          <w:tcPr>
            <w:tcW w:w="2551" w:type="dxa"/>
            <w:vAlign w:val="center"/>
          </w:tcPr>
          <w:p>
            <w:pPr>
              <w:pStyle w:val="14"/>
            </w:pPr>
            <w:r>
              <w:t>≤1%</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认真按照中小企业扶持工作计划年度内完成工作</w:t>
            </w:r>
          </w:p>
        </w:tc>
        <w:tc>
          <w:tcPr>
            <w:tcW w:w="2551" w:type="dxa"/>
            <w:vAlign w:val="center"/>
          </w:tcPr>
          <w:p>
            <w:pPr>
              <w:pStyle w:val="14"/>
            </w:pPr>
            <w:r>
              <w:t>2022年12月前</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组织中小企业对外交流费用</w:t>
            </w:r>
          </w:p>
        </w:tc>
        <w:tc>
          <w:tcPr>
            <w:tcW w:w="2835" w:type="dxa"/>
            <w:vAlign w:val="center"/>
          </w:tcPr>
          <w:p>
            <w:pPr>
              <w:pStyle w:val="14"/>
            </w:pPr>
            <w:r>
              <w:t>组织中小企业对外交流与合作的活动费用</w:t>
            </w:r>
          </w:p>
        </w:tc>
        <w:tc>
          <w:tcPr>
            <w:tcW w:w="2551" w:type="dxa"/>
            <w:vAlign w:val="center"/>
          </w:tcPr>
          <w:p>
            <w:pPr>
              <w:pStyle w:val="14"/>
            </w:pPr>
            <w:r>
              <w:t>≤10万元</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企业规模及效益水平</w:t>
            </w:r>
          </w:p>
        </w:tc>
        <w:tc>
          <w:tcPr>
            <w:tcW w:w="2835" w:type="dxa"/>
            <w:vAlign w:val="center"/>
          </w:tcPr>
          <w:p>
            <w:pPr>
              <w:pStyle w:val="14"/>
            </w:pPr>
            <w:r>
              <w:t>全县中小和民营企业规模数量及效益水平</w:t>
            </w:r>
          </w:p>
        </w:tc>
        <w:tc>
          <w:tcPr>
            <w:tcW w:w="2551" w:type="dxa"/>
            <w:vAlign w:val="center"/>
          </w:tcPr>
          <w:p>
            <w:pPr>
              <w:pStyle w:val="14"/>
            </w:pPr>
            <w:r>
              <w:t>≥5%</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企业负担下降</w:t>
            </w:r>
          </w:p>
        </w:tc>
        <w:tc>
          <w:tcPr>
            <w:tcW w:w="2835" w:type="dxa"/>
            <w:vAlign w:val="center"/>
          </w:tcPr>
          <w:p>
            <w:pPr>
              <w:pStyle w:val="14"/>
            </w:pPr>
            <w:r>
              <w:t>对于申领到专项资金的中小企业及家庭手工作坊的负担</w:t>
            </w:r>
          </w:p>
        </w:tc>
        <w:tc>
          <w:tcPr>
            <w:tcW w:w="2551" w:type="dxa"/>
            <w:vAlign w:val="center"/>
          </w:tcPr>
          <w:p>
            <w:pPr>
              <w:pStyle w:val="14"/>
            </w:pPr>
            <w:r>
              <w:t>≥10%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促进企业持续发展时限</w:t>
            </w:r>
          </w:p>
        </w:tc>
        <w:tc>
          <w:tcPr>
            <w:tcW w:w="2835" w:type="dxa"/>
            <w:vAlign w:val="center"/>
          </w:tcPr>
          <w:p>
            <w:pPr>
              <w:pStyle w:val="14"/>
            </w:pPr>
            <w:r>
              <w:t>不断扩大中小、民营企业及家庭手工作坊的可持续影响，促使企业逐渐发展</w:t>
            </w:r>
          </w:p>
        </w:tc>
        <w:tc>
          <w:tcPr>
            <w:tcW w:w="2551" w:type="dxa"/>
            <w:vAlign w:val="center"/>
          </w:tcPr>
          <w:p>
            <w:pPr>
              <w:pStyle w:val="14"/>
            </w:pPr>
            <w:r>
              <w:t>≥3年</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调查受益企业中满意企业数占全部受益企业数的比率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41、中小企业扶持资金绩效目标表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6.通过为中小、民营企业提供的公共服务，提高融资担保规模，全县中小和民营企业规模数量及效益水平明显改善。</w:t>
            </w:r>
          </w:p>
          <w:p>
            <w:pPr>
              <w:pStyle w:val="14"/>
            </w:pPr>
            <w:r>
              <w:t>7.通过为中小企业提供专项资金和家庭手工业专项资金支持，促进企业减负，提升从业人员水平。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提供服务数量</w:t>
            </w:r>
          </w:p>
        </w:tc>
        <w:tc>
          <w:tcPr>
            <w:tcW w:w="2835" w:type="dxa"/>
            <w:vAlign w:val="center"/>
          </w:tcPr>
          <w:p>
            <w:pPr>
              <w:pStyle w:val="14"/>
            </w:pPr>
            <w:r>
              <w:t>为中小、民营企业提供的中小企业“订单式”服务数量</w:t>
            </w:r>
          </w:p>
        </w:tc>
        <w:tc>
          <w:tcPr>
            <w:tcW w:w="2551" w:type="dxa"/>
            <w:vAlign w:val="center"/>
          </w:tcPr>
          <w:p>
            <w:pPr>
              <w:pStyle w:val="14"/>
            </w:pPr>
            <w:r>
              <w:t>≥2家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申请专项资金企业数量</w:t>
            </w:r>
          </w:p>
        </w:tc>
        <w:tc>
          <w:tcPr>
            <w:tcW w:w="2835" w:type="dxa"/>
            <w:vAlign w:val="center"/>
          </w:tcPr>
          <w:p>
            <w:pPr>
              <w:pStyle w:val="14"/>
            </w:pPr>
            <w:r>
              <w:t>发放中小企业专项资金企业数量</w:t>
            </w:r>
          </w:p>
        </w:tc>
        <w:tc>
          <w:tcPr>
            <w:tcW w:w="2551" w:type="dxa"/>
            <w:vAlign w:val="center"/>
          </w:tcPr>
          <w:p>
            <w:pPr>
              <w:pStyle w:val="14"/>
            </w:pPr>
            <w:r>
              <w:t>≥5家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申请专项资金家庭数量</w:t>
            </w:r>
          </w:p>
        </w:tc>
        <w:tc>
          <w:tcPr>
            <w:tcW w:w="2835" w:type="dxa"/>
            <w:vAlign w:val="center"/>
          </w:tcPr>
          <w:p>
            <w:pPr>
              <w:pStyle w:val="14"/>
            </w:pPr>
            <w:r>
              <w:t>发放家庭手工业专项资金家庭数量</w:t>
            </w:r>
          </w:p>
        </w:tc>
        <w:tc>
          <w:tcPr>
            <w:tcW w:w="2551" w:type="dxa"/>
            <w:vAlign w:val="center"/>
          </w:tcPr>
          <w:p>
            <w:pPr>
              <w:pStyle w:val="14"/>
            </w:pPr>
            <w:r>
              <w:t>≥2家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增加担保企业规模</w:t>
            </w:r>
          </w:p>
        </w:tc>
        <w:tc>
          <w:tcPr>
            <w:tcW w:w="2835" w:type="dxa"/>
            <w:vAlign w:val="center"/>
          </w:tcPr>
          <w:p>
            <w:pPr>
              <w:pStyle w:val="14"/>
            </w:pPr>
            <w:r>
              <w:t>增加提供担保企业数量</w:t>
            </w:r>
          </w:p>
        </w:tc>
        <w:tc>
          <w:tcPr>
            <w:tcW w:w="2551" w:type="dxa"/>
            <w:vAlign w:val="center"/>
          </w:tcPr>
          <w:p>
            <w:pPr>
              <w:pStyle w:val="14"/>
            </w:pPr>
            <w:r>
              <w:t>≥1家</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支持产业合作活动次数</w:t>
            </w:r>
          </w:p>
        </w:tc>
        <w:tc>
          <w:tcPr>
            <w:tcW w:w="2835" w:type="dxa"/>
            <w:vAlign w:val="center"/>
          </w:tcPr>
          <w:p>
            <w:pPr>
              <w:pStyle w:val="14"/>
            </w:pPr>
            <w:r>
              <w:t>支持县内成长型区域特色产业合作活动次数</w:t>
            </w:r>
          </w:p>
        </w:tc>
        <w:tc>
          <w:tcPr>
            <w:tcW w:w="2551" w:type="dxa"/>
            <w:vAlign w:val="center"/>
          </w:tcPr>
          <w:p>
            <w:pPr>
              <w:pStyle w:val="14"/>
            </w:pPr>
            <w:r>
              <w:t>≥10次</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中小企业“订单式”服务</w:t>
            </w:r>
          </w:p>
        </w:tc>
        <w:tc>
          <w:tcPr>
            <w:tcW w:w="2835" w:type="dxa"/>
            <w:vAlign w:val="center"/>
          </w:tcPr>
          <w:p>
            <w:pPr>
              <w:pStyle w:val="14"/>
            </w:pPr>
            <w:r>
              <w:t>中小企业“订单式”服务活动完成率</w:t>
            </w:r>
          </w:p>
        </w:tc>
        <w:tc>
          <w:tcPr>
            <w:tcW w:w="2551" w:type="dxa"/>
            <w:vAlign w:val="center"/>
          </w:tcPr>
          <w:p>
            <w:pPr>
              <w:pStyle w:val="14"/>
            </w:pPr>
            <w:r>
              <w:t>≥90%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发放专项资金合规性</w:t>
            </w:r>
          </w:p>
        </w:tc>
        <w:tc>
          <w:tcPr>
            <w:tcW w:w="2835" w:type="dxa"/>
            <w:vAlign w:val="center"/>
          </w:tcPr>
          <w:p>
            <w:pPr>
              <w:pStyle w:val="14"/>
            </w:pPr>
            <w:r>
              <w:t>发放中小企业专项资金和家庭手工业专项资金的申请、发放、监管均符合相应的申报指南及专项资金管理办法</w:t>
            </w:r>
          </w:p>
        </w:tc>
        <w:tc>
          <w:tcPr>
            <w:tcW w:w="2551" w:type="dxa"/>
            <w:vAlign w:val="center"/>
          </w:tcPr>
          <w:p>
            <w:pPr>
              <w:pStyle w:val="14"/>
            </w:pPr>
            <w:r>
              <w:t>≥90%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不良担保贷款比率</w:t>
            </w:r>
          </w:p>
        </w:tc>
        <w:tc>
          <w:tcPr>
            <w:tcW w:w="2835" w:type="dxa"/>
            <w:vAlign w:val="center"/>
          </w:tcPr>
          <w:p>
            <w:pPr>
              <w:pStyle w:val="14"/>
            </w:pPr>
            <w:r>
              <w:t>不良担保贷款企业占所有担保贷款企业比例</w:t>
            </w:r>
          </w:p>
        </w:tc>
        <w:tc>
          <w:tcPr>
            <w:tcW w:w="2551" w:type="dxa"/>
            <w:vAlign w:val="center"/>
          </w:tcPr>
          <w:p>
            <w:pPr>
              <w:pStyle w:val="14"/>
            </w:pPr>
            <w:r>
              <w:t>≤1%</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认真按照中小企业扶持工作计划年度内完成工作</w:t>
            </w:r>
          </w:p>
        </w:tc>
        <w:tc>
          <w:tcPr>
            <w:tcW w:w="2551" w:type="dxa"/>
            <w:vAlign w:val="center"/>
          </w:tcPr>
          <w:p>
            <w:pPr>
              <w:pStyle w:val="14"/>
            </w:pPr>
            <w:r>
              <w:t>2023年12月前</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组织中小企业对外交流费用</w:t>
            </w:r>
          </w:p>
        </w:tc>
        <w:tc>
          <w:tcPr>
            <w:tcW w:w="2835" w:type="dxa"/>
            <w:vAlign w:val="center"/>
          </w:tcPr>
          <w:p>
            <w:pPr>
              <w:pStyle w:val="14"/>
            </w:pPr>
            <w:r>
              <w:t>组织中小企业对外交流与合作的活动费用</w:t>
            </w:r>
          </w:p>
        </w:tc>
        <w:tc>
          <w:tcPr>
            <w:tcW w:w="2551" w:type="dxa"/>
            <w:vAlign w:val="center"/>
          </w:tcPr>
          <w:p>
            <w:pPr>
              <w:pStyle w:val="14"/>
            </w:pPr>
            <w:r>
              <w:t>≤500万元</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企业规模及效益水平</w:t>
            </w:r>
          </w:p>
        </w:tc>
        <w:tc>
          <w:tcPr>
            <w:tcW w:w="2835" w:type="dxa"/>
            <w:vAlign w:val="center"/>
          </w:tcPr>
          <w:p>
            <w:pPr>
              <w:pStyle w:val="14"/>
            </w:pPr>
            <w:r>
              <w:t>全县中小和民营企业规模数量及效益水平</w:t>
            </w:r>
          </w:p>
        </w:tc>
        <w:tc>
          <w:tcPr>
            <w:tcW w:w="2551" w:type="dxa"/>
            <w:vAlign w:val="center"/>
          </w:tcPr>
          <w:p>
            <w:pPr>
              <w:pStyle w:val="14"/>
            </w:pPr>
            <w:r>
              <w:t>≥5%</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企业负担下降</w:t>
            </w:r>
          </w:p>
        </w:tc>
        <w:tc>
          <w:tcPr>
            <w:tcW w:w="2835" w:type="dxa"/>
            <w:vAlign w:val="center"/>
          </w:tcPr>
          <w:p>
            <w:pPr>
              <w:pStyle w:val="14"/>
            </w:pPr>
            <w:r>
              <w:t>对于申领到专项资金的中小企业及家庭手工作坊的负担</w:t>
            </w:r>
          </w:p>
        </w:tc>
        <w:tc>
          <w:tcPr>
            <w:tcW w:w="2551" w:type="dxa"/>
            <w:vAlign w:val="center"/>
          </w:tcPr>
          <w:p>
            <w:pPr>
              <w:pStyle w:val="14"/>
            </w:pPr>
            <w:r>
              <w:t>≥10%</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促进企业持续发展时限</w:t>
            </w:r>
          </w:p>
        </w:tc>
        <w:tc>
          <w:tcPr>
            <w:tcW w:w="2835" w:type="dxa"/>
            <w:vAlign w:val="center"/>
          </w:tcPr>
          <w:p>
            <w:pPr>
              <w:pStyle w:val="14"/>
            </w:pPr>
            <w:r>
              <w:t>不断扩大中小、民营企业及家庭手工作坊的可持续影响，促使企业逐渐发展</w:t>
            </w:r>
          </w:p>
        </w:tc>
        <w:tc>
          <w:tcPr>
            <w:tcW w:w="2551" w:type="dxa"/>
            <w:vAlign w:val="center"/>
          </w:tcPr>
          <w:p>
            <w:pPr>
              <w:pStyle w:val="14"/>
            </w:pPr>
            <w:r>
              <w:t>≥3年</w:t>
            </w:r>
          </w:p>
        </w:tc>
        <w:tc>
          <w:tcPr>
            <w:tcW w:w="2268" w:type="dxa"/>
            <w:vAlign w:val="center"/>
          </w:tcPr>
          <w:p>
            <w:pPr>
              <w:pStyle w:val="14"/>
            </w:pPr>
            <w:r>
              <w:t>中小企业扶持工作计划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调查受益企业中满意企业数占全部受益企业数的比率</w:t>
            </w:r>
          </w:p>
        </w:tc>
        <w:tc>
          <w:tcPr>
            <w:tcW w:w="2551" w:type="dxa"/>
            <w:vAlign w:val="center"/>
          </w:tcPr>
          <w:p>
            <w:pPr>
              <w:pStyle w:val="14"/>
            </w:pPr>
            <w:r>
              <w:t>≥95%</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2023年青龙满族自治县发展和改革局本级安排政府采购预算0.00万元。具体内容见下表。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单位资金</w:t>
            </w:r>
          </w:p>
        </w:tc>
        <w:tc>
          <w:tcPr>
            <w:tcW w:w="964" w:type="dxa"/>
            <w:vAlign w:val="center"/>
          </w:tcPr>
          <w:p>
            <w:pPr>
              <w:pStyle w:val="12"/>
            </w:pPr>
            <w:r>
              <w:t>财政拨款结转</w:t>
            </w:r>
          </w:p>
        </w:tc>
        <w:tc>
          <w:tcPr>
            <w:tcW w:w="964" w:type="dxa"/>
            <w:vAlign w:val="center"/>
          </w:tcPr>
          <w:p>
            <w:pPr>
              <w:pStyle w:val="12"/>
            </w:pPr>
            <w: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青龙满族自治县发展和改革局本级上年末固定资产金额为</w:t>
      </w:r>
      <w:r>
        <w:rPr>
          <w:rFonts w:hint="eastAsia" w:eastAsia="方正仿宋_GBK"/>
          <w:color w:val="000000"/>
          <w:sz w:val="28"/>
          <w:lang w:eastAsia="zh-CN"/>
        </w:rPr>
        <w:t>1880.34</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303001青龙满族自治县发展和改革局本级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项目</w:t>
            </w:r>
          </w:p>
        </w:tc>
        <w:tc>
          <w:tcPr>
            <w:tcW w:w="2835" w:type="dxa"/>
            <w:vAlign w:val="center"/>
          </w:tcPr>
          <w:p>
            <w:pPr>
              <w:pStyle w:val="12"/>
            </w:pPr>
            <w:r>
              <w:t>数量</w:t>
            </w:r>
          </w:p>
        </w:tc>
        <w:tc>
          <w:tcPr>
            <w:tcW w:w="2835" w:type="dxa"/>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lang w:eastAsia="zh-CN"/>
              </w:rPr>
            </w:pPr>
            <w:r>
              <w:rPr>
                <w:rFonts w:hint="eastAsia"/>
                <w:lang w:eastAsia="zh-CN"/>
              </w:rPr>
              <w:t>1880.34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rPr>
                <w:lang w:eastAsia="zh-CN"/>
              </w:rPr>
            </w:pPr>
            <w:r>
              <w:rPr>
                <w:rFonts w:hint="eastAsia"/>
                <w:lang w:eastAsia="zh-CN"/>
              </w:rPr>
              <w:t>1767.09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lang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53.52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lang w:eastAsia="zh-CN"/>
              </w:rPr>
            </w:pPr>
            <w:r>
              <w:rPr>
                <w:rFonts w:hint="eastAsia"/>
                <w:lang w:eastAsia="zh-CN"/>
              </w:rPr>
              <w:t>59.73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74</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74</w:t>
                    </w:r>
                    <w:r>
                      <w:rPr>
                        <w:rFonts w:hint="eastAsia"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2790"/>
    <w:multiLevelType w:val="singleLevel"/>
    <w:tmpl w:val="8E822790"/>
    <w:lvl w:ilvl="0" w:tentative="0">
      <w:start w:val="5"/>
      <w:numFmt w:val="chineseCounting"/>
      <w:suff w:val="nothing"/>
      <w:lvlText w:val="%1、"/>
      <w:lvlJc w:val="left"/>
      <w:rPr>
        <w:rFonts w:hint="eastAsia"/>
      </w:rPr>
    </w:lvl>
  </w:abstractNum>
  <w:abstractNum w:abstractNumId="1">
    <w:nsid w:val="A9386F7A"/>
    <w:multiLevelType w:val="singleLevel"/>
    <w:tmpl w:val="A9386F7A"/>
    <w:lvl w:ilvl="0" w:tentative="0">
      <w:start w:val="4"/>
      <w:numFmt w:val="chineseCounting"/>
      <w:suff w:val="nothing"/>
      <w:lvlText w:val="%1、"/>
      <w:lvlJc w:val="left"/>
      <w:rPr>
        <w:rFonts w:hint="eastAsia"/>
      </w:rPr>
    </w:lvl>
  </w:abstractNum>
  <w:abstractNum w:abstractNumId="2">
    <w:nsid w:val="BE4FFFD1"/>
    <w:multiLevelType w:val="singleLevel"/>
    <w:tmpl w:val="BE4FFFD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jhkMWZlMjc2YTZkM2IyNGMzMmM5MDMzNzE1NDEifQ=="/>
  </w:docVars>
  <w:rsids>
    <w:rsidRoot w:val="00B14BB1"/>
    <w:rsid w:val="00096BE9"/>
    <w:rsid w:val="001C2701"/>
    <w:rsid w:val="003F0A7A"/>
    <w:rsid w:val="00467417"/>
    <w:rsid w:val="00502018"/>
    <w:rsid w:val="00A616EC"/>
    <w:rsid w:val="00AA54D6"/>
    <w:rsid w:val="00B14BB1"/>
    <w:rsid w:val="00CA089F"/>
    <w:rsid w:val="00DB4944"/>
    <w:rsid w:val="00DF33CE"/>
    <w:rsid w:val="016C7AA6"/>
    <w:rsid w:val="06A218AD"/>
    <w:rsid w:val="07574B84"/>
    <w:rsid w:val="07BB5C2F"/>
    <w:rsid w:val="08AE10B0"/>
    <w:rsid w:val="08E85097"/>
    <w:rsid w:val="0A4B56A8"/>
    <w:rsid w:val="0B9E1D59"/>
    <w:rsid w:val="0CAE0785"/>
    <w:rsid w:val="11F00504"/>
    <w:rsid w:val="123E1CEC"/>
    <w:rsid w:val="12B324A7"/>
    <w:rsid w:val="13536009"/>
    <w:rsid w:val="196309C0"/>
    <w:rsid w:val="1C2F25F6"/>
    <w:rsid w:val="1C9878C1"/>
    <w:rsid w:val="1D172898"/>
    <w:rsid w:val="1DA52F01"/>
    <w:rsid w:val="1E3A1FE6"/>
    <w:rsid w:val="214B36B8"/>
    <w:rsid w:val="26B91CE3"/>
    <w:rsid w:val="26BD63BB"/>
    <w:rsid w:val="276A66E9"/>
    <w:rsid w:val="2AEA6C6B"/>
    <w:rsid w:val="2BA020A1"/>
    <w:rsid w:val="2D277ED8"/>
    <w:rsid w:val="2E5269AD"/>
    <w:rsid w:val="2E6F25CF"/>
    <w:rsid w:val="2EB04D34"/>
    <w:rsid w:val="2EE07DE2"/>
    <w:rsid w:val="2FD15053"/>
    <w:rsid w:val="3112096E"/>
    <w:rsid w:val="332D0299"/>
    <w:rsid w:val="34EA3E6F"/>
    <w:rsid w:val="380809DD"/>
    <w:rsid w:val="3D381D6D"/>
    <w:rsid w:val="3FF93AC9"/>
    <w:rsid w:val="41F11E8A"/>
    <w:rsid w:val="43222C4F"/>
    <w:rsid w:val="456D2FD8"/>
    <w:rsid w:val="4A835FE1"/>
    <w:rsid w:val="4D596B75"/>
    <w:rsid w:val="4D9630A2"/>
    <w:rsid w:val="501C5F9C"/>
    <w:rsid w:val="50697952"/>
    <w:rsid w:val="50CD3D9F"/>
    <w:rsid w:val="523B1141"/>
    <w:rsid w:val="52B62D8A"/>
    <w:rsid w:val="538232D9"/>
    <w:rsid w:val="54035DAD"/>
    <w:rsid w:val="54D04BDC"/>
    <w:rsid w:val="56327B8C"/>
    <w:rsid w:val="581C117E"/>
    <w:rsid w:val="59685856"/>
    <w:rsid w:val="5ACF311A"/>
    <w:rsid w:val="5B3F588E"/>
    <w:rsid w:val="5B4B095D"/>
    <w:rsid w:val="5CD97811"/>
    <w:rsid w:val="5F430EE7"/>
    <w:rsid w:val="60551CBF"/>
    <w:rsid w:val="61A22868"/>
    <w:rsid w:val="639D5F0D"/>
    <w:rsid w:val="63EE1AFD"/>
    <w:rsid w:val="66C5219D"/>
    <w:rsid w:val="67880869"/>
    <w:rsid w:val="68774F7F"/>
    <w:rsid w:val="6BA9447D"/>
    <w:rsid w:val="6BE57412"/>
    <w:rsid w:val="6D8904C6"/>
    <w:rsid w:val="6E596328"/>
    <w:rsid w:val="71922314"/>
    <w:rsid w:val="71DD07F7"/>
    <w:rsid w:val="74EB67DB"/>
    <w:rsid w:val="76116232"/>
    <w:rsid w:val="789F24C8"/>
    <w:rsid w:val="79440C5A"/>
    <w:rsid w:val="79870F34"/>
    <w:rsid w:val="79DA78F8"/>
    <w:rsid w:val="79FB6BD6"/>
    <w:rsid w:val="7B6F1AE6"/>
    <w:rsid w:val="7D46647A"/>
    <w:rsid w:val="7E5C5D86"/>
    <w:rsid w:val="7EDA09F9"/>
    <w:rsid w:val="7F0556DE"/>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7"/>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6152</Words>
  <Characters>35067</Characters>
  <Lines>292</Lines>
  <Paragraphs>82</Paragraphs>
  <TotalTime>10</TotalTime>
  <ScaleCrop>false</ScaleCrop>
  <LinksUpToDate>false</LinksUpToDate>
  <CharactersWithSpaces>41137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2023-02-22T02:02:00Z</dcterms:created>
  <dc:creator>AutoBVT</dc:creator>
  <cp:lastModifiedBy>Administrator</cp:lastModifiedBy>
  <dcterms:modified xsi:type="dcterms:W3CDTF">2024-01-23T03:26:25Z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0F27A77257584ACDB9AF86D6AECA996B_13</vt:lpwstr>
  </property>
</Properties>
</file>