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69</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642.05</w:t>
            </w:r>
          </w:p>
        </w:tc>
        <w:tc>
          <w:tcPr>
            <w:tcW w:w="4535" w:type="dxa"/>
            <w:vAlign w:val="center"/>
          </w:tcPr>
          <w:p>
            <w:pPr>
              <w:pStyle w:val="13"/>
            </w:pPr>
            <w:r>
              <w:t>一、一般公共服务支出</w:t>
            </w:r>
          </w:p>
        </w:tc>
        <w:tc>
          <w:tcPr>
            <w:tcW w:w="2126" w:type="dxa"/>
            <w:vAlign w:val="center"/>
          </w:tcPr>
          <w:p>
            <w:pPr>
              <w:pStyle w:val="12"/>
            </w:pPr>
            <w:r>
              <w:t>481.32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128.01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642.05</w:t>
            </w:r>
          </w:p>
        </w:tc>
        <w:tc>
          <w:tcPr>
            <w:tcW w:w="4535" w:type="dxa"/>
            <w:vAlign w:val="center"/>
          </w:tcPr>
          <w:p>
            <w:pPr>
              <w:pStyle w:val="15"/>
            </w:pPr>
            <w:r>
              <w:t>本年支出合计</w:t>
            </w:r>
          </w:p>
        </w:tc>
        <w:tc>
          <w:tcPr>
            <w:tcW w:w="2126" w:type="dxa"/>
            <w:vAlign w:val="center"/>
          </w:tcPr>
          <w:p>
            <w:pPr>
              <w:pStyle w:val="16"/>
            </w:pPr>
            <w:r>
              <w:t>837.75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195.70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837.75</w:t>
            </w:r>
          </w:p>
        </w:tc>
        <w:tc>
          <w:tcPr>
            <w:tcW w:w="4535" w:type="dxa"/>
            <w:vAlign w:val="center"/>
          </w:tcPr>
          <w:p>
            <w:pPr>
              <w:pStyle w:val="15"/>
            </w:pPr>
            <w:r>
              <w:t>支出总计</w:t>
            </w:r>
          </w:p>
        </w:tc>
        <w:tc>
          <w:tcPr>
            <w:tcW w:w="2126" w:type="dxa"/>
            <w:vAlign w:val="center"/>
          </w:tcPr>
          <w:p>
            <w:pPr>
              <w:pStyle w:val="16"/>
            </w:pPr>
            <w:r>
              <w:t>837.75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837.75</w:t>
            </w:r>
          </w:p>
        </w:tc>
        <w:tc>
          <w:tcPr>
            <w:tcW w:w="1134" w:type="dxa"/>
            <w:vAlign w:val="center"/>
          </w:tcPr>
          <w:p>
            <w:pPr>
              <w:pStyle w:val="16"/>
            </w:pPr>
            <w:r>
              <w:t>642.05</w:t>
            </w:r>
          </w:p>
        </w:tc>
        <w:tc>
          <w:tcPr>
            <w:tcW w:w="1134" w:type="dxa"/>
            <w:vAlign w:val="center"/>
          </w:tcPr>
          <w:p>
            <w:pPr>
              <w:pStyle w:val="16"/>
            </w:pPr>
            <w:r>
              <w:t>642.05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195.70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481.32</w:t>
            </w:r>
          </w:p>
        </w:tc>
        <w:tc>
          <w:tcPr>
            <w:tcW w:w="1134" w:type="dxa"/>
            <w:vAlign w:val="center"/>
          </w:tcPr>
          <w:p>
            <w:pPr>
              <w:pStyle w:val="12"/>
            </w:pPr>
            <w:r>
              <w:t>472.98</w:t>
            </w:r>
          </w:p>
        </w:tc>
        <w:tc>
          <w:tcPr>
            <w:tcW w:w="1134" w:type="dxa"/>
            <w:vAlign w:val="center"/>
          </w:tcPr>
          <w:p>
            <w:pPr>
              <w:pStyle w:val="12"/>
            </w:pPr>
            <w:r>
              <w:t>472.98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r>
              <w:t>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477.82</w:t>
            </w:r>
          </w:p>
        </w:tc>
        <w:tc>
          <w:tcPr>
            <w:tcW w:w="1134" w:type="dxa"/>
            <w:vAlign w:val="center"/>
          </w:tcPr>
          <w:p>
            <w:pPr>
              <w:pStyle w:val="12"/>
            </w:pPr>
            <w:r>
              <w:t>469.48</w:t>
            </w:r>
          </w:p>
        </w:tc>
        <w:tc>
          <w:tcPr>
            <w:tcW w:w="1134" w:type="dxa"/>
            <w:vAlign w:val="center"/>
          </w:tcPr>
          <w:p>
            <w:pPr>
              <w:pStyle w:val="12"/>
            </w:pPr>
            <w:r>
              <w:t>469.48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286.43</w:t>
            </w:r>
          </w:p>
        </w:tc>
        <w:tc>
          <w:tcPr>
            <w:tcW w:w="1134" w:type="dxa"/>
            <w:vAlign w:val="center"/>
          </w:tcPr>
          <w:p>
            <w:pPr>
              <w:pStyle w:val="12"/>
            </w:pPr>
            <w:r>
              <w:t>278.08</w:t>
            </w:r>
          </w:p>
        </w:tc>
        <w:tc>
          <w:tcPr>
            <w:tcW w:w="1134" w:type="dxa"/>
            <w:vAlign w:val="center"/>
          </w:tcPr>
          <w:p>
            <w:pPr>
              <w:pStyle w:val="12"/>
            </w:pPr>
            <w:r>
              <w:t>278.08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188.40</w:t>
            </w:r>
          </w:p>
        </w:tc>
        <w:tc>
          <w:tcPr>
            <w:tcW w:w="1134" w:type="dxa"/>
            <w:vAlign w:val="center"/>
          </w:tcPr>
          <w:p>
            <w:pPr>
              <w:pStyle w:val="12"/>
            </w:pPr>
            <w:r>
              <w:t>188.40</w:t>
            </w:r>
          </w:p>
        </w:tc>
        <w:tc>
          <w:tcPr>
            <w:tcW w:w="1134" w:type="dxa"/>
            <w:vAlign w:val="center"/>
          </w:tcPr>
          <w:p>
            <w:pPr>
              <w:pStyle w:val="12"/>
            </w:pPr>
            <w:r>
              <w:t>188.40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128.01</w:t>
            </w:r>
          </w:p>
        </w:tc>
        <w:tc>
          <w:tcPr>
            <w:tcW w:w="1134" w:type="dxa"/>
            <w:vAlign w:val="center"/>
          </w:tcPr>
          <w:p>
            <w:pPr>
              <w:pStyle w:val="12"/>
            </w:pPr>
            <w:r>
              <w:t>78.67</w:t>
            </w:r>
          </w:p>
        </w:tc>
        <w:tc>
          <w:tcPr>
            <w:tcW w:w="1134" w:type="dxa"/>
            <w:vAlign w:val="center"/>
          </w:tcPr>
          <w:p>
            <w:pPr>
              <w:pStyle w:val="12"/>
            </w:pPr>
            <w:r>
              <w:t>78.67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73.94</w:t>
            </w:r>
          </w:p>
        </w:tc>
        <w:tc>
          <w:tcPr>
            <w:tcW w:w="1134" w:type="dxa"/>
            <w:vAlign w:val="center"/>
          </w:tcPr>
          <w:p>
            <w:pPr>
              <w:pStyle w:val="12"/>
            </w:pPr>
            <w:r>
              <w:t>73.94</w:t>
            </w:r>
          </w:p>
        </w:tc>
        <w:tc>
          <w:tcPr>
            <w:tcW w:w="1134" w:type="dxa"/>
            <w:vAlign w:val="center"/>
          </w:tcPr>
          <w:p>
            <w:pPr>
              <w:pStyle w:val="12"/>
            </w:pPr>
            <w:r>
              <w:t>73.94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13.63</w:t>
            </w:r>
          </w:p>
        </w:tc>
        <w:tc>
          <w:tcPr>
            <w:tcW w:w="1134" w:type="dxa"/>
            <w:vAlign w:val="center"/>
          </w:tcPr>
          <w:p>
            <w:pPr>
              <w:pStyle w:val="12"/>
            </w:pPr>
            <w:r>
              <w:t>13.63</w:t>
            </w:r>
          </w:p>
        </w:tc>
        <w:tc>
          <w:tcPr>
            <w:tcW w:w="1134" w:type="dxa"/>
            <w:vAlign w:val="center"/>
          </w:tcPr>
          <w:p>
            <w:pPr>
              <w:pStyle w:val="12"/>
            </w:pPr>
            <w:r>
              <w:t>13.63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0.20</w:t>
            </w:r>
          </w:p>
        </w:tc>
        <w:tc>
          <w:tcPr>
            <w:tcW w:w="1134" w:type="dxa"/>
            <w:vAlign w:val="center"/>
          </w:tcPr>
          <w:p>
            <w:pPr>
              <w:pStyle w:val="12"/>
            </w:pPr>
            <w:r>
              <w:t>0.20</w:t>
            </w:r>
          </w:p>
        </w:tc>
        <w:tc>
          <w:tcPr>
            <w:tcW w:w="1134" w:type="dxa"/>
            <w:vAlign w:val="center"/>
          </w:tcPr>
          <w:p>
            <w:pPr>
              <w:pStyle w:val="12"/>
            </w:pPr>
            <w:r>
              <w:t>0.20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60.12</w:t>
            </w:r>
          </w:p>
        </w:tc>
        <w:tc>
          <w:tcPr>
            <w:tcW w:w="1134" w:type="dxa"/>
            <w:vAlign w:val="center"/>
          </w:tcPr>
          <w:p>
            <w:pPr>
              <w:pStyle w:val="12"/>
            </w:pPr>
            <w:r>
              <w:t>60.12</w:t>
            </w:r>
          </w:p>
        </w:tc>
        <w:tc>
          <w:tcPr>
            <w:tcW w:w="1134" w:type="dxa"/>
            <w:vAlign w:val="center"/>
          </w:tcPr>
          <w:p>
            <w:pPr>
              <w:pStyle w:val="12"/>
            </w:pPr>
            <w:r>
              <w:t>60.12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54.07</w:t>
            </w:r>
          </w:p>
        </w:tc>
        <w:tc>
          <w:tcPr>
            <w:tcW w:w="1134" w:type="dxa"/>
            <w:vAlign w:val="center"/>
          </w:tcPr>
          <w:p>
            <w:pPr>
              <w:pStyle w:val="12"/>
            </w:pPr>
            <w:r>
              <w:t>4.73</w:t>
            </w:r>
          </w:p>
        </w:tc>
        <w:tc>
          <w:tcPr>
            <w:tcW w:w="1134" w:type="dxa"/>
            <w:vAlign w:val="center"/>
          </w:tcPr>
          <w:p>
            <w:pPr>
              <w:pStyle w:val="12"/>
            </w:pPr>
            <w:r>
              <w:t>4.73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49.35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4.73</w:t>
            </w:r>
          </w:p>
        </w:tc>
        <w:tc>
          <w:tcPr>
            <w:tcW w:w="1134" w:type="dxa"/>
            <w:vAlign w:val="center"/>
          </w:tcPr>
          <w:p>
            <w:pPr>
              <w:pStyle w:val="12"/>
            </w:pPr>
            <w:r>
              <w:t>4.73</w:t>
            </w:r>
          </w:p>
        </w:tc>
        <w:tc>
          <w:tcPr>
            <w:tcW w:w="1134" w:type="dxa"/>
            <w:vAlign w:val="center"/>
          </w:tcPr>
          <w:p>
            <w:pPr>
              <w:pStyle w:val="12"/>
            </w:pPr>
            <w:r>
              <w:t>4.73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34.40</w:t>
            </w:r>
          </w:p>
        </w:tc>
        <w:tc>
          <w:tcPr>
            <w:tcW w:w="1134" w:type="dxa"/>
            <w:vAlign w:val="center"/>
          </w:tcPr>
          <w:p>
            <w:pPr>
              <w:pStyle w:val="12"/>
            </w:pPr>
            <w:r>
              <w:t>34.40</w:t>
            </w:r>
          </w:p>
        </w:tc>
        <w:tc>
          <w:tcPr>
            <w:tcW w:w="1134" w:type="dxa"/>
            <w:vAlign w:val="center"/>
          </w:tcPr>
          <w:p>
            <w:pPr>
              <w:pStyle w:val="12"/>
            </w:pPr>
            <w:r>
              <w:t>34.40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0.39</w:t>
            </w:r>
          </w:p>
        </w:tc>
        <w:tc>
          <w:tcPr>
            <w:tcW w:w="1134" w:type="dxa"/>
            <w:vAlign w:val="center"/>
          </w:tcPr>
          <w:p>
            <w:pPr>
              <w:pStyle w:val="12"/>
            </w:pPr>
            <w:r>
              <w:t>0.39</w:t>
            </w:r>
          </w:p>
        </w:tc>
        <w:tc>
          <w:tcPr>
            <w:tcW w:w="1134" w:type="dxa"/>
            <w:vAlign w:val="center"/>
          </w:tcPr>
          <w:p>
            <w:pPr>
              <w:pStyle w:val="12"/>
            </w:pPr>
            <w:r>
              <w:t>0.39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0.39</w:t>
            </w:r>
          </w:p>
        </w:tc>
        <w:tc>
          <w:tcPr>
            <w:tcW w:w="1134" w:type="dxa"/>
            <w:vAlign w:val="center"/>
          </w:tcPr>
          <w:p>
            <w:pPr>
              <w:pStyle w:val="12"/>
            </w:pPr>
            <w:r>
              <w:t>0.39</w:t>
            </w:r>
          </w:p>
        </w:tc>
        <w:tc>
          <w:tcPr>
            <w:tcW w:w="1134" w:type="dxa"/>
            <w:vAlign w:val="center"/>
          </w:tcPr>
          <w:p>
            <w:pPr>
              <w:pStyle w:val="12"/>
            </w:pPr>
            <w:r>
              <w:t>0.39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30.84</w:t>
            </w:r>
          </w:p>
        </w:tc>
        <w:tc>
          <w:tcPr>
            <w:tcW w:w="1134" w:type="dxa"/>
            <w:vAlign w:val="center"/>
          </w:tcPr>
          <w:p>
            <w:pPr>
              <w:pStyle w:val="12"/>
            </w:pPr>
            <w:r>
              <w:t>30.84</w:t>
            </w:r>
          </w:p>
        </w:tc>
        <w:tc>
          <w:tcPr>
            <w:tcW w:w="1134" w:type="dxa"/>
            <w:vAlign w:val="center"/>
          </w:tcPr>
          <w:p>
            <w:pPr>
              <w:pStyle w:val="12"/>
            </w:pPr>
            <w:r>
              <w:t>30.84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15.61</w:t>
            </w:r>
          </w:p>
        </w:tc>
        <w:tc>
          <w:tcPr>
            <w:tcW w:w="1134" w:type="dxa"/>
            <w:vAlign w:val="center"/>
          </w:tcPr>
          <w:p>
            <w:pPr>
              <w:pStyle w:val="12"/>
            </w:pPr>
            <w:r>
              <w:t>15.61</w:t>
            </w:r>
          </w:p>
        </w:tc>
        <w:tc>
          <w:tcPr>
            <w:tcW w:w="1134" w:type="dxa"/>
            <w:vAlign w:val="center"/>
          </w:tcPr>
          <w:p>
            <w:pPr>
              <w:pStyle w:val="12"/>
            </w:pPr>
            <w:r>
              <w:t>15.61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15.23</w:t>
            </w:r>
          </w:p>
        </w:tc>
        <w:tc>
          <w:tcPr>
            <w:tcW w:w="1134" w:type="dxa"/>
            <w:vAlign w:val="center"/>
          </w:tcPr>
          <w:p>
            <w:pPr>
              <w:pStyle w:val="12"/>
            </w:pPr>
            <w:r>
              <w:t>15.23</w:t>
            </w:r>
          </w:p>
        </w:tc>
        <w:tc>
          <w:tcPr>
            <w:tcW w:w="1134" w:type="dxa"/>
            <w:vAlign w:val="center"/>
          </w:tcPr>
          <w:p>
            <w:pPr>
              <w:pStyle w:val="12"/>
            </w:pPr>
            <w:r>
              <w:t>15.23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r>
              <w:t>3.16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25.30</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6.30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5.30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63.71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63.71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63.71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31.01</w:t>
            </w:r>
          </w:p>
        </w:tc>
        <w:tc>
          <w:tcPr>
            <w:tcW w:w="1134" w:type="dxa"/>
            <w:vAlign w:val="center"/>
          </w:tcPr>
          <w:p>
            <w:pPr>
              <w:pStyle w:val="12"/>
            </w:pPr>
            <w:r>
              <w:t>31.01</w:t>
            </w:r>
          </w:p>
        </w:tc>
        <w:tc>
          <w:tcPr>
            <w:tcW w:w="1134" w:type="dxa"/>
            <w:vAlign w:val="center"/>
          </w:tcPr>
          <w:p>
            <w:pPr>
              <w:pStyle w:val="12"/>
            </w:pPr>
            <w:r>
              <w:t>31.01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31.01</w:t>
            </w:r>
          </w:p>
        </w:tc>
        <w:tc>
          <w:tcPr>
            <w:tcW w:w="1134" w:type="dxa"/>
            <w:vAlign w:val="center"/>
          </w:tcPr>
          <w:p>
            <w:pPr>
              <w:pStyle w:val="12"/>
            </w:pPr>
            <w:r>
              <w:t>31.01</w:t>
            </w:r>
          </w:p>
        </w:tc>
        <w:tc>
          <w:tcPr>
            <w:tcW w:w="1134" w:type="dxa"/>
            <w:vAlign w:val="center"/>
          </w:tcPr>
          <w:p>
            <w:pPr>
              <w:pStyle w:val="12"/>
            </w:pPr>
            <w:r>
              <w:t>31.01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31.01</w:t>
            </w:r>
          </w:p>
        </w:tc>
        <w:tc>
          <w:tcPr>
            <w:tcW w:w="1134" w:type="dxa"/>
            <w:vAlign w:val="center"/>
          </w:tcPr>
          <w:p>
            <w:pPr>
              <w:pStyle w:val="12"/>
            </w:pPr>
            <w:r>
              <w:t>31.01</w:t>
            </w:r>
          </w:p>
        </w:tc>
        <w:tc>
          <w:tcPr>
            <w:tcW w:w="1134" w:type="dxa"/>
            <w:vAlign w:val="center"/>
          </w:tcPr>
          <w:p>
            <w:pPr>
              <w:pStyle w:val="12"/>
            </w:pPr>
            <w:r>
              <w:t>31.01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2296099</w:t>
            </w:r>
          </w:p>
        </w:tc>
        <w:tc>
          <w:tcPr>
            <w:tcW w:w="1559" w:type="dxa"/>
            <w:vAlign w:val="center"/>
          </w:tcPr>
          <w:p>
            <w:pPr>
              <w:pStyle w:val="13"/>
            </w:pPr>
            <w:r>
              <w:t>用于其他社会公益事业的彩票公益金支出</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837.75</w:t>
            </w:r>
          </w:p>
        </w:tc>
        <w:tc>
          <w:tcPr>
            <w:tcW w:w="1361" w:type="dxa"/>
            <w:vAlign w:val="center"/>
          </w:tcPr>
          <w:p>
            <w:pPr>
              <w:pStyle w:val="16"/>
            </w:pPr>
            <w:r>
              <w:t>664.69</w:t>
            </w:r>
          </w:p>
        </w:tc>
        <w:tc>
          <w:tcPr>
            <w:tcW w:w="1361" w:type="dxa"/>
            <w:vAlign w:val="center"/>
          </w:tcPr>
          <w:p>
            <w:pPr>
              <w:pStyle w:val="16"/>
            </w:pPr>
            <w:r>
              <w:t>173.06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481.32</w:t>
            </w:r>
          </w:p>
        </w:tc>
        <w:tc>
          <w:tcPr>
            <w:tcW w:w="1361" w:type="dxa"/>
            <w:vAlign w:val="center"/>
          </w:tcPr>
          <w:p>
            <w:pPr>
              <w:pStyle w:val="12"/>
            </w:pPr>
            <w:r>
              <w:t>474.82</w:t>
            </w:r>
          </w:p>
        </w:tc>
        <w:tc>
          <w:tcPr>
            <w:tcW w:w="1361" w:type="dxa"/>
            <w:vAlign w:val="center"/>
          </w:tcPr>
          <w:p>
            <w:pPr>
              <w:pStyle w:val="12"/>
            </w:pPr>
            <w:r>
              <w:t>6.50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477.82</w:t>
            </w:r>
          </w:p>
        </w:tc>
        <w:tc>
          <w:tcPr>
            <w:tcW w:w="1361" w:type="dxa"/>
            <w:vAlign w:val="center"/>
          </w:tcPr>
          <w:p>
            <w:pPr>
              <w:pStyle w:val="12"/>
            </w:pPr>
            <w:r>
              <w:t>474.82</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286.43</w:t>
            </w:r>
          </w:p>
        </w:tc>
        <w:tc>
          <w:tcPr>
            <w:tcW w:w="1361" w:type="dxa"/>
            <w:vAlign w:val="center"/>
          </w:tcPr>
          <w:p>
            <w:pPr>
              <w:pStyle w:val="12"/>
            </w:pPr>
            <w:r>
              <w:t>286.43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188.40</w:t>
            </w:r>
          </w:p>
        </w:tc>
        <w:tc>
          <w:tcPr>
            <w:tcW w:w="1361" w:type="dxa"/>
            <w:vAlign w:val="center"/>
          </w:tcPr>
          <w:p>
            <w:pPr>
              <w:pStyle w:val="12"/>
            </w:pPr>
            <w:r>
              <w:t>188.40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128.01</w:t>
            </w:r>
          </w:p>
        </w:tc>
        <w:tc>
          <w:tcPr>
            <w:tcW w:w="1361" w:type="dxa"/>
            <w:vAlign w:val="center"/>
          </w:tcPr>
          <w:p>
            <w:pPr>
              <w:pStyle w:val="12"/>
            </w:pPr>
            <w:r>
              <w:t>128.01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73.94</w:t>
            </w:r>
          </w:p>
        </w:tc>
        <w:tc>
          <w:tcPr>
            <w:tcW w:w="1361" w:type="dxa"/>
            <w:vAlign w:val="center"/>
          </w:tcPr>
          <w:p>
            <w:pPr>
              <w:pStyle w:val="12"/>
            </w:pPr>
            <w:r>
              <w:t>73.94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13.63</w:t>
            </w:r>
          </w:p>
        </w:tc>
        <w:tc>
          <w:tcPr>
            <w:tcW w:w="1361" w:type="dxa"/>
            <w:vAlign w:val="center"/>
          </w:tcPr>
          <w:p>
            <w:pPr>
              <w:pStyle w:val="12"/>
            </w:pPr>
            <w:r>
              <w:t>13.63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0.20</w:t>
            </w:r>
          </w:p>
        </w:tc>
        <w:tc>
          <w:tcPr>
            <w:tcW w:w="1361" w:type="dxa"/>
            <w:vAlign w:val="center"/>
          </w:tcPr>
          <w:p>
            <w:pPr>
              <w:pStyle w:val="12"/>
            </w:pPr>
            <w:r>
              <w:t>0.20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60.12</w:t>
            </w:r>
          </w:p>
        </w:tc>
        <w:tc>
          <w:tcPr>
            <w:tcW w:w="1361" w:type="dxa"/>
            <w:vAlign w:val="center"/>
          </w:tcPr>
          <w:p>
            <w:pPr>
              <w:pStyle w:val="12"/>
            </w:pPr>
            <w:r>
              <w:t>60.12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54.07</w:t>
            </w:r>
          </w:p>
        </w:tc>
        <w:tc>
          <w:tcPr>
            <w:tcW w:w="1361" w:type="dxa"/>
            <w:vAlign w:val="center"/>
          </w:tcPr>
          <w:p>
            <w:pPr>
              <w:pStyle w:val="12"/>
            </w:pPr>
            <w:r>
              <w:t>54.07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49.35</w:t>
            </w:r>
          </w:p>
        </w:tc>
        <w:tc>
          <w:tcPr>
            <w:tcW w:w="1361" w:type="dxa"/>
            <w:vAlign w:val="center"/>
          </w:tcPr>
          <w:p>
            <w:pPr>
              <w:pStyle w:val="12"/>
            </w:pPr>
            <w:r>
              <w:t>49.35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4.73</w:t>
            </w:r>
          </w:p>
        </w:tc>
        <w:tc>
          <w:tcPr>
            <w:tcW w:w="1361" w:type="dxa"/>
            <w:vAlign w:val="center"/>
          </w:tcPr>
          <w:p>
            <w:pPr>
              <w:pStyle w:val="12"/>
            </w:pPr>
            <w:r>
              <w:t>4.73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34.40</w:t>
            </w:r>
          </w:p>
        </w:tc>
        <w:tc>
          <w:tcPr>
            <w:tcW w:w="1361" w:type="dxa"/>
            <w:vAlign w:val="center"/>
          </w:tcPr>
          <w:p>
            <w:pPr>
              <w:pStyle w:val="12"/>
            </w:pPr>
            <w:r>
              <w:t>30.84</w:t>
            </w:r>
          </w:p>
        </w:tc>
        <w:tc>
          <w:tcPr>
            <w:tcW w:w="1361" w:type="dxa"/>
            <w:vAlign w:val="center"/>
          </w:tcPr>
          <w:p>
            <w:pPr>
              <w:pStyle w:val="12"/>
            </w:pPr>
            <w:r>
              <w:t>3.55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0.39</w:t>
            </w:r>
          </w:p>
        </w:tc>
        <w:tc>
          <w:tcPr>
            <w:tcW w:w="1361" w:type="dxa"/>
            <w:vAlign w:val="center"/>
          </w:tcPr>
          <w:p>
            <w:pPr>
              <w:pStyle w:val="12"/>
            </w:pPr>
          </w:p>
        </w:tc>
        <w:tc>
          <w:tcPr>
            <w:tcW w:w="1361" w:type="dxa"/>
            <w:vAlign w:val="center"/>
          </w:tcPr>
          <w:p>
            <w:pPr>
              <w:pStyle w:val="12"/>
            </w:pPr>
            <w:r>
              <w:t>0.39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0.39</w:t>
            </w:r>
          </w:p>
        </w:tc>
        <w:tc>
          <w:tcPr>
            <w:tcW w:w="1361" w:type="dxa"/>
            <w:vAlign w:val="center"/>
          </w:tcPr>
          <w:p>
            <w:pPr>
              <w:pStyle w:val="12"/>
            </w:pPr>
          </w:p>
        </w:tc>
        <w:tc>
          <w:tcPr>
            <w:tcW w:w="1361" w:type="dxa"/>
            <w:vAlign w:val="center"/>
          </w:tcPr>
          <w:p>
            <w:pPr>
              <w:pStyle w:val="12"/>
            </w:pPr>
            <w:r>
              <w:t>0.39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30.84</w:t>
            </w:r>
          </w:p>
        </w:tc>
        <w:tc>
          <w:tcPr>
            <w:tcW w:w="1361" w:type="dxa"/>
            <w:vAlign w:val="center"/>
          </w:tcPr>
          <w:p>
            <w:pPr>
              <w:pStyle w:val="12"/>
            </w:pPr>
            <w:r>
              <w:t>30.84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15.61</w:t>
            </w:r>
          </w:p>
        </w:tc>
        <w:tc>
          <w:tcPr>
            <w:tcW w:w="1361" w:type="dxa"/>
            <w:vAlign w:val="center"/>
          </w:tcPr>
          <w:p>
            <w:pPr>
              <w:pStyle w:val="12"/>
            </w:pPr>
            <w:r>
              <w:t>15.61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15.23</w:t>
            </w:r>
          </w:p>
        </w:tc>
        <w:tc>
          <w:tcPr>
            <w:tcW w:w="1361" w:type="dxa"/>
            <w:vAlign w:val="center"/>
          </w:tcPr>
          <w:p>
            <w:pPr>
              <w:pStyle w:val="12"/>
            </w:pPr>
            <w:r>
              <w:t>15.23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3.16</w:t>
            </w:r>
          </w:p>
        </w:tc>
        <w:tc>
          <w:tcPr>
            <w:tcW w:w="1361" w:type="dxa"/>
            <w:vAlign w:val="center"/>
          </w:tcPr>
          <w:p>
            <w:pPr>
              <w:pStyle w:val="12"/>
            </w:pPr>
          </w:p>
        </w:tc>
        <w:tc>
          <w:tcPr>
            <w:tcW w:w="1361" w:type="dxa"/>
            <w:vAlign w:val="center"/>
          </w:tcPr>
          <w:p>
            <w:pPr>
              <w:pStyle w:val="12"/>
            </w:pPr>
            <w:r>
              <w:t>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3.16</w:t>
            </w:r>
          </w:p>
        </w:tc>
        <w:tc>
          <w:tcPr>
            <w:tcW w:w="1361" w:type="dxa"/>
            <w:vAlign w:val="center"/>
          </w:tcPr>
          <w:p>
            <w:pPr>
              <w:pStyle w:val="12"/>
            </w:pPr>
          </w:p>
        </w:tc>
        <w:tc>
          <w:tcPr>
            <w:tcW w:w="1361" w:type="dxa"/>
            <w:vAlign w:val="center"/>
          </w:tcPr>
          <w:p>
            <w:pPr>
              <w:pStyle w:val="12"/>
            </w:pPr>
            <w:r>
              <w:t>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25.30</w:t>
            </w:r>
          </w:p>
        </w:tc>
        <w:tc>
          <w:tcPr>
            <w:tcW w:w="1361" w:type="dxa"/>
            <w:vAlign w:val="center"/>
          </w:tcPr>
          <w:p>
            <w:pPr>
              <w:pStyle w:val="12"/>
            </w:pPr>
          </w:p>
        </w:tc>
        <w:tc>
          <w:tcPr>
            <w:tcW w:w="1361" w:type="dxa"/>
            <w:vAlign w:val="center"/>
          </w:tcPr>
          <w:p>
            <w:pPr>
              <w:pStyle w:val="12"/>
            </w:pPr>
            <w:r>
              <w:t>25.30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6.30</w:t>
            </w:r>
          </w:p>
        </w:tc>
        <w:tc>
          <w:tcPr>
            <w:tcW w:w="1361" w:type="dxa"/>
            <w:vAlign w:val="center"/>
          </w:tcPr>
          <w:p>
            <w:pPr>
              <w:pStyle w:val="12"/>
            </w:pPr>
          </w:p>
        </w:tc>
        <w:tc>
          <w:tcPr>
            <w:tcW w:w="1361" w:type="dxa"/>
            <w:vAlign w:val="center"/>
          </w:tcPr>
          <w:p>
            <w:pPr>
              <w:pStyle w:val="12"/>
            </w:pPr>
            <w:r>
              <w:t>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5.30</w:t>
            </w:r>
          </w:p>
        </w:tc>
        <w:tc>
          <w:tcPr>
            <w:tcW w:w="1361" w:type="dxa"/>
            <w:vAlign w:val="center"/>
          </w:tcPr>
          <w:p>
            <w:pPr>
              <w:pStyle w:val="12"/>
            </w:pPr>
          </w:p>
        </w:tc>
        <w:tc>
          <w:tcPr>
            <w:tcW w:w="1361" w:type="dxa"/>
            <w:vAlign w:val="center"/>
          </w:tcPr>
          <w:p>
            <w:pPr>
              <w:pStyle w:val="12"/>
            </w:pPr>
            <w:r>
              <w:t>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63.71</w:t>
            </w:r>
          </w:p>
        </w:tc>
        <w:tc>
          <w:tcPr>
            <w:tcW w:w="1361" w:type="dxa"/>
            <w:vAlign w:val="center"/>
          </w:tcPr>
          <w:p>
            <w:pPr>
              <w:pStyle w:val="12"/>
            </w:pPr>
          </w:p>
        </w:tc>
        <w:tc>
          <w:tcPr>
            <w:tcW w:w="1361" w:type="dxa"/>
            <w:vAlign w:val="center"/>
          </w:tcPr>
          <w:p>
            <w:pPr>
              <w:pStyle w:val="12"/>
            </w:pPr>
            <w:r>
              <w:t>63.71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63.71</w:t>
            </w:r>
          </w:p>
        </w:tc>
        <w:tc>
          <w:tcPr>
            <w:tcW w:w="1361" w:type="dxa"/>
            <w:vAlign w:val="center"/>
          </w:tcPr>
          <w:p>
            <w:pPr>
              <w:pStyle w:val="12"/>
            </w:pPr>
          </w:p>
        </w:tc>
        <w:tc>
          <w:tcPr>
            <w:tcW w:w="1361" w:type="dxa"/>
            <w:vAlign w:val="center"/>
          </w:tcPr>
          <w:p>
            <w:pPr>
              <w:pStyle w:val="12"/>
            </w:pPr>
            <w:r>
              <w:t>63.71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63.71</w:t>
            </w:r>
          </w:p>
        </w:tc>
        <w:tc>
          <w:tcPr>
            <w:tcW w:w="1361" w:type="dxa"/>
            <w:vAlign w:val="center"/>
          </w:tcPr>
          <w:p>
            <w:pPr>
              <w:pStyle w:val="12"/>
            </w:pPr>
          </w:p>
        </w:tc>
        <w:tc>
          <w:tcPr>
            <w:tcW w:w="1361" w:type="dxa"/>
            <w:vAlign w:val="center"/>
          </w:tcPr>
          <w:p>
            <w:pPr>
              <w:pStyle w:val="12"/>
            </w:pPr>
            <w:r>
              <w:t>63.71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31.01</w:t>
            </w:r>
          </w:p>
        </w:tc>
        <w:tc>
          <w:tcPr>
            <w:tcW w:w="1361" w:type="dxa"/>
            <w:vAlign w:val="center"/>
          </w:tcPr>
          <w:p>
            <w:pPr>
              <w:pStyle w:val="12"/>
            </w:pPr>
            <w:r>
              <w:t>31.01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31.01</w:t>
            </w:r>
          </w:p>
        </w:tc>
        <w:tc>
          <w:tcPr>
            <w:tcW w:w="1361" w:type="dxa"/>
            <w:vAlign w:val="center"/>
          </w:tcPr>
          <w:p>
            <w:pPr>
              <w:pStyle w:val="12"/>
            </w:pPr>
            <w:r>
              <w:t>31.01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31.01</w:t>
            </w:r>
          </w:p>
        </w:tc>
        <w:tc>
          <w:tcPr>
            <w:tcW w:w="1361" w:type="dxa"/>
            <w:vAlign w:val="center"/>
          </w:tcPr>
          <w:p>
            <w:pPr>
              <w:pStyle w:val="12"/>
            </w:pPr>
            <w:r>
              <w:t>31.01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2296099</w:t>
            </w:r>
          </w:p>
        </w:tc>
        <w:tc>
          <w:tcPr>
            <w:tcW w:w="4535" w:type="dxa"/>
            <w:vAlign w:val="center"/>
          </w:tcPr>
          <w:p>
            <w:pPr>
              <w:pStyle w:val="13"/>
            </w:pPr>
            <w:r>
              <w:t>用于其他社会公益事业的彩票公益金支出</w:t>
            </w: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642.05</w:t>
            </w:r>
          </w:p>
        </w:tc>
        <w:tc>
          <w:tcPr>
            <w:tcW w:w="3402" w:type="dxa"/>
            <w:vAlign w:val="center"/>
          </w:tcPr>
          <w:p>
            <w:pPr>
              <w:pStyle w:val="13"/>
            </w:pPr>
            <w:r>
              <w:t>一、一般公共服务支出</w:t>
            </w:r>
          </w:p>
        </w:tc>
        <w:tc>
          <w:tcPr>
            <w:tcW w:w="1474" w:type="dxa"/>
            <w:vAlign w:val="center"/>
          </w:tcPr>
          <w:p>
            <w:pPr>
              <w:pStyle w:val="12"/>
            </w:pPr>
            <w:r>
              <w:t>481.32</w:t>
            </w:r>
          </w:p>
        </w:tc>
        <w:tc>
          <w:tcPr>
            <w:tcW w:w="1474" w:type="dxa"/>
            <w:vAlign w:val="center"/>
          </w:tcPr>
          <w:p>
            <w:pPr>
              <w:pStyle w:val="12"/>
            </w:pPr>
            <w:r>
              <w:t>481.32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128.01</w:t>
            </w:r>
          </w:p>
        </w:tc>
        <w:tc>
          <w:tcPr>
            <w:tcW w:w="1474" w:type="dxa"/>
            <w:vAlign w:val="center"/>
          </w:tcPr>
          <w:p>
            <w:pPr>
              <w:pStyle w:val="12"/>
            </w:pPr>
            <w:r>
              <w:t>128.01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34.40</w:t>
            </w:r>
          </w:p>
        </w:tc>
        <w:tc>
          <w:tcPr>
            <w:tcW w:w="1474" w:type="dxa"/>
            <w:vAlign w:val="center"/>
          </w:tcPr>
          <w:p>
            <w:pPr>
              <w:pStyle w:val="12"/>
            </w:pPr>
            <w:r>
              <w:t>34.40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25.30</w:t>
            </w:r>
          </w:p>
        </w:tc>
        <w:tc>
          <w:tcPr>
            <w:tcW w:w="1474" w:type="dxa"/>
            <w:vAlign w:val="center"/>
          </w:tcPr>
          <w:p>
            <w:pPr>
              <w:pStyle w:val="12"/>
            </w:pPr>
            <w:r>
              <w:t>25.30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63.71</w:t>
            </w:r>
          </w:p>
        </w:tc>
        <w:tc>
          <w:tcPr>
            <w:tcW w:w="1474" w:type="dxa"/>
            <w:vAlign w:val="center"/>
          </w:tcPr>
          <w:p>
            <w:pPr>
              <w:pStyle w:val="12"/>
            </w:pPr>
            <w:r>
              <w:t>63.71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31.01</w:t>
            </w:r>
          </w:p>
        </w:tc>
        <w:tc>
          <w:tcPr>
            <w:tcW w:w="1474" w:type="dxa"/>
            <w:vAlign w:val="center"/>
          </w:tcPr>
          <w:p>
            <w:pPr>
              <w:pStyle w:val="12"/>
            </w:pPr>
            <w:r>
              <w:t>31.01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1.00</w:t>
            </w:r>
          </w:p>
        </w:tc>
        <w:tc>
          <w:tcPr>
            <w:tcW w:w="1474" w:type="dxa"/>
            <w:vAlign w:val="center"/>
          </w:tcPr>
          <w:p>
            <w:pPr>
              <w:pStyle w:val="12"/>
            </w:pPr>
            <w:r>
              <w:t>1.00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73.00</w:t>
            </w:r>
          </w:p>
        </w:tc>
        <w:tc>
          <w:tcPr>
            <w:tcW w:w="1474" w:type="dxa"/>
            <w:vAlign w:val="center"/>
          </w:tcPr>
          <w:p>
            <w:pPr>
              <w:pStyle w:val="12"/>
            </w:pPr>
          </w:p>
        </w:tc>
        <w:tc>
          <w:tcPr>
            <w:tcW w:w="1474" w:type="dxa"/>
            <w:vAlign w:val="center"/>
          </w:tcPr>
          <w:p>
            <w:pPr>
              <w:pStyle w:val="12"/>
            </w:pPr>
            <w:r>
              <w:t>73.00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642.05</w:t>
            </w:r>
          </w:p>
        </w:tc>
        <w:tc>
          <w:tcPr>
            <w:tcW w:w="3402" w:type="dxa"/>
            <w:vAlign w:val="center"/>
          </w:tcPr>
          <w:p>
            <w:pPr>
              <w:pStyle w:val="15"/>
            </w:pPr>
            <w:r>
              <w:t>本年支出合计</w:t>
            </w:r>
          </w:p>
        </w:tc>
        <w:tc>
          <w:tcPr>
            <w:tcW w:w="1474" w:type="dxa"/>
            <w:vAlign w:val="center"/>
          </w:tcPr>
          <w:p>
            <w:pPr>
              <w:pStyle w:val="16"/>
            </w:pPr>
            <w:r>
              <w:t>837.75</w:t>
            </w:r>
          </w:p>
        </w:tc>
        <w:tc>
          <w:tcPr>
            <w:tcW w:w="1474" w:type="dxa"/>
            <w:vAlign w:val="center"/>
          </w:tcPr>
          <w:p>
            <w:pPr>
              <w:pStyle w:val="16"/>
            </w:pPr>
            <w:r>
              <w:t>764.75</w:t>
            </w:r>
          </w:p>
        </w:tc>
        <w:tc>
          <w:tcPr>
            <w:tcW w:w="1474" w:type="dxa"/>
            <w:vAlign w:val="center"/>
          </w:tcPr>
          <w:p>
            <w:pPr>
              <w:pStyle w:val="16"/>
            </w:pPr>
            <w:r>
              <w:t>73.00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195.70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122.70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73.00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837.75</w:t>
            </w:r>
          </w:p>
        </w:tc>
        <w:tc>
          <w:tcPr>
            <w:tcW w:w="3402" w:type="dxa"/>
            <w:vAlign w:val="center"/>
          </w:tcPr>
          <w:p>
            <w:pPr>
              <w:pStyle w:val="15"/>
            </w:pPr>
            <w:r>
              <w:t>支出总计</w:t>
            </w:r>
          </w:p>
        </w:tc>
        <w:tc>
          <w:tcPr>
            <w:tcW w:w="1474" w:type="dxa"/>
            <w:vAlign w:val="center"/>
          </w:tcPr>
          <w:p>
            <w:pPr>
              <w:pStyle w:val="16"/>
            </w:pPr>
            <w:r>
              <w:t>837.75</w:t>
            </w:r>
          </w:p>
        </w:tc>
        <w:tc>
          <w:tcPr>
            <w:tcW w:w="1474" w:type="dxa"/>
            <w:vAlign w:val="center"/>
          </w:tcPr>
          <w:p>
            <w:pPr>
              <w:pStyle w:val="16"/>
            </w:pPr>
            <w:r>
              <w:t>764.75</w:t>
            </w:r>
          </w:p>
        </w:tc>
        <w:tc>
          <w:tcPr>
            <w:tcW w:w="1474" w:type="dxa"/>
            <w:vAlign w:val="center"/>
          </w:tcPr>
          <w:p>
            <w:pPr>
              <w:pStyle w:val="16"/>
            </w:pPr>
            <w:r>
              <w:t>73.00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764.75</w:t>
            </w:r>
          </w:p>
        </w:tc>
        <w:tc>
          <w:tcPr>
            <w:tcW w:w="2551" w:type="dxa"/>
            <w:vAlign w:val="center"/>
          </w:tcPr>
          <w:p>
            <w:pPr>
              <w:pStyle w:val="16"/>
            </w:pPr>
            <w:r>
              <w:t>664.69</w:t>
            </w:r>
          </w:p>
        </w:tc>
        <w:tc>
          <w:tcPr>
            <w:tcW w:w="2551" w:type="dxa"/>
            <w:vAlign w:val="center"/>
          </w:tcPr>
          <w:p>
            <w:pPr>
              <w:pStyle w:val="16"/>
            </w:pPr>
            <w:r>
              <w:t>100.06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481.32</w:t>
            </w:r>
          </w:p>
        </w:tc>
        <w:tc>
          <w:tcPr>
            <w:tcW w:w="2551" w:type="dxa"/>
            <w:vAlign w:val="center"/>
          </w:tcPr>
          <w:p>
            <w:pPr>
              <w:pStyle w:val="12"/>
            </w:pPr>
            <w:r>
              <w:t>474.82</w:t>
            </w: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477.82</w:t>
            </w:r>
          </w:p>
        </w:tc>
        <w:tc>
          <w:tcPr>
            <w:tcW w:w="2551" w:type="dxa"/>
            <w:vAlign w:val="center"/>
          </w:tcPr>
          <w:p>
            <w:pPr>
              <w:pStyle w:val="12"/>
            </w:pPr>
            <w:r>
              <w:t>474.82</w:t>
            </w: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286.43</w:t>
            </w:r>
          </w:p>
        </w:tc>
        <w:tc>
          <w:tcPr>
            <w:tcW w:w="2551" w:type="dxa"/>
            <w:vAlign w:val="center"/>
          </w:tcPr>
          <w:p>
            <w:pPr>
              <w:pStyle w:val="12"/>
            </w:pPr>
            <w:r>
              <w:t>286.43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188.40</w:t>
            </w:r>
          </w:p>
        </w:tc>
        <w:tc>
          <w:tcPr>
            <w:tcW w:w="2551" w:type="dxa"/>
            <w:vAlign w:val="center"/>
          </w:tcPr>
          <w:p>
            <w:pPr>
              <w:pStyle w:val="12"/>
            </w:pPr>
            <w:r>
              <w:t>188.40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128.01</w:t>
            </w:r>
          </w:p>
        </w:tc>
        <w:tc>
          <w:tcPr>
            <w:tcW w:w="2551" w:type="dxa"/>
            <w:vAlign w:val="center"/>
          </w:tcPr>
          <w:p>
            <w:pPr>
              <w:pStyle w:val="12"/>
            </w:pPr>
            <w:r>
              <w:t>128.01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73.94</w:t>
            </w:r>
          </w:p>
        </w:tc>
        <w:tc>
          <w:tcPr>
            <w:tcW w:w="2551" w:type="dxa"/>
            <w:vAlign w:val="center"/>
          </w:tcPr>
          <w:p>
            <w:pPr>
              <w:pStyle w:val="12"/>
            </w:pPr>
            <w:r>
              <w:t>73.94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13.63</w:t>
            </w:r>
          </w:p>
        </w:tc>
        <w:tc>
          <w:tcPr>
            <w:tcW w:w="2551" w:type="dxa"/>
            <w:vAlign w:val="center"/>
          </w:tcPr>
          <w:p>
            <w:pPr>
              <w:pStyle w:val="12"/>
            </w:pPr>
            <w:r>
              <w:t>13.63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0.20</w:t>
            </w:r>
          </w:p>
        </w:tc>
        <w:tc>
          <w:tcPr>
            <w:tcW w:w="2551" w:type="dxa"/>
            <w:vAlign w:val="center"/>
          </w:tcPr>
          <w:p>
            <w:pPr>
              <w:pStyle w:val="12"/>
            </w:pPr>
            <w:r>
              <w:t>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60.12</w:t>
            </w:r>
          </w:p>
        </w:tc>
        <w:tc>
          <w:tcPr>
            <w:tcW w:w="2551" w:type="dxa"/>
            <w:vAlign w:val="center"/>
          </w:tcPr>
          <w:p>
            <w:pPr>
              <w:pStyle w:val="12"/>
            </w:pPr>
            <w:r>
              <w:t>60.12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54.07</w:t>
            </w:r>
          </w:p>
        </w:tc>
        <w:tc>
          <w:tcPr>
            <w:tcW w:w="2551" w:type="dxa"/>
            <w:vAlign w:val="center"/>
          </w:tcPr>
          <w:p>
            <w:pPr>
              <w:pStyle w:val="12"/>
            </w:pPr>
            <w:r>
              <w:t>54.07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49.35</w:t>
            </w:r>
          </w:p>
        </w:tc>
        <w:tc>
          <w:tcPr>
            <w:tcW w:w="2551" w:type="dxa"/>
            <w:vAlign w:val="center"/>
          </w:tcPr>
          <w:p>
            <w:pPr>
              <w:pStyle w:val="12"/>
            </w:pPr>
            <w:r>
              <w:t>49.35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4.73</w:t>
            </w:r>
          </w:p>
        </w:tc>
        <w:tc>
          <w:tcPr>
            <w:tcW w:w="2551" w:type="dxa"/>
            <w:vAlign w:val="center"/>
          </w:tcPr>
          <w:p>
            <w:pPr>
              <w:pStyle w:val="12"/>
            </w:pPr>
            <w:r>
              <w:t>4.73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34.40</w:t>
            </w:r>
          </w:p>
        </w:tc>
        <w:tc>
          <w:tcPr>
            <w:tcW w:w="2551" w:type="dxa"/>
            <w:vAlign w:val="center"/>
          </w:tcPr>
          <w:p>
            <w:pPr>
              <w:pStyle w:val="12"/>
            </w:pPr>
            <w:r>
              <w:t>30.84</w:t>
            </w:r>
          </w:p>
        </w:tc>
        <w:tc>
          <w:tcPr>
            <w:tcW w:w="2551" w:type="dxa"/>
            <w:vAlign w:val="center"/>
          </w:tcPr>
          <w:p>
            <w:pPr>
              <w:pStyle w:val="12"/>
            </w:pPr>
            <w: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0.39</w:t>
            </w:r>
          </w:p>
        </w:tc>
        <w:tc>
          <w:tcPr>
            <w:tcW w:w="2551" w:type="dxa"/>
            <w:vAlign w:val="center"/>
          </w:tcPr>
          <w:p>
            <w:pPr>
              <w:pStyle w:val="12"/>
            </w:pPr>
          </w:p>
        </w:tc>
        <w:tc>
          <w:tcPr>
            <w:tcW w:w="2551" w:type="dxa"/>
            <w:vAlign w:val="center"/>
          </w:tcPr>
          <w:p>
            <w:pPr>
              <w:pStyle w:val="12"/>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0.39</w:t>
            </w:r>
          </w:p>
        </w:tc>
        <w:tc>
          <w:tcPr>
            <w:tcW w:w="2551" w:type="dxa"/>
            <w:vAlign w:val="center"/>
          </w:tcPr>
          <w:p>
            <w:pPr>
              <w:pStyle w:val="12"/>
            </w:pPr>
          </w:p>
        </w:tc>
        <w:tc>
          <w:tcPr>
            <w:tcW w:w="2551" w:type="dxa"/>
            <w:vAlign w:val="center"/>
          </w:tcPr>
          <w:p>
            <w:pPr>
              <w:pStyle w:val="12"/>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30.84</w:t>
            </w:r>
          </w:p>
        </w:tc>
        <w:tc>
          <w:tcPr>
            <w:tcW w:w="2551" w:type="dxa"/>
            <w:vAlign w:val="center"/>
          </w:tcPr>
          <w:p>
            <w:pPr>
              <w:pStyle w:val="12"/>
            </w:pPr>
            <w:r>
              <w:t>30.84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15.61</w:t>
            </w:r>
          </w:p>
        </w:tc>
        <w:tc>
          <w:tcPr>
            <w:tcW w:w="2551" w:type="dxa"/>
            <w:vAlign w:val="center"/>
          </w:tcPr>
          <w:p>
            <w:pPr>
              <w:pStyle w:val="12"/>
            </w:pPr>
            <w:r>
              <w:t>15.61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15.23</w:t>
            </w:r>
          </w:p>
        </w:tc>
        <w:tc>
          <w:tcPr>
            <w:tcW w:w="2551" w:type="dxa"/>
            <w:vAlign w:val="center"/>
          </w:tcPr>
          <w:p>
            <w:pPr>
              <w:pStyle w:val="12"/>
            </w:pPr>
            <w:r>
              <w:t>15.23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3.16</w:t>
            </w:r>
          </w:p>
        </w:tc>
        <w:tc>
          <w:tcPr>
            <w:tcW w:w="2551" w:type="dxa"/>
            <w:vAlign w:val="center"/>
          </w:tcPr>
          <w:p>
            <w:pPr>
              <w:pStyle w:val="12"/>
            </w:pPr>
          </w:p>
        </w:tc>
        <w:tc>
          <w:tcPr>
            <w:tcW w:w="2551" w:type="dxa"/>
            <w:vAlign w:val="center"/>
          </w:tcPr>
          <w:p>
            <w:pPr>
              <w:pStyle w:val="12"/>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3.16</w:t>
            </w:r>
          </w:p>
        </w:tc>
        <w:tc>
          <w:tcPr>
            <w:tcW w:w="2551" w:type="dxa"/>
            <w:vAlign w:val="center"/>
          </w:tcPr>
          <w:p>
            <w:pPr>
              <w:pStyle w:val="12"/>
            </w:pPr>
          </w:p>
        </w:tc>
        <w:tc>
          <w:tcPr>
            <w:tcW w:w="2551" w:type="dxa"/>
            <w:vAlign w:val="center"/>
          </w:tcPr>
          <w:p>
            <w:pPr>
              <w:pStyle w:val="12"/>
            </w:pPr>
            <w:r>
              <w:t>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25.30</w:t>
            </w:r>
          </w:p>
        </w:tc>
        <w:tc>
          <w:tcPr>
            <w:tcW w:w="2551" w:type="dxa"/>
            <w:vAlign w:val="center"/>
          </w:tcPr>
          <w:p>
            <w:pPr>
              <w:pStyle w:val="12"/>
            </w:pPr>
          </w:p>
        </w:tc>
        <w:tc>
          <w:tcPr>
            <w:tcW w:w="2551" w:type="dxa"/>
            <w:vAlign w:val="center"/>
          </w:tcPr>
          <w:p>
            <w:pPr>
              <w:pStyle w:val="12"/>
            </w:pPr>
            <w:r>
              <w:t>25.30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19.00</w:t>
            </w:r>
          </w:p>
        </w:tc>
        <w:tc>
          <w:tcPr>
            <w:tcW w:w="2551" w:type="dxa"/>
            <w:vAlign w:val="center"/>
          </w:tcPr>
          <w:p>
            <w:pPr>
              <w:pStyle w:val="12"/>
            </w:pPr>
          </w:p>
        </w:tc>
        <w:tc>
          <w:tcPr>
            <w:tcW w:w="2551"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19.00</w:t>
            </w:r>
          </w:p>
        </w:tc>
        <w:tc>
          <w:tcPr>
            <w:tcW w:w="2551" w:type="dxa"/>
            <w:vAlign w:val="center"/>
          </w:tcPr>
          <w:p>
            <w:pPr>
              <w:pStyle w:val="12"/>
            </w:pPr>
          </w:p>
        </w:tc>
        <w:tc>
          <w:tcPr>
            <w:tcW w:w="2551"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6.30</w:t>
            </w:r>
          </w:p>
        </w:tc>
        <w:tc>
          <w:tcPr>
            <w:tcW w:w="2551" w:type="dxa"/>
            <w:vAlign w:val="center"/>
          </w:tcPr>
          <w:p>
            <w:pPr>
              <w:pStyle w:val="12"/>
            </w:pPr>
          </w:p>
        </w:tc>
        <w:tc>
          <w:tcPr>
            <w:tcW w:w="2551" w:type="dxa"/>
            <w:vAlign w:val="center"/>
          </w:tcPr>
          <w:p>
            <w:pPr>
              <w:pStyle w:val="12"/>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5.30</w:t>
            </w:r>
          </w:p>
        </w:tc>
        <w:tc>
          <w:tcPr>
            <w:tcW w:w="2551" w:type="dxa"/>
            <w:vAlign w:val="center"/>
          </w:tcPr>
          <w:p>
            <w:pPr>
              <w:pStyle w:val="12"/>
            </w:pPr>
          </w:p>
        </w:tc>
        <w:tc>
          <w:tcPr>
            <w:tcW w:w="2551" w:type="dxa"/>
            <w:vAlign w:val="center"/>
          </w:tcPr>
          <w:p>
            <w:pPr>
              <w:pStyle w:val="12"/>
            </w:pPr>
            <w:r>
              <w:t>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63.71</w:t>
            </w:r>
          </w:p>
        </w:tc>
        <w:tc>
          <w:tcPr>
            <w:tcW w:w="2551" w:type="dxa"/>
            <w:vAlign w:val="center"/>
          </w:tcPr>
          <w:p>
            <w:pPr>
              <w:pStyle w:val="12"/>
            </w:pPr>
          </w:p>
        </w:tc>
        <w:tc>
          <w:tcPr>
            <w:tcW w:w="2551"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63.71</w:t>
            </w:r>
          </w:p>
        </w:tc>
        <w:tc>
          <w:tcPr>
            <w:tcW w:w="2551" w:type="dxa"/>
            <w:vAlign w:val="center"/>
          </w:tcPr>
          <w:p>
            <w:pPr>
              <w:pStyle w:val="12"/>
            </w:pPr>
          </w:p>
        </w:tc>
        <w:tc>
          <w:tcPr>
            <w:tcW w:w="2551"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63.71</w:t>
            </w:r>
          </w:p>
        </w:tc>
        <w:tc>
          <w:tcPr>
            <w:tcW w:w="2551" w:type="dxa"/>
            <w:vAlign w:val="center"/>
          </w:tcPr>
          <w:p>
            <w:pPr>
              <w:pStyle w:val="12"/>
            </w:pPr>
          </w:p>
        </w:tc>
        <w:tc>
          <w:tcPr>
            <w:tcW w:w="2551" w:type="dxa"/>
            <w:vAlign w:val="center"/>
          </w:tcPr>
          <w:p>
            <w:pPr>
              <w:pStyle w:val="12"/>
            </w:pPr>
            <w:r>
              <w:t>63.71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31.01</w:t>
            </w:r>
          </w:p>
        </w:tc>
        <w:tc>
          <w:tcPr>
            <w:tcW w:w="2551" w:type="dxa"/>
            <w:vAlign w:val="center"/>
          </w:tcPr>
          <w:p>
            <w:pPr>
              <w:pStyle w:val="12"/>
            </w:pPr>
            <w:r>
              <w:t>31.01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31.01</w:t>
            </w:r>
          </w:p>
        </w:tc>
        <w:tc>
          <w:tcPr>
            <w:tcW w:w="2551" w:type="dxa"/>
            <w:vAlign w:val="center"/>
          </w:tcPr>
          <w:p>
            <w:pPr>
              <w:pStyle w:val="12"/>
            </w:pPr>
            <w:r>
              <w:t>31.01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31.01</w:t>
            </w:r>
          </w:p>
        </w:tc>
        <w:tc>
          <w:tcPr>
            <w:tcW w:w="2551" w:type="dxa"/>
            <w:vAlign w:val="center"/>
          </w:tcPr>
          <w:p>
            <w:pPr>
              <w:pStyle w:val="12"/>
            </w:pPr>
            <w:r>
              <w:t>31.01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664.69</w:t>
            </w:r>
          </w:p>
        </w:tc>
        <w:tc>
          <w:tcPr>
            <w:tcW w:w="2551" w:type="dxa"/>
            <w:vAlign w:val="center"/>
          </w:tcPr>
          <w:p>
            <w:pPr>
              <w:pStyle w:val="16"/>
            </w:pPr>
            <w:r>
              <w:t>587.50</w:t>
            </w:r>
          </w:p>
        </w:tc>
        <w:tc>
          <w:tcPr>
            <w:tcW w:w="2551" w:type="dxa"/>
            <w:vAlign w:val="center"/>
          </w:tcPr>
          <w:p>
            <w:pPr>
              <w:pStyle w:val="16"/>
            </w:pPr>
            <w:r>
              <w:t>77.19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519.61</w:t>
            </w:r>
          </w:p>
        </w:tc>
        <w:tc>
          <w:tcPr>
            <w:tcW w:w="2551" w:type="dxa"/>
            <w:vAlign w:val="center"/>
          </w:tcPr>
          <w:p>
            <w:pPr>
              <w:pStyle w:val="12"/>
            </w:pPr>
            <w:r>
              <w:t>519.61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208.66</w:t>
            </w:r>
          </w:p>
        </w:tc>
        <w:tc>
          <w:tcPr>
            <w:tcW w:w="2551" w:type="dxa"/>
            <w:vAlign w:val="center"/>
          </w:tcPr>
          <w:p>
            <w:pPr>
              <w:pStyle w:val="12"/>
            </w:pPr>
            <w:r>
              <w:t>208.66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96.21</w:t>
            </w:r>
          </w:p>
        </w:tc>
        <w:tc>
          <w:tcPr>
            <w:tcW w:w="2551" w:type="dxa"/>
            <w:vAlign w:val="center"/>
          </w:tcPr>
          <w:p>
            <w:pPr>
              <w:pStyle w:val="12"/>
            </w:pPr>
            <w:r>
              <w:t>96.21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25.54</w:t>
            </w:r>
          </w:p>
        </w:tc>
        <w:tc>
          <w:tcPr>
            <w:tcW w:w="2551" w:type="dxa"/>
            <w:vAlign w:val="center"/>
          </w:tcPr>
          <w:p>
            <w:pPr>
              <w:pStyle w:val="12"/>
            </w:pPr>
            <w:r>
              <w:t>25.54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64.84</w:t>
            </w:r>
          </w:p>
        </w:tc>
        <w:tc>
          <w:tcPr>
            <w:tcW w:w="2551" w:type="dxa"/>
            <w:vAlign w:val="center"/>
          </w:tcPr>
          <w:p>
            <w:pPr>
              <w:pStyle w:val="12"/>
            </w:pPr>
            <w:r>
              <w:t>64.84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60.12</w:t>
            </w:r>
          </w:p>
        </w:tc>
        <w:tc>
          <w:tcPr>
            <w:tcW w:w="2551" w:type="dxa"/>
            <w:vAlign w:val="center"/>
          </w:tcPr>
          <w:p>
            <w:pPr>
              <w:pStyle w:val="12"/>
            </w:pPr>
            <w:r>
              <w:t>60.12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30.84</w:t>
            </w:r>
          </w:p>
        </w:tc>
        <w:tc>
          <w:tcPr>
            <w:tcW w:w="2551" w:type="dxa"/>
            <w:vAlign w:val="center"/>
          </w:tcPr>
          <w:p>
            <w:pPr>
              <w:pStyle w:val="12"/>
            </w:pPr>
            <w:r>
              <w:t>30.84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1.88</w:t>
            </w:r>
          </w:p>
        </w:tc>
        <w:tc>
          <w:tcPr>
            <w:tcW w:w="2551" w:type="dxa"/>
            <w:vAlign w:val="center"/>
          </w:tcPr>
          <w:p>
            <w:pPr>
              <w:pStyle w:val="12"/>
            </w:pPr>
            <w:r>
              <w:t>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31.01</w:t>
            </w:r>
          </w:p>
        </w:tc>
        <w:tc>
          <w:tcPr>
            <w:tcW w:w="2551" w:type="dxa"/>
            <w:vAlign w:val="center"/>
          </w:tcPr>
          <w:p>
            <w:pPr>
              <w:pStyle w:val="12"/>
            </w:pPr>
            <w:r>
              <w:t>31.01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74.19</w:t>
            </w:r>
          </w:p>
        </w:tc>
        <w:tc>
          <w:tcPr>
            <w:tcW w:w="2551" w:type="dxa"/>
            <w:vAlign w:val="center"/>
          </w:tcPr>
          <w:p>
            <w:pPr>
              <w:pStyle w:val="12"/>
            </w:pPr>
          </w:p>
        </w:tc>
        <w:tc>
          <w:tcPr>
            <w:tcW w:w="2551" w:type="dxa"/>
            <w:vAlign w:val="center"/>
          </w:tcPr>
          <w:p>
            <w:pPr>
              <w:pStyle w:val="12"/>
            </w:pPr>
            <w:r>
              <w:t>74.19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0.10</w:t>
            </w:r>
          </w:p>
        </w:tc>
        <w:tc>
          <w:tcPr>
            <w:tcW w:w="2551" w:type="dxa"/>
            <w:vAlign w:val="center"/>
          </w:tcPr>
          <w:p>
            <w:pPr>
              <w:pStyle w:val="12"/>
            </w:pPr>
          </w:p>
        </w:tc>
        <w:tc>
          <w:tcPr>
            <w:tcW w:w="255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7.80</w:t>
            </w:r>
          </w:p>
        </w:tc>
        <w:tc>
          <w:tcPr>
            <w:tcW w:w="2551" w:type="dxa"/>
            <w:vAlign w:val="center"/>
          </w:tcPr>
          <w:p>
            <w:pPr>
              <w:pStyle w:val="12"/>
            </w:pPr>
          </w:p>
        </w:tc>
        <w:tc>
          <w:tcPr>
            <w:tcW w:w="2551" w:type="dxa"/>
            <w:vAlign w:val="center"/>
          </w:tcPr>
          <w:p>
            <w:pPr>
              <w:pStyle w:val="12"/>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24.55</w:t>
            </w:r>
          </w:p>
        </w:tc>
        <w:tc>
          <w:tcPr>
            <w:tcW w:w="2551" w:type="dxa"/>
            <w:vAlign w:val="center"/>
          </w:tcPr>
          <w:p>
            <w:pPr>
              <w:pStyle w:val="12"/>
            </w:pPr>
          </w:p>
        </w:tc>
        <w:tc>
          <w:tcPr>
            <w:tcW w:w="2551" w:type="dxa"/>
            <w:vAlign w:val="center"/>
          </w:tcPr>
          <w:p>
            <w:pPr>
              <w:pStyle w:val="12"/>
            </w:pPr>
            <w:r>
              <w:t>24.55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4.38</w:t>
            </w:r>
          </w:p>
        </w:tc>
        <w:tc>
          <w:tcPr>
            <w:tcW w:w="2551" w:type="dxa"/>
            <w:vAlign w:val="center"/>
          </w:tcPr>
          <w:p>
            <w:pPr>
              <w:pStyle w:val="12"/>
            </w:pPr>
          </w:p>
        </w:tc>
        <w:tc>
          <w:tcPr>
            <w:tcW w:w="2551" w:type="dxa"/>
            <w:vAlign w:val="center"/>
          </w:tcPr>
          <w:p>
            <w:pPr>
              <w:pStyle w:val="12"/>
            </w:pPr>
            <w:r>
              <w:t>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67.90</w:t>
            </w:r>
          </w:p>
        </w:tc>
        <w:tc>
          <w:tcPr>
            <w:tcW w:w="2551" w:type="dxa"/>
            <w:vAlign w:val="center"/>
          </w:tcPr>
          <w:p>
            <w:pPr>
              <w:pStyle w:val="12"/>
            </w:pPr>
            <w:r>
              <w:t>67.90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13.82</w:t>
            </w:r>
          </w:p>
        </w:tc>
        <w:tc>
          <w:tcPr>
            <w:tcW w:w="2551" w:type="dxa"/>
            <w:vAlign w:val="center"/>
          </w:tcPr>
          <w:p>
            <w:pPr>
              <w:pStyle w:val="12"/>
            </w:pPr>
            <w:r>
              <w:t>13.82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30304</w:t>
            </w:r>
          </w:p>
        </w:tc>
        <w:tc>
          <w:tcPr>
            <w:tcW w:w="4535" w:type="dxa"/>
            <w:vAlign w:val="center"/>
          </w:tcPr>
          <w:p>
            <w:pPr>
              <w:pStyle w:val="13"/>
            </w:pPr>
            <w:r>
              <w:t>抚恤金</w:t>
            </w:r>
          </w:p>
        </w:tc>
        <w:tc>
          <w:tcPr>
            <w:tcW w:w="2551" w:type="dxa"/>
            <w:vAlign w:val="center"/>
          </w:tcPr>
          <w:p>
            <w:pPr>
              <w:pStyle w:val="12"/>
            </w:pPr>
            <w:r>
              <w:t>49.35</w:t>
            </w:r>
          </w:p>
        </w:tc>
        <w:tc>
          <w:tcPr>
            <w:tcW w:w="2551" w:type="dxa"/>
            <w:vAlign w:val="center"/>
          </w:tcPr>
          <w:p>
            <w:pPr>
              <w:pStyle w:val="12"/>
            </w:pPr>
            <w:r>
              <w:t>49.35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4.73</w:t>
            </w:r>
          </w:p>
        </w:tc>
        <w:tc>
          <w:tcPr>
            <w:tcW w:w="2551" w:type="dxa"/>
            <w:vAlign w:val="center"/>
          </w:tcPr>
          <w:p>
            <w:pPr>
              <w:pStyle w:val="12"/>
            </w:pPr>
            <w:r>
              <w:t>4.73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73.00</w:t>
            </w:r>
          </w:p>
        </w:tc>
        <w:tc>
          <w:tcPr>
            <w:tcW w:w="2551" w:type="dxa"/>
            <w:vAlign w:val="center"/>
          </w:tcPr>
          <w:p>
            <w:pPr>
              <w:pStyle w:val="16"/>
            </w:pPr>
          </w:p>
        </w:tc>
        <w:tc>
          <w:tcPr>
            <w:tcW w:w="2551" w:type="dxa"/>
            <w:vAlign w:val="center"/>
          </w:tcPr>
          <w:p>
            <w:pPr>
              <w:pStyle w:val="16"/>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73.00</w:t>
            </w:r>
          </w:p>
        </w:tc>
        <w:tc>
          <w:tcPr>
            <w:tcW w:w="2551" w:type="dxa"/>
            <w:vAlign w:val="center"/>
          </w:tcPr>
          <w:p>
            <w:pPr>
              <w:pStyle w:val="12"/>
            </w:pPr>
          </w:p>
        </w:tc>
        <w:tc>
          <w:tcPr>
            <w:tcW w:w="2551"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73.00</w:t>
            </w:r>
          </w:p>
        </w:tc>
        <w:tc>
          <w:tcPr>
            <w:tcW w:w="2551" w:type="dxa"/>
            <w:vAlign w:val="center"/>
          </w:tcPr>
          <w:p>
            <w:pPr>
              <w:pStyle w:val="12"/>
            </w:pPr>
          </w:p>
        </w:tc>
        <w:tc>
          <w:tcPr>
            <w:tcW w:w="2551"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2296099</w:t>
            </w:r>
          </w:p>
        </w:tc>
        <w:tc>
          <w:tcPr>
            <w:tcW w:w="4535" w:type="dxa"/>
            <w:vAlign w:val="center"/>
          </w:tcPr>
          <w:p>
            <w:pPr>
              <w:pStyle w:val="13"/>
            </w:pPr>
            <w:r>
              <w:t>用于其他社会公益事业的彩票公益金支出</w:t>
            </w:r>
          </w:p>
        </w:tc>
        <w:tc>
          <w:tcPr>
            <w:tcW w:w="2551" w:type="dxa"/>
            <w:vAlign w:val="center"/>
          </w:tcPr>
          <w:p>
            <w:pPr>
              <w:pStyle w:val="12"/>
            </w:pPr>
            <w:r>
              <w:t>73.00</w:t>
            </w:r>
          </w:p>
        </w:tc>
        <w:tc>
          <w:tcPr>
            <w:tcW w:w="2551" w:type="dxa"/>
            <w:vAlign w:val="center"/>
          </w:tcPr>
          <w:p>
            <w:pPr>
              <w:pStyle w:val="12"/>
            </w:pPr>
          </w:p>
        </w:tc>
        <w:tc>
          <w:tcPr>
            <w:tcW w:w="2551" w:type="dxa"/>
            <w:vAlign w:val="center"/>
          </w:tcPr>
          <w:p>
            <w:pPr>
              <w:pStyle w:val="12"/>
            </w:pPr>
            <w:r>
              <w:t>73.00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青龙满族自治县凤凰山乡人民政府2026年部门预算信息公开情况说明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青龙满族自治县凤凰山乡人民政府2026年部门预算信息公开情况说明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按照《中华人民共和国预算法》、《地方预决算公开操作规程》和《关于进一步推进预算公开工作的实施意见》规定，现将青龙满族自治县凤凰山乡人民政府2026年部门预算公开如下：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凤凰山乡贯彻落实党中央和省、市委关于乡镇工作的方针政策和决策部署，坚持和加强党对乡镇工作的集中统一领导。主要职责是：</w:t>
      </w:r>
    </w:p>
    <w:p>
      <w:pPr>
        <w:pStyle w:val="18"/>
      </w:pPr>
      <w:r>
        <w:t>（一）宣传贯彻执行党的路线方针政策和党中央、上级党组织及本乡党员代表大会的决议。贯彻执行法律、法规、规章和上级人民代表大会及其常务委员会决议及上级政府的决定、命令，执行本级人民代表大会的决议。</w:t>
      </w:r>
    </w:p>
    <w:p>
      <w:pPr>
        <w:pStyle w:val="18"/>
      </w:pPr>
      <w:r>
        <w:t>（二）讨论和决定本乡政治建设、经济建设、文化建设、社会建设、生态文明建设和党的建设以及乡村振兴中的重大问题。</w:t>
      </w:r>
    </w:p>
    <w:p>
      <w:pPr>
        <w:pStyle w:val="18"/>
      </w:pPr>
      <w:r>
        <w:t>（三）组织召开本级人民代表大会，充分行使重大事项决定权、监督权和任免权，做好人大代表工作，联系选民、反映群众意见和要求。</w:t>
      </w:r>
    </w:p>
    <w:p>
      <w:pPr>
        <w:pStyle w:val="18"/>
      </w:pPr>
      <w:r>
        <w:t>（四）执行本级行政区域内的经济和社会发展计划、预算，管理本行政区域内的经济、教育体育、科学、文化、劳动保障、卫生健康事业和财政、统计、民政、司法行政等行政工作。落实本行政区域内发展规划、专项规划、区域规划、国土空间规划。</w:t>
      </w:r>
    </w:p>
    <w:p>
      <w:pPr>
        <w:pStyle w:val="18"/>
      </w:pPr>
      <w:r>
        <w:t>（五）乡党委领导乡政权机关、群团组织和其他各类组织，加强指导和规范，支持和保证这些机关和组织依照国家法律法规以及各自章程履行职责。坚持党管武装的根本原则和制度，协调各方力量，对乡人民武装工作实行统一领导。</w:t>
      </w:r>
    </w:p>
    <w:p>
      <w:pPr>
        <w:pStyle w:val="18"/>
      </w:pPr>
      <w:r>
        <w:t>（六）加强乡党委自身建设和村党组织建设，以及其他隶属乡党委的党组织建设，抓好发展党员工作，加强党员队伍建设。维护和执行党的纪律，监督党员干部和其他任何工作人员严格遵守国家法律法规。</w:t>
      </w:r>
    </w:p>
    <w:p>
      <w:pPr>
        <w:pStyle w:val="18"/>
      </w:pPr>
      <w:r>
        <w:t>（七）按照干部管理权限，负责对干部的教育、培训、选拔、考核和监督工作。协助管理上级有关部门驻乡干部。做好人才服务工作。</w:t>
      </w:r>
    </w:p>
    <w:p>
      <w:pPr>
        <w:pStyle w:val="18"/>
      </w:pPr>
      <w:r>
        <w:t>（八）领导本乡的基层治理，加强社会主义民主法治建设和精神文明建设，加强社会治理，做好应急管理、生态环保、乡村振兴、民生保障、脱贫致富、民族宗教、防范邪教等工作。承担民兵预备役、征兵、退役军人服务、拥军优属等工作。</w:t>
      </w:r>
    </w:p>
    <w:p>
      <w:pPr>
        <w:pStyle w:val="18"/>
      </w:pPr>
      <w:r>
        <w:t>（九）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pPr>
        <w:pStyle w:val="18"/>
      </w:pPr>
      <w:r>
        <w:t>（十）承办上级党委、人大、政府交办的其他事项。</w:t>
      </w:r>
    </w:p>
    <w:p>
      <w:pPr>
        <w:pStyle w:val="18"/>
      </w:pPr>
      <w:r>
        <w:t>根据上述职责，凤凰山乡共设置7个工作机构，另根据中央和省委有关要求，单独设置退役军人服务站。</w:t>
      </w:r>
    </w:p>
    <w:p>
      <w:pPr>
        <w:pStyle w:val="18"/>
      </w:pPr>
      <w:r>
        <w:t>（一）党政综合办公室（财政所）</w:t>
      </w:r>
    </w:p>
    <w:p>
      <w:pPr>
        <w:pStyle w:val="18"/>
      </w:pPr>
      <w:r>
        <w:t>主要承担《青龙满族自治县乡镇和街道职责事项清单》中2项事项；承担机关党政日常事务职责。承担公文运转、保密机要、政务公开、档案管理、后勤保障、内部审计、财务财政管理、统计管理等职能。</w:t>
      </w:r>
    </w:p>
    <w:p>
      <w:pPr>
        <w:pStyle w:val="18"/>
      </w:pPr>
      <w:r>
        <w:t xml:space="preserve">（二）党建工作办公室（人大主席团办公室、综合文化服务站） </w:t>
      </w:r>
    </w:p>
    <w:p>
      <w:pPr>
        <w:pStyle w:val="18"/>
      </w:pPr>
      <w:r>
        <w:t>主要承担《青龙满族自治县乡镇和街道职责事项清单》中17项事项；承担党建联席会议日常工作、组织工作、宣传工作、统战民族宗教工作、人大政协工作、武装工作、群团工作以及区域化党建服务、新时代文明服务、志愿服务、综合文化服务等职能。</w:t>
      </w:r>
    </w:p>
    <w:p>
      <w:pPr>
        <w:pStyle w:val="18"/>
      </w:pPr>
      <w:r>
        <w:t>（三）应急管理办公室（社会治理中心、综合指挥和信息化网络中心）</w:t>
      </w:r>
    </w:p>
    <w:p>
      <w:pPr>
        <w:pStyle w:val="18"/>
      </w:pPr>
      <w:r>
        <w:t>主要承担《青龙满族自治县乡镇和街道职责事项清单》中20项事项；承担应急管理、综合治理、信访稳定、法制建设、网格管理、指挥调度等职能，发挥社会治理时代化平台作用。</w:t>
      </w:r>
    </w:p>
    <w:p>
      <w:pPr>
        <w:pStyle w:val="18"/>
      </w:pPr>
      <w:r>
        <w:t>自然资源和生态环境办公室（优化营商环境办公室）</w:t>
      </w:r>
    </w:p>
    <w:p>
      <w:pPr>
        <w:pStyle w:val="18"/>
      </w:pPr>
      <w:r>
        <w:t>主要承担《青龙满族自治县乡镇和街道职责事项清单》中17项事项；承担自然资源保护、村镇、乡村环境保护、乡村道路建设管理、发展乡村旅游，统筹区域发展、产业升级、 规划建设企业服务，联系辖区内开发区（园区）等经济领域相关协调管理等职能。</w:t>
      </w:r>
    </w:p>
    <w:p>
      <w:pPr>
        <w:pStyle w:val="18"/>
      </w:pPr>
      <w:r>
        <w:t>（五）综合行政执法队</w:t>
      </w:r>
    </w:p>
    <w:p>
      <w:pPr>
        <w:pStyle w:val="18"/>
      </w:pPr>
      <w:r>
        <w:t>主要承担《青龙满族自治县乡镇和街道职责事项清单》中8项事项；采取相对集中行使行政处罚权的方式集中开展综合行政执法。承担辖区内综合行政执法职责。承担县《乡镇和街道行政处罚事项清单》范围内事项的行政处罚执法工作、协助上级执法、法律法规宣传、行政诉求复等职能。 议</w:t>
      </w:r>
    </w:p>
    <w:p>
      <w:pPr>
        <w:pStyle w:val="18"/>
      </w:pPr>
      <w:r>
        <w:t>（六）行政综合服务中心</w:t>
      </w:r>
    </w:p>
    <w:p>
      <w:pPr>
        <w:pStyle w:val="18"/>
      </w:pPr>
      <w:r>
        <w:t>主要承担《青龙满族自治县乡镇和街道职责事项清单》中21项事项；承担清单范围内审批服务事项办理、清单范围内基本公共服务事项办理、社会信用体系建设、劳动保障、民政、卫生健 康、教育体育、指导便民服务站等职能。</w:t>
      </w:r>
    </w:p>
    <w:p>
      <w:pPr>
        <w:pStyle w:val="18"/>
      </w:pPr>
      <w:r>
        <w:t>（七）农业农村综合服务中心（防贫中心）</w:t>
      </w:r>
    </w:p>
    <w:p>
      <w:pPr>
        <w:pStyle w:val="18"/>
      </w:pPr>
      <w:r>
        <w:t>主要承担《青龙满族自治县乡镇和街道职责事项清单》中19项事项；承担农村重点改革、农业产业结构调整、发展农村集体经济、扶贫工作、乡村振兴、农村人居环境治理、农村“三资”管理、农业科技推广、农村宅基地管理、农产品质量安全监管、其他涉农工作等职能。</w:t>
      </w:r>
    </w:p>
    <w:p>
      <w:pPr>
        <w:pStyle w:val="18"/>
      </w:pPr>
      <w:r>
        <w:t>（八）退役军人服务站</w:t>
      </w:r>
    </w:p>
    <w:p>
      <w:pPr>
        <w:pStyle w:val="18"/>
      </w:pPr>
      <w:r>
        <w:t>主要承担《青龙满族自治县乡镇和街道职责事项清单》中1项事项；承担退役军人信息采集、拥军优属、就业创业扶持、褒扬纪念、权益维护等职能。</w:t>
      </w:r>
    </w:p>
    <w:p>
      <w:pPr>
        <w:pStyle w:val="18"/>
      </w:pPr>
      <w:r>
        <w:t>纪委（监察办公室）</w:t>
      </w:r>
    </w:p>
    <w:p>
      <w:pPr>
        <w:pStyle w:val="18"/>
      </w:pPr>
      <w:r>
        <w:t>承担《青龙满族自治县乡镇和街道职责事项清单》中1项事项；在县委的领导下，协助、配合乡党委、政府抓好本乡的党风廉政建设和反腐倡廉工作；抓好领导干部廉洁自律、查办违法违纪案件、纠正损害群众利益的不正之风；维护和执行党的纪律，监督党员干部和其他任何工作人员严格遵守国家法律法规。</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青龙满族自治县凤凰山乡人民政府本级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按照预算管理有关规定，目前部门预算的编制实行综合预算管理，即全部收入和支出都反映在预算中。青龙满族自治县凤凰山乡人民政府机关及所属事业单位的收支包含在部门预算中。</w:t>
      </w:r>
    </w:p>
    <w:p>
      <w:pPr>
        <w:pStyle w:val="19"/>
      </w:pPr>
      <w:r>
        <w:t>1、收入说明</w:t>
      </w:r>
    </w:p>
    <w:p>
      <w:pPr>
        <w:pStyle w:val="19"/>
      </w:pPr>
      <w:r>
        <w:t>反映本部门当年全部收入。2026年预算收入837.75万元，其中：一般公共预算收入642.05万元，基金预算收入0.00万元，国有资本经营预算收入0.00万元，财政专户核拨收入0.00万元，单位资金收入0.00万元，上年结转结余195.70万元。</w:t>
      </w:r>
    </w:p>
    <w:p>
      <w:pPr>
        <w:pStyle w:val="19"/>
      </w:pPr>
      <w:r>
        <w:t>2、支出说明</w:t>
      </w:r>
    </w:p>
    <w:p>
      <w:pPr>
        <w:pStyle w:val="19"/>
      </w:pPr>
      <w:r>
        <w:t>收支预算总表支出栏、基本支出表、项目支出表按经济分类和支出功能分类科目编制，反映青龙满族自治县凤凰山乡人民政府年度部门预算中支出预算的总体情况。2026年支出预算837.75万元，其中基本支出664.69万元，包括人员经费587.50万元和日常公用经费77.19万元；项目支出173.06万元，主要为信访工作经费3万元，全国自然灾害综合风险普查工作经费1万元，农村环境综合整治工作经费1万元，矽肺病人员生活困难补助0.864万元，乡村振兴工作经费1万元，矽肺病工伤救助金2.3万元，燃煤锅炉改造及清洁能源补贴19万元，严重精神障碍患者监护人责任险0.39万元，防火防汛工作经费5.3万元，人大工作经费0.5万元，地方武装经费2万元，村级组织运转经费-服务群众专项经费20万元，</w:t>
      </w:r>
      <w:r>
        <w:tab/>
      </w:r>
      <w:r>
        <w:t>关于提前下达2025年中央专项彩票公益金支持地方社会公益事业发展资金预算的通知-凤凰山乡农村道路提升工程款73万元，</w:t>
      </w:r>
      <w:r>
        <w:tab/>
      </w:r>
      <w:r>
        <w:t>其他村两委干部绩效补贴17.3万元，村党组织书记、村民委员会主任绩效补贴12万元，村级组织运转经费-村级组织办公经费14.328万元</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r>
        <w:t>；预计下年使用的单位资金结余0.00万元。委托业务费共计安排0.96万元，主要用于因技术原因确需对外委托的辅助性工作和确有必要对外委托开展咨询、评审、规划等工作。</w:t>
      </w:r>
    </w:p>
    <w:p>
      <w:pPr>
        <w:pStyle w:val="19"/>
      </w:pPr>
      <w:r>
        <w:t>3、比上年增减情况</w:t>
      </w:r>
    </w:p>
    <w:p>
      <w:pPr>
        <w:pStyle w:val="19"/>
      </w:pPr>
      <w:r>
        <w:t>2026年预算收支安排837.75万元，较2025年预算增加57.95万元，其中：基本支出增加89.88万元，主要为人员经费增加81.72万元，公用经费增加8.16万元.农村环境综合整治工作经费减少2万元，防火防汛工作经增加1.3万元，项目支出减少31.94万元，主要为信访工作经费增加2万元，严重精神障碍患者监护人责任险增加0.01万元，矽肺病人员生活困难补助增加0.432万元，农村环境综合整治工作经费减少2万元，矽肺病人员生活困难补助增加0.432万元，中央专项福利彩票公益金减少31万元，村干部工资减少15.256万元，防汛工作经费增加1.3万元，村级办公费增加3.078万元，服务群众专项增加10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（一）总体绩效目标</w:t>
      </w:r>
    </w:p>
    <w:p>
      <w:pPr>
        <w:pStyle w:val="22"/>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凤凰山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（一）、强化基层组织，全面加强党的建设</w:t>
      </w:r>
    </w:p>
    <w:p>
      <w:pPr>
        <w:pStyle w:val="23"/>
      </w:pPr>
      <w:r>
        <w:t>绩效目标：</w:t>
      </w:r>
    </w:p>
    <w:p>
      <w:pPr>
        <w:pStyle w:val="23"/>
      </w:pPr>
      <w:r>
        <w:t>1、党委系统公务内网建设，全乡“公务内网”的建设和管理；计算机信息网络建设；组织协调各类信息资源的上网和扩充，保障网络和信息安全。</w:t>
      </w:r>
    </w:p>
    <w:p>
      <w:pPr>
        <w:pStyle w:val="23"/>
      </w:pPr>
      <w:r>
        <w:t>2、政务服务承担乡政务公开暨行政权力公开透明运行工作领导小组的日常工作，指导和协调全乡政务公开及政务服务中心建设、推进行政服务体系标准化建设工作。</w:t>
      </w:r>
    </w:p>
    <w:p>
      <w:pPr>
        <w:pStyle w:val="23"/>
      </w:pPr>
      <w:r>
        <w:t>3、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pPr>
        <w:pStyle w:val="23"/>
      </w:pPr>
      <w:r>
        <w:t>4、党员和党组织建设负责全乡党组织建设；负责乡党委基层组织建设联系会议党的牵头抓总工作；提出党内生活制度建设的意见；指导全乡党员教育工作。</w:t>
      </w:r>
    </w:p>
    <w:p>
      <w:pPr>
        <w:pStyle w:val="23"/>
      </w:pPr>
      <w:r>
        <w:t>5、办案问责对有关对象违反党纪政纪和违纪违法行为进行处理；组织协调案件查办工作。</w:t>
      </w:r>
    </w:p>
    <w:p>
      <w:pPr>
        <w:pStyle w:val="23"/>
      </w:pPr>
      <w:r>
        <w:t>6、党风廉政建设组织协调全乡党风廉政建设和反腐败宣传教育工作，开展对党员、公务员的廉洁自律教育。</w:t>
      </w:r>
    </w:p>
    <w:p>
      <w:pPr>
        <w:pStyle w:val="23"/>
      </w:pPr>
      <w:r>
        <w:t>绩效指标：制作党建制度牌的数量 ≥5 块</w:t>
      </w:r>
    </w:p>
    <w:p>
      <w:pPr>
        <w:pStyle w:val="23"/>
      </w:pPr>
      <w:r>
        <w:t>组织宣传活动次数 ≥10 次</w:t>
      </w:r>
    </w:p>
    <w:p>
      <w:pPr>
        <w:pStyle w:val="23"/>
      </w:pPr>
      <w:r>
        <w:t>党报党刊征订种类 ≥6 种</w:t>
      </w:r>
    </w:p>
    <w:p>
      <w:pPr>
        <w:pStyle w:val="23"/>
      </w:pPr>
      <w:r>
        <w:t>计划开展调研的次数 ≥2 次</w:t>
      </w:r>
    </w:p>
    <w:p>
      <w:pPr>
        <w:pStyle w:val="23"/>
      </w:pPr>
      <w:r>
        <w:t>当年完成调研报告的数量 ≥2 篇</w:t>
      </w:r>
    </w:p>
    <w:p>
      <w:pPr>
        <w:pStyle w:val="23"/>
      </w:pPr>
      <w:r>
        <w:t>联络机构、网络平台完成情况占年初计划任务比率 ≥80%</w:t>
      </w:r>
    </w:p>
    <w:p>
      <w:pPr>
        <w:pStyle w:val="23"/>
      </w:pPr>
      <w:r>
        <w:t>组织镇青年慰问留守儿童活动的次数≥5 次</w:t>
      </w:r>
    </w:p>
    <w:p>
      <w:pPr>
        <w:pStyle w:val="23"/>
      </w:pPr>
      <w:r>
        <w:t>反映每年青少年法治宣传教育次数 ≥3 次</w:t>
      </w:r>
    </w:p>
    <w:p>
      <w:pPr>
        <w:pStyle w:val="23"/>
      </w:pPr>
      <w:r>
        <w:t>反映用于青少年法治宣传教育印刷的宣传单数量 ≥1000 张</w:t>
      </w:r>
    </w:p>
    <w:p>
      <w:pPr>
        <w:pStyle w:val="23"/>
      </w:pPr>
      <w:r>
        <w:t>反映“圆梦大学”走访的次数≥5 次</w:t>
      </w:r>
    </w:p>
    <w:p>
      <w:pPr>
        <w:pStyle w:val="23"/>
      </w:pPr>
      <w:r>
        <w:t>反映青少年预防违法犯罪及自护教育活动或培训情况占应培训情况的比例≥90%</w:t>
      </w:r>
    </w:p>
    <w:p>
      <w:pPr>
        <w:pStyle w:val="23"/>
      </w:pPr>
      <w:r>
        <w:t>反映全乡未成年人思想道德建设宣传覆盖率≥90%</w:t>
      </w:r>
    </w:p>
    <w:p>
      <w:pPr>
        <w:pStyle w:val="23"/>
      </w:pPr>
      <w:r>
        <w:t>（二）、聚焦绿色发展，提升生态质量</w:t>
      </w:r>
    </w:p>
    <w:p>
      <w:pPr>
        <w:pStyle w:val="23"/>
      </w:pPr>
      <w:r>
        <w:t>绩效目标：</w:t>
      </w:r>
    </w:p>
    <w:p>
      <w:pPr>
        <w:pStyle w:val="23"/>
      </w:pPr>
      <w:r>
        <w:t>1、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3"/>
      </w:pPr>
      <w:r>
        <w:t>3、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3"/>
      </w:pPr>
      <w:r>
        <w:t>4、组织指挥和协调全乡安全生产应急救援，组织指导全乡安全生产应急救援预案编制和备案管理，结合事故多发、易发，应急管理基础薄弱的地区、领域、时段、岗位等重点，组织开展实战化应急演练。加强应急救援队伍、装备和信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3"/>
      </w:pPr>
      <w:r>
        <w:t>绩效指标：当年实际日常巡查次数 ≥100 次</w:t>
      </w:r>
    </w:p>
    <w:p>
      <w:pPr>
        <w:pStyle w:val="23"/>
      </w:pPr>
      <w:r>
        <w:t>反应巡查范围为整个马圈子镇 ≥95%</w:t>
      </w:r>
    </w:p>
    <w:p>
      <w:pPr>
        <w:pStyle w:val="23"/>
      </w:pPr>
      <w:r>
        <w:t>全镇森林火灾发生面积占森林总面积的比例 &lt;0.1‰</w:t>
      </w:r>
    </w:p>
    <w:p>
      <w:pPr>
        <w:pStyle w:val="23"/>
      </w:pPr>
      <w:r>
        <w:t>完成的重点污染治理工程数量 ≥5 件</w:t>
      </w:r>
    </w:p>
    <w:p>
      <w:pPr>
        <w:pStyle w:val="23"/>
      </w:pPr>
      <w:r>
        <w:t>下乡宣传次数 ≥50 次</w:t>
      </w:r>
    </w:p>
    <w:p>
      <w:pPr>
        <w:pStyle w:val="23"/>
      </w:pPr>
      <w:r>
        <w:t>用于下乡宣传印刷的宣传单数量≥1000 张</w:t>
      </w:r>
    </w:p>
    <w:p>
      <w:pPr>
        <w:pStyle w:val="23"/>
      </w:pPr>
      <w:r>
        <w:t>每年下乡检查工作的次数 ≥50 次</w:t>
      </w:r>
    </w:p>
    <w:p>
      <w:pPr>
        <w:pStyle w:val="23"/>
      </w:pPr>
      <w:r>
        <w:t>处置的危险废物数量占全部数量的比率 ≥80%</w:t>
      </w:r>
    </w:p>
    <w:p>
      <w:pPr>
        <w:pStyle w:val="23"/>
      </w:pPr>
      <w:r>
        <w:t>在规定时间内督查发现的重大环保事件数占重大环保事件总数的比率≥90%</w:t>
      </w:r>
    </w:p>
    <w:p>
      <w:pPr>
        <w:pStyle w:val="23"/>
      </w:pPr>
      <w:r>
        <w:t>（三）、注重民生，推动社会事业再发展</w:t>
      </w:r>
    </w:p>
    <w:p>
      <w:pPr>
        <w:pStyle w:val="23"/>
      </w:pPr>
      <w:r>
        <w:t>绩效目标：社会管理与服务 划空间布局，提高登记质量，建立健全城乡基层群众自治组织，逐步实现社会工作者专</w:t>
      </w:r>
    </w:p>
    <w:p>
      <w:pPr>
        <w:pStyle w:val="23"/>
      </w:pPr>
      <w:r>
        <w:t>业化、职业化。</w:t>
      </w:r>
    </w:p>
    <w:p>
      <w:pPr>
        <w:pStyle w:val="23"/>
      </w:pPr>
      <w:r>
        <w:t>防灾减灾救灾组织协调乡级防灾减灾救灾工作。组织核查并统一发布灾情。组织指导救灾捐赠工作，负责国内外救灾捐赠款物的接收管理和分配使用。</w:t>
      </w:r>
    </w:p>
    <w:p>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3"/>
      </w:pPr>
      <w:r>
        <w:t>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pPr>
        <w:pStyle w:val="23"/>
      </w:pPr>
      <w:r>
        <w:t>绩效指标：反映下乡调研入户的贫困户占贫困户总数的比例 100%</w:t>
      </w:r>
    </w:p>
    <w:p>
      <w:pPr>
        <w:pStyle w:val="23"/>
      </w:pPr>
      <w:r>
        <w:t>资金待遇按时足额发放人数占应发放人数的比率 100%</w:t>
      </w:r>
    </w:p>
    <w:p>
      <w:pPr>
        <w:pStyle w:val="23"/>
      </w:pPr>
      <w:r>
        <w:t>享受严重精神障碍患者监护人责任险的人数38人</w:t>
      </w:r>
    </w:p>
    <w:p>
      <w:pPr>
        <w:pStyle w:val="23"/>
      </w:pPr>
      <w:r>
        <w:t>已参保人数占应参保人数的比率 100%</w:t>
      </w:r>
    </w:p>
    <w:p>
      <w:pPr>
        <w:pStyle w:val="23"/>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面对新常态，谋求新发展，政府责任十分重大。我们一定以改革创新的精神、昂扬向上的斗志，夙兴夜寐、激情工作，奋力开创政府工作新局面。</w:t>
      </w:r>
    </w:p>
    <w:p>
      <w:pPr>
        <w:pStyle w:val="24"/>
      </w:pPr>
      <w:r>
        <w:t>一、解放思想，创新发展理念。深入贯彻习近平总书记系列</w:t>
      </w:r>
      <w:r>
        <w:rPr>
          <w:rFonts w:hint="eastAsia"/>
          <w:lang w:eastAsia="zh-CN"/>
        </w:rPr>
        <w:t>重要</w:t>
      </w:r>
      <w:r>
        <w:t>讲话精神，严格落实“八破八立”，坚决破除制约发展的思想障碍。加强学习研究，把握新规律，研究新问题，积极探索新常态下做好工作的方法和路径，努力克服老办法不管用、新办法不会用的“本领恐慌”。</w:t>
      </w:r>
      <w:bookmarkStart w:id="20" w:name="_GoBack"/>
      <w:bookmarkEnd w:id="20"/>
    </w:p>
    <w:p>
      <w:pPr>
        <w:pStyle w:val="24"/>
      </w:pPr>
      <w:r>
        <w:t>二、优化服务，转变政府职能。全面推进三级服务平台和机关标准化建设，坚决取消束缚经济社会发展的行政权力，坚决砍掉各类无谓证明和繁琐手续，精简办事程序，缩短办事时间，变“群众来回跑”为“所站协同办”，最大限度方便群众、方便企业、方便农村。</w:t>
      </w:r>
    </w:p>
    <w:p>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4"/>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1、人大之家工作经费绩效目标表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13032126P003349105252</w:t>
            </w:r>
          </w:p>
        </w:tc>
        <w:tc>
          <w:tcPr>
            <w:tcW w:w="2835" w:type="dxa"/>
            <w:vAlign w:val="center"/>
          </w:tcPr>
          <w:p>
            <w:pPr>
              <w:pStyle w:val="11"/>
            </w:pPr>
            <w:r>
              <w:t>项目名称</w:t>
            </w:r>
          </w:p>
        </w:tc>
        <w:tc>
          <w:tcPr>
            <w:tcW w:w="6095" w:type="dxa"/>
            <w:gridSpan w:val="3"/>
            <w:vAlign w:val="center"/>
          </w:tcPr>
          <w:p>
            <w:pPr>
              <w:pStyle w:val="13"/>
            </w:pPr>
            <w:r>
              <w:t>人大之家工作经费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年初预算安排0.5万元，其中财政资金0.5万元，主要用于乡人大工作办公费、印刷费等支出。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1.通过学习宣传培训，开展代表活动，使得人大机关团体密切联系群众，接受群众监督，提出议案建议。</w:t>
            </w:r>
            <w:r>
              <w:tab/>
            </w:r>
            <w:r>
              <w:tab/>
            </w:r>
            <w:r>
              <w:tab/>
            </w:r>
            <w:r>
              <w:tab/>
            </w:r>
            <w:r>
              <w:tab/>
            </w:r>
            <w:r>
              <w:tab/>
            </w:r>
          </w:p>
          <w:p>
            <w:pPr>
              <w:pStyle w:val="13"/>
            </w:pP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2.通过开展人大代表之家工作，提供场地和经费，有利于学习宣传宪法法律和党的路线方针政策及各级党委政府重大决策部署。</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2268" w:type="dxa"/>
            <w:vAlign w:val="center"/>
          </w:tcPr>
          <w:p>
            <w:pPr>
              <w:pStyle w:val="13"/>
            </w:pPr>
            <w:r>
              <w:t>≥2次</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2268" w:type="dxa"/>
            <w:vAlign w:val="center"/>
          </w:tcPr>
          <w:p>
            <w:pPr>
              <w:pStyle w:val="13"/>
            </w:pPr>
            <w:r>
              <w:t>≥5次</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反映乡级人大代表数量</w:t>
            </w:r>
          </w:p>
        </w:tc>
        <w:tc>
          <w:tcPr>
            <w:tcW w:w="2268" w:type="dxa"/>
            <w:vAlign w:val="center"/>
          </w:tcPr>
          <w:p>
            <w:pPr>
              <w:pStyle w:val="13"/>
            </w:pPr>
            <w:r>
              <w:t>50人</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2268" w:type="dxa"/>
            <w:vAlign w:val="center"/>
          </w:tcPr>
          <w:p>
            <w:pPr>
              <w:pStyle w:val="13"/>
            </w:pPr>
            <w:r>
              <w:t>≥2篇</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2268" w:type="dxa"/>
            <w:vAlign w:val="center"/>
          </w:tcPr>
          <w:p>
            <w:pPr>
              <w:pStyle w:val="13"/>
            </w:pPr>
            <w:r>
              <w:t>100%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工作完成及时性</w:t>
            </w:r>
          </w:p>
        </w:tc>
        <w:tc>
          <w:tcPr>
            <w:tcW w:w="5386" w:type="dxa"/>
            <w:vAlign w:val="center"/>
          </w:tcPr>
          <w:p>
            <w:pPr>
              <w:pStyle w:val="13"/>
            </w:pPr>
            <w:r>
              <w:t>按计划及时开展学习宣传培训和代表活动，做好协调组织工作,为代表依法履责提供服务</w:t>
            </w:r>
          </w:p>
        </w:tc>
        <w:tc>
          <w:tcPr>
            <w:tcW w:w="2268" w:type="dxa"/>
            <w:vAlign w:val="center"/>
          </w:tcPr>
          <w:p>
            <w:pPr>
              <w:pStyle w:val="13"/>
            </w:pPr>
            <w:r>
              <w:t>100%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≤0.5万元</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2268" w:type="dxa"/>
            <w:vAlign w:val="center"/>
          </w:tcPr>
          <w:p>
            <w:pPr>
              <w:pStyle w:val="13"/>
            </w:pPr>
            <w:r>
              <w:t>≥50%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提升履职质量和水平</w:t>
            </w:r>
          </w:p>
        </w:tc>
        <w:tc>
          <w:tcPr>
            <w:tcW w:w="5386" w:type="dxa"/>
            <w:vAlign w:val="center"/>
          </w:tcPr>
          <w:p>
            <w:pPr>
              <w:pStyle w:val="13"/>
            </w:pPr>
            <w:r>
              <w:t>加强对乡镇人大工作的联系和指导，规范化、制度化水平显著提升</w:t>
            </w:r>
          </w:p>
        </w:tc>
        <w:tc>
          <w:tcPr>
            <w:tcW w:w="2268" w:type="dxa"/>
            <w:vAlign w:val="center"/>
          </w:tcPr>
          <w:p>
            <w:pPr>
              <w:pStyle w:val="13"/>
            </w:pPr>
            <w:r>
              <w:t>≥95%</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乡人大代表和常委的满意度</w:t>
            </w:r>
          </w:p>
        </w:tc>
        <w:tc>
          <w:tcPr>
            <w:tcW w:w="5386" w:type="dxa"/>
            <w:vAlign w:val="center"/>
          </w:tcPr>
          <w:p>
            <w:pPr>
              <w:pStyle w:val="13"/>
            </w:pPr>
            <w:r>
              <w:t>乡人大代表和常委对代表工作的满意程度</w:t>
            </w:r>
          </w:p>
        </w:tc>
        <w:tc>
          <w:tcPr>
            <w:tcW w:w="2268" w:type="dxa"/>
            <w:vAlign w:val="center"/>
          </w:tcPr>
          <w:p>
            <w:pPr>
              <w:pStyle w:val="13"/>
            </w:pPr>
            <w:r>
              <w:t>≥95%</w:t>
            </w:r>
          </w:p>
        </w:tc>
        <w:tc>
          <w:tcPr>
            <w:tcW w:w="1276" w:type="dxa"/>
            <w:vAlign w:val="center"/>
          </w:tcPr>
          <w:p>
            <w:pPr>
              <w:pStyle w:val="13"/>
            </w:pPr>
            <w:r>
              <w:t>按调查结果统计确定</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13032126P00334910524E</w:t>
            </w:r>
          </w:p>
        </w:tc>
        <w:tc>
          <w:tcPr>
            <w:tcW w:w="2835" w:type="dxa"/>
            <w:vAlign w:val="center"/>
          </w:tcPr>
          <w:p>
            <w:pPr>
              <w:pStyle w:val="11"/>
            </w:pPr>
            <w:r>
              <w:t>项目名称</w:t>
            </w:r>
          </w:p>
        </w:tc>
        <w:tc>
          <w:tcPr>
            <w:tcW w:w="6095" w:type="dxa"/>
            <w:gridSpan w:val="3"/>
            <w:vAlign w:val="center"/>
          </w:tcPr>
          <w:p>
            <w:pPr>
              <w:pStyle w:val="13"/>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年初预算安排2万元，其中财政资金2万元，主要用于征兵、民兵训练等工作支出。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1."通过开展兵役登记、征兵工作，为国家提供高素质兵源。</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2.通过开展民兵训练工作，确保人民武装力量得到保障。</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2268" w:type="dxa"/>
            <w:vAlign w:val="center"/>
          </w:tcPr>
          <w:p>
            <w:pPr>
              <w:pStyle w:val="13"/>
            </w:pPr>
            <w:r>
              <w:t>≥3人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2268" w:type="dxa"/>
            <w:vAlign w:val="center"/>
          </w:tcPr>
          <w:p>
            <w:pPr>
              <w:pStyle w:val="13"/>
            </w:pPr>
            <w:r>
              <w:t>≤6月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提升基层武装保障能力</w:t>
            </w:r>
          </w:p>
        </w:tc>
        <w:tc>
          <w:tcPr>
            <w:tcW w:w="5386" w:type="dxa"/>
            <w:vAlign w:val="center"/>
          </w:tcPr>
          <w:p>
            <w:pPr>
              <w:pStyle w:val="13"/>
            </w:pPr>
            <w:r>
              <w:t>通过开展武装专项工作，提升基层武装保障能力</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13032125P000010101779</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j预算安排12万元，主要用于村党组织书记、村民委员汇主任绩效补贴。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1."通过及时发放村干部基础职务补贴，为农村干部工作生活提供保障。</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 xml:space="preserve">2.激发农村干部干事创业热情，确保村级工作正常运转及村干部队伍稳定。      </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反映发放村干部基础职务补贴的村数</w:t>
            </w:r>
          </w:p>
        </w:tc>
        <w:tc>
          <w:tcPr>
            <w:tcW w:w="2268" w:type="dxa"/>
            <w:vAlign w:val="center"/>
          </w:tcPr>
          <w:p>
            <w:pPr>
              <w:pStyle w:val="13"/>
            </w:pPr>
            <w:r>
              <w:t>10个</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10人</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≥90%</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按月发放村干部工资比率</w:t>
            </w:r>
          </w:p>
        </w:tc>
        <w:tc>
          <w:tcPr>
            <w:tcW w:w="5386" w:type="dxa"/>
            <w:vAlign w:val="center"/>
          </w:tcPr>
          <w:p>
            <w:pPr>
              <w:pStyle w:val="13"/>
            </w:pPr>
            <w:r>
              <w:t>反映村干部工资发放情况</w:t>
            </w:r>
          </w:p>
        </w:tc>
        <w:tc>
          <w:tcPr>
            <w:tcW w:w="2268" w:type="dxa"/>
            <w:vAlign w:val="center"/>
          </w:tcPr>
          <w:p>
            <w:pPr>
              <w:pStyle w:val="13"/>
            </w:pPr>
            <w:r>
              <w:t>100%</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反映村书记主任一肩挑人均补贴标准</w:t>
            </w:r>
          </w:p>
        </w:tc>
        <w:tc>
          <w:tcPr>
            <w:tcW w:w="2268" w:type="dxa"/>
            <w:vAlign w:val="center"/>
          </w:tcPr>
          <w:p>
            <w:pPr>
              <w:pStyle w:val="13"/>
            </w:pPr>
            <w:r>
              <w:t>1200元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通过及时拨付村干部基础职务补贴，提高村干部工作积极性，保障年度村级组织能够高效运转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2025工作计划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13032125P00001010047C</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14.33</w:t>
            </w:r>
          </w:p>
        </w:tc>
        <w:tc>
          <w:tcPr>
            <w:tcW w:w="2835" w:type="dxa"/>
            <w:vAlign w:val="center"/>
          </w:tcPr>
          <w:p>
            <w:pPr>
              <w:pStyle w:val="11"/>
            </w:pPr>
            <w:r>
              <w:t>其中：财政    资金</w:t>
            </w:r>
          </w:p>
        </w:tc>
        <w:tc>
          <w:tcPr>
            <w:tcW w:w="2551" w:type="dxa"/>
            <w:vAlign w:val="center"/>
          </w:tcPr>
          <w:p>
            <w:pPr>
              <w:pStyle w:val="13"/>
            </w:pPr>
            <w:r>
              <w:t>14.33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预算安排14.328万元，其中财政资金23.88万元，主要用于村干部基础职务补贴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1.保障村级干部工作积极性，确保村级组织正常、高效运转。</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2.通过及时支付村级组织办公用品、水电暖等费用，保障日常工作有序开展。</w:t>
            </w:r>
            <w:r>
              <w:tab/>
            </w:r>
            <w:r>
              <w:tab/>
            </w:r>
            <w:r>
              <w:tab/>
            </w:r>
            <w:r>
              <w:tab/>
            </w:r>
            <w:r>
              <w:tab/>
            </w:r>
            <w:r>
              <w:tab/>
            </w:r>
          </w:p>
          <w:p>
            <w:pPr>
              <w:pStyle w:val="13"/>
            </w:pPr>
            <w:r>
              <w:tab/>
            </w:r>
            <w:r>
              <w:tab/>
            </w:r>
            <w:r>
              <w:tab/>
            </w:r>
            <w:r>
              <w:tab/>
            </w:r>
            <w:r>
              <w:tab/>
            </w:r>
            <w:r>
              <w:tab/>
            </w:r>
          </w:p>
          <w:p>
            <w:pPr>
              <w:pStyle w:val="13"/>
            </w:pPr>
          </w:p>
          <w:p>
            <w:pPr>
              <w:pStyle w:val="13"/>
            </w:pP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2268" w:type="dxa"/>
            <w:vAlign w:val="center"/>
          </w:tcPr>
          <w:p>
            <w:pPr>
              <w:pStyle w:val="13"/>
            </w:pPr>
            <w:r>
              <w:t>10个</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2268" w:type="dxa"/>
            <w:vAlign w:val="center"/>
          </w:tcPr>
          <w:p>
            <w:pPr>
              <w:pStyle w:val="13"/>
            </w:pPr>
            <w:r>
              <w:t>100%</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2268" w:type="dxa"/>
            <w:vAlign w:val="center"/>
          </w:tcPr>
          <w:p>
            <w:pPr>
              <w:pStyle w:val="13"/>
            </w:pPr>
            <w:r>
              <w:t>100%</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2268" w:type="dxa"/>
            <w:vAlign w:val="center"/>
          </w:tcPr>
          <w:p>
            <w:pPr>
              <w:pStyle w:val="13"/>
            </w:pPr>
            <w:r>
              <w:t>≥95%</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2268" w:type="dxa"/>
            <w:vAlign w:val="center"/>
          </w:tcPr>
          <w:p>
            <w:pPr>
              <w:pStyle w:val="13"/>
            </w:pPr>
            <w:r>
              <w:t>1次/半年</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2268" w:type="dxa"/>
            <w:vAlign w:val="center"/>
          </w:tcPr>
          <w:p>
            <w:pPr>
              <w:pStyle w:val="13"/>
            </w:pPr>
            <w:r>
              <w:t>≤2.3万元</w:t>
            </w:r>
          </w:p>
        </w:tc>
        <w:tc>
          <w:tcPr>
            <w:tcW w:w="1276" w:type="dxa"/>
            <w:vAlign w:val="center"/>
          </w:tcPr>
          <w:p>
            <w:pPr>
              <w:pStyle w:val="13"/>
            </w:pPr>
            <w:r>
              <w:t>2025工作计划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2268" w:type="dxa"/>
            <w:vAlign w:val="center"/>
          </w:tcPr>
          <w:p>
            <w:pPr>
              <w:pStyle w:val="13"/>
            </w:pPr>
            <w:r>
              <w:t>≥95%</w:t>
            </w:r>
          </w:p>
        </w:tc>
        <w:tc>
          <w:tcPr>
            <w:tcW w:w="1276" w:type="dxa"/>
            <w:vAlign w:val="center"/>
          </w:tcPr>
          <w:p>
            <w:pPr>
              <w:pStyle w:val="13"/>
            </w:pPr>
            <w:r>
              <w:t>2025工作计划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2025工作计划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2268" w:type="dxa"/>
            <w:vAlign w:val="center"/>
          </w:tcPr>
          <w:p>
            <w:pPr>
              <w:pStyle w:val="13"/>
            </w:pPr>
            <w:r>
              <w:t>&gt;90%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13032125P00001010046Q</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年初预算安排20万元，其中财政资金20万元，主要用于村级公共事业和垃圾清理费等支出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2.通过开展服务群众工作，为村综合服务站日常运转、公共设施维护等提供保障，为群众提供便捷优质生产生活条件。</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2268" w:type="dxa"/>
            <w:vAlign w:val="center"/>
          </w:tcPr>
          <w:p>
            <w:pPr>
              <w:pStyle w:val="13"/>
            </w:pPr>
            <w:r>
              <w:t>10个</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2268" w:type="dxa"/>
            <w:vAlign w:val="center"/>
          </w:tcPr>
          <w:p>
            <w:pPr>
              <w:pStyle w:val="13"/>
            </w:pPr>
            <w:r>
              <w:t>≥95%</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2268" w:type="dxa"/>
            <w:vAlign w:val="center"/>
          </w:tcPr>
          <w:p>
            <w:pPr>
              <w:pStyle w:val="13"/>
            </w:pPr>
            <w:r>
              <w:t>≥90%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2268" w:type="dxa"/>
            <w:vAlign w:val="center"/>
          </w:tcPr>
          <w:p>
            <w:pPr>
              <w:pStyle w:val="13"/>
            </w:pPr>
            <w:r>
              <w:t>≥90%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2268" w:type="dxa"/>
            <w:vAlign w:val="center"/>
          </w:tcPr>
          <w:p>
            <w:pPr>
              <w:pStyle w:val="13"/>
            </w:pPr>
            <w:r>
              <w:t>≥95%</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2268" w:type="dxa"/>
            <w:vAlign w:val="center"/>
          </w:tcPr>
          <w:p>
            <w:pPr>
              <w:pStyle w:val="13"/>
            </w:pPr>
            <w:r>
              <w:t>≤2万元</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2268" w:type="dxa"/>
            <w:vAlign w:val="center"/>
          </w:tcPr>
          <w:p>
            <w:pPr>
              <w:pStyle w:val="13"/>
            </w:pPr>
            <w:r>
              <w:t>≤3万元</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2268" w:type="dxa"/>
            <w:vAlign w:val="center"/>
          </w:tcPr>
          <w:p>
            <w:pPr>
              <w:pStyle w:val="13"/>
            </w:pPr>
            <w:r>
              <w:t>≥90%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提高村干部积极性</w:t>
            </w:r>
          </w:p>
        </w:tc>
        <w:tc>
          <w:tcPr>
            <w:tcW w:w="5386" w:type="dxa"/>
            <w:vAlign w:val="center"/>
          </w:tcPr>
          <w:p>
            <w:pPr>
              <w:pStyle w:val="13"/>
            </w:pPr>
            <w:r>
              <w:t>通过及时拨付服务群众专项经费，提高村干部积极性，保证村组织持续、高效运转</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2268" w:type="dxa"/>
            <w:vAlign w:val="center"/>
          </w:tcPr>
          <w:p>
            <w:pPr>
              <w:pStyle w:val="13"/>
            </w:pPr>
            <w:r>
              <w:t>≥90%</w:t>
            </w:r>
          </w:p>
        </w:tc>
        <w:tc>
          <w:tcPr>
            <w:tcW w:w="1276" w:type="dxa"/>
            <w:vAlign w:val="center"/>
          </w:tcPr>
          <w:p>
            <w:pPr>
              <w:pStyle w:val="13"/>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13032126P00330610088P</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年初预算安排4万元，其中财政资金4万元，主要用于防火防汛工作租车费、办公费等支出。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1.通过开展巡视巡查整治工作，及时消除防汛安全隐患，确保辖区内河道行洪通畅。</w:t>
            </w:r>
            <w:r>
              <w:tab/>
            </w:r>
            <w:r>
              <w:tab/>
            </w:r>
            <w:r>
              <w:tab/>
            </w:r>
            <w:r>
              <w:tab/>
            </w:r>
            <w:r>
              <w:tab/>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2.通过扎实开展日常防火工作，广泛宣传，全天候巡查，加强防火扑救物资的储备，有效防范和遏制森林火灾的发生。</w:t>
            </w:r>
            <w:r>
              <w:tab/>
            </w:r>
            <w:r>
              <w:tab/>
            </w:r>
            <w:r>
              <w:tab/>
            </w:r>
            <w:r>
              <w:tab/>
            </w:r>
            <w:r>
              <w:tab/>
            </w:r>
            <w:r>
              <w:tab/>
            </w:r>
          </w:p>
          <w:p>
            <w:pPr>
              <w:pStyle w:val="13"/>
            </w:pPr>
            <w:r>
              <w:tab/>
            </w:r>
            <w:r>
              <w:tab/>
            </w:r>
            <w:r>
              <w:tab/>
            </w:r>
            <w:r>
              <w:tab/>
            </w:r>
            <w:r>
              <w:tab/>
            </w:r>
          </w:p>
          <w:p>
            <w:pPr>
              <w:pStyle w:val="13"/>
            </w:pPr>
            <w:r>
              <w:tab/>
            </w:r>
            <w:r>
              <w:tab/>
            </w:r>
            <w:r>
              <w:tab/>
            </w:r>
            <w:r>
              <w:tab/>
            </w:r>
            <w:r>
              <w:tab/>
            </w:r>
            <w:r>
              <w:tab/>
            </w:r>
          </w:p>
          <w:p>
            <w:pPr>
              <w:pStyle w:val="13"/>
            </w:pPr>
            <w:r>
              <w:tab/>
            </w:r>
            <w:r>
              <w:tab/>
            </w:r>
            <w:r>
              <w:tab/>
            </w:r>
            <w:r>
              <w:tab/>
            </w:r>
            <w:r>
              <w:tab/>
            </w: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2268" w:type="dxa"/>
            <w:vAlign w:val="center"/>
          </w:tcPr>
          <w:p>
            <w:pPr>
              <w:pStyle w:val="13"/>
            </w:pPr>
            <w:r>
              <w:t>≥100次</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反应巡查范围为整个乡区。</w:t>
            </w:r>
          </w:p>
        </w:tc>
        <w:tc>
          <w:tcPr>
            <w:tcW w:w="2268" w:type="dxa"/>
            <w:vAlign w:val="center"/>
          </w:tcPr>
          <w:p>
            <w:pPr>
              <w:pStyle w:val="13"/>
            </w:pPr>
            <w:r>
              <w:t>≥95%</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河道通畅率</w:t>
            </w:r>
          </w:p>
        </w:tc>
        <w:tc>
          <w:tcPr>
            <w:tcW w:w="5386" w:type="dxa"/>
            <w:vAlign w:val="center"/>
          </w:tcPr>
          <w:p>
            <w:pPr>
              <w:pStyle w:val="13"/>
            </w:pPr>
            <w:r>
              <w:t>反映汛期河道通畅情况，确保河道畅通</w:t>
            </w:r>
          </w:p>
        </w:tc>
        <w:tc>
          <w:tcPr>
            <w:tcW w:w="2268" w:type="dxa"/>
            <w:vAlign w:val="center"/>
          </w:tcPr>
          <w:p>
            <w:pPr>
              <w:pStyle w:val="13"/>
            </w:pPr>
            <w:r>
              <w:t>100%</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巡查时间</w:t>
            </w:r>
          </w:p>
        </w:tc>
        <w:tc>
          <w:tcPr>
            <w:tcW w:w="5386" w:type="dxa"/>
            <w:vAlign w:val="center"/>
          </w:tcPr>
          <w:p>
            <w:pPr>
              <w:pStyle w:val="13"/>
            </w:pPr>
            <w:r>
              <w:t>反应防火防汛完成时间</w:t>
            </w:r>
          </w:p>
        </w:tc>
        <w:tc>
          <w:tcPr>
            <w:tcW w:w="2268" w:type="dxa"/>
            <w:vAlign w:val="center"/>
          </w:tcPr>
          <w:p>
            <w:pPr>
              <w:pStyle w:val="13"/>
            </w:pPr>
            <w:r>
              <w:t>全年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督导检查等工作发生的差旅费、交</w:t>
            </w:r>
          </w:p>
        </w:tc>
        <w:tc>
          <w:tcPr>
            <w:tcW w:w="5386" w:type="dxa"/>
            <w:vAlign w:val="center"/>
          </w:tcPr>
          <w:p>
            <w:pPr>
              <w:pStyle w:val="13"/>
            </w:pPr>
            <w:r>
              <w:t>督导检查等工作发生的差旅费、交通费</w:t>
            </w:r>
          </w:p>
        </w:tc>
        <w:tc>
          <w:tcPr>
            <w:tcW w:w="2268" w:type="dxa"/>
            <w:vAlign w:val="center"/>
          </w:tcPr>
          <w:p>
            <w:pPr>
              <w:pStyle w:val="13"/>
            </w:pPr>
            <w:r>
              <w:t>≤1.2万元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2268" w:type="dxa"/>
            <w:vAlign w:val="center"/>
          </w:tcPr>
          <w:p>
            <w:pPr>
              <w:pStyle w:val="13"/>
            </w:pPr>
            <w:r>
              <w:t>≤0.1万元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2268" w:type="dxa"/>
            <w:vAlign w:val="center"/>
          </w:tcPr>
          <w:p>
            <w:pPr>
              <w:pStyle w:val="13"/>
            </w:pPr>
            <w:r>
              <w:t>≤30%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268" w:type="dxa"/>
            <w:vAlign w:val="center"/>
          </w:tcPr>
          <w:p>
            <w:pPr>
              <w:pStyle w:val="13"/>
            </w:pPr>
            <w:r>
              <w:t>≤0.01%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7、防火防汛经费绩效目标表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13032125P00330610058M</w:t>
            </w:r>
          </w:p>
        </w:tc>
        <w:tc>
          <w:tcPr>
            <w:tcW w:w="2835" w:type="dxa"/>
            <w:vAlign w:val="center"/>
          </w:tcPr>
          <w:p>
            <w:pPr>
              <w:pStyle w:val="11"/>
            </w:pPr>
            <w:r>
              <w:t>项目名称</w:t>
            </w:r>
          </w:p>
        </w:tc>
        <w:tc>
          <w:tcPr>
            <w:tcW w:w="6095" w:type="dxa"/>
            <w:gridSpan w:val="3"/>
            <w:vAlign w:val="center"/>
          </w:tcPr>
          <w:p>
            <w:pPr>
              <w:pStyle w:val="13"/>
            </w:pPr>
            <w:r>
              <w:t>防火防汛经费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w:t>
            </w:r>
          </w:p>
        </w:tc>
        <w:tc>
          <w:tcPr>
            <w:tcW w:w="2835" w:type="dxa"/>
            <w:vAlign w:val="center"/>
          </w:tcPr>
          <w:p>
            <w:pPr>
              <w:pStyle w:val="11"/>
            </w:pPr>
            <w:r>
              <w:t>其中：财政    资金</w:t>
            </w:r>
          </w:p>
        </w:tc>
        <w:tc>
          <w:tcPr>
            <w:tcW w:w="2551" w:type="dxa"/>
            <w:vAlign w:val="center"/>
          </w:tcPr>
          <w:p>
            <w:pPr>
              <w:pStyle w:val="13"/>
            </w:pPr>
            <w:r>
              <w:t>1.30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预算安排1.3万元，其中财政资金1.3万元，主要用于防火防汛工作支出。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1.通过扎实开展日常防火工作，广泛宣传，全天候巡查，加强防火扑救物资的储备，有效防范和遏制森林火灾的发生。</w:t>
            </w:r>
            <w:r>
              <w:tab/>
            </w:r>
            <w:r>
              <w:tab/>
            </w:r>
            <w:r>
              <w:tab/>
            </w:r>
            <w:r>
              <w:tab/>
            </w:r>
            <w:r>
              <w:tab/>
            </w:r>
            <w:r>
              <w:tab/>
            </w:r>
          </w:p>
          <w:p>
            <w:pPr>
              <w:pStyle w:val="13"/>
            </w:pP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2.通过开展巡视巡查整治工作，及时消除防汛安全隐患，确保辖区内河道行洪通畅。</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2268" w:type="dxa"/>
            <w:vAlign w:val="center"/>
          </w:tcPr>
          <w:p>
            <w:pPr>
              <w:pStyle w:val="13"/>
            </w:pPr>
            <w:r>
              <w:t>≥100次</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反应巡查范围为整个乡区。</w:t>
            </w:r>
          </w:p>
        </w:tc>
        <w:tc>
          <w:tcPr>
            <w:tcW w:w="2268" w:type="dxa"/>
            <w:vAlign w:val="center"/>
          </w:tcPr>
          <w:p>
            <w:pPr>
              <w:pStyle w:val="13"/>
            </w:pPr>
            <w:r>
              <w:t>≥95%</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河道通畅率</w:t>
            </w:r>
          </w:p>
        </w:tc>
        <w:tc>
          <w:tcPr>
            <w:tcW w:w="5386" w:type="dxa"/>
            <w:vAlign w:val="center"/>
          </w:tcPr>
          <w:p>
            <w:pPr>
              <w:pStyle w:val="13"/>
            </w:pPr>
            <w:r>
              <w:t>反映汛期河道通畅情况，确保河道畅通</w:t>
            </w:r>
          </w:p>
        </w:tc>
        <w:tc>
          <w:tcPr>
            <w:tcW w:w="2268" w:type="dxa"/>
            <w:vAlign w:val="center"/>
          </w:tcPr>
          <w:p>
            <w:pPr>
              <w:pStyle w:val="13"/>
            </w:pPr>
            <w:r>
              <w:t>100%</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巡查时间</w:t>
            </w:r>
          </w:p>
        </w:tc>
        <w:tc>
          <w:tcPr>
            <w:tcW w:w="5386" w:type="dxa"/>
            <w:vAlign w:val="center"/>
          </w:tcPr>
          <w:p>
            <w:pPr>
              <w:pStyle w:val="13"/>
            </w:pPr>
            <w:r>
              <w:t>反应防火防汛完成时间</w:t>
            </w:r>
          </w:p>
        </w:tc>
        <w:tc>
          <w:tcPr>
            <w:tcW w:w="2268" w:type="dxa"/>
            <w:vAlign w:val="center"/>
          </w:tcPr>
          <w:p>
            <w:pPr>
              <w:pStyle w:val="13"/>
            </w:pPr>
            <w:r>
              <w:t>全年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督导检查等工作发生的差旅费、交</w:t>
            </w:r>
          </w:p>
        </w:tc>
        <w:tc>
          <w:tcPr>
            <w:tcW w:w="5386" w:type="dxa"/>
            <w:vAlign w:val="center"/>
          </w:tcPr>
          <w:p>
            <w:pPr>
              <w:pStyle w:val="13"/>
            </w:pPr>
            <w:r>
              <w:t>督导检查等工作发生的差旅费、交通费</w:t>
            </w:r>
          </w:p>
        </w:tc>
        <w:tc>
          <w:tcPr>
            <w:tcW w:w="2268" w:type="dxa"/>
            <w:vAlign w:val="center"/>
          </w:tcPr>
          <w:p>
            <w:pPr>
              <w:pStyle w:val="13"/>
            </w:pPr>
            <w:r>
              <w:t>≤1.2万元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2268" w:type="dxa"/>
            <w:vAlign w:val="center"/>
          </w:tcPr>
          <w:p>
            <w:pPr>
              <w:pStyle w:val="13"/>
            </w:pPr>
            <w:r>
              <w:t>≤0.1万元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2268" w:type="dxa"/>
            <w:vAlign w:val="center"/>
          </w:tcPr>
          <w:p>
            <w:pPr>
              <w:pStyle w:val="13"/>
            </w:pPr>
            <w:r>
              <w:t>≤30%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268" w:type="dxa"/>
            <w:vAlign w:val="center"/>
          </w:tcPr>
          <w:p>
            <w:pPr>
              <w:pStyle w:val="13"/>
            </w:pPr>
            <w:r>
              <w:t>≤0.01%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8、关于提前下达2025年中央专项彩票公益金支持地方社会公益事业发展资金预算的通知-凤凰山乡农村道路提升工程（冀财综[2024]29号）绩效目标表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13032125P00004010012C</w:t>
            </w:r>
          </w:p>
        </w:tc>
        <w:tc>
          <w:tcPr>
            <w:tcW w:w="2835" w:type="dxa"/>
            <w:vAlign w:val="center"/>
          </w:tcPr>
          <w:p>
            <w:pPr>
              <w:pStyle w:val="11"/>
            </w:pPr>
            <w:r>
              <w:t>项目名称</w:t>
            </w:r>
          </w:p>
        </w:tc>
        <w:tc>
          <w:tcPr>
            <w:tcW w:w="6095" w:type="dxa"/>
            <w:gridSpan w:val="3"/>
            <w:vAlign w:val="center"/>
          </w:tcPr>
          <w:p>
            <w:pPr>
              <w:pStyle w:val="13"/>
            </w:pPr>
            <w:r>
              <w:t>关于提前下达2025年中央专项彩票公益金支持地方社会公益事业发展资金预算的通知-凤凰山乡农村道路提升工程（冀财综[2024]29号）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73.00</w:t>
            </w:r>
          </w:p>
        </w:tc>
        <w:tc>
          <w:tcPr>
            <w:tcW w:w="2835" w:type="dxa"/>
            <w:vAlign w:val="center"/>
          </w:tcPr>
          <w:p>
            <w:pPr>
              <w:pStyle w:val="11"/>
            </w:pPr>
            <w:r>
              <w:t>其中：财政    资金</w:t>
            </w:r>
          </w:p>
        </w:tc>
        <w:tc>
          <w:tcPr>
            <w:tcW w:w="2551" w:type="dxa"/>
            <w:vAlign w:val="center"/>
          </w:tcPr>
          <w:p>
            <w:pPr>
              <w:pStyle w:val="13"/>
            </w:pPr>
            <w:r>
              <w:t>73.00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结转项目预算资金73万元，其中财政拨款73万元，用于农村公路改造提升项目。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1.通过项目有效实施，解决农副产品运输问题</w:t>
            </w:r>
            <w:r>
              <w:tab/>
            </w:r>
            <w:r>
              <w:tab/>
            </w:r>
            <w:r>
              <w:tab/>
            </w:r>
            <w:r>
              <w:tab/>
            </w:r>
            <w:r>
              <w:tab/>
            </w:r>
            <w:r>
              <w:tab/>
            </w:r>
          </w:p>
          <w:p>
            <w:pPr>
              <w:pStyle w:val="13"/>
            </w:pPr>
          </w:p>
          <w:p>
            <w:pPr>
              <w:pStyle w:val="13"/>
            </w:pPr>
            <w:r>
              <w:t>2.通过修建道路，改善村民出行环境，保证人民群众生命财产安全。</w:t>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修建道路数量</w:t>
            </w:r>
          </w:p>
        </w:tc>
        <w:tc>
          <w:tcPr>
            <w:tcW w:w="5386" w:type="dxa"/>
            <w:vAlign w:val="center"/>
          </w:tcPr>
          <w:p>
            <w:pPr>
              <w:pStyle w:val="13"/>
            </w:pPr>
            <w:r>
              <w:t>反映修建道路的数量</w:t>
            </w:r>
          </w:p>
        </w:tc>
        <w:tc>
          <w:tcPr>
            <w:tcW w:w="2268" w:type="dxa"/>
            <w:vAlign w:val="center"/>
          </w:tcPr>
          <w:p>
            <w:pPr>
              <w:pStyle w:val="13"/>
            </w:pPr>
            <w:r>
              <w:t>1条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修建道路长度</w:t>
            </w:r>
          </w:p>
        </w:tc>
        <w:tc>
          <w:tcPr>
            <w:tcW w:w="5386" w:type="dxa"/>
            <w:vAlign w:val="center"/>
          </w:tcPr>
          <w:p>
            <w:pPr>
              <w:pStyle w:val="13"/>
            </w:pPr>
            <w:r>
              <w:t>反映修建道路长度</w:t>
            </w:r>
          </w:p>
        </w:tc>
        <w:tc>
          <w:tcPr>
            <w:tcW w:w="2268" w:type="dxa"/>
            <w:vAlign w:val="center"/>
          </w:tcPr>
          <w:p>
            <w:pPr>
              <w:pStyle w:val="13"/>
            </w:pPr>
            <w:r>
              <w:t>≤3.78公里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工程开工及完成时间</w:t>
            </w:r>
          </w:p>
        </w:tc>
        <w:tc>
          <w:tcPr>
            <w:tcW w:w="5386" w:type="dxa"/>
            <w:vAlign w:val="center"/>
          </w:tcPr>
          <w:p>
            <w:pPr>
              <w:pStyle w:val="13"/>
            </w:pPr>
            <w:r>
              <w:t>反映工程按计划开工及完成时间</w:t>
            </w:r>
          </w:p>
        </w:tc>
        <w:tc>
          <w:tcPr>
            <w:tcW w:w="2268" w:type="dxa"/>
            <w:vAlign w:val="center"/>
          </w:tcPr>
          <w:p>
            <w:pPr>
              <w:pStyle w:val="13"/>
            </w:pPr>
            <w:r>
              <w:t>按时完工率达100%</w:t>
            </w:r>
          </w:p>
          <w:p>
            <w:pPr>
              <w:pStyle w:val="13"/>
            </w:pP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w:t>
            </w:r>
          </w:p>
        </w:tc>
        <w:tc>
          <w:tcPr>
            <w:tcW w:w="5386" w:type="dxa"/>
            <w:vAlign w:val="center"/>
          </w:tcPr>
          <w:p>
            <w:pPr>
              <w:pStyle w:val="13"/>
            </w:pPr>
            <w:r>
              <w:t>反应工程总成本控制数</w:t>
            </w:r>
          </w:p>
        </w:tc>
        <w:tc>
          <w:tcPr>
            <w:tcW w:w="2268" w:type="dxa"/>
            <w:vAlign w:val="center"/>
          </w:tcPr>
          <w:p>
            <w:pPr>
              <w:pStyle w:val="13"/>
            </w:pPr>
            <w:r>
              <w:t>≤104万元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反映道路修建解决出行人口数量</w:t>
            </w:r>
          </w:p>
        </w:tc>
        <w:tc>
          <w:tcPr>
            <w:tcW w:w="2268" w:type="dxa"/>
            <w:vAlign w:val="center"/>
          </w:tcPr>
          <w:p>
            <w:pPr>
              <w:pStyle w:val="13"/>
            </w:pPr>
            <w:r>
              <w:t>≥1742人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解决交通问题</w:t>
            </w:r>
          </w:p>
        </w:tc>
        <w:tc>
          <w:tcPr>
            <w:tcW w:w="5386" w:type="dxa"/>
            <w:vAlign w:val="center"/>
          </w:tcPr>
          <w:p>
            <w:pPr>
              <w:pStyle w:val="13"/>
            </w:pPr>
            <w:r>
              <w:t>通过项目开展改善路面平整度提高</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反映受益群众对项目工程的满意度</w:t>
            </w:r>
          </w:p>
        </w:tc>
        <w:tc>
          <w:tcPr>
            <w:tcW w:w="2268" w:type="dxa"/>
            <w:vAlign w:val="center"/>
          </w:tcPr>
          <w:p>
            <w:pPr>
              <w:pStyle w:val="13"/>
            </w:pPr>
            <w:r>
              <w:t>≥95%</w:t>
            </w:r>
          </w:p>
        </w:tc>
        <w:tc>
          <w:tcPr>
            <w:tcW w:w="1276"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9、农村环境综合整治工作经费绩效目标表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13032126P003283101734</w:t>
            </w:r>
          </w:p>
        </w:tc>
        <w:tc>
          <w:tcPr>
            <w:tcW w:w="2835" w:type="dxa"/>
            <w:vAlign w:val="center"/>
          </w:tcPr>
          <w:p>
            <w:pPr>
              <w:pStyle w:val="11"/>
            </w:pPr>
            <w:r>
              <w:t>项目名称</w:t>
            </w:r>
          </w:p>
        </w:tc>
        <w:tc>
          <w:tcPr>
            <w:tcW w:w="6095" w:type="dxa"/>
            <w:gridSpan w:val="3"/>
            <w:vAlign w:val="center"/>
          </w:tcPr>
          <w:p>
            <w:pPr>
              <w:pStyle w:val="13"/>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年初预算安排1万元，其中财政资金1万元，主要用于农村卫生环境整治和垃圾清理等支出。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1.通过开展农村环境排查巡查，使农村环境存在的突出问题、难点问题得到改善，提高人民生活质量。</w:t>
            </w:r>
            <w:r>
              <w:tab/>
            </w:r>
            <w:r>
              <w:tab/>
            </w:r>
            <w:r>
              <w:tab/>
            </w:r>
            <w:r>
              <w:tab/>
            </w:r>
            <w:r>
              <w:tab/>
            </w:r>
            <w:r>
              <w:tab/>
            </w:r>
          </w:p>
          <w:p>
            <w:pPr>
              <w:pStyle w:val="13"/>
            </w:pPr>
            <w:r>
              <w:tab/>
            </w:r>
            <w:r>
              <w:tab/>
            </w:r>
            <w:r>
              <w:tab/>
            </w:r>
            <w:r>
              <w:tab/>
            </w:r>
            <w:r>
              <w:tab/>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2.通过解决村庄环境脏、乱、差问题，实现村容村貌干净整洁有序。</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重点污染治理工程数量</w:t>
            </w:r>
          </w:p>
        </w:tc>
        <w:tc>
          <w:tcPr>
            <w:tcW w:w="5386" w:type="dxa"/>
            <w:vAlign w:val="center"/>
          </w:tcPr>
          <w:p>
            <w:pPr>
              <w:pStyle w:val="13"/>
            </w:pPr>
            <w:r>
              <w:t>反映完成的重点污染治理工程数量</w:t>
            </w:r>
          </w:p>
        </w:tc>
        <w:tc>
          <w:tcPr>
            <w:tcW w:w="2268" w:type="dxa"/>
            <w:vAlign w:val="center"/>
          </w:tcPr>
          <w:p>
            <w:pPr>
              <w:pStyle w:val="13"/>
            </w:pPr>
            <w:r>
              <w:t>≥3个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检查工作的次数</w:t>
            </w:r>
          </w:p>
        </w:tc>
        <w:tc>
          <w:tcPr>
            <w:tcW w:w="5386" w:type="dxa"/>
            <w:vAlign w:val="center"/>
          </w:tcPr>
          <w:p>
            <w:pPr>
              <w:pStyle w:val="13"/>
            </w:pPr>
            <w:r>
              <w:t>反映每年下乡检查工作的次数</w:t>
            </w:r>
          </w:p>
        </w:tc>
        <w:tc>
          <w:tcPr>
            <w:tcW w:w="2268" w:type="dxa"/>
            <w:vAlign w:val="center"/>
          </w:tcPr>
          <w:p>
            <w:pPr>
              <w:pStyle w:val="13"/>
            </w:pPr>
            <w:r>
              <w:t>≥20次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反映下乡宣传次数</w:t>
            </w:r>
          </w:p>
        </w:tc>
        <w:tc>
          <w:tcPr>
            <w:tcW w:w="2268" w:type="dxa"/>
            <w:vAlign w:val="center"/>
          </w:tcPr>
          <w:p>
            <w:pPr>
              <w:pStyle w:val="13"/>
            </w:pPr>
            <w:r>
              <w:t>≥30次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发现重大环保事件数量比率</w:t>
            </w:r>
          </w:p>
        </w:tc>
        <w:tc>
          <w:tcPr>
            <w:tcW w:w="5386" w:type="dxa"/>
            <w:vAlign w:val="center"/>
          </w:tcPr>
          <w:p>
            <w:pPr>
              <w:pStyle w:val="13"/>
            </w:pPr>
            <w:r>
              <w:t>在规定时间内督查发现的重大环保事件数占重大环保事件总数的比率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检查时间</w:t>
            </w:r>
          </w:p>
        </w:tc>
        <w:tc>
          <w:tcPr>
            <w:tcW w:w="5386" w:type="dxa"/>
            <w:vAlign w:val="center"/>
          </w:tcPr>
          <w:p>
            <w:pPr>
              <w:pStyle w:val="13"/>
            </w:pPr>
            <w:r>
              <w:t>反映下乡检查工作的时间</w:t>
            </w:r>
          </w:p>
        </w:tc>
        <w:tc>
          <w:tcPr>
            <w:tcW w:w="2268" w:type="dxa"/>
            <w:vAlign w:val="center"/>
          </w:tcPr>
          <w:p>
            <w:pPr>
              <w:pStyle w:val="13"/>
            </w:pPr>
            <w:r>
              <w:t>≥2次/周</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宣传、办公费用</w:t>
            </w:r>
          </w:p>
        </w:tc>
        <w:tc>
          <w:tcPr>
            <w:tcW w:w="5386" w:type="dxa"/>
            <w:vAlign w:val="center"/>
          </w:tcPr>
          <w:p>
            <w:pPr>
              <w:pStyle w:val="13"/>
            </w:pPr>
            <w:r>
              <w:t>反映用于下乡宣传费、办公费成本</w:t>
            </w:r>
          </w:p>
        </w:tc>
        <w:tc>
          <w:tcPr>
            <w:tcW w:w="2268" w:type="dxa"/>
            <w:vAlign w:val="center"/>
          </w:tcPr>
          <w:p>
            <w:pPr>
              <w:pStyle w:val="13"/>
            </w:pPr>
            <w:r>
              <w:t>≤1万元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群众投诉下降率</w:t>
            </w:r>
          </w:p>
        </w:tc>
        <w:tc>
          <w:tcPr>
            <w:tcW w:w="5386" w:type="dxa"/>
            <w:vAlign w:val="center"/>
          </w:tcPr>
          <w:p>
            <w:pPr>
              <w:pStyle w:val="13"/>
            </w:pPr>
            <w:r>
              <w:t>反映本辖区群众因环境问题投诉下降率（%）</w:t>
            </w:r>
          </w:p>
        </w:tc>
        <w:tc>
          <w:tcPr>
            <w:tcW w:w="2268" w:type="dxa"/>
            <w:vAlign w:val="center"/>
          </w:tcPr>
          <w:p>
            <w:pPr>
              <w:pStyle w:val="13"/>
            </w:pPr>
            <w:r>
              <w:t>≥3%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反映改善生态环境质量提升率</w:t>
            </w:r>
          </w:p>
        </w:tc>
        <w:tc>
          <w:tcPr>
            <w:tcW w:w="2268" w:type="dxa"/>
            <w:vAlign w:val="center"/>
          </w:tcPr>
          <w:p>
            <w:pPr>
              <w:pStyle w:val="13"/>
            </w:pPr>
            <w:r>
              <w:t>≥30%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村民满意度</w:t>
            </w:r>
          </w:p>
        </w:tc>
        <w:tc>
          <w:tcPr>
            <w:tcW w:w="5386" w:type="dxa"/>
            <w:vAlign w:val="center"/>
          </w:tcPr>
          <w:p>
            <w:pPr>
              <w:pStyle w:val="13"/>
            </w:pPr>
            <w:r>
              <w:t xml:space="preserve"> 村民对环境治理工作的满意程度</w:t>
            </w:r>
          </w:p>
        </w:tc>
        <w:tc>
          <w:tcPr>
            <w:tcW w:w="2268" w:type="dxa"/>
            <w:vAlign w:val="center"/>
          </w:tcPr>
          <w:p>
            <w:pPr>
              <w:pStyle w:val="13"/>
            </w:pPr>
            <w:r>
              <w:t>≥85%</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13032125P000010101823</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17.38</w:t>
            </w:r>
          </w:p>
        </w:tc>
        <w:tc>
          <w:tcPr>
            <w:tcW w:w="2835" w:type="dxa"/>
            <w:vAlign w:val="center"/>
          </w:tcPr>
          <w:p>
            <w:pPr>
              <w:pStyle w:val="11"/>
            </w:pPr>
            <w:r>
              <w:t>其中：财政    资金</w:t>
            </w:r>
          </w:p>
        </w:tc>
        <w:tc>
          <w:tcPr>
            <w:tcW w:w="2551" w:type="dxa"/>
            <w:vAlign w:val="center"/>
          </w:tcPr>
          <w:p>
            <w:pPr>
              <w:pStyle w:val="13"/>
            </w:pPr>
            <w:r>
              <w:t>17.38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年初预算安排17.378万元，其中财政资金17.378万元，用于其他村两委干部绩效补贴支出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1.激发农村干部干事创业热情，确保村级工作正常运转及村干部队伍稳定。      </w:t>
            </w:r>
            <w:r>
              <w:tab/>
            </w:r>
            <w:r>
              <w:tab/>
            </w:r>
            <w:r>
              <w:tab/>
            </w:r>
            <w:r>
              <w:tab/>
            </w:r>
            <w:r>
              <w:tab/>
            </w:r>
            <w:r>
              <w:tab/>
            </w:r>
          </w:p>
          <w:p>
            <w:pPr>
              <w:pStyle w:val="13"/>
            </w:pPr>
          </w:p>
          <w:p>
            <w:pPr>
              <w:pStyle w:val="13"/>
            </w:pPr>
            <w:r>
              <w:t>2.通过及时发放其他村两委干部绩效补贴，为农村干部工作生活提供保障。</w:t>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反映发放其他村两委干部绩效补贴发放的村数</w:t>
            </w:r>
          </w:p>
        </w:tc>
        <w:tc>
          <w:tcPr>
            <w:tcW w:w="2268" w:type="dxa"/>
            <w:vAlign w:val="center"/>
          </w:tcPr>
          <w:p>
            <w:pPr>
              <w:pStyle w:val="13"/>
            </w:pPr>
            <w:r>
              <w:t>10个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47人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其他村两委干部绩效补贴</w:t>
            </w:r>
          </w:p>
        </w:tc>
        <w:tc>
          <w:tcPr>
            <w:tcW w:w="5386" w:type="dxa"/>
            <w:vAlign w:val="center"/>
          </w:tcPr>
          <w:p>
            <w:pPr>
              <w:pStyle w:val="13"/>
            </w:pPr>
            <w:r>
              <w:t>反映其他村两委干部绩效补贴月标准</w:t>
            </w:r>
          </w:p>
        </w:tc>
        <w:tc>
          <w:tcPr>
            <w:tcW w:w="2268" w:type="dxa"/>
            <w:vAlign w:val="center"/>
          </w:tcPr>
          <w:p>
            <w:pPr>
              <w:pStyle w:val="13"/>
            </w:pPr>
            <w:r>
              <w:t>20040元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13032126P00331910033J</w:t>
            </w:r>
          </w:p>
        </w:tc>
        <w:tc>
          <w:tcPr>
            <w:tcW w:w="2835" w:type="dxa"/>
            <w:vAlign w:val="center"/>
          </w:tcPr>
          <w:p>
            <w:pPr>
              <w:pStyle w:val="11"/>
            </w:pPr>
            <w:r>
              <w:t>项目名称</w:t>
            </w:r>
          </w:p>
        </w:tc>
        <w:tc>
          <w:tcPr>
            <w:tcW w:w="6095" w:type="dxa"/>
            <w:gridSpan w:val="3"/>
            <w:vAlign w:val="center"/>
          </w:tcPr>
          <w:p>
            <w:pPr>
              <w:pStyle w:val="13"/>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年初预算1万元，其中财政资金1万元，主要用于自然灾害综合风险普查办公费、差旅费支出。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1.通过开展辖区内自然灾害风险普查，增强群众防范意识</w:t>
            </w: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r>
              <w:tab/>
            </w:r>
            <w:r>
              <w:tab/>
            </w:r>
            <w:r>
              <w:tab/>
            </w:r>
            <w:r>
              <w:tab/>
            </w:r>
            <w:r>
              <w:tab/>
            </w:r>
          </w:p>
          <w:p>
            <w:pPr>
              <w:pStyle w:val="13"/>
            </w:pPr>
            <w:r>
              <w:tab/>
            </w:r>
            <w:r>
              <w:tab/>
            </w:r>
            <w:r>
              <w:tab/>
            </w:r>
            <w:r>
              <w:tab/>
            </w:r>
            <w:r>
              <w:tab/>
            </w:r>
            <w:r>
              <w:tab/>
            </w:r>
          </w:p>
          <w:p>
            <w:pPr>
              <w:pStyle w:val="13"/>
            </w:pPr>
          </w:p>
          <w:p>
            <w:pPr>
              <w:pStyle w:val="13"/>
            </w:pPr>
            <w:r>
              <w:t>2.通过发现问题隐患，及早上报处置，降低人民群众生命财产损失</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风险普查次数</w:t>
            </w:r>
          </w:p>
        </w:tc>
        <w:tc>
          <w:tcPr>
            <w:tcW w:w="5386" w:type="dxa"/>
            <w:vAlign w:val="center"/>
          </w:tcPr>
          <w:p>
            <w:pPr>
              <w:pStyle w:val="13"/>
            </w:pPr>
            <w:r>
              <w:t>反映每年安排风险普查次</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自然灾害风险普查的村个数</w:t>
            </w:r>
          </w:p>
        </w:tc>
        <w:tc>
          <w:tcPr>
            <w:tcW w:w="5386" w:type="dxa"/>
            <w:vAlign w:val="center"/>
          </w:tcPr>
          <w:p>
            <w:pPr>
              <w:pStyle w:val="13"/>
            </w:pPr>
            <w:r>
              <w:t>反映风险普查村的个数</w:t>
            </w:r>
          </w:p>
        </w:tc>
        <w:tc>
          <w:tcPr>
            <w:tcW w:w="2268" w:type="dxa"/>
            <w:vAlign w:val="center"/>
          </w:tcPr>
          <w:p>
            <w:pPr>
              <w:pStyle w:val="13"/>
            </w:pPr>
            <w:r>
              <w:t>10个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风险排查率</w:t>
            </w:r>
          </w:p>
        </w:tc>
        <w:tc>
          <w:tcPr>
            <w:tcW w:w="5386" w:type="dxa"/>
            <w:vAlign w:val="center"/>
          </w:tcPr>
          <w:p>
            <w:pPr>
              <w:pStyle w:val="13"/>
            </w:pPr>
            <w:r>
              <w:t>反映普查发现隐患数量占年度自然灾害总数的比率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386" w:type="dxa"/>
            <w:vAlign w:val="center"/>
          </w:tcPr>
          <w:p>
            <w:pPr>
              <w:pStyle w:val="13"/>
            </w:pPr>
            <w:r>
              <w:t>本次普查涉及的自然灾害类型个数</w:t>
            </w:r>
          </w:p>
        </w:tc>
        <w:tc>
          <w:tcPr>
            <w:tcW w:w="2268" w:type="dxa"/>
            <w:vAlign w:val="center"/>
          </w:tcPr>
          <w:p>
            <w:pPr>
              <w:pStyle w:val="13"/>
            </w:pPr>
            <w:r>
              <w:t>≥4项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风险普查时间</w:t>
            </w:r>
          </w:p>
        </w:tc>
        <w:tc>
          <w:tcPr>
            <w:tcW w:w="5386" w:type="dxa"/>
            <w:vAlign w:val="center"/>
          </w:tcPr>
          <w:p>
            <w:pPr>
              <w:pStyle w:val="13"/>
            </w:pPr>
            <w:r>
              <w:t>反映每年最低上下半年各一次风险普查</w:t>
            </w:r>
          </w:p>
        </w:tc>
        <w:tc>
          <w:tcPr>
            <w:tcW w:w="2268" w:type="dxa"/>
            <w:vAlign w:val="center"/>
          </w:tcPr>
          <w:p>
            <w:pPr>
              <w:pStyle w:val="13"/>
            </w:pPr>
            <w:r>
              <w:t>1次/半年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w:t>
            </w:r>
          </w:p>
        </w:tc>
        <w:tc>
          <w:tcPr>
            <w:tcW w:w="5386" w:type="dxa"/>
            <w:vAlign w:val="center"/>
          </w:tcPr>
          <w:p>
            <w:pPr>
              <w:pStyle w:val="13"/>
            </w:pPr>
            <w:r>
              <w:t>期间发生的办公费用</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挽回经济损失</w:t>
            </w:r>
          </w:p>
        </w:tc>
        <w:tc>
          <w:tcPr>
            <w:tcW w:w="5386" w:type="dxa"/>
            <w:vAlign w:val="center"/>
          </w:tcPr>
          <w:p>
            <w:pPr>
              <w:pStyle w:val="13"/>
            </w:pPr>
            <w:r>
              <w:t>反映普查发现隐患及时消除，挽回经济损失</w:t>
            </w:r>
          </w:p>
        </w:tc>
        <w:tc>
          <w:tcPr>
            <w:tcW w:w="2268" w:type="dxa"/>
            <w:vAlign w:val="center"/>
          </w:tcPr>
          <w:p>
            <w:pPr>
              <w:pStyle w:val="13"/>
            </w:pPr>
            <w:r>
              <w:t>≥50万元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反映降低因自然灾害造成群众恐慌情绪</w:t>
            </w:r>
          </w:p>
        </w:tc>
        <w:tc>
          <w:tcPr>
            <w:tcW w:w="2268" w:type="dxa"/>
            <w:vAlign w:val="center"/>
          </w:tcPr>
          <w:p>
            <w:pPr>
              <w:pStyle w:val="13"/>
            </w:pPr>
            <w:r>
              <w:t>≥50%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群众对风险普查工作的满意率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13032126P000116102909</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年初预算安排19万元，其中财政资金19万元，主要用于锅炉设备维修和电费等。</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1.通过改变空气能取暖方式，加大大气治理力度，提升大气质量。</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2.通过开展燃煤锅炉改造工作，确保机关正常办公，为机关工作人员和群众提供良好的工作办事环境。</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268" w:type="dxa"/>
            <w:vAlign w:val="center"/>
          </w:tcPr>
          <w:p>
            <w:pPr>
              <w:pStyle w:val="13"/>
            </w:pPr>
            <w:r>
              <w:t>≥1334㎡</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2268" w:type="dxa"/>
            <w:vAlign w:val="center"/>
          </w:tcPr>
          <w:p>
            <w:pPr>
              <w:pStyle w:val="13"/>
            </w:pPr>
            <w:r>
              <w:t>≥8%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2268" w:type="dxa"/>
            <w:vAlign w:val="center"/>
          </w:tcPr>
          <w:p>
            <w:pPr>
              <w:pStyle w:val="13"/>
            </w:pPr>
            <w:r>
              <w:t>2026年12月底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268" w:type="dxa"/>
            <w:vAlign w:val="center"/>
          </w:tcPr>
          <w:p>
            <w:pPr>
              <w:pStyle w:val="13"/>
            </w:pPr>
            <w:r>
              <w:t>≤9万元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办公场所采购费用支出</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268" w:type="dxa"/>
            <w:vAlign w:val="center"/>
          </w:tcPr>
          <w:p>
            <w:pPr>
              <w:pStyle w:val="13"/>
            </w:pPr>
            <w:r>
              <w:t>≥10%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按照调查结果统计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13、矽肺病工伤救助金绩效目标表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13032126P000115101380</w:t>
            </w:r>
          </w:p>
        </w:tc>
        <w:tc>
          <w:tcPr>
            <w:tcW w:w="2835" w:type="dxa"/>
            <w:vAlign w:val="center"/>
          </w:tcPr>
          <w:p>
            <w:pPr>
              <w:pStyle w:val="11"/>
            </w:pPr>
            <w:r>
              <w:t>项目名称</w:t>
            </w:r>
          </w:p>
        </w:tc>
        <w:tc>
          <w:tcPr>
            <w:tcW w:w="6095" w:type="dxa"/>
            <w:gridSpan w:val="3"/>
            <w:vAlign w:val="center"/>
          </w:tcPr>
          <w:p>
            <w:pPr>
              <w:pStyle w:val="13"/>
            </w:pPr>
            <w:r>
              <w:t>矽肺病工伤救助金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w:t>
            </w:r>
          </w:p>
        </w:tc>
        <w:tc>
          <w:tcPr>
            <w:tcW w:w="2835" w:type="dxa"/>
            <w:vAlign w:val="center"/>
          </w:tcPr>
          <w:p>
            <w:pPr>
              <w:pStyle w:val="11"/>
            </w:pPr>
            <w:r>
              <w:t>其中：财政    资金</w:t>
            </w:r>
          </w:p>
        </w:tc>
        <w:tc>
          <w:tcPr>
            <w:tcW w:w="2551" w:type="dxa"/>
            <w:vAlign w:val="center"/>
          </w:tcPr>
          <w:p>
            <w:pPr>
              <w:pStyle w:val="13"/>
            </w:pPr>
            <w:r>
              <w:t>2.30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年初预算安排2.3万元，其中财政资金2.3万元，主要用于矽肺病患者工伤救助资金。</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1.通过对矽肺病人员救助赔偿金的及时足额发放，消除信访隐患.</w:t>
            </w:r>
            <w:r>
              <w:tab/>
            </w:r>
            <w:r>
              <w:tab/>
            </w:r>
            <w:r>
              <w:tab/>
            </w:r>
            <w:r>
              <w:tab/>
            </w:r>
            <w:r>
              <w:tab/>
            </w:r>
            <w:r>
              <w:tab/>
            </w:r>
          </w:p>
          <w:p>
            <w:pPr>
              <w:pStyle w:val="13"/>
            </w:pPr>
            <w:r>
              <w:tab/>
            </w:r>
            <w:r>
              <w:tab/>
            </w:r>
            <w:r>
              <w:tab/>
            </w:r>
            <w:r>
              <w:tab/>
            </w:r>
            <w:r>
              <w:tab/>
            </w:r>
            <w:r>
              <w:tab/>
            </w:r>
            <w:r>
              <w:tab/>
            </w:r>
            <w:r>
              <w:tab/>
            </w:r>
            <w:r>
              <w:tab/>
            </w:r>
            <w:r>
              <w:tab/>
            </w:r>
            <w:r>
              <w:tab/>
            </w:r>
          </w:p>
          <w:p>
            <w:pPr>
              <w:pStyle w:val="13"/>
            </w:pPr>
            <w:r>
              <w:tab/>
            </w:r>
            <w:r>
              <w:tab/>
            </w:r>
            <w:r>
              <w:tab/>
            </w:r>
            <w:r>
              <w:tab/>
            </w:r>
            <w:r>
              <w:tab/>
            </w:r>
            <w:r>
              <w:tab/>
            </w:r>
          </w:p>
          <w:p>
            <w:pPr>
              <w:pStyle w:val="13"/>
            </w:pPr>
            <w:r>
              <w:tab/>
            </w:r>
            <w:r>
              <w:tab/>
            </w:r>
            <w:r>
              <w:tab/>
            </w:r>
            <w:r>
              <w:tab/>
            </w:r>
            <w:r>
              <w:tab/>
            </w:r>
            <w:r>
              <w:tab/>
            </w:r>
            <w:r>
              <w:tab/>
            </w:r>
            <w:r>
              <w:tab/>
            </w:r>
            <w:r>
              <w:tab/>
            </w:r>
            <w:r>
              <w:tab/>
            </w:r>
            <w:r>
              <w:tab/>
            </w:r>
            <w:r>
              <w:tab/>
            </w:r>
          </w:p>
          <w:p>
            <w:pPr>
              <w:pStyle w:val="13"/>
            </w:pPr>
            <w:r>
              <w:tab/>
            </w:r>
            <w:r>
              <w:tab/>
            </w:r>
            <w:r>
              <w:tab/>
            </w:r>
            <w:r>
              <w:tab/>
            </w:r>
            <w:r>
              <w:tab/>
            </w:r>
            <w:r>
              <w:tab/>
            </w:r>
            <w:r>
              <w:tab/>
            </w:r>
            <w:r>
              <w:tab/>
            </w:r>
            <w:r>
              <w:tab/>
            </w:r>
            <w:r>
              <w:tab/>
            </w:r>
          </w:p>
          <w:p>
            <w:pPr>
              <w:pStyle w:val="13"/>
            </w:pPr>
            <w:r>
              <w:tab/>
            </w:r>
            <w:r>
              <w:tab/>
            </w:r>
            <w:r>
              <w:tab/>
            </w:r>
            <w:r>
              <w:tab/>
            </w:r>
            <w:r>
              <w:tab/>
            </w:r>
            <w:r>
              <w:tab/>
            </w:r>
          </w:p>
          <w:p>
            <w:pPr>
              <w:pStyle w:val="13"/>
            </w:pPr>
          </w:p>
          <w:p>
            <w:pPr>
              <w:pStyle w:val="13"/>
            </w:pPr>
            <w:r>
              <w:t>2."按照县工信局文件精神，确保矽肺病人补助资金及时足额拨付到位，维护社会稳定。</w:t>
            </w:r>
            <w:r>
              <w:tab/>
            </w:r>
            <w:r>
              <w:tab/>
            </w:r>
            <w:r>
              <w:tab/>
            </w:r>
            <w:r>
              <w:tab/>
            </w:r>
            <w:r>
              <w:tab/>
            </w:r>
            <w:r>
              <w:tab/>
            </w:r>
          </w:p>
          <w:p>
            <w:pPr>
              <w:pStyle w:val="13"/>
            </w:pPr>
            <w:r>
              <w:tab/>
            </w:r>
            <w:r>
              <w:tab/>
            </w:r>
            <w:r>
              <w:tab/>
            </w:r>
            <w:r>
              <w:tab/>
            </w:r>
            <w:r>
              <w:tab/>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≥1人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核实次数</w:t>
            </w:r>
          </w:p>
        </w:tc>
        <w:tc>
          <w:tcPr>
            <w:tcW w:w="5386" w:type="dxa"/>
            <w:vAlign w:val="center"/>
          </w:tcPr>
          <w:p>
            <w:pPr>
              <w:pStyle w:val="13"/>
            </w:pPr>
            <w:r>
              <w:t>已认定伤残等级待遇矽肺病人数核实将次数</w:t>
            </w:r>
          </w:p>
        </w:tc>
        <w:tc>
          <w:tcPr>
            <w:tcW w:w="2268" w:type="dxa"/>
            <w:vAlign w:val="center"/>
          </w:tcPr>
          <w:p>
            <w:pPr>
              <w:pStyle w:val="13"/>
            </w:pPr>
            <w:r>
              <w:t>≥1次/年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认定准确率</w:t>
            </w:r>
          </w:p>
        </w:tc>
        <w:tc>
          <w:tcPr>
            <w:tcW w:w="5386" w:type="dxa"/>
            <w:vAlign w:val="center"/>
          </w:tcPr>
          <w:p>
            <w:pPr>
              <w:pStyle w:val="13"/>
            </w:pPr>
            <w:r>
              <w:t>认定伤残待遇矽肺病人员准确率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按照相关文件标准发放标准准确率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&lt;15天</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≤2.3万元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促进社会稳定和谐</w:t>
            </w:r>
          </w:p>
        </w:tc>
        <w:tc>
          <w:tcPr>
            <w:tcW w:w="5386" w:type="dxa"/>
            <w:vAlign w:val="center"/>
          </w:tcPr>
          <w:p>
            <w:pPr>
              <w:pStyle w:val="13"/>
            </w:pPr>
            <w:r>
              <w:t>通过对矽肺病的补贴，化解底层矛盾，促进社会和谐稳定</w:t>
            </w:r>
          </w:p>
        </w:tc>
        <w:tc>
          <w:tcPr>
            <w:tcW w:w="2268" w:type="dxa"/>
            <w:vAlign w:val="center"/>
          </w:tcPr>
          <w:p>
            <w:pPr>
              <w:pStyle w:val="13"/>
            </w:pPr>
            <w:r>
              <w:t>≥1人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增加矽肺病患者个人和家庭收入</w:t>
            </w:r>
          </w:p>
        </w:tc>
        <w:tc>
          <w:tcPr>
            <w:tcW w:w="5386" w:type="dxa"/>
            <w:vAlign w:val="center"/>
          </w:tcPr>
          <w:p>
            <w:pPr>
              <w:pStyle w:val="13"/>
            </w:pPr>
            <w:r>
              <w:t>增加矽肺病患者个人和家庭收入</w:t>
            </w:r>
          </w:p>
          <w:p>
            <w:pPr>
              <w:pStyle w:val="13"/>
            </w:pPr>
          </w:p>
        </w:tc>
        <w:tc>
          <w:tcPr>
            <w:tcW w:w="2268" w:type="dxa"/>
            <w:vAlign w:val="center"/>
          </w:tcPr>
          <w:p>
            <w:pPr>
              <w:pStyle w:val="13"/>
            </w:pPr>
            <w:r>
              <w:t>≥2.3万元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14、矽肺病人员生活困难补助绩效目标表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13032126P00011510137C</w:t>
            </w:r>
          </w:p>
        </w:tc>
        <w:tc>
          <w:tcPr>
            <w:tcW w:w="2835" w:type="dxa"/>
            <w:vAlign w:val="center"/>
          </w:tcPr>
          <w:p>
            <w:pPr>
              <w:pStyle w:val="11"/>
            </w:pPr>
            <w:r>
              <w:t>项目名称</w:t>
            </w:r>
          </w:p>
        </w:tc>
        <w:tc>
          <w:tcPr>
            <w:tcW w:w="6095" w:type="dxa"/>
            <w:gridSpan w:val="3"/>
            <w:vAlign w:val="center"/>
          </w:tcPr>
          <w:p>
            <w:pPr>
              <w:pStyle w:val="13"/>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0.86</w:t>
            </w:r>
          </w:p>
        </w:tc>
        <w:tc>
          <w:tcPr>
            <w:tcW w:w="2835" w:type="dxa"/>
            <w:vAlign w:val="center"/>
          </w:tcPr>
          <w:p>
            <w:pPr>
              <w:pStyle w:val="11"/>
            </w:pPr>
            <w:r>
              <w:t>其中：财政    资金</w:t>
            </w:r>
          </w:p>
        </w:tc>
        <w:tc>
          <w:tcPr>
            <w:tcW w:w="2551" w:type="dxa"/>
            <w:vAlign w:val="center"/>
          </w:tcPr>
          <w:p>
            <w:pPr>
              <w:pStyle w:val="13"/>
            </w:pPr>
            <w:r>
              <w:t>0.86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年初预算安排0.864万元，其中财政资金0.864万元，主要用于矽肺病患者个人和家庭生活困难补助。</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1.通过稳控不稳定群体，确保基层社会稳定。</w:t>
            </w:r>
            <w:r>
              <w:tab/>
            </w:r>
            <w:r>
              <w:tab/>
            </w:r>
            <w:r>
              <w:tab/>
            </w:r>
            <w:r>
              <w:tab/>
            </w:r>
            <w:r>
              <w:tab/>
            </w:r>
            <w:r>
              <w:tab/>
            </w:r>
            <w:r>
              <w:tab/>
            </w:r>
            <w:r>
              <w:tab/>
            </w:r>
            <w:r>
              <w:tab/>
            </w:r>
            <w:r>
              <w:tab/>
            </w:r>
            <w:r>
              <w:tab/>
            </w:r>
            <w:r>
              <w:tab/>
            </w:r>
          </w:p>
          <w:p>
            <w:pPr>
              <w:pStyle w:val="13"/>
            </w:pPr>
            <w:r>
              <w:tab/>
            </w:r>
            <w:r>
              <w:tab/>
            </w:r>
            <w:r>
              <w:tab/>
            </w:r>
            <w:r>
              <w:tab/>
            </w:r>
            <w:r>
              <w:tab/>
            </w:r>
            <w:r>
              <w:tab/>
            </w:r>
            <w:r>
              <w:tab/>
            </w:r>
            <w:r>
              <w:tab/>
            </w:r>
            <w:r>
              <w:tab/>
            </w:r>
            <w:r>
              <w:tab/>
            </w:r>
          </w:p>
          <w:p>
            <w:pPr>
              <w:pStyle w:val="13"/>
            </w:pPr>
            <w:r>
              <w:tab/>
            </w:r>
            <w:r>
              <w:tab/>
            </w:r>
            <w:r>
              <w:tab/>
            </w:r>
            <w:r>
              <w:tab/>
            </w:r>
            <w:r>
              <w:tab/>
            </w:r>
            <w:r>
              <w:tab/>
            </w:r>
          </w:p>
          <w:p>
            <w:pPr>
              <w:pStyle w:val="13"/>
            </w:pPr>
          </w:p>
          <w:p>
            <w:pPr>
              <w:pStyle w:val="13"/>
            </w:pPr>
            <w:r>
              <w:t>2.通过对矽肺病人发放生活补助，保障病人基本生活。</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核实次数</w:t>
            </w:r>
          </w:p>
        </w:tc>
        <w:tc>
          <w:tcPr>
            <w:tcW w:w="5386" w:type="dxa"/>
            <w:vAlign w:val="center"/>
          </w:tcPr>
          <w:p>
            <w:pPr>
              <w:pStyle w:val="13"/>
            </w:pPr>
            <w:r>
              <w:t>已认定伤残等级待遇矽肺病人数核实次数</w:t>
            </w:r>
          </w:p>
        </w:tc>
        <w:tc>
          <w:tcPr>
            <w:tcW w:w="2268" w:type="dxa"/>
            <w:vAlign w:val="center"/>
          </w:tcPr>
          <w:p>
            <w:pPr>
              <w:pStyle w:val="13"/>
            </w:pPr>
            <w:r>
              <w:t>≥1次/年</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认定准确率</w:t>
            </w:r>
          </w:p>
        </w:tc>
        <w:tc>
          <w:tcPr>
            <w:tcW w:w="5386" w:type="dxa"/>
            <w:vAlign w:val="center"/>
          </w:tcPr>
          <w:p>
            <w:pPr>
              <w:pStyle w:val="13"/>
            </w:pPr>
            <w:r>
              <w:t>认定伤残待遇矽肺病人员准确率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按照相关文件标准发放标准准确率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支付已认定伤残等级待遇矽肺病的生活补助</w:t>
            </w:r>
          </w:p>
        </w:tc>
        <w:tc>
          <w:tcPr>
            <w:tcW w:w="2268" w:type="dxa"/>
            <w:vAlign w:val="center"/>
          </w:tcPr>
          <w:p>
            <w:pPr>
              <w:pStyle w:val="13"/>
            </w:pPr>
            <w:r>
              <w:t>≤0.86万元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促进社会稳定和谐</w:t>
            </w:r>
          </w:p>
        </w:tc>
        <w:tc>
          <w:tcPr>
            <w:tcW w:w="5386" w:type="dxa"/>
            <w:vAlign w:val="center"/>
          </w:tcPr>
          <w:p>
            <w:pPr>
              <w:pStyle w:val="13"/>
            </w:pPr>
            <w:r>
              <w:t>通过对矽肺病的补贴，化解底层矛盾，促进社会和谐稳定</w:t>
            </w:r>
          </w:p>
        </w:tc>
        <w:tc>
          <w:tcPr>
            <w:tcW w:w="2268" w:type="dxa"/>
            <w:vAlign w:val="center"/>
          </w:tcPr>
          <w:p>
            <w:pPr>
              <w:pStyle w:val="13"/>
            </w:pPr>
            <w:r>
              <w:t>≥2人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增加矽肺病人的经济收入</w:t>
            </w:r>
          </w:p>
        </w:tc>
        <w:tc>
          <w:tcPr>
            <w:tcW w:w="5386" w:type="dxa"/>
            <w:vAlign w:val="center"/>
          </w:tcPr>
          <w:p>
            <w:pPr>
              <w:pStyle w:val="13"/>
            </w:pPr>
            <w:r>
              <w:t>增加矽肺病人的经济收入</w:t>
            </w:r>
          </w:p>
        </w:tc>
        <w:tc>
          <w:tcPr>
            <w:tcW w:w="2268" w:type="dxa"/>
            <w:vAlign w:val="center"/>
          </w:tcPr>
          <w:p>
            <w:pPr>
              <w:pStyle w:val="13"/>
            </w:pPr>
            <w:r>
              <w:t>≥8640元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问卷调查中，满意和较满意的救助对象数量占调研对象总数的比率</w:t>
            </w:r>
          </w:p>
        </w:tc>
        <w:tc>
          <w:tcPr>
            <w:tcW w:w="2268" w:type="dxa"/>
            <w:vAlign w:val="center"/>
          </w:tcPr>
          <w:p>
            <w:pPr>
              <w:pStyle w:val="13"/>
            </w:pPr>
            <w:r>
              <w:t>≥90%</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13032126P00328310172G</w:t>
            </w:r>
          </w:p>
        </w:tc>
        <w:tc>
          <w:tcPr>
            <w:tcW w:w="2835" w:type="dxa"/>
            <w:vAlign w:val="center"/>
          </w:tcPr>
          <w:p>
            <w:pPr>
              <w:pStyle w:val="11"/>
            </w:pPr>
            <w:r>
              <w:t>项目名称</w:t>
            </w:r>
          </w:p>
        </w:tc>
        <w:tc>
          <w:tcPr>
            <w:tcW w:w="6095" w:type="dxa"/>
            <w:gridSpan w:val="3"/>
            <w:vAlign w:val="center"/>
          </w:tcPr>
          <w:p>
            <w:pPr>
              <w:pStyle w:val="13"/>
            </w:pPr>
            <w:r>
              <w:t>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年初预算安排1万元，其中财政资金1万元，主要用于乡村振兴、巩固拓展脱贫攻坚成果工作支出</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1.通过下乡开展结对帮扶、完善档案等工作，保障扶贫工作的正常进行。</w:t>
            </w:r>
            <w:r>
              <w:tab/>
            </w:r>
            <w:r>
              <w:tab/>
            </w:r>
            <w:r>
              <w:tab/>
            </w:r>
            <w:r>
              <w:tab/>
            </w:r>
            <w:r>
              <w:tab/>
            </w:r>
            <w:r>
              <w:tab/>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p>
            <w:pPr>
              <w:pStyle w:val="13"/>
            </w:pPr>
            <w:r>
              <w:t>2.通过扶贫入户走访、慰问宣传，确保按时完成脱贫攻坚任务提供了有力保障。</w:t>
            </w:r>
            <w:r>
              <w:tab/>
            </w:r>
            <w:r>
              <w:tab/>
            </w:r>
            <w:r>
              <w:tab/>
            </w:r>
            <w:r>
              <w:tab/>
            </w:r>
            <w:r>
              <w:tab/>
            </w:r>
            <w:r>
              <w:tab/>
            </w:r>
          </w:p>
          <w:p>
            <w:pPr>
              <w:pStyle w:val="13"/>
            </w:pPr>
            <w:r>
              <w:tab/>
            </w:r>
            <w:r>
              <w:tab/>
            </w:r>
            <w:r>
              <w:tab/>
            </w:r>
            <w:r>
              <w:tab/>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贫困村脱贫出列数（个）</w:t>
            </w:r>
          </w:p>
        </w:tc>
        <w:tc>
          <w:tcPr>
            <w:tcW w:w="5386" w:type="dxa"/>
            <w:vAlign w:val="center"/>
          </w:tcPr>
          <w:p>
            <w:pPr>
              <w:pStyle w:val="13"/>
            </w:pPr>
            <w:r>
              <w:t>建档立卡贫困村脱贫出列数量</w:t>
            </w:r>
          </w:p>
        </w:tc>
        <w:tc>
          <w:tcPr>
            <w:tcW w:w="2268" w:type="dxa"/>
            <w:vAlign w:val="center"/>
          </w:tcPr>
          <w:p>
            <w:pPr>
              <w:pStyle w:val="13"/>
            </w:pPr>
            <w:r>
              <w:t>≥3个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农村脱贫人口比率</w:t>
            </w:r>
          </w:p>
        </w:tc>
        <w:tc>
          <w:tcPr>
            <w:tcW w:w="5386" w:type="dxa"/>
            <w:vAlign w:val="center"/>
          </w:tcPr>
          <w:p>
            <w:pPr>
              <w:pStyle w:val="13"/>
            </w:pPr>
            <w:r>
              <w:t>年度计划脱贫人口数量占贫困人口总数的比率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工作及时率</w:t>
            </w:r>
          </w:p>
        </w:tc>
        <w:tc>
          <w:tcPr>
            <w:tcW w:w="5386" w:type="dxa"/>
            <w:vAlign w:val="center"/>
          </w:tcPr>
          <w:p>
            <w:pPr>
              <w:pStyle w:val="13"/>
            </w:pPr>
            <w:r>
              <w:t>各项工作按年度计划完成</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扶贫工作交通费支出</w:t>
            </w:r>
          </w:p>
        </w:tc>
        <w:tc>
          <w:tcPr>
            <w:tcW w:w="5386" w:type="dxa"/>
            <w:vAlign w:val="center"/>
          </w:tcPr>
          <w:p>
            <w:pPr>
              <w:pStyle w:val="13"/>
            </w:pPr>
            <w:r>
              <w:t>下乡扶贫的租车等交通费用支出</w:t>
            </w:r>
          </w:p>
        </w:tc>
        <w:tc>
          <w:tcPr>
            <w:tcW w:w="2268" w:type="dxa"/>
            <w:vAlign w:val="center"/>
          </w:tcPr>
          <w:p>
            <w:pPr>
              <w:pStyle w:val="13"/>
            </w:pPr>
            <w:r>
              <w:t>≤0.6万元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扶贫工作办公费支出</w:t>
            </w:r>
          </w:p>
        </w:tc>
        <w:tc>
          <w:tcPr>
            <w:tcW w:w="5386" w:type="dxa"/>
            <w:vAlign w:val="center"/>
          </w:tcPr>
          <w:p>
            <w:pPr>
              <w:pStyle w:val="13"/>
            </w:pPr>
            <w:r>
              <w:t>用于下乡扶贫工作办公经费支出</w:t>
            </w:r>
          </w:p>
        </w:tc>
        <w:tc>
          <w:tcPr>
            <w:tcW w:w="2268" w:type="dxa"/>
            <w:vAlign w:val="center"/>
          </w:tcPr>
          <w:p>
            <w:pPr>
              <w:pStyle w:val="13"/>
            </w:pPr>
            <w:r>
              <w:t>≤0.2万元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扶贫慰问支出</w:t>
            </w:r>
          </w:p>
        </w:tc>
        <w:tc>
          <w:tcPr>
            <w:tcW w:w="5386" w:type="dxa"/>
            <w:vAlign w:val="center"/>
          </w:tcPr>
          <w:p>
            <w:pPr>
              <w:pStyle w:val="13"/>
            </w:pPr>
            <w:r>
              <w:t>用于下乡扶贫慰问支出</w:t>
            </w:r>
          </w:p>
        </w:tc>
        <w:tc>
          <w:tcPr>
            <w:tcW w:w="2268" w:type="dxa"/>
            <w:vAlign w:val="center"/>
          </w:tcPr>
          <w:p>
            <w:pPr>
              <w:pStyle w:val="13"/>
            </w:pPr>
            <w:r>
              <w:t>≤0.2万元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扶贫保障工作完成</w:t>
            </w:r>
          </w:p>
        </w:tc>
        <w:tc>
          <w:tcPr>
            <w:tcW w:w="5386" w:type="dxa"/>
            <w:vAlign w:val="center"/>
          </w:tcPr>
          <w:p>
            <w:pPr>
              <w:pStyle w:val="13"/>
            </w:pPr>
            <w:r>
              <w:t>反应保障脱贫工作的正常运行，解决下乡扶贫的后勤问题</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贫困村农民人均纯收入增长率（%）</w:t>
            </w:r>
          </w:p>
        </w:tc>
        <w:tc>
          <w:tcPr>
            <w:tcW w:w="5386" w:type="dxa"/>
            <w:vAlign w:val="center"/>
          </w:tcPr>
          <w:p>
            <w:pPr>
              <w:pStyle w:val="13"/>
            </w:pPr>
            <w:r>
              <w:t>贫困村农民人均纯收入的同比增长比率</w:t>
            </w:r>
          </w:p>
        </w:tc>
        <w:tc>
          <w:tcPr>
            <w:tcW w:w="2268" w:type="dxa"/>
            <w:vAlign w:val="center"/>
          </w:tcPr>
          <w:p>
            <w:pPr>
              <w:pStyle w:val="13"/>
            </w:pPr>
            <w:r>
              <w:t>≥20%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被帮扶贫困人员满意度</w:t>
            </w:r>
          </w:p>
        </w:tc>
        <w:tc>
          <w:tcPr>
            <w:tcW w:w="5386" w:type="dxa"/>
            <w:vAlign w:val="center"/>
          </w:tcPr>
          <w:p>
            <w:pPr>
              <w:pStyle w:val="13"/>
            </w:pPr>
            <w:r>
              <w:t>被帮扶贫困人员对扶贫工作的满意度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13032126P00333710081R</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年初预算安排3万元，其中财政资金3万元，主要用于信访维稳工作办公费、差旅费等支出。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1.通过加强法制宣传教育、提高公民的法律意识和素质，促进群众知法、懂法和守法。</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p>
          <w:p>
            <w:pPr>
              <w:pStyle w:val="13"/>
            </w:pPr>
            <w:r>
              <w:t>2.通过加强法制宣传教育、提高公民的法律意识和素质，促进群众知法、懂法和守法。</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印刷宣传单数量</w:t>
            </w:r>
          </w:p>
        </w:tc>
        <w:tc>
          <w:tcPr>
            <w:tcW w:w="5386" w:type="dxa"/>
            <w:vAlign w:val="center"/>
          </w:tcPr>
          <w:p>
            <w:pPr>
              <w:pStyle w:val="13"/>
            </w:pPr>
            <w:r>
              <w:t>反映印刷宣传单数量</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2025年12月底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≤0.6万元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差旅费接信访人返青费用</w:t>
            </w:r>
          </w:p>
        </w:tc>
        <w:tc>
          <w:tcPr>
            <w:tcW w:w="2268" w:type="dxa"/>
            <w:vAlign w:val="center"/>
          </w:tcPr>
          <w:p>
            <w:pPr>
              <w:pStyle w:val="13"/>
            </w:pPr>
            <w:r>
              <w:t>≤2.4万元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13032126P00000610054N</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0.39</w:t>
            </w:r>
          </w:p>
        </w:tc>
        <w:tc>
          <w:tcPr>
            <w:tcW w:w="2835" w:type="dxa"/>
            <w:vAlign w:val="center"/>
          </w:tcPr>
          <w:p>
            <w:pPr>
              <w:pStyle w:val="11"/>
            </w:pPr>
            <w:r>
              <w:t>其中：财政    资金</w:t>
            </w:r>
          </w:p>
        </w:tc>
        <w:tc>
          <w:tcPr>
            <w:tcW w:w="2551" w:type="dxa"/>
            <w:vAlign w:val="center"/>
          </w:tcPr>
          <w:p>
            <w:pPr>
              <w:pStyle w:val="13"/>
            </w:pPr>
            <w:r>
              <w:t>0.39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年初预算安排0.39万元，其中财政资金0.38万元，主要用于精神障碍患者监护人保险费用。</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1.通过为严重精神障碍患者监护人办理相关保险业，预防严重精神障碍患者伤及人身、损坏财物事件发生。</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p>
          <w:p>
            <w:pPr>
              <w:pStyle w:val="13"/>
            </w:pPr>
            <w:r>
              <w:tab/>
            </w:r>
            <w:r>
              <w:tab/>
            </w:r>
            <w:r>
              <w:tab/>
            </w:r>
            <w:r>
              <w:tab/>
            </w:r>
            <w:r>
              <w:tab/>
            </w:r>
            <w:r>
              <w:tab/>
            </w:r>
          </w:p>
          <w:p>
            <w:pPr>
              <w:pStyle w:val="13"/>
            </w:pPr>
          </w:p>
          <w:p>
            <w:pPr>
              <w:pStyle w:val="13"/>
            </w:pPr>
            <w:r>
              <w:t>2.通过以政府出资投保的方式，减少监护人损失、增强监护人、当事人社会保障，从而化解事后风险。</w:t>
            </w: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享受保险人数(人)</w:t>
            </w:r>
          </w:p>
        </w:tc>
        <w:tc>
          <w:tcPr>
            <w:tcW w:w="5386" w:type="dxa"/>
            <w:vAlign w:val="center"/>
          </w:tcPr>
          <w:p>
            <w:pPr>
              <w:pStyle w:val="13"/>
            </w:pPr>
            <w:r>
              <w:t>享受严重精神障碍患者监护人责任险的人数</w:t>
            </w:r>
          </w:p>
        </w:tc>
        <w:tc>
          <w:tcPr>
            <w:tcW w:w="2268" w:type="dxa"/>
            <w:vAlign w:val="center"/>
          </w:tcPr>
          <w:p>
            <w:pPr>
              <w:pStyle w:val="13"/>
            </w:pPr>
            <w:r>
              <w:t>39人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w:t>
            </w:r>
          </w:p>
        </w:tc>
        <w:tc>
          <w:tcPr>
            <w:tcW w:w="5386" w:type="dxa"/>
            <w:vAlign w:val="center"/>
          </w:tcPr>
          <w:p>
            <w:pPr>
              <w:pStyle w:val="13"/>
            </w:pPr>
            <w:r>
              <w:t>反映严重精神障碍患者人数</w:t>
            </w:r>
          </w:p>
        </w:tc>
        <w:tc>
          <w:tcPr>
            <w:tcW w:w="2268" w:type="dxa"/>
            <w:vAlign w:val="center"/>
          </w:tcPr>
          <w:p>
            <w:pPr>
              <w:pStyle w:val="13"/>
            </w:pPr>
            <w:r>
              <w:t>39人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2268" w:type="dxa"/>
            <w:vAlign w:val="center"/>
          </w:tcPr>
          <w:p>
            <w:pPr>
              <w:pStyle w:val="13"/>
            </w:pPr>
            <w:r>
              <w:t>2026年10月31日前</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w:t>
            </w:r>
          </w:p>
        </w:tc>
        <w:tc>
          <w:tcPr>
            <w:tcW w:w="2268" w:type="dxa"/>
            <w:vAlign w:val="center"/>
          </w:tcPr>
          <w:p>
            <w:pPr>
              <w:pStyle w:val="13"/>
            </w:pPr>
            <w:r>
              <w:t>100元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≥39人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减少精神病患者刑事案件发生，提升社会稳定</w:t>
            </w:r>
          </w:p>
        </w:tc>
        <w:tc>
          <w:tcPr>
            <w:tcW w:w="2268" w:type="dxa"/>
            <w:vAlign w:val="center"/>
          </w:tcPr>
          <w:p>
            <w:pPr>
              <w:pStyle w:val="13"/>
            </w:pPr>
            <w:r>
              <w:t>≥10%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0.69</w:t>
            </w:r>
          </w:p>
        </w:tc>
        <w:tc>
          <w:tcPr>
            <w:tcW w:w="964" w:type="dxa"/>
            <w:vAlign w:val="center"/>
          </w:tcPr>
          <w:p>
            <w:pPr>
              <w:pStyle w:val="16"/>
            </w:pPr>
            <w:r>
              <w:t>0.69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青龙满族自治县凤凰山乡人民政府本级小计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0.69</w:t>
            </w:r>
          </w:p>
        </w:tc>
        <w:tc>
          <w:tcPr>
            <w:tcW w:w="964" w:type="dxa"/>
            <w:vAlign w:val="center"/>
          </w:tcPr>
          <w:p>
            <w:pPr>
              <w:pStyle w:val="16"/>
            </w:pPr>
            <w:r>
              <w:t>0.69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51.18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30</w:t>
            </w:r>
          </w:p>
        </w:tc>
        <w:tc>
          <w:tcPr>
            <w:tcW w:w="850" w:type="dxa"/>
            <w:vAlign w:val="center"/>
          </w:tcPr>
          <w:p>
            <w:pPr>
              <w:pStyle w:val="12"/>
            </w:pPr>
            <w:r>
              <w:t>0.02</w:t>
            </w:r>
          </w:p>
        </w:tc>
        <w:tc>
          <w:tcPr>
            <w:tcW w:w="964" w:type="dxa"/>
            <w:vAlign w:val="center"/>
          </w:tcPr>
          <w:p>
            <w:pPr>
              <w:pStyle w:val="12"/>
            </w:pPr>
            <w:r>
              <w:t>0.69</w:t>
            </w:r>
          </w:p>
        </w:tc>
        <w:tc>
          <w:tcPr>
            <w:tcW w:w="964" w:type="dxa"/>
            <w:vAlign w:val="center"/>
          </w:tcPr>
          <w:p>
            <w:pPr>
              <w:pStyle w:val="12"/>
            </w:pPr>
            <w:r>
              <w:t>0.69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0.69</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青龙满族自治县凤凰山乡人民政府（含所属单位）上年末固定资产金额为1117476.40万元（详见下表）。本年度拟购置固定资产总额为0.00万元，已按要求列入政府采购预算，详见政府采购预算表。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903青龙满族自治县凤凰山乡人民政府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1117476.40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987.50</w:t>
            </w:r>
          </w:p>
        </w:tc>
        <w:tc>
          <w:tcPr>
            <w:tcW w:w="2835" w:type="dxa"/>
            <w:vAlign w:val="center"/>
          </w:tcPr>
          <w:p>
            <w:pPr>
              <w:pStyle w:val="12"/>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987.50</w:t>
            </w:r>
          </w:p>
        </w:tc>
        <w:tc>
          <w:tcPr>
            <w:tcW w:w="2835" w:type="dxa"/>
            <w:vAlign w:val="center"/>
          </w:tcPr>
          <w:p>
            <w:pPr>
              <w:pStyle w:val="12"/>
            </w:pPr>
            <w:r>
              <w:t>350000.00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167000.00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w:t>
            </w:r>
          </w:p>
        </w:tc>
        <w:tc>
          <w:tcPr>
            <w:tcW w:w="2835" w:type="dxa"/>
            <w:vAlign w:val="center"/>
          </w:tcPr>
          <w:p>
            <w:pPr>
              <w:pStyle w:val="12"/>
            </w:pPr>
            <w:r>
              <w:t>600476.40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NDViOTFiYWJmYmVmMTE4ZTJjZGU5NjEwZjgzMmYifQ=="/>
  </w:docVars>
  <w:rsids>
    <w:rsidRoot w:val="00000000"/>
    <w:rsid w:val="2E0F1919"/>
    <w:rsid w:val="514D069E"/>
    <w:rsid w:val="535A3ABB"/>
    <w:rsid w:val="556C6C1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21962</Words>
  <Characters>26022</Characters>
  <TotalTime>6</TotalTime>
  <ScaleCrop>false</ScaleCrop>
  <LinksUpToDate>false</LinksUpToDate>
  <CharactersWithSpaces>27251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2026-02-04T13:29:00Z</dcterms:created>
  <dc:creator>Administrator</dc:creator>
  <cp:lastModifiedBy>Administrator</cp:lastModifiedBy>
  <dcterms:modified xsi:type="dcterms:W3CDTF">2026-03-04T01:47:52Z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BCBD68C5EEE048B9913201A567F8FC67</vt:lpwstr>
  </property>
</Properties>
</file>