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r>
        <w:rPr>
          <w:rFonts w:ascii="黑体" w:hAnsi="黑体" w:eastAsia="黑体" w:cs="黑体"/>
          <w:b/>
          <w:color w:val="000000"/>
          <w:sz w:val="44"/>
        </w:rPr>
        <w:t>2026年部门预算信息公开目录</w:t>
      </w:r>
    </w:p>
    <w:bookmarkEnd w:id="20"/>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64</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65</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862.41</w:t>
            </w:r>
          </w:p>
        </w:tc>
        <w:tc>
          <w:tcPr>
            <w:tcW w:w="4535" w:type="dxa"/>
            <w:vAlign w:val="center"/>
          </w:tcPr>
          <w:p>
            <w:pPr>
              <w:pStyle w:val="13"/>
            </w:pPr>
            <w:r>
              <w:t>一、一般公共服务支出</w:t>
            </w:r>
          </w:p>
        </w:tc>
        <w:tc>
          <w:tcPr>
            <w:tcW w:w="2126" w:type="dxa"/>
            <w:vAlign w:val="center"/>
          </w:tcPr>
          <w:p>
            <w:pPr>
              <w:pStyle w:val="12"/>
            </w:pPr>
            <w:r>
              <w:t>653.69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3.93</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866.34</w:t>
            </w:r>
          </w:p>
        </w:tc>
        <w:tc>
          <w:tcPr>
            <w:tcW w:w="4535" w:type="dxa"/>
            <w:vAlign w:val="center"/>
          </w:tcPr>
          <w:p>
            <w:pPr>
              <w:pStyle w:val="15"/>
            </w:pPr>
            <w:r>
              <w:t>本年支出合计</w:t>
            </w:r>
          </w:p>
        </w:tc>
        <w:tc>
          <w:tcPr>
            <w:tcW w:w="2126" w:type="dxa"/>
            <w:vAlign w:val="center"/>
          </w:tcPr>
          <w:p>
            <w:pPr>
              <w:pStyle w:val="16"/>
            </w:pPr>
            <w:r>
              <w:t>1016.23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149.89</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1016.23</w:t>
            </w:r>
          </w:p>
        </w:tc>
        <w:tc>
          <w:tcPr>
            <w:tcW w:w="4535" w:type="dxa"/>
            <w:vAlign w:val="center"/>
          </w:tcPr>
          <w:p>
            <w:pPr>
              <w:pStyle w:val="15"/>
            </w:pPr>
            <w:r>
              <w:t>支出总计</w:t>
            </w:r>
          </w:p>
        </w:tc>
        <w:tc>
          <w:tcPr>
            <w:tcW w:w="2126" w:type="dxa"/>
            <w:vAlign w:val="center"/>
          </w:tcPr>
          <w:p>
            <w:pPr>
              <w:pStyle w:val="16"/>
            </w:pPr>
            <w:r>
              <w:t>1016.23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1016.23</w:t>
            </w:r>
          </w:p>
        </w:tc>
        <w:tc>
          <w:tcPr>
            <w:tcW w:w="1134" w:type="dxa"/>
            <w:vAlign w:val="center"/>
          </w:tcPr>
          <w:p>
            <w:pPr>
              <w:pStyle w:val="16"/>
            </w:pPr>
            <w:r>
              <w:t>866.34</w:t>
            </w:r>
          </w:p>
        </w:tc>
        <w:tc>
          <w:tcPr>
            <w:tcW w:w="1134" w:type="dxa"/>
            <w:vAlign w:val="center"/>
          </w:tcPr>
          <w:p>
            <w:pPr>
              <w:pStyle w:val="16"/>
            </w:pPr>
            <w:r>
              <w:t>866.34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149.89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653.69</w:t>
            </w:r>
          </w:p>
        </w:tc>
        <w:tc>
          <w:tcPr>
            <w:tcW w:w="1134" w:type="dxa"/>
            <w:vAlign w:val="center"/>
          </w:tcPr>
          <w:p>
            <w:pPr>
              <w:pStyle w:val="12"/>
            </w:pPr>
            <w:r>
              <w:t>637.47</w:t>
            </w:r>
          </w:p>
        </w:tc>
        <w:tc>
          <w:tcPr>
            <w:tcW w:w="1134" w:type="dxa"/>
            <w:vAlign w:val="center"/>
          </w:tcPr>
          <w:p>
            <w:pPr>
              <w:pStyle w:val="12"/>
            </w:pPr>
            <w:r>
              <w:t>637.47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641.49</w:t>
            </w:r>
          </w:p>
        </w:tc>
        <w:tc>
          <w:tcPr>
            <w:tcW w:w="1134" w:type="dxa"/>
            <w:vAlign w:val="center"/>
          </w:tcPr>
          <w:p>
            <w:pPr>
              <w:pStyle w:val="12"/>
            </w:pPr>
            <w:r>
              <w:t>630.47</w:t>
            </w:r>
          </w:p>
        </w:tc>
        <w:tc>
          <w:tcPr>
            <w:tcW w:w="1134" w:type="dxa"/>
            <w:vAlign w:val="center"/>
          </w:tcPr>
          <w:p>
            <w:pPr>
              <w:pStyle w:val="12"/>
            </w:pPr>
            <w:r>
              <w:t>630.47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281.08</w:t>
            </w:r>
          </w:p>
        </w:tc>
        <w:tc>
          <w:tcPr>
            <w:tcW w:w="1134" w:type="dxa"/>
            <w:vAlign w:val="center"/>
          </w:tcPr>
          <w:p>
            <w:pPr>
              <w:pStyle w:val="12"/>
            </w:pPr>
            <w:r>
              <w:t>270.06</w:t>
            </w:r>
          </w:p>
        </w:tc>
        <w:tc>
          <w:tcPr>
            <w:tcW w:w="1134" w:type="dxa"/>
            <w:vAlign w:val="center"/>
          </w:tcPr>
          <w:p>
            <w:pPr>
              <w:pStyle w:val="12"/>
            </w:pPr>
            <w:r>
              <w:t>270.06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357.41</w:t>
            </w:r>
          </w:p>
        </w:tc>
        <w:tc>
          <w:tcPr>
            <w:tcW w:w="1134" w:type="dxa"/>
            <w:vAlign w:val="center"/>
          </w:tcPr>
          <w:p>
            <w:pPr>
              <w:pStyle w:val="12"/>
            </w:pPr>
            <w:r>
              <w:t>357.41</w:t>
            </w:r>
          </w:p>
        </w:tc>
        <w:tc>
          <w:tcPr>
            <w:tcW w:w="1134" w:type="dxa"/>
            <w:vAlign w:val="center"/>
          </w:tcPr>
          <w:p>
            <w:pPr>
              <w:pStyle w:val="12"/>
            </w:pPr>
            <w:r>
              <w:t>357.41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9.20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9.20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104.92</w:t>
            </w:r>
          </w:p>
        </w:tc>
        <w:tc>
          <w:tcPr>
            <w:tcW w:w="1134" w:type="dxa"/>
            <w:vAlign w:val="center"/>
          </w:tcPr>
          <w:p>
            <w:pPr>
              <w:pStyle w:val="12"/>
            </w:pPr>
            <w:r>
              <w:t>104.68</w:t>
            </w:r>
          </w:p>
        </w:tc>
        <w:tc>
          <w:tcPr>
            <w:tcW w:w="1134" w:type="dxa"/>
            <w:vAlign w:val="center"/>
          </w:tcPr>
          <w:p>
            <w:pPr>
              <w:pStyle w:val="12"/>
            </w:pPr>
            <w:r>
              <w:t>104.68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103.74</w:t>
            </w:r>
          </w:p>
        </w:tc>
        <w:tc>
          <w:tcPr>
            <w:tcW w:w="1134" w:type="dxa"/>
            <w:vAlign w:val="center"/>
          </w:tcPr>
          <w:p>
            <w:pPr>
              <w:pStyle w:val="12"/>
            </w:pPr>
            <w:r>
              <w:t>103.74</w:t>
            </w:r>
          </w:p>
        </w:tc>
        <w:tc>
          <w:tcPr>
            <w:tcW w:w="1134" w:type="dxa"/>
            <w:vAlign w:val="center"/>
          </w:tcPr>
          <w:p>
            <w:pPr>
              <w:pStyle w:val="12"/>
            </w:pPr>
            <w:r>
              <w:t>103.74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16.58</w:t>
            </w:r>
          </w:p>
        </w:tc>
        <w:tc>
          <w:tcPr>
            <w:tcW w:w="1134" w:type="dxa"/>
            <w:vAlign w:val="center"/>
          </w:tcPr>
          <w:p>
            <w:pPr>
              <w:pStyle w:val="12"/>
            </w:pPr>
            <w:r>
              <w:t>16.58</w:t>
            </w:r>
          </w:p>
        </w:tc>
        <w:tc>
          <w:tcPr>
            <w:tcW w:w="1134" w:type="dxa"/>
            <w:vAlign w:val="center"/>
          </w:tcPr>
          <w:p>
            <w:pPr>
              <w:pStyle w:val="12"/>
            </w:pPr>
            <w:r>
              <w:t>16.58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2.12</w:t>
            </w:r>
          </w:p>
        </w:tc>
        <w:tc>
          <w:tcPr>
            <w:tcW w:w="1134" w:type="dxa"/>
            <w:vAlign w:val="center"/>
          </w:tcPr>
          <w:p>
            <w:pPr>
              <w:pStyle w:val="12"/>
            </w:pPr>
            <w:r>
              <w:t>2.12</w:t>
            </w:r>
          </w:p>
        </w:tc>
        <w:tc>
          <w:tcPr>
            <w:tcW w:w="1134" w:type="dxa"/>
            <w:vAlign w:val="center"/>
          </w:tcPr>
          <w:p>
            <w:pPr>
              <w:pStyle w:val="12"/>
            </w:pPr>
            <w:r>
              <w:t>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85.04</w:t>
            </w:r>
          </w:p>
        </w:tc>
        <w:tc>
          <w:tcPr>
            <w:tcW w:w="1134" w:type="dxa"/>
            <w:vAlign w:val="center"/>
          </w:tcPr>
          <w:p>
            <w:pPr>
              <w:pStyle w:val="12"/>
            </w:pPr>
            <w:r>
              <w:t>85.04</w:t>
            </w:r>
          </w:p>
        </w:tc>
        <w:tc>
          <w:tcPr>
            <w:tcW w:w="1134" w:type="dxa"/>
            <w:vAlign w:val="center"/>
          </w:tcPr>
          <w:p>
            <w:pPr>
              <w:pStyle w:val="12"/>
            </w:pPr>
            <w:r>
              <w:t>85.04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1.19</w:t>
            </w:r>
          </w:p>
        </w:tc>
        <w:tc>
          <w:tcPr>
            <w:tcW w:w="1134" w:type="dxa"/>
            <w:vAlign w:val="center"/>
          </w:tcPr>
          <w:p>
            <w:pPr>
              <w:pStyle w:val="12"/>
            </w:pPr>
            <w:r>
              <w:t>0.95</w:t>
            </w:r>
          </w:p>
        </w:tc>
        <w:tc>
          <w:tcPr>
            <w:tcW w:w="1134" w:type="dxa"/>
            <w:vAlign w:val="center"/>
          </w:tcPr>
          <w:p>
            <w:pPr>
              <w:pStyle w:val="12"/>
            </w:pPr>
            <w:r>
              <w:t>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1.19</w:t>
            </w:r>
          </w:p>
        </w:tc>
        <w:tc>
          <w:tcPr>
            <w:tcW w:w="1134" w:type="dxa"/>
            <w:vAlign w:val="center"/>
          </w:tcPr>
          <w:p>
            <w:pPr>
              <w:pStyle w:val="12"/>
            </w:pPr>
            <w:r>
              <w:t>0.95</w:t>
            </w:r>
          </w:p>
        </w:tc>
        <w:tc>
          <w:tcPr>
            <w:tcW w:w="1134" w:type="dxa"/>
            <w:vAlign w:val="center"/>
          </w:tcPr>
          <w:p>
            <w:pPr>
              <w:pStyle w:val="12"/>
            </w:pPr>
            <w:r>
              <w:t>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42.66</w:t>
            </w:r>
          </w:p>
        </w:tc>
        <w:tc>
          <w:tcPr>
            <w:tcW w:w="1134" w:type="dxa"/>
            <w:vAlign w:val="center"/>
          </w:tcPr>
          <w:p>
            <w:pPr>
              <w:pStyle w:val="12"/>
            </w:pPr>
            <w:r>
              <w:t>42.66</w:t>
            </w:r>
          </w:p>
        </w:tc>
        <w:tc>
          <w:tcPr>
            <w:tcW w:w="1134" w:type="dxa"/>
            <w:vAlign w:val="center"/>
          </w:tcPr>
          <w:p>
            <w:pPr>
              <w:pStyle w:val="12"/>
            </w:pPr>
            <w:r>
              <w:t>42.66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41.64</w:t>
            </w:r>
          </w:p>
        </w:tc>
        <w:tc>
          <w:tcPr>
            <w:tcW w:w="1134" w:type="dxa"/>
            <w:vAlign w:val="center"/>
          </w:tcPr>
          <w:p>
            <w:pPr>
              <w:pStyle w:val="12"/>
            </w:pPr>
            <w:r>
              <w:t>41.64</w:t>
            </w:r>
          </w:p>
        </w:tc>
        <w:tc>
          <w:tcPr>
            <w:tcW w:w="1134" w:type="dxa"/>
            <w:vAlign w:val="center"/>
          </w:tcPr>
          <w:p>
            <w:pPr>
              <w:pStyle w:val="12"/>
            </w:pPr>
            <w:r>
              <w:t>41.64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15.06</w:t>
            </w:r>
          </w:p>
        </w:tc>
        <w:tc>
          <w:tcPr>
            <w:tcW w:w="1134" w:type="dxa"/>
            <w:vAlign w:val="center"/>
          </w:tcPr>
          <w:p>
            <w:pPr>
              <w:pStyle w:val="12"/>
            </w:pPr>
            <w:r>
              <w:t>15.06</w:t>
            </w:r>
          </w:p>
        </w:tc>
        <w:tc>
          <w:tcPr>
            <w:tcW w:w="1134" w:type="dxa"/>
            <w:vAlign w:val="center"/>
          </w:tcPr>
          <w:p>
            <w:pPr>
              <w:pStyle w:val="12"/>
            </w:pPr>
            <w:r>
              <w:t>15.06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26.58</w:t>
            </w:r>
          </w:p>
        </w:tc>
        <w:tc>
          <w:tcPr>
            <w:tcW w:w="1134" w:type="dxa"/>
            <w:vAlign w:val="center"/>
          </w:tcPr>
          <w:p>
            <w:pPr>
              <w:pStyle w:val="12"/>
            </w:pPr>
            <w:r>
              <w:t>26.58</w:t>
            </w:r>
          </w:p>
        </w:tc>
        <w:tc>
          <w:tcPr>
            <w:tcW w:w="1134" w:type="dxa"/>
            <w:vAlign w:val="center"/>
          </w:tcPr>
          <w:p>
            <w:pPr>
              <w:pStyle w:val="12"/>
            </w:pPr>
            <w:r>
              <w:t>26.58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2120815</w:t>
            </w:r>
          </w:p>
        </w:tc>
        <w:tc>
          <w:tcPr>
            <w:tcW w:w="1559" w:type="dxa"/>
            <w:vAlign w:val="center"/>
          </w:tcPr>
          <w:p>
            <w:pPr>
              <w:pStyle w:val="13"/>
            </w:pPr>
            <w:r>
              <w:t>农村社会事业支出</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133.43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60.43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1016.23</w:t>
            </w:r>
          </w:p>
        </w:tc>
        <w:tc>
          <w:tcPr>
            <w:tcW w:w="1361" w:type="dxa"/>
            <w:vAlign w:val="center"/>
          </w:tcPr>
          <w:p>
            <w:pPr>
              <w:pStyle w:val="16"/>
            </w:pPr>
            <w:r>
              <w:t>828.65</w:t>
            </w:r>
          </w:p>
        </w:tc>
        <w:tc>
          <w:tcPr>
            <w:tcW w:w="1361" w:type="dxa"/>
            <w:vAlign w:val="center"/>
          </w:tcPr>
          <w:p>
            <w:pPr>
              <w:pStyle w:val="16"/>
            </w:pPr>
            <w:r>
              <w:t>187.58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653.69</w:t>
            </w:r>
          </w:p>
        </w:tc>
        <w:tc>
          <w:tcPr>
            <w:tcW w:w="1361" w:type="dxa"/>
            <w:vAlign w:val="center"/>
          </w:tcPr>
          <w:p>
            <w:pPr>
              <w:pStyle w:val="12"/>
            </w:pPr>
            <w:r>
              <w:t>638.49</w:t>
            </w:r>
          </w:p>
        </w:tc>
        <w:tc>
          <w:tcPr>
            <w:tcW w:w="1361" w:type="dxa"/>
            <w:vAlign w:val="center"/>
          </w:tcPr>
          <w:p>
            <w:pPr>
              <w:pStyle w:val="12"/>
            </w:pPr>
            <w:r>
              <w:t>15.20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641.49</w:t>
            </w:r>
          </w:p>
        </w:tc>
        <w:tc>
          <w:tcPr>
            <w:tcW w:w="1361" w:type="dxa"/>
            <w:vAlign w:val="center"/>
          </w:tcPr>
          <w:p>
            <w:pPr>
              <w:pStyle w:val="12"/>
            </w:pPr>
            <w:r>
              <w:t>638.49</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281.08</w:t>
            </w:r>
          </w:p>
        </w:tc>
        <w:tc>
          <w:tcPr>
            <w:tcW w:w="1361" w:type="dxa"/>
            <w:vAlign w:val="center"/>
          </w:tcPr>
          <w:p>
            <w:pPr>
              <w:pStyle w:val="12"/>
            </w:pPr>
            <w:r>
              <w:t>281.08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357.41</w:t>
            </w:r>
          </w:p>
        </w:tc>
        <w:tc>
          <w:tcPr>
            <w:tcW w:w="1361" w:type="dxa"/>
            <w:vAlign w:val="center"/>
          </w:tcPr>
          <w:p>
            <w:pPr>
              <w:pStyle w:val="12"/>
            </w:pPr>
            <w:r>
              <w:t>357.41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104.92</w:t>
            </w:r>
          </w:p>
        </w:tc>
        <w:tc>
          <w:tcPr>
            <w:tcW w:w="1361" w:type="dxa"/>
            <w:vAlign w:val="center"/>
          </w:tcPr>
          <w:p>
            <w:pPr>
              <w:pStyle w:val="12"/>
            </w:pPr>
            <w:r>
              <w:t>104.92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103.74</w:t>
            </w:r>
          </w:p>
        </w:tc>
        <w:tc>
          <w:tcPr>
            <w:tcW w:w="1361" w:type="dxa"/>
            <w:vAlign w:val="center"/>
          </w:tcPr>
          <w:p>
            <w:pPr>
              <w:pStyle w:val="12"/>
            </w:pPr>
            <w:r>
              <w:t>103.74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16.58</w:t>
            </w:r>
          </w:p>
        </w:tc>
        <w:tc>
          <w:tcPr>
            <w:tcW w:w="1361" w:type="dxa"/>
            <w:vAlign w:val="center"/>
          </w:tcPr>
          <w:p>
            <w:pPr>
              <w:pStyle w:val="12"/>
            </w:pPr>
            <w:r>
              <w:t>16.58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2.12</w:t>
            </w:r>
          </w:p>
        </w:tc>
        <w:tc>
          <w:tcPr>
            <w:tcW w:w="1361" w:type="dxa"/>
            <w:vAlign w:val="center"/>
          </w:tcPr>
          <w:p>
            <w:pPr>
              <w:pStyle w:val="12"/>
            </w:pPr>
            <w:r>
              <w:t>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85.04</w:t>
            </w:r>
          </w:p>
        </w:tc>
        <w:tc>
          <w:tcPr>
            <w:tcW w:w="1361" w:type="dxa"/>
            <w:vAlign w:val="center"/>
          </w:tcPr>
          <w:p>
            <w:pPr>
              <w:pStyle w:val="12"/>
            </w:pPr>
            <w:r>
              <w:t>85.04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1.19</w:t>
            </w:r>
          </w:p>
        </w:tc>
        <w:tc>
          <w:tcPr>
            <w:tcW w:w="1361" w:type="dxa"/>
            <w:vAlign w:val="center"/>
          </w:tcPr>
          <w:p>
            <w:pPr>
              <w:pStyle w:val="12"/>
            </w:pPr>
            <w:r>
              <w:t>1.19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1.19</w:t>
            </w:r>
          </w:p>
        </w:tc>
        <w:tc>
          <w:tcPr>
            <w:tcW w:w="1361" w:type="dxa"/>
            <w:vAlign w:val="center"/>
          </w:tcPr>
          <w:p>
            <w:pPr>
              <w:pStyle w:val="12"/>
            </w:pPr>
            <w:r>
              <w:t>1.19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42.66</w:t>
            </w:r>
          </w:p>
        </w:tc>
        <w:tc>
          <w:tcPr>
            <w:tcW w:w="1361" w:type="dxa"/>
            <w:vAlign w:val="center"/>
          </w:tcPr>
          <w:p>
            <w:pPr>
              <w:pStyle w:val="12"/>
            </w:pPr>
            <w:r>
              <w:t>41.64</w:t>
            </w: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41.64</w:t>
            </w:r>
          </w:p>
        </w:tc>
        <w:tc>
          <w:tcPr>
            <w:tcW w:w="1361" w:type="dxa"/>
            <w:vAlign w:val="center"/>
          </w:tcPr>
          <w:p>
            <w:pPr>
              <w:pStyle w:val="12"/>
            </w:pPr>
            <w:r>
              <w:t>41.64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15.06</w:t>
            </w:r>
          </w:p>
        </w:tc>
        <w:tc>
          <w:tcPr>
            <w:tcW w:w="1361" w:type="dxa"/>
            <w:vAlign w:val="center"/>
          </w:tcPr>
          <w:p>
            <w:pPr>
              <w:pStyle w:val="12"/>
            </w:pPr>
            <w:r>
              <w:t>15.06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26.58</w:t>
            </w:r>
          </w:p>
        </w:tc>
        <w:tc>
          <w:tcPr>
            <w:tcW w:w="1361" w:type="dxa"/>
            <w:vAlign w:val="center"/>
          </w:tcPr>
          <w:p>
            <w:pPr>
              <w:pStyle w:val="12"/>
            </w:pPr>
            <w:r>
              <w:t>26.58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2120815</w:t>
            </w:r>
          </w:p>
        </w:tc>
        <w:tc>
          <w:tcPr>
            <w:tcW w:w="4535" w:type="dxa"/>
            <w:vAlign w:val="center"/>
          </w:tcPr>
          <w:p>
            <w:pPr>
              <w:pStyle w:val="13"/>
            </w:pPr>
            <w:r>
              <w:t>农村社会事业支出</w:t>
            </w: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60.43</w:t>
            </w:r>
          </w:p>
        </w:tc>
        <w:tc>
          <w:tcPr>
            <w:tcW w:w="1361" w:type="dxa"/>
            <w:vAlign w:val="center"/>
          </w:tcPr>
          <w:p>
            <w:pPr>
              <w:pStyle w:val="12"/>
            </w:pPr>
          </w:p>
        </w:tc>
        <w:tc>
          <w:tcPr>
            <w:tcW w:w="1361" w:type="dxa"/>
            <w:vAlign w:val="center"/>
          </w:tcPr>
          <w:p>
            <w:pPr>
              <w:pStyle w:val="12"/>
            </w:pPr>
            <w:r>
              <w:t>60.43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43.60</w:t>
            </w:r>
          </w:p>
        </w:tc>
        <w:tc>
          <w:tcPr>
            <w:tcW w:w="1361" w:type="dxa"/>
            <w:vAlign w:val="center"/>
          </w:tcPr>
          <w:p>
            <w:pPr>
              <w:pStyle w:val="12"/>
            </w:pPr>
            <w:r>
              <w:t>43.60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43.60</w:t>
            </w:r>
          </w:p>
        </w:tc>
        <w:tc>
          <w:tcPr>
            <w:tcW w:w="1361" w:type="dxa"/>
            <w:vAlign w:val="center"/>
          </w:tcPr>
          <w:p>
            <w:pPr>
              <w:pStyle w:val="12"/>
            </w:pPr>
            <w:r>
              <w:t>43.60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43.60</w:t>
            </w:r>
          </w:p>
        </w:tc>
        <w:tc>
          <w:tcPr>
            <w:tcW w:w="1361" w:type="dxa"/>
            <w:vAlign w:val="center"/>
          </w:tcPr>
          <w:p>
            <w:pPr>
              <w:pStyle w:val="12"/>
            </w:pPr>
            <w:r>
              <w:t>43.60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862.41</w:t>
            </w:r>
          </w:p>
        </w:tc>
        <w:tc>
          <w:tcPr>
            <w:tcW w:w="3402" w:type="dxa"/>
            <w:vAlign w:val="center"/>
          </w:tcPr>
          <w:p>
            <w:pPr>
              <w:pStyle w:val="13"/>
            </w:pPr>
            <w:r>
              <w:t>一、一般公共服务支出</w:t>
            </w:r>
          </w:p>
        </w:tc>
        <w:tc>
          <w:tcPr>
            <w:tcW w:w="1474" w:type="dxa"/>
            <w:vAlign w:val="center"/>
          </w:tcPr>
          <w:p>
            <w:pPr>
              <w:pStyle w:val="12"/>
            </w:pPr>
            <w:r>
              <w:t>653.69</w:t>
            </w:r>
          </w:p>
        </w:tc>
        <w:tc>
          <w:tcPr>
            <w:tcW w:w="1474" w:type="dxa"/>
            <w:vAlign w:val="center"/>
          </w:tcPr>
          <w:p>
            <w:pPr>
              <w:pStyle w:val="12"/>
            </w:pPr>
            <w:r>
              <w:t>653.69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3.93</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104.92</w:t>
            </w:r>
          </w:p>
        </w:tc>
        <w:tc>
          <w:tcPr>
            <w:tcW w:w="1474" w:type="dxa"/>
            <w:vAlign w:val="center"/>
          </w:tcPr>
          <w:p>
            <w:pPr>
              <w:pStyle w:val="12"/>
            </w:pPr>
            <w:r>
              <w:t>104.92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42.66</w:t>
            </w:r>
          </w:p>
        </w:tc>
        <w:tc>
          <w:tcPr>
            <w:tcW w:w="1474" w:type="dxa"/>
            <w:vAlign w:val="center"/>
          </w:tcPr>
          <w:p>
            <w:pPr>
              <w:pStyle w:val="12"/>
            </w:pPr>
            <w:r>
              <w:t>42.66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33.00</w:t>
            </w:r>
          </w:p>
        </w:tc>
        <w:tc>
          <w:tcPr>
            <w:tcW w:w="1474" w:type="dxa"/>
            <w:vAlign w:val="center"/>
          </w:tcPr>
          <w:p>
            <w:pPr>
              <w:pStyle w:val="12"/>
            </w:pPr>
            <w:r>
              <w:t>33.00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3.93</w:t>
            </w:r>
          </w:p>
        </w:tc>
        <w:tc>
          <w:tcPr>
            <w:tcW w:w="1474" w:type="dxa"/>
            <w:vAlign w:val="center"/>
          </w:tcPr>
          <w:p>
            <w:pPr>
              <w:pStyle w:val="12"/>
            </w:pPr>
          </w:p>
        </w:tc>
        <w:tc>
          <w:tcPr>
            <w:tcW w:w="1474" w:type="dxa"/>
            <w:vAlign w:val="center"/>
          </w:tcPr>
          <w:p>
            <w:pPr>
              <w:pStyle w:val="12"/>
            </w:pPr>
            <w:r>
              <w:t>3.93</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133.43</w:t>
            </w:r>
          </w:p>
        </w:tc>
        <w:tc>
          <w:tcPr>
            <w:tcW w:w="1474" w:type="dxa"/>
            <w:vAlign w:val="center"/>
          </w:tcPr>
          <w:p>
            <w:pPr>
              <w:pStyle w:val="12"/>
            </w:pPr>
            <w:r>
              <w:t>133.43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43.60</w:t>
            </w:r>
          </w:p>
        </w:tc>
        <w:tc>
          <w:tcPr>
            <w:tcW w:w="1474" w:type="dxa"/>
            <w:vAlign w:val="center"/>
          </w:tcPr>
          <w:p>
            <w:pPr>
              <w:pStyle w:val="12"/>
            </w:pPr>
            <w:r>
              <w:t>43.60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866.34</w:t>
            </w:r>
          </w:p>
        </w:tc>
        <w:tc>
          <w:tcPr>
            <w:tcW w:w="3402" w:type="dxa"/>
            <w:vAlign w:val="center"/>
          </w:tcPr>
          <w:p>
            <w:pPr>
              <w:pStyle w:val="15"/>
            </w:pPr>
            <w:r>
              <w:t>本年支出合计</w:t>
            </w:r>
          </w:p>
        </w:tc>
        <w:tc>
          <w:tcPr>
            <w:tcW w:w="1474" w:type="dxa"/>
            <w:vAlign w:val="center"/>
          </w:tcPr>
          <w:p>
            <w:pPr>
              <w:pStyle w:val="16"/>
            </w:pPr>
            <w:r>
              <w:t>1016.23</w:t>
            </w:r>
          </w:p>
        </w:tc>
        <w:tc>
          <w:tcPr>
            <w:tcW w:w="1474" w:type="dxa"/>
            <w:vAlign w:val="center"/>
          </w:tcPr>
          <w:p>
            <w:pPr>
              <w:pStyle w:val="16"/>
            </w:pPr>
            <w:r>
              <w:t>1012.30</w:t>
            </w:r>
          </w:p>
        </w:tc>
        <w:tc>
          <w:tcPr>
            <w:tcW w:w="1474" w:type="dxa"/>
            <w:vAlign w:val="center"/>
          </w:tcPr>
          <w:p>
            <w:pPr>
              <w:pStyle w:val="16"/>
            </w:pPr>
            <w:r>
              <w:t>3.93</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149.89</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149.89</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1016.23</w:t>
            </w:r>
          </w:p>
        </w:tc>
        <w:tc>
          <w:tcPr>
            <w:tcW w:w="3402" w:type="dxa"/>
            <w:vAlign w:val="center"/>
          </w:tcPr>
          <w:p>
            <w:pPr>
              <w:pStyle w:val="15"/>
            </w:pPr>
            <w:r>
              <w:t>支出总计</w:t>
            </w:r>
          </w:p>
        </w:tc>
        <w:tc>
          <w:tcPr>
            <w:tcW w:w="1474" w:type="dxa"/>
            <w:vAlign w:val="center"/>
          </w:tcPr>
          <w:p>
            <w:pPr>
              <w:pStyle w:val="16"/>
            </w:pPr>
            <w:r>
              <w:t>1016.23</w:t>
            </w:r>
          </w:p>
        </w:tc>
        <w:tc>
          <w:tcPr>
            <w:tcW w:w="1474" w:type="dxa"/>
            <w:vAlign w:val="center"/>
          </w:tcPr>
          <w:p>
            <w:pPr>
              <w:pStyle w:val="16"/>
            </w:pPr>
            <w:r>
              <w:t>1012.30</w:t>
            </w:r>
          </w:p>
        </w:tc>
        <w:tc>
          <w:tcPr>
            <w:tcW w:w="1474" w:type="dxa"/>
            <w:vAlign w:val="center"/>
          </w:tcPr>
          <w:p>
            <w:pPr>
              <w:pStyle w:val="16"/>
            </w:pPr>
            <w:r>
              <w:t>3.93</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1012.30</w:t>
            </w:r>
          </w:p>
        </w:tc>
        <w:tc>
          <w:tcPr>
            <w:tcW w:w="2551" w:type="dxa"/>
            <w:vAlign w:val="center"/>
          </w:tcPr>
          <w:p>
            <w:pPr>
              <w:pStyle w:val="16"/>
            </w:pPr>
            <w:r>
              <w:t>828.65</w:t>
            </w:r>
          </w:p>
        </w:tc>
        <w:tc>
          <w:tcPr>
            <w:tcW w:w="2551" w:type="dxa"/>
            <w:vAlign w:val="center"/>
          </w:tcPr>
          <w:p>
            <w:pPr>
              <w:pStyle w:val="16"/>
            </w:pPr>
            <w:r>
              <w:t>183.65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653.69</w:t>
            </w:r>
          </w:p>
        </w:tc>
        <w:tc>
          <w:tcPr>
            <w:tcW w:w="2551" w:type="dxa"/>
            <w:vAlign w:val="center"/>
          </w:tcPr>
          <w:p>
            <w:pPr>
              <w:pStyle w:val="12"/>
            </w:pPr>
            <w:r>
              <w:t>638.49</w:t>
            </w:r>
          </w:p>
        </w:tc>
        <w:tc>
          <w:tcPr>
            <w:tcW w:w="2551" w:type="dxa"/>
            <w:vAlign w:val="center"/>
          </w:tcPr>
          <w:p>
            <w:pPr>
              <w:pStyle w:val="12"/>
            </w:pPr>
            <w:r>
              <w:t>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641.49</w:t>
            </w:r>
          </w:p>
        </w:tc>
        <w:tc>
          <w:tcPr>
            <w:tcW w:w="2551" w:type="dxa"/>
            <w:vAlign w:val="center"/>
          </w:tcPr>
          <w:p>
            <w:pPr>
              <w:pStyle w:val="12"/>
            </w:pPr>
            <w:r>
              <w:t>638.49</w:t>
            </w: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281.08</w:t>
            </w:r>
          </w:p>
        </w:tc>
        <w:tc>
          <w:tcPr>
            <w:tcW w:w="2551" w:type="dxa"/>
            <w:vAlign w:val="center"/>
          </w:tcPr>
          <w:p>
            <w:pPr>
              <w:pStyle w:val="12"/>
            </w:pPr>
            <w:r>
              <w:t>281.08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357.41</w:t>
            </w:r>
          </w:p>
        </w:tc>
        <w:tc>
          <w:tcPr>
            <w:tcW w:w="2551" w:type="dxa"/>
            <w:vAlign w:val="center"/>
          </w:tcPr>
          <w:p>
            <w:pPr>
              <w:pStyle w:val="12"/>
            </w:pPr>
            <w:r>
              <w:t>357.41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9.20</w:t>
            </w:r>
          </w:p>
        </w:tc>
        <w:tc>
          <w:tcPr>
            <w:tcW w:w="2551" w:type="dxa"/>
            <w:vAlign w:val="center"/>
          </w:tcPr>
          <w:p>
            <w:pPr>
              <w:pStyle w:val="12"/>
            </w:pPr>
          </w:p>
        </w:tc>
        <w:tc>
          <w:tcPr>
            <w:tcW w:w="2551" w:type="dxa"/>
            <w:vAlign w:val="center"/>
          </w:tcPr>
          <w:p>
            <w:pPr>
              <w:pStyle w:val="12"/>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9.20</w:t>
            </w:r>
          </w:p>
        </w:tc>
        <w:tc>
          <w:tcPr>
            <w:tcW w:w="2551" w:type="dxa"/>
            <w:vAlign w:val="center"/>
          </w:tcPr>
          <w:p>
            <w:pPr>
              <w:pStyle w:val="12"/>
            </w:pPr>
          </w:p>
        </w:tc>
        <w:tc>
          <w:tcPr>
            <w:tcW w:w="2551" w:type="dxa"/>
            <w:vAlign w:val="center"/>
          </w:tcPr>
          <w:p>
            <w:pPr>
              <w:pStyle w:val="12"/>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104.92</w:t>
            </w:r>
          </w:p>
        </w:tc>
        <w:tc>
          <w:tcPr>
            <w:tcW w:w="2551" w:type="dxa"/>
            <w:vAlign w:val="center"/>
          </w:tcPr>
          <w:p>
            <w:pPr>
              <w:pStyle w:val="12"/>
            </w:pPr>
            <w:r>
              <w:t>104.92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103.74</w:t>
            </w:r>
          </w:p>
        </w:tc>
        <w:tc>
          <w:tcPr>
            <w:tcW w:w="2551" w:type="dxa"/>
            <w:vAlign w:val="center"/>
          </w:tcPr>
          <w:p>
            <w:pPr>
              <w:pStyle w:val="12"/>
            </w:pPr>
            <w:r>
              <w:t>103.74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16.58</w:t>
            </w:r>
          </w:p>
        </w:tc>
        <w:tc>
          <w:tcPr>
            <w:tcW w:w="2551" w:type="dxa"/>
            <w:vAlign w:val="center"/>
          </w:tcPr>
          <w:p>
            <w:pPr>
              <w:pStyle w:val="12"/>
            </w:pPr>
            <w:r>
              <w:t>16.58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2.12</w:t>
            </w:r>
          </w:p>
        </w:tc>
        <w:tc>
          <w:tcPr>
            <w:tcW w:w="2551" w:type="dxa"/>
            <w:vAlign w:val="center"/>
          </w:tcPr>
          <w:p>
            <w:pPr>
              <w:pStyle w:val="12"/>
            </w:pPr>
            <w:r>
              <w:t>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85.04</w:t>
            </w:r>
          </w:p>
        </w:tc>
        <w:tc>
          <w:tcPr>
            <w:tcW w:w="2551" w:type="dxa"/>
            <w:vAlign w:val="center"/>
          </w:tcPr>
          <w:p>
            <w:pPr>
              <w:pStyle w:val="12"/>
            </w:pPr>
            <w:r>
              <w:t>85.04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42.66</w:t>
            </w:r>
          </w:p>
        </w:tc>
        <w:tc>
          <w:tcPr>
            <w:tcW w:w="2551" w:type="dxa"/>
            <w:vAlign w:val="center"/>
          </w:tcPr>
          <w:p>
            <w:pPr>
              <w:pStyle w:val="12"/>
            </w:pPr>
            <w:r>
              <w:t>41.64</w:t>
            </w: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1.02</w:t>
            </w:r>
          </w:p>
        </w:tc>
        <w:tc>
          <w:tcPr>
            <w:tcW w:w="2551" w:type="dxa"/>
            <w:vAlign w:val="center"/>
          </w:tcPr>
          <w:p>
            <w:pPr>
              <w:pStyle w:val="12"/>
            </w:pP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1.02</w:t>
            </w:r>
          </w:p>
        </w:tc>
        <w:tc>
          <w:tcPr>
            <w:tcW w:w="2551" w:type="dxa"/>
            <w:vAlign w:val="center"/>
          </w:tcPr>
          <w:p>
            <w:pPr>
              <w:pStyle w:val="12"/>
            </w:pP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41.64</w:t>
            </w:r>
          </w:p>
        </w:tc>
        <w:tc>
          <w:tcPr>
            <w:tcW w:w="2551" w:type="dxa"/>
            <w:vAlign w:val="center"/>
          </w:tcPr>
          <w:p>
            <w:pPr>
              <w:pStyle w:val="12"/>
            </w:pPr>
            <w:r>
              <w:t>41.64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15.06</w:t>
            </w:r>
          </w:p>
        </w:tc>
        <w:tc>
          <w:tcPr>
            <w:tcW w:w="2551" w:type="dxa"/>
            <w:vAlign w:val="center"/>
          </w:tcPr>
          <w:p>
            <w:pPr>
              <w:pStyle w:val="12"/>
            </w:pPr>
            <w:r>
              <w:t>15.06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26.58</w:t>
            </w:r>
          </w:p>
        </w:tc>
        <w:tc>
          <w:tcPr>
            <w:tcW w:w="2551" w:type="dxa"/>
            <w:vAlign w:val="center"/>
          </w:tcPr>
          <w:p>
            <w:pPr>
              <w:pStyle w:val="12"/>
            </w:pPr>
            <w:r>
              <w:t>26.58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33.00</w:t>
            </w:r>
          </w:p>
        </w:tc>
        <w:tc>
          <w:tcPr>
            <w:tcW w:w="2551" w:type="dxa"/>
            <w:vAlign w:val="center"/>
          </w:tcPr>
          <w:p>
            <w:pPr>
              <w:pStyle w:val="12"/>
            </w:pPr>
          </w:p>
        </w:tc>
        <w:tc>
          <w:tcPr>
            <w:tcW w:w="2551" w:type="dxa"/>
            <w:vAlign w:val="center"/>
          </w:tcPr>
          <w:p>
            <w:pPr>
              <w:pStyle w:val="12"/>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133.43</w:t>
            </w:r>
          </w:p>
        </w:tc>
        <w:tc>
          <w:tcPr>
            <w:tcW w:w="2551" w:type="dxa"/>
            <w:vAlign w:val="center"/>
          </w:tcPr>
          <w:p>
            <w:pPr>
              <w:pStyle w:val="12"/>
            </w:pPr>
          </w:p>
        </w:tc>
        <w:tc>
          <w:tcPr>
            <w:tcW w:w="2551"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133.43</w:t>
            </w:r>
          </w:p>
        </w:tc>
        <w:tc>
          <w:tcPr>
            <w:tcW w:w="2551" w:type="dxa"/>
            <w:vAlign w:val="center"/>
          </w:tcPr>
          <w:p>
            <w:pPr>
              <w:pStyle w:val="12"/>
            </w:pPr>
          </w:p>
        </w:tc>
        <w:tc>
          <w:tcPr>
            <w:tcW w:w="2551"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60.43</w:t>
            </w:r>
          </w:p>
        </w:tc>
        <w:tc>
          <w:tcPr>
            <w:tcW w:w="2551" w:type="dxa"/>
            <w:vAlign w:val="center"/>
          </w:tcPr>
          <w:p>
            <w:pPr>
              <w:pStyle w:val="12"/>
            </w:pPr>
          </w:p>
        </w:tc>
        <w:tc>
          <w:tcPr>
            <w:tcW w:w="2551" w:type="dxa"/>
            <w:vAlign w:val="center"/>
          </w:tcPr>
          <w:p>
            <w:pPr>
              <w:pStyle w:val="12"/>
            </w:pPr>
            <w:r>
              <w:t>60.43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828.65</w:t>
            </w:r>
          </w:p>
        </w:tc>
        <w:tc>
          <w:tcPr>
            <w:tcW w:w="2551" w:type="dxa"/>
            <w:vAlign w:val="center"/>
          </w:tcPr>
          <w:p>
            <w:pPr>
              <w:pStyle w:val="16"/>
            </w:pPr>
            <w:r>
              <w:t>749.41</w:t>
            </w:r>
          </w:p>
        </w:tc>
        <w:tc>
          <w:tcPr>
            <w:tcW w:w="2551" w:type="dxa"/>
            <w:vAlign w:val="center"/>
          </w:tcPr>
          <w:p>
            <w:pPr>
              <w:pStyle w:val="16"/>
            </w:pPr>
            <w:r>
              <w:t>79.25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729.52</w:t>
            </w:r>
          </w:p>
        </w:tc>
        <w:tc>
          <w:tcPr>
            <w:tcW w:w="2551" w:type="dxa"/>
            <w:vAlign w:val="center"/>
          </w:tcPr>
          <w:p>
            <w:pPr>
              <w:pStyle w:val="12"/>
            </w:pPr>
            <w:r>
              <w:t>729.52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302.01</w:t>
            </w:r>
          </w:p>
        </w:tc>
        <w:tc>
          <w:tcPr>
            <w:tcW w:w="2551" w:type="dxa"/>
            <w:vAlign w:val="center"/>
          </w:tcPr>
          <w:p>
            <w:pPr>
              <w:pStyle w:val="12"/>
            </w:pPr>
            <w:r>
              <w:t>302.01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118.34</w:t>
            </w:r>
          </w:p>
        </w:tc>
        <w:tc>
          <w:tcPr>
            <w:tcW w:w="2551" w:type="dxa"/>
            <w:vAlign w:val="center"/>
          </w:tcPr>
          <w:p>
            <w:pPr>
              <w:pStyle w:val="12"/>
            </w:pPr>
            <w:r>
              <w:t>118.34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24.50</w:t>
            </w:r>
          </w:p>
        </w:tc>
        <w:tc>
          <w:tcPr>
            <w:tcW w:w="2551" w:type="dxa"/>
            <w:vAlign w:val="center"/>
          </w:tcPr>
          <w:p>
            <w:pPr>
              <w:pStyle w:val="12"/>
            </w:pPr>
            <w:r>
              <w:t>24.50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111.24</w:t>
            </w:r>
          </w:p>
        </w:tc>
        <w:tc>
          <w:tcPr>
            <w:tcW w:w="2551" w:type="dxa"/>
            <w:vAlign w:val="center"/>
          </w:tcPr>
          <w:p>
            <w:pPr>
              <w:pStyle w:val="12"/>
            </w:pPr>
            <w:r>
              <w:t>111.24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85.04</w:t>
            </w:r>
          </w:p>
        </w:tc>
        <w:tc>
          <w:tcPr>
            <w:tcW w:w="2551" w:type="dxa"/>
            <w:vAlign w:val="center"/>
          </w:tcPr>
          <w:p>
            <w:pPr>
              <w:pStyle w:val="12"/>
            </w:pPr>
            <w:r>
              <w:t>85.04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41.64</w:t>
            </w:r>
          </w:p>
        </w:tc>
        <w:tc>
          <w:tcPr>
            <w:tcW w:w="2551" w:type="dxa"/>
            <w:vAlign w:val="center"/>
          </w:tcPr>
          <w:p>
            <w:pPr>
              <w:pStyle w:val="12"/>
            </w:pPr>
            <w:r>
              <w:t>41.64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79.25</w:t>
            </w:r>
          </w:p>
        </w:tc>
        <w:tc>
          <w:tcPr>
            <w:tcW w:w="2551" w:type="dxa"/>
            <w:vAlign w:val="center"/>
          </w:tcPr>
          <w:p>
            <w:pPr>
              <w:pStyle w:val="12"/>
            </w:pPr>
          </w:p>
        </w:tc>
        <w:tc>
          <w:tcPr>
            <w:tcW w:w="2551" w:type="dxa"/>
            <w:vAlign w:val="center"/>
          </w:tcPr>
          <w:p>
            <w:pPr>
              <w:pStyle w:val="12"/>
            </w:pPr>
            <w:r>
              <w:t>79.25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24.35</w:t>
            </w:r>
          </w:p>
        </w:tc>
        <w:tc>
          <w:tcPr>
            <w:tcW w:w="2551" w:type="dxa"/>
            <w:vAlign w:val="center"/>
          </w:tcPr>
          <w:p>
            <w:pPr>
              <w:pStyle w:val="12"/>
            </w:pPr>
          </w:p>
        </w:tc>
        <w:tc>
          <w:tcPr>
            <w:tcW w:w="2551" w:type="dxa"/>
            <w:vAlign w:val="center"/>
          </w:tcPr>
          <w:p>
            <w:pPr>
              <w:pStyle w:val="12"/>
            </w:pPr>
            <w:r>
              <w:t>24.35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10.03</w:t>
            </w:r>
          </w:p>
        </w:tc>
        <w:tc>
          <w:tcPr>
            <w:tcW w:w="2551" w:type="dxa"/>
            <w:vAlign w:val="center"/>
          </w:tcPr>
          <w:p>
            <w:pPr>
              <w:pStyle w:val="12"/>
            </w:pPr>
          </w:p>
        </w:tc>
        <w:tc>
          <w:tcPr>
            <w:tcW w:w="2551" w:type="dxa"/>
            <w:vAlign w:val="center"/>
          </w:tcPr>
          <w:p>
            <w:pPr>
              <w:pStyle w:val="12"/>
            </w:pPr>
            <w:r>
              <w:t>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31.91</w:t>
            </w:r>
          </w:p>
        </w:tc>
        <w:tc>
          <w:tcPr>
            <w:tcW w:w="2551" w:type="dxa"/>
            <w:vAlign w:val="center"/>
          </w:tcPr>
          <w:p>
            <w:pPr>
              <w:pStyle w:val="12"/>
            </w:pPr>
          </w:p>
        </w:tc>
        <w:tc>
          <w:tcPr>
            <w:tcW w:w="2551" w:type="dxa"/>
            <w:vAlign w:val="center"/>
          </w:tcPr>
          <w:p>
            <w:pPr>
              <w:pStyle w:val="12"/>
            </w:pPr>
            <w:r>
              <w:t>31.91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19.89</w:t>
            </w:r>
          </w:p>
        </w:tc>
        <w:tc>
          <w:tcPr>
            <w:tcW w:w="2551" w:type="dxa"/>
            <w:vAlign w:val="center"/>
          </w:tcPr>
          <w:p>
            <w:pPr>
              <w:pStyle w:val="12"/>
            </w:pPr>
            <w:r>
              <w:t>19.89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18.70</w:t>
            </w:r>
          </w:p>
        </w:tc>
        <w:tc>
          <w:tcPr>
            <w:tcW w:w="2551" w:type="dxa"/>
            <w:vAlign w:val="center"/>
          </w:tcPr>
          <w:p>
            <w:pPr>
              <w:pStyle w:val="12"/>
            </w:pPr>
            <w:r>
              <w:t>18.70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3.93</w:t>
            </w:r>
          </w:p>
        </w:tc>
        <w:tc>
          <w:tcPr>
            <w:tcW w:w="2551" w:type="dxa"/>
            <w:vAlign w:val="center"/>
          </w:tcPr>
          <w:p>
            <w:pPr>
              <w:pStyle w:val="16"/>
            </w:pPr>
          </w:p>
        </w:tc>
        <w:tc>
          <w:tcPr>
            <w:tcW w:w="2551" w:type="dxa"/>
            <w:vAlign w:val="center"/>
          </w:tcPr>
          <w:p>
            <w:pPr>
              <w:pStyle w:val="16"/>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2120815</w:t>
            </w:r>
          </w:p>
        </w:tc>
        <w:tc>
          <w:tcPr>
            <w:tcW w:w="4535" w:type="dxa"/>
            <w:vAlign w:val="center"/>
          </w:tcPr>
          <w:p>
            <w:pPr>
              <w:pStyle w:val="13"/>
            </w:pPr>
            <w:r>
              <w:t>农村社会事业支出</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3.80</w:t>
            </w:r>
          </w:p>
        </w:tc>
        <w:tc>
          <w:tcPr>
            <w:tcW w:w="2381" w:type="dxa"/>
            <w:vAlign w:val="center"/>
          </w:tcPr>
          <w:p>
            <w:pPr>
              <w:pStyle w:val="16"/>
            </w:pPr>
            <w:r>
              <w:t>3.80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3.80</w:t>
            </w:r>
          </w:p>
        </w:tc>
        <w:tc>
          <w:tcPr>
            <w:tcW w:w="2381" w:type="dxa"/>
            <w:vAlign w:val="center"/>
          </w:tcPr>
          <w:p>
            <w:pPr>
              <w:pStyle w:val="12"/>
            </w:pPr>
            <w:r>
              <w:t>3.80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青龙满族自治县朱杖子乡人民政府2026年部门预算信息公开情况说明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青龙满族自治县朱杖子乡人民政府2026年部门预算信息公开情况说明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按照《中华人民共和国预算法》、《地方预决算公开操作规程》和《关于进一步推进预算公开工作的实施意见》规定，现将青龙满族自治县朱杖子乡人民政府2026年部门预算公开如下：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3"/>
            </w:pPr>
            <w:r>
              <w:t>青龙满族自治县朱杖子乡人民政府本级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按照预算管理有关规定，目前部门预算的编制实行综合预算管理，即全部收入和支出都反映在预算中。青龙满族自治县朱杖子乡人民政府机关及所属事业单位的收支包含在部门预算中。</w:t>
      </w:r>
    </w:p>
    <w:p>
      <w:pPr>
        <w:pStyle w:val="19"/>
      </w:pPr>
      <w:r>
        <w:t>1、收入说明</w:t>
      </w:r>
    </w:p>
    <w:p>
      <w:pPr>
        <w:pStyle w:val="19"/>
      </w:pPr>
      <w:r>
        <w:t>反映本部门当年全部收入。2026年预算收入1016.23万元，其中：一般公共预算收入862.41万元，基金预算收入3.93万元，国有资本经营预算收入0.00万元，财政专户核拨收入0.00万元，单位资金收入0.00万元，上年结转结余149.89万元。</w:t>
      </w:r>
    </w:p>
    <w:p>
      <w:pPr>
        <w:pStyle w:val="19"/>
      </w:pPr>
      <w:r>
        <w:t>2、支出说明</w:t>
      </w:r>
    </w:p>
    <w:p>
      <w:pPr>
        <w:pStyle w:val="19"/>
      </w:pPr>
      <w:r>
        <w:t>收支预算总表支出栏、基本支出表、项目支出表按经济分类和支出功能分类科目编制，反映青龙满族自治县朱杖子乡人民政府年度部门预算中支出预算的总体情况。2026年支出预算1016.23万元，其中基本支出828.65万元，包括人员经费749.41万元和日常公用经费79.25万元；项目支出187.58万元，主要为</w:t>
      </w:r>
      <w:r>
        <w:rPr>
          <w:rFonts w:hint="eastAsia"/>
          <w:lang w:val="en-US" w:eastAsia="zh-CN"/>
        </w:rPr>
        <w:t>乡村振兴</w:t>
      </w:r>
      <w:r>
        <w:t>工作经费 、党建经费、人大经费 、团委工作经费 、防火防汛经费、燃煤锅炉改造及清洁能源补贴 、全国自然灾害综合风险普查工作经费 、专项武装经费等</w:t>
      </w:r>
      <w:r>
        <w:rPr>
          <w:rFonts w:hint="eastAsia"/>
          <w:lang w:eastAsia="zh-CN"/>
        </w:rPr>
        <w:t>。</w:t>
      </w:r>
      <w:r>
        <w:t>委托业务费共计安排0.96万元，主要用于因技术原因确需对外委托的辅助性工作和确有必要对外委托开展咨询、评审、规划等工作。</w:t>
      </w:r>
    </w:p>
    <w:p>
      <w:pPr>
        <w:pStyle w:val="19"/>
      </w:pPr>
      <w:r>
        <w:t>3、比上年增减情况</w:t>
      </w:r>
    </w:p>
    <w:p>
      <w:pPr>
        <w:pStyle w:val="19"/>
      </w:pPr>
      <w:r>
        <w:t>2026年预算收支安排1016.23万元，较2025年预算增加86.89万元，其中：基本支出减少4.95万元，主要为减少了人员经费支出及公用经费。项目支出增加91.84万元，主要为</w:t>
      </w:r>
      <w:r>
        <w:rPr>
          <w:rFonts w:hint="eastAsia"/>
          <w:lang w:val="en-US" w:eastAsia="zh-CN"/>
        </w:rPr>
        <w:t>农村公益事业建设财政奖补项目</w:t>
      </w:r>
      <w:r>
        <w:t>等资金。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6</w:t>
      </w:r>
      <w:r>
        <w:t>年，我部门机关运行经费共计安排79.25万元，主要用于日常维修、办公用房水电费、办公用房取暖费、办公用房物业管理费等日常运行支出。</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6</w:t>
      </w:r>
      <w:r>
        <w:t>年，我部门财政拨款“三公”经费预算安排</w:t>
      </w:r>
      <w:r>
        <w:rPr>
          <w:rFonts w:hint="eastAsia" w:eastAsiaTheme="minorEastAsia"/>
          <w:lang w:val="en-US" w:eastAsia="zh-CN"/>
        </w:rPr>
        <w:t>3.8</w:t>
      </w:r>
      <w:r>
        <w:t>万元，其中因公出国（境）费0.00万元；公务用车购置及运维费</w:t>
      </w:r>
      <w:r>
        <w:rPr>
          <w:rFonts w:hint="eastAsia" w:eastAsiaTheme="minorEastAsia"/>
          <w:lang w:val="en-US" w:eastAsia="zh-CN"/>
        </w:rPr>
        <w:t>2.8</w:t>
      </w:r>
      <w:r>
        <w:t>万元（其中：公务用车购置费为0.00万元，公务用车运维费</w:t>
      </w:r>
      <w:r>
        <w:rPr>
          <w:rFonts w:hint="eastAsia" w:eastAsiaTheme="minorEastAsia"/>
          <w:lang w:val="en-US" w:eastAsia="zh-CN"/>
        </w:rPr>
        <w:t>2.8</w:t>
      </w:r>
      <w:r>
        <w:t>万元)；公务接待费</w:t>
      </w:r>
      <w:r>
        <w:rPr>
          <w:rFonts w:hint="eastAsia" w:eastAsiaTheme="minorEastAsia"/>
          <w:lang w:eastAsia="zh-CN"/>
        </w:rPr>
        <w:t>1</w:t>
      </w:r>
      <w:r>
        <w:t>万元。与202</w:t>
      </w:r>
      <w:r>
        <w:rPr>
          <w:rFonts w:hint="eastAsia"/>
          <w:lang w:val="en-US" w:eastAsia="zh-CN"/>
        </w:rPr>
        <w:t>5</w:t>
      </w:r>
      <w:r>
        <w:t>年相比减少</w:t>
      </w:r>
      <w:r>
        <w:rPr>
          <w:rFonts w:hint="eastAsia" w:eastAsiaTheme="minorEastAsia"/>
          <w:lang w:val="en-US" w:eastAsia="zh-CN"/>
        </w:rPr>
        <w:t>0.4</w:t>
      </w:r>
      <w: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二十大</w:t>
      </w:r>
      <w:r>
        <w:rPr>
          <w:rFonts w:hint="eastAsia"/>
          <w:lang w:val="en-US" w:eastAsia="zh-CN"/>
        </w:rPr>
        <w:t>胜利</w:t>
      </w:r>
      <w:r>
        <w:t>召开，是我们党进入全面建设社会主义现代化国家、向第二个百年奋斗目标进军新征程的重要时刻。值此蓄势待发的新起点，我们将进一步坚定信心、振奋精神，克难攻坚、扎实苦干，努力开创全乡局面。</w:t>
      </w:r>
    </w:p>
    <w:p>
      <w:pPr>
        <w:pStyle w:val="22"/>
      </w:pPr>
      <w:r>
        <w:t>（一）围绕基层组织建设，提升服务能力水平。</w:t>
      </w:r>
    </w:p>
    <w:p>
      <w:pPr>
        <w:pStyle w:val="22"/>
      </w:pPr>
      <w:r>
        <w:t>（二）围绕地区资源优势，发展壮大镇域经济。</w:t>
      </w:r>
    </w:p>
    <w:p>
      <w:pPr>
        <w:pStyle w:val="22"/>
      </w:pPr>
      <w:r>
        <w:t>（三）围绕防贫监测，持续巩固巩固脱贫攻坚成果。</w:t>
      </w:r>
    </w:p>
    <w:p>
      <w:pPr>
        <w:pStyle w:val="22"/>
      </w:pPr>
      <w:r>
        <w:t>（四）围绕环境污染防治，推进生态文明建设。</w:t>
      </w:r>
    </w:p>
    <w:p>
      <w:pPr>
        <w:pStyle w:val="22"/>
      </w:pPr>
      <w:r>
        <w:t>（五）围绕平安建设，推进社会治理水平提高。</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一、扶贫产业资金及时足额落实到位，产业项目建设圆满完成，提质增效入户类扶贫资金全额到户。集中力量，整合资源，圆满实现脱贫攻坚阶段性胜利。</w:t>
      </w:r>
    </w:p>
    <w:p>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3"/>
      </w:pPr>
      <w:r>
        <w:t>四、做好青年统战对象的团结教育、引导、服务工作，为全县经济社会发展贡献力量。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3"/>
      </w:pPr>
      <w:r>
        <w:t xml:space="preserve">九、严格按照法律法规规定开展村财管工作，确保实现农村基层财务管理规范化、公开化。完善农村综合改革，保 障村级行政运行经费、村干部工资及时足额到位。 </w:t>
      </w:r>
    </w:p>
    <w:p>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4"/>
      </w:pPr>
      <w:r>
        <w:t>2、加强生态建设。深入实施大气污染防治行动，狠抓秸秆禁烧和综合利用，积极推广清洁燃烧炉具。深入实施水环境治理行动，全力抓好河道垃圾清理。</w:t>
      </w:r>
    </w:p>
    <w:p>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4"/>
      </w:pPr>
      <w:r>
        <w:t>4、完善社会保障体系，新农合、新农保做到应保尽保；建立健全促进就业长效机制，继续抓好低保、五保等工作，认真落实农村大病救助、困难救助救济等政策。</w:t>
      </w:r>
    </w:p>
    <w:p>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4"/>
      </w:pPr>
      <w:r>
        <w:t>8、完善制度建设。包括制定完善预算绩效管理制度、资金管理办法、工作保障制度等，为全年预算绩效目标的实现奠定制度基础。</w:t>
      </w:r>
    </w:p>
    <w:p>
      <w:pPr>
        <w:pStyle w:val="24"/>
      </w:pPr>
      <w:r>
        <w:t>9、加强支出管理。通过优化支出结构、编细编实预算、加快履行政府采购手续、尽快启动项目、及时支付资金、按规定及时下达资金等多种措施，确保支出进度达标。</w:t>
      </w:r>
    </w:p>
    <w:p>
      <w:pPr>
        <w:pStyle w:val="24"/>
      </w:pPr>
      <w:r>
        <w:t>10、加强绩效运行监控。按要求开展绩效运行监控，发现问题及时采取措施，确保绩效目标如期保质实现。</w:t>
      </w:r>
    </w:p>
    <w:p>
      <w:pPr>
        <w:pStyle w:val="24"/>
      </w:pPr>
      <w:r>
        <w:t>11、做好绩效自评。按要求开展上年度部门预算绩效自评和重点评价工作，对评价中发现的问题及时整改，调整优化支出结构，提高财政资金使用效益。</w:t>
      </w:r>
    </w:p>
    <w:p>
      <w:pPr>
        <w:pStyle w:val="24"/>
      </w:pPr>
      <w:r>
        <w:t>12、规范财务资产管理。完善财务管理制度，严格审批程序，加强固定资产登记、使用和报废处置管理，做到支出合理，物尽其用。</w:t>
      </w:r>
    </w:p>
    <w:p>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仿宋_GB2312" w:cs="黑体"/>
          <w:color w:val="000000"/>
          <w:sz w:val="32"/>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rPr>
        <w:t>我部门无专项资金预算安排</w:t>
      </w:r>
      <w:r>
        <w:rPr>
          <w:rFonts w:hint="eastAsia" w:ascii="仿宋_GB2312" w:hAnsi="仿宋_GB2312" w:eastAsia="仿宋_GB2312" w:cs="仿宋_GB2312"/>
          <w:color w:val="000000"/>
          <w:sz w:val="32"/>
          <w:lang w:eastAsia="zh-CN"/>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13032126P00334910464L</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共安排资金1万元，其中财政资金1万元，主要用于党建工作经费支出。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1.通过开展组织、宣传等党建工作，加强干部队伍建设，发挥基层党组织的作用。</w:t>
            </w:r>
            <w:r>
              <w:tab/>
            </w:r>
            <w:r>
              <w:tab/>
            </w:r>
            <w:r>
              <w:tab/>
            </w:r>
            <w:r>
              <w:t>"</w:t>
            </w:r>
            <w:r>
              <w:tab/>
            </w:r>
            <w:r>
              <w:tab/>
            </w:r>
            <w:r>
              <w:tab/>
            </w:r>
            <w:r>
              <w:tab/>
            </w:r>
            <w:r>
              <w:tab/>
            </w:r>
            <w:r>
              <w:tab/>
            </w:r>
          </w:p>
          <w:p>
            <w:pPr>
              <w:pStyle w:val="13"/>
            </w:pPr>
            <w:r>
              <w:t>2."通过践行不忘初心、牢记使命”宗旨，充分发挥党的思想政治优势、组织优势和密切联系群众的优势。</w:t>
            </w:r>
            <w:r>
              <w:tab/>
            </w:r>
            <w:r>
              <w:tab/>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2268" w:type="dxa"/>
            <w:vAlign w:val="center"/>
          </w:tcPr>
          <w:p>
            <w:pPr>
              <w:pStyle w:val="13"/>
            </w:pPr>
            <w:r>
              <w:t>≥15次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2268" w:type="dxa"/>
            <w:vAlign w:val="center"/>
          </w:tcPr>
          <w:p>
            <w:pPr>
              <w:pStyle w:val="13"/>
            </w:pPr>
            <w:r>
              <w:t>≥60条</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党建工作完成时效性</w:t>
            </w:r>
          </w:p>
        </w:tc>
        <w:tc>
          <w:tcPr>
            <w:tcW w:w="5386" w:type="dxa"/>
            <w:vAlign w:val="center"/>
          </w:tcPr>
          <w:p>
            <w:pPr>
              <w:pStyle w:val="13"/>
            </w:pPr>
            <w:r>
              <w:t>全年按计划完成各项工作</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2268" w:type="dxa"/>
            <w:vAlign w:val="center"/>
          </w:tcPr>
          <w:p>
            <w:pPr>
              <w:pStyle w:val="13"/>
            </w:pPr>
            <w:r>
              <w:t>≤1万元</w:t>
            </w:r>
          </w:p>
        </w:tc>
        <w:tc>
          <w:tcPr>
            <w:tcW w:w="1276" w:type="dxa"/>
            <w:vAlign w:val="center"/>
          </w:tcPr>
          <w:p>
            <w:pPr>
              <w:pStyle w:val="13"/>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基层党组织带动示范作用</w:t>
            </w:r>
          </w:p>
        </w:tc>
        <w:tc>
          <w:tcPr>
            <w:tcW w:w="5386" w:type="dxa"/>
            <w:vAlign w:val="center"/>
          </w:tcPr>
          <w:p>
            <w:pPr>
              <w:pStyle w:val="13"/>
            </w:pPr>
            <w:r>
              <w:t>通过党建工作促进党员队伍能力提升，在经济建设中发挥带动示范作用</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党员带头发展经济</w:t>
            </w:r>
          </w:p>
        </w:tc>
        <w:tc>
          <w:tcPr>
            <w:tcW w:w="5386" w:type="dxa"/>
            <w:vAlign w:val="center"/>
          </w:tcPr>
          <w:p>
            <w:pPr>
              <w:pStyle w:val="13"/>
            </w:pPr>
            <w:r>
              <w:t>通过党员带动发展经济，增加村民收入</w:t>
            </w:r>
          </w:p>
        </w:tc>
        <w:tc>
          <w:tcPr>
            <w:tcW w:w="2268" w:type="dxa"/>
            <w:vAlign w:val="center"/>
          </w:tcPr>
          <w:p>
            <w:pPr>
              <w:pStyle w:val="13"/>
            </w:pPr>
            <w:r>
              <w:t>≥1500元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全乡党员对党建工作的满意程度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13032126P003349104631</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 人大代表之家工作经费支出。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1.通过学习宣传培训，开展代表活动，使得人大机关团体密切联系群众，能够定期开展人大代表接访、走访、约访、回访等工作，接受群众监督，提出议案建议。</w:t>
            </w:r>
            <w:r>
              <w:tab/>
            </w:r>
            <w:r>
              <w:tab/>
            </w:r>
            <w:r>
              <w:tab/>
            </w:r>
            <w:r>
              <w:tab/>
            </w:r>
            <w:r>
              <w:tab/>
            </w:r>
            <w:r>
              <w:tab/>
            </w:r>
            <w:r>
              <w:tab/>
            </w:r>
          </w:p>
          <w:p>
            <w:pPr>
              <w:pStyle w:val="13"/>
            </w:pPr>
            <w:r>
              <w:t>2.通过开展人大代表之家工作，提供场地和经费，有利于学习宣传宪法法律和党的路线方针政策及各级党委政府重大决策部署，定期开展代表活动。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2268" w:type="dxa"/>
            <w:vAlign w:val="center"/>
          </w:tcPr>
          <w:p>
            <w:pPr>
              <w:pStyle w:val="13"/>
            </w:pPr>
            <w:r>
              <w:t>≥2%</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2268" w:type="dxa"/>
            <w:vAlign w:val="center"/>
          </w:tcPr>
          <w:p>
            <w:pPr>
              <w:pStyle w:val="13"/>
            </w:pPr>
            <w:r>
              <w:t>≥2%</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2268" w:type="dxa"/>
            <w:vAlign w:val="center"/>
          </w:tcPr>
          <w:p>
            <w:pPr>
              <w:pStyle w:val="13"/>
            </w:pPr>
            <w:r>
              <w:t>55人</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2268" w:type="dxa"/>
            <w:vAlign w:val="center"/>
          </w:tcPr>
          <w:p>
            <w:pPr>
              <w:pStyle w:val="13"/>
            </w:pPr>
            <w:r>
              <w:t>≥2篇</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2268" w:type="dxa"/>
            <w:vAlign w:val="center"/>
          </w:tcPr>
          <w:p>
            <w:pPr>
              <w:pStyle w:val="13"/>
            </w:pPr>
            <w:r>
              <w:t>100%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反映举办活动的时间</w:t>
            </w:r>
          </w:p>
        </w:tc>
        <w:tc>
          <w:tcPr>
            <w:tcW w:w="2268" w:type="dxa"/>
            <w:vAlign w:val="center"/>
          </w:tcPr>
          <w:p>
            <w:pPr>
              <w:pStyle w:val="13"/>
            </w:pPr>
            <w:r>
              <w:t>2026年</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≤1万元</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2268" w:type="dxa"/>
            <w:vAlign w:val="center"/>
          </w:tcPr>
          <w:p>
            <w:pPr>
              <w:pStyle w:val="13"/>
            </w:pPr>
            <w:r>
              <w:t>≥20%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人大代表提出建议采纳率</w:t>
            </w:r>
          </w:p>
        </w:tc>
        <w:tc>
          <w:tcPr>
            <w:tcW w:w="2268" w:type="dxa"/>
            <w:vAlign w:val="center"/>
          </w:tcPr>
          <w:p>
            <w:pPr>
              <w:pStyle w:val="13"/>
            </w:pPr>
            <w:r>
              <w:t>≥50%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13032126P00334910462D</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共安排资金1万元，其中财政资金1万元，主要用于团委工作经费支出。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1.通过团委工作有序开展，积极发挥团委作用。</w:t>
            </w:r>
            <w:r>
              <w:tab/>
            </w:r>
            <w:r>
              <w:tab/>
            </w:r>
            <w:r>
              <w:tab/>
            </w:r>
            <w:r>
              <w:tab/>
            </w:r>
            <w:r>
              <w:tab/>
            </w:r>
            <w:r>
              <w:tab/>
            </w:r>
          </w:p>
          <w:p>
            <w:pPr>
              <w:pStyle w:val="13"/>
            </w:pPr>
            <w:r>
              <w:t>2.开展好群团组织工作，为党的建设储备好后备力量。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组织乡青年慰问留守儿童活动的次数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2268" w:type="dxa"/>
            <w:vAlign w:val="center"/>
          </w:tcPr>
          <w:p>
            <w:pPr>
              <w:pStyle w:val="13"/>
            </w:pPr>
            <w:r>
              <w:t>≥3000张</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反映各项活动完成时间</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群众对全乡团委工作的满意度</w:t>
            </w:r>
          </w:p>
        </w:tc>
        <w:tc>
          <w:tcPr>
            <w:tcW w:w="5386" w:type="dxa"/>
            <w:vAlign w:val="center"/>
          </w:tcPr>
          <w:p>
            <w:pPr>
              <w:pStyle w:val="13"/>
            </w:pPr>
            <w:r>
              <w:t>全乡群众对团委工作的满意度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13032126P00334910461R</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共安排资金2万元，其中财政资金2万元，主要用于武装经费支出。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r>
              <w:tab/>
            </w:r>
            <w:r>
              <w:tab/>
            </w:r>
            <w:r>
              <w:tab/>
            </w:r>
            <w:r>
              <w:tab/>
            </w:r>
            <w:r>
              <w:tab/>
            </w:r>
            <w:r>
              <w:tab/>
            </w:r>
            <w:r>
              <w:tab/>
            </w:r>
            <w:r>
              <w:tab/>
            </w:r>
            <w:r>
              <w:tab/>
            </w:r>
          </w:p>
          <w:p>
            <w:pPr>
              <w:pStyle w:val="13"/>
            </w:pPr>
            <w:r>
              <w:t>2.通过开展民兵训练工作，确保人民武装力量得到保障。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2268" w:type="dxa"/>
            <w:vAlign w:val="center"/>
          </w:tcPr>
          <w:p>
            <w:pPr>
              <w:pStyle w:val="13"/>
            </w:pPr>
            <w:r>
              <w:t>≥6人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268" w:type="dxa"/>
            <w:vAlign w:val="center"/>
          </w:tcPr>
          <w:p>
            <w:pPr>
              <w:pStyle w:val="13"/>
            </w:pPr>
            <w:r>
              <w:t>≥5人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268" w:type="dxa"/>
            <w:vAlign w:val="center"/>
          </w:tcPr>
          <w:p>
            <w:pPr>
              <w:pStyle w:val="13"/>
            </w:pPr>
            <w:r>
              <w:t>≤6月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13032125P00001010154N</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8.46</w:t>
            </w:r>
          </w:p>
        </w:tc>
        <w:tc>
          <w:tcPr>
            <w:tcW w:w="2835" w:type="dxa"/>
            <w:vAlign w:val="center"/>
          </w:tcPr>
          <w:p>
            <w:pPr>
              <w:pStyle w:val="11"/>
            </w:pPr>
            <w:r>
              <w:t>其中：财政    资金</w:t>
            </w:r>
          </w:p>
        </w:tc>
        <w:tc>
          <w:tcPr>
            <w:tcW w:w="2551" w:type="dxa"/>
            <w:vAlign w:val="center"/>
          </w:tcPr>
          <w:p>
            <w:pPr>
              <w:pStyle w:val="13"/>
            </w:pPr>
            <w:r>
              <w:t>8.46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预算资金8.46万元，其中财政拨款8.46万元，主要用于村党组织书记、村民委员会主任绩效补贴</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r>
              <w:tab/>
            </w:r>
            <w:r>
              <w:tab/>
            </w:r>
            <w:r>
              <w:tab/>
            </w:r>
            <w:r>
              <w:tab/>
            </w:r>
            <w:r>
              <w:tab/>
            </w:r>
            <w:r>
              <w:tab/>
            </w:r>
            <w:r>
              <w:tab/>
            </w:r>
            <w:r>
              <w:tab/>
            </w:r>
            <w:r>
              <w:tab/>
            </w:r>
            <w:r>
              <w:tab/>
            </w:r>
          </w:p>
          <w:p>
            <w:pPr>
              <w:pStyle w:val="13"/>
            </w:pPr>
          </w:p>
          <w:p>
            <w:pPr>
              <w:pStyle w:val="13"/>
            </w:pPr>
            <w:r>
              <w:t>2.通过及时发放村党组织书记、村民委员会主任绩效补贴，为农村干部工作生活提供保障。</w:t>
            </w:r>
            <w:r>
              <w:tab/>
            </w: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反映发放村党组织书记、村民委员会主任绩效补贴发放的村数</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9人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反映村书记主任一肩挑人均补贴月标准</w:t>
            </w:r>
          </w:p>
        </w:tc>
        <w:tc>
          <w:tcPr>
            <w:tcW w:w="2268" w:type="dxa"/>
            <w:vAlign w:val="center"/>
          </w:tcPr>
          <w:p>
            <w:pPr>
              <w:pStyle w:val="13"/>
            </w:pPr>
            <w:r>
              <w:t>1200元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13032125P00001010050Y</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16.62</w:t>
            </w:r>
          </w:p>
        </w:tc>
        <w:tc>
          <w:tcPr>
            <w:tcW w:w="2835" w:type="dxa"/>
            <w:vAlign w:val="center"/>
          </w:tcPr>
          <w:p>
            <w:pPr>
              <w:pStyle w:val="11"/>
            </w:pPr>
            <w:r>
              <w:t>其中：财政    资金</w:t>
            </w:r>
          </w:p>
        </w:tc>
        <w:tc>
          <w:tcPr>
            <w:tcW w:w="2551" w:type="dxa"/>
            <w:vAlign w:val="center"/>
          </w:tcPr>
          <w:p>
            <w:pPr>
              <w:pStyle w:val="13"/>
            </w:pPr>
            <w:r>
              <w:t>16.62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预算安排16.62万元，其中财政拨款16.62万元。主要用于确保村级工作正常运转。</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1.通过及时支付村级办公经费，保障村级干部工作积极性，确保村级组织正常、高效运转。</w:t>
            </w:r>
            <w:r>
              <w:tab/>
            </w:r>
            <w:r>
              <w:tab/>
            </w:r>
            <w:r>
              <w:tab/>
            </w:r>
            <w:r>
              <w:tab/>
            </w:r>
            <w:r>
              <w:tab/>
            </w:r>
            <w:r>
              <w:tab/>
            </w:r>
          </w:p>
          <w:p>
            <w:pPr>
              <w:pStyle w:val="13"/>
            </w:pPr>
            <w:r>
              <w:t>2.通过及时支付村级组织办公用品、水电暖等费用，保障日常工作有序开展。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2268" w:type="dxa"/>
            <w:vAlign w:val="center"/>
          </w:tcPr>
          <w:p>
            <w:pPr>
              <w:pStyle w:val="13"/>
            </w:pPr>
            <w:r>
              <w:t>1次/半年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2268" w:type="dxa"/>
            <w:vAlign w:val="center"/>
          </w:tcPr>
          <w:p>
            <w:pPr>
              <w:pStyle w:val="13"/>
            </w:pPr>
            <w:r>
              <w:t>≤1.82万元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13032125P00001010049K</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预算安排18万元，其中财政拨款18万元。主要用于为群众提供安全稳定生活环境。</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r>
              <w:tab/>
            </w:r>
            <w:r>
              <w:tab/>
            </w:r>
            <w:r>
              <w:tab/>
            </w:r>
            <w:r>
              <w:tab/>
            </w:r>
            <w:r>
              <w:tab/>
            </w:r>
            <w:r>
              <w:tab/>
            </w:r>
          </w:p>
          <w:p>
            <w:pPr>
              <w:pStyle w:val="13"/>
            </w:pPr>
            <w:r>
              <w:t>2.通过开展服务群众工作，为村综合服务站日常运转、公共设施维护等提供保障，为群众提供便捷优质生产生活条件。</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反映生活垃圾分类实施效果</w:t>
            </w:r>
          </w:p>
        </w:tc>
        <w:tc>
          <w:tcPr>
            <w:tcW w:w="5386" w:type="dxa"/>
            <w:vAlign w:val="center"/>
          </w:tcPr>
          <w:p>
            <w:pPr>
              <w:pStyle w:val="13"/>
            </w:pPr>
            <w:r>
              <w:t>反映生活垃圾分类实施效果</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13032126P00330610074D</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共安排资金1万元，其中财政资金1万元，主要用于防火防汛工作支出。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r>
              <w:tab/>
            </w:r>
            <w:r>
              <w:tab/>
            </w:r>
            <w:r>
              <w:tab/>
            </w:r>
            <w:r>
              <w:tab/>
            </w:r>
            <w:r>
              <w:tab/>
            </w:r>
            <w:r>
              <w:tab/>
            </w:r>
          </w:p>
          <w:p>
            <w:pPr>
              <w:pStyle w:val="13"/>
            </w:pPr>
            <w:r>
              <w:t>2.通过开展巡视巡查整治工作，及时消除防汛安全隐患，确保辖区内河道行洪通畅。</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≥200次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2268" w:type="dxa"/>
            <w:vAlign w:val="center"/>
          </w:tcPr>
          <w:p>
            <w:pPr>
              <w:pStyle w:val="13"/>
            </w:pPr>
            <w:r>
              <w:t>≥95%</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2268" w:type="dxa"/>
            <w:vAlign w:val="center"/>
          </w:tcPr>
          <w:p>
            <w:pPr>
              <w:pStyle w:val="13"/>
            </w:pPr>
            <w:r>
              <w:t>100%</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2268" w:type="dxa"/>
            <w:vAlign w:val="center"/>
          </w:tcPr>
          <w:p>
            <w:pPr>
              <w:pStyle w:val="13"/>
            </w:pPr>
            <w:r>
              <w:t>2026年全年持续</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9、关于提前下达2025年省级农村综合改革转移支付预算的通知（冀财农[2024]109号）-朱杖子乡2025年农村公益事业建设财政奖补项目绩效目标表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13032125P00330310017H</w:t>
            </w:r>
          </w:p>
        </w:tc>
        <w:tc>
          <w:tcPr>
            <w:tcW w:w="2835" w:type="dxa"/>
            <w:vAlign w:val="center"/>
          </w:tcPr>
          <w:p>
            <w:pPr>
              <w:pStyle w:val="11"/>
            </w:pPr>
            <w:r>
              <w:t>项目名称</w:t>
            </w:r>
          </w:p>
        </w:tc>
        <w:tc>
          <w:tcPr>
            <w:tcW w:w="6095" w:type="dxa"/>
            <w:gridSpan w:val="3"/>
            <w:vAlign w:val="center"/>
          </w:tcPr>
          <w:p>
            <w:pPr>
              <w:pStyle w:val="13"/>
            </w:pPr>
            <w:r>
              <w:t>关于提前下达2025年省级农村综合改革转移支付预算的通知（冀财农[2024]109号）-朱杖子乡2025年农村公益事业建设财政奖补项目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42.00</w:t>
            </w:r>
          </w:p>
        </w:tc>
        <w:tc>
          <w:tcPr>
            <w:tcW w:w="2835" w:type="dxa"/>
            <w:vAlign w:val="center"/>
          </w:tcPr>
          <w:p>
            <w:pPr>
              <w:pStyle w:val="11"/>
            </w:pPr>
            <w:r>
              <w:t>其中：财政    资金</w:t>
            </w:r>
          </w:p>
        </w:tc>
        <w:tc>
          <w:tcPr>
            <w:tcW w:w="2551" w:type="dxa"/>
            <w:vAlign w:val="center"/>
          </w:tcPr>
          <w:p>
            <w:pPr>
              <w:pStyle w:val="13"/>
            </w:pPr>
            <w:r>
              <w:t>42.00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预算安排资金42万元，其中财政资金42万元，主要用于项目的实施，解决群众急难愁盼的问题，充分发挥农村公益事业建设财政奖补机制的优势作用。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1.通过项目的实施，改善农民生产生活条件，推进社会主义新农村建设，扎实推进乡村振兴战略实施。</w:t>
            </w:r>
            <w:r>
              <w:tab/>
            </w:r>
            <w:r>
              <w:tab/>
            </w:r>
            <w:r>
              <w:tab/>
            </w:r>
            <w:r>
              <w:tab/>
            </w:r>
            <w:r>
              <w:tab/>
            </w:r>
            <w:r>
              <w:tab/>
            </w:r>
          </w:p>
          <w:p>
            <w:pPr>
              <w:pStyle w:val="13"/>
            </w:pPr>
          </w:p>
          <w:p>
            <w:pPr>
              <w:pStyle w:val="13"/>
            </w:pPr>
            <w:r>
              <w:t>2.通过项目的实施，解决群众急难愁盼的问题，充分发挥农村公益事业建设财政奖补机制的优势作用。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≥4600米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反映项目建设验收合格率占比情况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项目建设完成及时率</w:t>
            </w:r>
          </w:p>
        </w:tc>
        <w:tc>
          <w:tcPr>
            <w:tcW w:w="5386" w:type="dxa"/>
            <w:vAlign w:val="center"/>
          </w:tcPr>
          <w:p>
            <w:pPr>
              <w:pStyle w:val="13"/>
            </w:pPr>
            <w:r>
              <w:t>反映项目建设完成及时率占比情况</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修建道路成本</w:t>
            </w:r>
          </w:p>
        </w:tc>
        <w:tc>
          <w:tcPr>
            <w:tcW w:w="5386" w:type="dxa"/>
            <w:vAlign w:val="center"/>
          </w:tcPr>
          <w:p>
            <w:pPr>
              <w:pStyle w:val="13"/>
            </w:pPr>
            <w:r>
              <w:t>反映修建道路成本</w:t>
            </w:r>
          </w:p>
        </w:tc>
        <w:tc>
          <w:tcPr>
            <w:tcW w:w="2268" w:type="dxa"/>
            <w:vAlign w:val="center"/>
          </w:tcPr>
          <w:p>
            <w:pPr>
              <w:pStyle w:val="13"/>
            </w:pPr>
            <w:r>
              <w:t>≤42万元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反映项目持续发挥作用期限情况</w:t>
            </w:r>
          </w:p>
        </w:tc>
        <w:tc>
          <w:tcPr>
            <w:tcW w:w="2268" w:type="dxa"/>
            <w:vAlign w:val="center"/>
          </w:tcPr>
          <w:p>
            <w:pPr>
              <w:pStyle w:val="13"/>
            </w:pPr>
            <w:r>
              <w:t>&gt;10年</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≥2790人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10、关于下达2025年省级农村综合改革转移支付预算的通知（冀财农[2025]15号）-朱杖子乡2025年农村公益事业建设财政奖补项目绩效目标表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13032125P00330310027D</w:t>
            </w:r>
          </w:p>
        </w:tc>
        <w:tc>
          <w:tcPr>
            <w:tcW w:w="2835" w:type="dxa"/>
            <w:vAlign w:val="center"/>
          </w:tcPr>
          <w:p>
            <w:pPr>
              <w:pStyle w:val="11"/>
            </w:pPr>
            <w:r>
              <w:t>项目名称</w:t>
            </w:r>
          </w:p>
        </w:tc>
        <w:tc>
          <w:tcPr>
            <w:tcW w:w="6095" w:type="dxa"/>
            <w:gridSpan w:val="3"/>
            <w:vAlign w:val="center"/>
          </w:tcPr>
          <w:p>
            <w:pPr>
              <w:pStyle w:val="13"/>
            </w:pPr>
            <w:r>
              <w:t>关于下达2025年省级农村综合改革转移支付预算的通知（冀财农[2025]15号）-朱杖子乡2025年农村公益事业建设财政奖补项目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预算安排资金31万元，其中财政资金31万元，主要用于项目的实施，解决群众急难愁盼的问题，充分发挥农村公益事业建设财政奖补机制的优势作用。</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1.通过项目的实施，改善农民生产生活条件，推进社会主义新农村建设，扎实推进乡村振兴战略实施。</w:t>
            </w:r>
            <w:r>
              <w:tab/>
            </w:r>
            <w:r>
              <w:tab/>
            </w:r>
            <w:r>
              <w:tab/>
            </w:r>
            <w:r>
              <w:tab/>
            </w:r>
            <w:r>
              <w:tab/>
            </w:r>
            <w:r>
              <w:tab/>
            </w:r>
          </w:p>
          <w:p>
            <w:pPr>
              <w:pStyle w:val="13"/>
            </w:pPr>
            <w:r>
              <w:t>2.通过项目的实施，解决群众急难愁盼的问题，充分发挥农村公益事业建设财政奖补机制的优势作用。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≥1400米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反映项目建设验收合格率占比情况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项目建设完成及时率</w:t>
            </w:r>
          </w:p>
        </w:tc>
        <w:tc>
          <w:tcPr>
            <w:tcW w:w="5386" w:type="dxa"/>
            <w:vAlign w:val="center"/>
          </w:tcPr>
          <w:p>
            <w:pPr>
              <w:pStyle w:val="13"/>
            </w:pPr>
            <w:r>
              <w:t>反映项目建设完成及时率占比情况</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修建道路成本</w:t>
            </w:r>
          </w:p>
        </w:tc>
        <w:tc>
          <w:tcPr>
            <w:tcW w:w="5386" w:type="dxa"/>
            <w:vAlign w:val="center"/>
          </w:tcPr>
          <w:p>
            <w:pPr>
              <w:pStyle w:val="13"/>
            </w:pPr>
            <w:r>
              <w:t>反映修建道路成本</w:t>
            </w:r>
          </w:p>
        </w:tc>
        <w:tc>
          <w:tcPr>
            <w:tcW w:w="2268" w:type="dxa"/>
            <w:vAlign w:val="center"/>
          </w:tcPr>
          <w:p>
            <w:pPr>
              <w:pStyle w:val="13"/>
            </w:pPr>
            <w:r>
              <w:t>≤31万元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反映项目持续发挥作用期限情况</w:t>
            </w:r>
          </w:p>
        </w:tc>
        <w:tc>
          <w:tcPr>
            <w:tcW w:w="2268" w:type="dxa"/>
            <w:vAlign w:val="center"/>
          </w:tcPr>
          <w:p>
            <w:pPr>
              <w:pStyle w:val="13"/>
            </w:pPr>
            <w:r>
              <w:t>&gt;10年</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≥2220人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11、明德小学地租绩效目标表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13032126P00011510121T</w:t>
            </w:r>
          </w:p>
        </w:tc>
        <w:tc>
          <w:tcPr>
            <w:tcW w:w="2835" w:type="dxa"/>
            <w:vAlign w:val="center"/>
          </w:tcPr>
          <w:p>
            <w:pPr>
              <w:pStyle w:val="11"/>
            </w:pPr>
            <w:r>
              <w:t>项目名称</w:t>
            </w:r>
          </w:p>
        </w:tc>
        <w:tc>
          <w:tcPr>
            <w:tcW w:w="6095" w:type="dxa"/>
            <w:gridSpan w:val="3"/>
            <w:vAlign w:val="center"/>
          </w:tcPr>
          <w:p>
            <w:pPr>
              <w:pStyle w:val="13"/>
            </w:pPr>
            <w:r>
              <w:t>明德小学地租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3.93</w:t>
            </w:r>
          </w:p>
        </w:tc>
        <w:tc>
          <w:tcPr>
            <w:tcW w:w="2835" w:type="dxa"/>
            <w:vAlign w:val="center"/>
          </w:tcPr>
          <w:p>
            <w:pPr>
              <w:pStyle w:val="11"/>
            </w:pPr>
            <w:r>
              <w:t>其中：财政    资金</w:t>
            </w:r>
          </w:p>
        </w:tc>
        <w:tc>
          <w:tcPr>
            <w:tcW w:w="2551" w:type="dxa"/>
            <w:vAlign w:val="center"/>
          </w:tcPr>
          <w:p>
            <w:pPr>
              <w:pStyle w:val="13"/>
            </w:pPr>
            <w:r>
              <w:t>3.93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共安排资金3.93万元，其中财政资金3.93万元，主要用于明德小学地租支出。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1.通过及时发放明德小学土地租金，保障明德小学正常运转。</w:t>
            </w:r>
            <w:r>
              <w:tab/>
            </w:r>
            <w:r>
              <w:tab/>
            </w:r>
            <w:r>
              <w:tab/>
            </w:r>
            <w:r>
              <w:tab/>
            </w:r>
            <w:r>
              <w:tab/>
            </w:r>
            <w:r>
              <w:tab/>
            </w:r>
          </w:p>
          <w:p>
            <w:pPr>
              <w:pStyle w:val="13"/>
            </w:pPr>
            <w:r>
              <w:t>2.通过及时发放补助，保证农民收益。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租地面积</w:t>
            </w:r>
          </w:p>
        </w:tc>
        <w:tc>
          <w:tcPr>
            <w:tcW w:w="5386" w:type="dxa"/>
            <w:vAlign w:val="center"/>
          </w:tcPr>
          <w:p>
            <w:pPr>
              <w:pStyle w:val="13"/>
            </w:pPr>
            <w:r>
              <w:t>反映租地面积</w:t>
            </w:r>
          </w:p>
        </w:tc>
        <w:tc>
          <w:tcPr>
            <w:tcW w:w="2268" w:type="dxa"/>
            <w:vAlign w:val="center"/>
          </w:tcPr>
          <w:p>
            <w:pPr>
              <w:pStyle w:val="13"/>
            </w:pPr>
            <w:r>
              <w:t>34.74亩</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反映金额准确性</w:t>
            </w:r>
          </w:p>
        </w:tc>
        <w:tc>
          <w:tcPr>
            <w:tcW w:w="5386" w:type="dxa"/>
            <w:vAlign w:val="center"/>
          </w:tcPr>
          <w:p>
            <w:pPr>
              <w:pStyle w:val="13"/>
            </w:pPr>
            <w:r>
              <w:t>反映发放金额胡准确性</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租地面积的准确性</w:t>
            </w:r>
          </w:p>
        </w:tc>
        <w:tc>
          <w:tcPr>
            <w:tcW w:w="5386" w:type="dxa"/>
            <w:vAlign w:val="center"/>
          </w:tcPr>
          <w:p>
            <w:pPr>
              <w:pStyle w:val="13"/>
            </w:pPr>
            <w:r>
              <w:t>反映租地面积的准确性</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租金发放的及时性</w:t>
            </w:r>
          </w:p>
        </w:tc>
        <w:tc>
          <w:tcPr>
            <w:tcW w:w="5386" w:type="dxa"/>
            <w:vAlign w:val="center"/>
          </w:tcPr>
          <w:p>
            <w:pPr>
              <w:pStyle w:val="13"/>
            </w:pPr>
            <w:r>
              <w:t>反映租金发放完成时间</w:t>
            </w:r>
          </w:p>
        </w:tc>
        <w:tc>
          <w:tcPr>
            <w:tcW w:w="2268" w:type="dxa"/>
            <w:vAlign w:val="center"/>
          </w:tcPr>
          <w:p>
            <w:pPr>
              <w:pStyle w:val="13"/>
            </w:pPr>
            <w:r>
              <w:t>6月底前</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租金发放标准</w:t>
            </w:r>
          </w:p>
        </w:tc>
        <w:tc>
          <w:tcPr>
            <w:tcW w:w="5386" w:type="dxa"/>
            <w:vAlign w:val="center"/>
          </w:tcPr>
          <w:p>
            <w:pPr>
              <w:pStyle w:val="13"/>
            </w:pPr>
            <w:r>
              <w:t>反映每亩地租金标准</w:t>
            </w:r>
          </w:p>
        </w:tc>
        <w:tc>
          <w:tcPr>
            <w:tcW w:w="2268" w:type="dxa"/>
            <w:vAlign w:val="center"/>
          </w:tcPr>
          <w:p>
            <w:pPr>
              <w:pStyle w:val="13"/>
            </w:pPr>
            <w:r>
              <w:t>1200元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社会影响度</w:t>
            </w:r>
          </w:p>
        </w:tc>
        <w:tc>
          <w:tcPr>
            <w:tcW w:w="5386" w:type="dxa"/>
            <w:vAlign w:val="center"/>
          </w:tcPr>
          <w:p>
            <w:pPr>
              <w:pStyle w:val="13"/>
            </w:pPr>
            <w:r>
              <w:t>反映明德小学正常运转。</w:t>
            </w:r>
          </w:p>
        </w:tc>
        <w:tc>
          <w:tcPr>
            <w:tcW w:w="2268" w:type="dxa"/>
            <w:vAlign w:val="center"/>
          </w:tcPr>
          <w:p>
            <w:pPr>
              <w:pStyle w:val="13"/>
            </w:pPr>
            <w:r>
              <w:t>≥95%</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反映土地租金及时发放到农户，保证明德小学正常运转。</w:t>
            </w:r>
          </w:p>
        </w:tc>
        <w:tc>
          <w:tcPr>
            <w:tcW w:w="2268" w:type="dxa"/>
            <w:vAlign w:val="center"/>
          </w:tcPr>
          <w:p>
            <w:pPr>
              <w:pStyle w:val="13"/>
            </w:pPr>
            <w:r>
              <w:t>≥95%</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反映土地租户对租金发放工作的满意度</w:t>
            </w:r>
          </w:p>
        </w:tc>
        <w:tc>
          <w:tcPr>
            <w:tcW w:w="2268" w:type="dxa"/>
            <w:vAlign w:val="center"/>
          </w:tcPr>
          <w:p>
            <w:pPr>
              <w:pStyle w:val="13"/>
            </w:pPr>
            <w:r>
              <w:t>≥95%</w:t>
            </w:r>
          </w:p>
        </w:tc>
        <w:tc>
          <w:tcPr>
            <w:tcW w:w="1276" w:type="dxa"/>
            <w:vAlign w:val="center"/>
          </w:tcPr>
          <w:p>
            <w:pPr>
              <w:pStyle w:val="13"/>
            </w:pPr>
            <w:r>
              <w:t>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12、农村环境综合整治工作经费绩效目标表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13032126P000058100379</w:t>
            </w:r>
          </w:p>
        </w:tc>
        <w:tc>
          <w:tcPr>
            <w:tcW w:w="2835" w:type="dxa"/>
            <w:vAlign w:val="center"/>
          </w:tcPr>
          <w:p>
            <w:pPr>
              <w:pStyle w:val="11"/>
            </w:pPr>
            <w:r>
              <w:t>项目名称</w:t>
            </w:r>
          </w:p>
        </w:tc>
        <w:tc>
          <w:tcPr>
            <w:tcW w:w="6095" w:type="dxa"/>
            <w:gridSpan w:val="3"/>
            <w:vAlign w:val="center"/>
          </w:tcPr>
          <w:p>
            <w:pPr>
              <w:pStyle w:val="13"/>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共安排资金2万元，其中财政资金2万元，主要用于农村环境综合整治工作经费。</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1.通过环境整治工作，解决村庄环境脏、乱、差问题，确保村容村貌干净整洁有序。</w:t>
            </w:r>
            <w:r>
              <w:tab/>
            </w:r>
            <w:r>
              <w:tab/>
            </w:r>
            <w:r>
              <w:tab/>
            </w:r>
            <w:r>
              <w:tab/>
            </w:r>
            <w:r>
              <w:tab/>
            </w:r>
            <w:r>
              <w:tab/>
            </w:r>
            <w:r>
              <w:tab/>
            </w:r>
            <w:r>
              <w:tab/>
            </w:r>
          </w:p>
          <w:p>
            <w:pPr>
              <w:pStyle w:val="13"/>
            </w:pPr>
            <w:r>
              <w:t>2.通过环境整治工作，改善农村生态环境，确保提高人民生活环境质量。</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下乡检查工作</w:t>
            </w:r>
          </w:p>
        </w:tc>
        <w:tc>
          <w:tcPr>
            <w:tcW w:w="5386" w:type="dxa"/>
            <w:vAlign w:val="center"/>
          </w:tcPr>
          <w:p>
            <w:pPr>
              <w:pStyle w:val="13"/>
            </w:pPr>
            <w:r>
              <w:t>反映下乡检查工作的次数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重点污染治理工程数量</w:t>
            </w:r>
          </w:p>
        </w:tc>
        <w:tc>
          <w:tcPr>
            <w:tcW w:w="5386" w:type="dxa"/>
            <w:vAlign w:val="center"/>
          </w:tcPr>
          <w:p>
            <w:pPr>
              <w:pStyle w:val="13"/>
            </w:pPr>
            <w:r>
              <w:t>反映完成的重点污染治理工程数量</w:t>
            </w:r>
          </w:p>
        </w:tc>
        <w:tc>
          <w:tcPr>
            <w:tcW w:w="2268" w:type="dxa"/>
            <w:vAlign w:val="center"/>
          </w:tcPr>
          <w:p>
            <w:pPr>
              <w:pStyle w:val="13"/>
            </w:pPr>
            <w:r>
              <w:t>≥5件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反映下乡宣传次数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反映用于下乡宣传印刷的宣传单数量</w:t>
            </w:r>
          </w:p>
        </w:tc>
        <w:tc>
          <w:tcPr>
            <w:tcW w:w="2268" w:type="dxa"/>
            <w:vAlign w:val="center"/>
          </w:tcPr>
          <w:p>
            <w:pPr>
              <w:pStyle w:val="13"/>
            </w:pPr>
            <w:r>
              <w:t>≥5000份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生活垃圾整治率</w:t>
            </w:r>
          </w:p>
        </w:tc>
        <w:tc>
          <w:tcPr>
            <w:tcW w:w="5386" w:type="dxa"/>
            <w:vAlign w:val="center"/>
          </w:tcPr>
          <w:p>
            <w:pPr>
              <w:pStyle w:val="13"/>
            </w:pPr>
            <w:r>
              <w:t>整治生活垃圾占发现的比率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检查时间</w:t>
            </w:r>
          </w:p>
        </w:tc>
        <w:tc>
          <w:tcPr>
            <w:tcW w:w="5386" w:type="dxa"/>
            <w:vAlign w:val="center"/>
          </w:tcPr>
          <w:p>
            <w:pPr>
              <w:pStyle w:val="13"/>
            </w:pPr>
            <w:r>
              <w:t>反映下乡检查工作的时间</w:t>
            </w:r>
          </w:p>
        </w:tc>
        <w:tc>
          <w:tcPr>
            <w:tcW w:w="2268" w:type="dxa"/>
            <w:vAlign w:val="center"/>
          </w:tcPr>
          <w:p>
            <w:pPr>
              <w:pStyle w:val="13"/>
            </w:pPr>
            <w:r>
              <w:t>每月1号定期检查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预算支出</w:t>
            </w:r>
          </w:p>
        </w:tc>
        <w:tc>
          <w:tcPr>
            <w:tcW w:w="5386" w:type="dxa"/>
            <w:vAlign w:val="center"/>
          </w:tcPr>
          <w:p>
            <w:pPr>
              <w:pStyle w:val="13"/>
            </w:pPr>
            <w:r>
              <w:t>支出成本控制在预算金额内</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环保意识提高</w:t>
            </w:r>
          </w:p>
        </w:tc>
        <w:tc>
          <w:tcPr>
            <w:tcW w:w="5386" w:type="dxa"/>
            <w:vAlign w:val="center"/>
          </w:tcPr>
          <w:p>
            <w:pPr>
              <w:pStyle w:val="13"/>
            </w:pPr>
            <w:r>
              <w:t>有效解决村庄环境脏、乱、差问题，基本实现村容村貌干净整洁有序，村民清洁卫生文明意识明显提高。</w:t>
            </w:r>
          </w:p>
        </w:tc>
        <w:tc>
          <w:tcPr>
            <w:tcW w:w="2268" w:type="dxa"/>
            <w:vAlign w:val="center"/>
          </w:tcPr>
          <w:p>
            <w:pPr>
              <w:pStyle w:val="13"/>
            </w:pPr>
            <w:r>
              <w:t>全乡较去年提高20%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生态环境质量改善</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根据调查中，满意和较满意的群众人数占全部调查人数的比率</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13032125P00001010152F</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17.35</w:t>
            </w:r>
          </w:p>
        </w:tc>
        <w:tc>
          <w:tcPr>
            <w:tcW w:w="2835" w:type="dxa"/>
            <w:vAlign w:val="center"/>
          </w:tcPr>
          <w:p>
            <w:pPr>
              <w:pStyle w:val="11"/>
            </w:pPr>
            <w:r>
              <w:t>其中：财政    资金</w:t>
            </w:r>
          </w:p>
        </w:tc>
        <w:tc>
          <w:tcPr>
            <w:tcW w:w="2551" w:type="dxa"/>
            <w:vAlign w:val="center"/>
          </w:tcPr>
          <w:p>
            <w:pPr>
              <w:pStyle w:val="13"/>
            </w:pPr>
            <w:r>
              <w:t>17.35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预算资金17.349万元，其中财政拨款17.349万元，主要用于其他村两委干部基本补贴。</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1.激发农村干部干事创业热情，确保村级工作正常运转及村干部队伍稳定。 </w:t>
            </w:r>
            <w:r>
              <w:tab/>
            </w:r>
            <w:r>
              <w:tab/>
            </w:r>
            <w:r>
              <w:tab/>
            </w:r>
            <w:r>
              <w:tab/>
            </w:r>
            <w:r>
              <w:tab/>
            </w:r>
            <w:r>
              <w:tab/>
            </w:r>
          </w:p>
          <w:p>
            <w:pPr>
              <w:pStyle w:val="13"/>
            </w:pPr>
          </w:p>
          <w:p>
            <w:pPr>
              <w:pStyle w:val="13"/>
            </w:pPr>
            <w:r>
              <w:t>2.通过及时发放其他村两委干部绩效补贴，为农村干部工作生活提供保障。</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反映发放其他村两委干部绩效补贴发放的村数</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57人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其他村两委干部绩效补贴</w:t>
            </w:r>
          </w:p>
        </w:tc>
        <w:tc>
          <w:tcPr>
            <w:tcW w:w="5386" w:type="dxa"/>
            <w:vAlign w:val="center"/>
          </w:tcPr>
          <w:p>
            <w:pPr>
              <w:pStyle w:val="13"/>
            </w:pPr>
            <w:r>
              <w:t>反映其他村两委干部绩效补贴月标准</w:t>
            </w:r>
          </w:p>
        </w:tc>
        <w:tc>
          <w:tcPr>
            <w:tcW w:w="2268" w:type="dxa"/>
            <w:vAlign w:val="center"/>
          </w:tcPr>
          <w:p>
            <w:pPr>
              <w:pStyle w:val="13"/>
            </w:pPr>
            <w:r>
              <w:t>19760元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13032126P003319100275</w:t>
            </w:r>
          </w:p>
        </w:tc>
        <w:tc>
          <w:tcPr>
            <w:tcW w:w="2835" w:type="dxa"/>
            <w:vAlign w:val="center"/>
          </w:tcPr>
          <w:p>
            <w:pPr>
              <w:pStyle w:val="11"/>
            </w:pPr>
            <w:r>
              <w:t>项目名称</w:t>
            </w:r>
          </w:p>
        </w:tc>
        <w:tc>
          <w:tcPr>
            <w:tcW w:w="6095" w:type="dxa"/>
            <w:gridSpan w:val="3"/>
            <w:vAlign w:val="center"/>
          </w:tcPr>
          <w:p>
            <w:pPr>
              <w:pStyle w:val="13"/>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共安排资金1万元，其中财政资金1万元，主要用于自然灾害综合风险普查工作支出。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1.通过设备购置和宣传培训工作，提升我乡抵御自然灾害综合防范能力。</w:t>
            </w:r>
            <w:r>
              <w:tab/>
            </w:r>
            <w:r>
              <w:tab/>
            </w:r>
            <w:r>
              <w:tab/>
            </w:r>
            <w:r>
              <w:tab/>
            </w:r>
            <w:r>
              <w:tab/>
            </w:r>
            <w:r>
              <w:tab/>
            </w:r>
          </w:p>
          <w:p>
            <w:pPr>
              <w:pStyle w:val="13"/>
            </w:pPr>
            <w:r>
              <w:t>2.通过开展全乡自然灾害普查工作，确保全面掌握我镇自然灾害风险防范情况。</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普查行政村个数</w:t>
            </w:r>
          </w:p>
        </w:tc>
        <w:tc>
          <w:tcPr>
            <w:tcW w:w="5386" w:type="dxa"/>
            <w:vAlign w:val="center"/>
          </w:tcPr>
          <w:p>
            <w:pPr>
              <w:pStyle w:val="13"/>
            </w:pPr>
            <w:r>
              <w:t>反映普查行政村个数</w:t>
            </w:r>
          </w:p>
        </w:tc>
        <w:tc>
          <w:tcPr>
            <w:tcW w:w="2268" w:type="dxa"/>
            <w:vAlign w:val="center"/>
          </w:tcPr>
          <w:p>
            <w:pPr>
              <w:pStyle w:val="13"/>
            </w:pPr>
            <w:r>
              <w:t>9个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2268" w:type="dxa"/>
            <w:vAlign w:val="center"/>
          </w:tcPr>
          <w:p>
            <w:pPr>
              <w:pStyle w:val="13"/>
            </w:pPr>
            <w:r>
              <w:t>≥6项</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自然灾害普查受益人口数</w:t>
            </w:r>
          </w:p>
        </w:tc>
        <w:tc>
          <w:tcPr>
            <w:tcW w:w="2268" w:type="dxa"/>
            <w:vAlign w:val="center"/>
          </w:tcPr>
          <w:p>
            <w:pPr>
              <w:pStyle w:val="13"/>
            </w:pPr>
            <w:r>
              <w:t>≥14500人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普查工作完成率</w:t>
            </w:r>
          </w:p>
        </w:tc>
        <w:tc>
          <w:tcPr>
            <w:tcW w:w="5386" w:type="dxa"/>
            <w:vAlign w:val="center"/>
          </w:tcPr>
          <w:p>
            <w:pPr>
              <w:pStyle w:val="13"/>
            </w:pPr>
            <w:r>
              <w:t>普查工作完成率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普查工作完成时间</w:t>
            </w:r>
          </w:p>
        </w:tc>
        <w:tc>
          <w:tcPr>
            <w:tcW w:w="2268" w:type="dxa"/>
            <w:vAlign w:val="center"/>
          </w:tcPr>
          <w:p>
            <w:pPr>
              <w:pStyle w:val="13"/>
            </w:pPr>
            <w:r>
              <w:t>2026年12月底</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宣传、办公费用</w:t>
            </w:r>
          </w:p>
        </w:tc>
        <w:tc>
          <w:tcPr>
            <w:tcW w:w="5386" w:type="dxa"/>
            <w:vAlign w:val="center"/>
          </w:tcPr>
          <w:p>
            <w:pPr>
              <w:pStyle w:val="13"/>
            </w:pPr>
            <w:r>
              <w:t>反映用于本次普查宣传费、办公费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反映用于本次普查租车费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提升抵御自然灾害防范能力</w:t>
            </w:r>
          </w:p>
        </w:tc>
        <w:tc>
          <w:tcPr>
            <w:tcW w:w="5386" w:type="dxa"/>
            <w:vAlign w:val="center"/>
          </w:tcPr>
          <w:p>
            <w:pPr>
              <w:pStyle w:val="13"/>
            </w:pPr>
            <w:r>
              <w:t>通过普查，提升抵御自然灾害防能力，提交高质量普查结果报告</w:t>
            </w:r>
          </w:p>
        </w:tc>
        <w:tc>
          <w:tcPr>
            <w:tcW w:w="2268" w:type="dxa"/>
            <w:vAlign w:val="center"/>
          </w:tcPr>
          <w:p>
            <w:pPr>
              <w:pStyle w:val="13"/>
            </w:pPr>
            <w:r>
              <w:t>≥1份</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防灾减灾能力提成情况</w:t>
            </w:r>
          </w:p>
        </w:tc>
        <w:tc>
          <w:tcPr>
            <w:tcW w:w="5386" w:type="dxa"/>
            <w:vAlign w:val="center"/>
          </w:tcPr>
          <w:p>
            <w:pPr>
              <w:pStyle w:val="13"/>
            </w:pPr>
            <w:r>
              <w:t>通过开展灾害普查，促进防灾减灾能力提升</w:t>
            </w:r>
          </w:p>
        </w:tc>
        <w:tc>
          <w:tcPr>
            <w:tcW w:w="2268" w:type="dxa"/>
            <w:vAlign w:val="center"/>
          </w:tcPr>
          <w:p>
            <w:pPr>
              <w:pStyle w:val="13"/>
            </w:pPr>
            <w:r>
              <w:t>≥10%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村民调查中，满意和较满意的人数占全部调查人数的比率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13032126P00011610263G</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共安排资金30万元，其中财政资金30万元，主要用于燃煤锅炉改造及清洁能源补贴支出。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1.通过开展燃煤锅炉改造工作，确保机关正常办公，为机关工作人员和群众提供良好的工作办事环境。</w:t>
            </w:r>
            <w:r>
              <w:tab/>
            </w:r>
            <w:r>
              <w:tab/>
            </w:r>
            <w:r>
              <w:tab/>
            </w:r>
            <w:r>
              <w:tab/>
            </w:r>
            <w:r>
              <w:tab/>
            </w:r>
            <w:r>
              <w:tab/>
            </w:r>
          </w:p>
          <w:p>
            <w:pPr>
              <w:pStyle w:val="13"/>
            </w:pPr>
            <w:r>
              <w:t>2.通过改变取暖方式，加大大气治理力度，提升大气质量。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≥1656㎡</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2268" w:type="dxa"/>
            <w:vAlign w:val="center"/>
          </w:tcPr>
          <w:p>
            <w:pPr>
              <w:pStyle w:val="13"/>
            </w:pPr>
            <w:r>
              <w:t>≤22万元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13032126P003283101611</w:t>
            </w:r>
          </w:p>
        </w:tc>
        <w:tc>
          <w:tcPr>
            <w:tcW w:w="2835" w:type="dxa"/>
            <w:vAlign w:val="center"/>
          </w:tcPr>
          <w:p>
            <w:pPr>
              <w:pStyle w:val="11"/>
            </w:pPr>
            <w:r>
              <w:t>项目名称</w:t>
            </w:r>
          </w:p>
        </w:tc>
        <w:tc>
          <w:tcPr>
            <w:tcW w:w="6095" w:type="dxa"/>
            <w:gridSpan w:val="3"/>
            <w:vAlign w:val="center"/>
          </w:tcPr>
          <w:p>
            <w:pPr>
              <w:pStyle w:val="13"/>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共安排资金1万元，其中财政资金1万元，主要用于乡村振兴工作经费支出。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1.完成乡村振兴任务，提供有力保障。</w:t>
            </w:r>
            <w:r>
              <w:tab/>
            </w:r>
            <w:r>
              <w:tab/>
            </w:r>
            <w:r>
              <w:tab/>
            </w:r>
            <w:r>
              <w:tab/>
            </w:r>
            <w:r>
              <w:tab/>
            </w:r>
            <w:r>
              <w:tab/>
            </w:r>
            <w:r>
              <w:tab/>
            </w:r>
            <w:r>
              <w:tab/>
            </w:r>
            <w:r>
              <w:tab/>
            </w:r>
          </w:p>
          <w:p>
            <w:pPr>
              <w:pStyle w:val="13"/>
            </w:pPr>
            <w:r>
              <w:t>2.通过项目实施，保障扶贫工作的正常进行。</w:t>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贫困村脱贫出列数（个）</w:t>
            </w:r>
          </w:p>
        </w:tc>
        <w:tc>
          <w:tcPr>
            <w:tcW w:w="5386" w:type="dxa"/>
            <w:vAlign w:val="center"/>
          </w:tcPr>
          <w:p>
            <w:pPr>
              <w:pStyle w:val="13"/>
            </w:pPr>
            <w:r>
              <w:t>建档立卡贫困村脱贫出列数量</w:t>
            </w:r>
          </w:p>
        </w:tc>
        <w:tc>
          <w:tcPr>
            <w:tcW w:w="2268" w:type="dxa"/>
            <w:vAlign w:val="center"/>
          </w:tcPr>
          <w:p>
            <w:pPr>
              <w:pStyle w:val="13"/>
            </w:pPr>
            <w:r>
              <w:t>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农村脱贫人口比率</w:t>
            </w:r>
          </w:p>
        </w:tc>
        <w:tc>
          <w:tcPr>
            <w:tcW w:w="5386" w:type="dxa"/>
            <w:vAlign w:val="center"/>
          </w:tcPr>
          <w:p>
            <w:pPr>
              <w:pStyle w:val="13"/>
            </w:pPr>
            <w:r>
              <w:t>年度计划脱贫人口数量占贫困人口总数的比率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工作及时率</w:t>
            </w:r>
          </w:p>
        </w:tc>
        <w:tc>
          <w:tcPr>
            <w:tcW w:w="5386" w:type="dxa"/>
            <w:vAlign w:val="center"/>
          </w:tcPr>
          <w:p>
            <w:pPr>
              <w:pStyle w:val="13"/>
            </w:pPr>
            <w:r>
              <w:t>各项工作按年度计划完成</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扶贫工作交通费支出</w:t>
            </w:r>
          </w:p>
        </w:tc>
        <w:tc>
          <w:tcPr>
            <w:tcW w:w="5386" w:type="dxa"/>
            <w:vAlign w:val="center"/>
          </w:tcPr>
          <w:p>
            <w:pPr>
              <w:pStyle w:val="13"/>
            </w:pPr>
            <w:r>
              <w:t>下乡扶贫的租车等交通费用支出</w:t>
            </w:r>
          </w:p>
        </w:tc>
        <w:tc>
          <w:tcPr>
            <w:tcW w:w="2268" w:type="dxa"/>
            <w:vAlign w:val="center"/>
          </w:tcPr>
          <w:p>
            <w:pPr>
              <w:pStyle w:val="13"/>
            </w:pPr>
            <w:r>
              <w:t>≤0.3万元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扶贫工作办公费支出</w:t>
            </w:r>
          </w:p>
        </w:tc>
        <w:tc>
          <w:tcPr>
            <w:tcW w:w="5386" w:type="dxa"/>
            <w:vAlign w:val="center"/>
          </w:tcPr>
          <w:p>
            <w:pPr>
              <w:pStyle w:val="13"/>
            </w:pPr>
            <w:r>
              <w:t>用于下乡扶贫工作办公经费支出</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扶贫慰问支出</w:t>
            </w:r>
          </w:p>
        </w:tc>
        <w:tc>
          <w:tcPr>
            <w:tcW w:w="5386" w:type="dxa"/>
            <w:vAlign w:val="center"/>
          </w:tcPr>
          <w:p>
            <w:pPr>
              <w:pStyle w:val="13"/>
            </w:pPr>
            <w:r>
              <w:t>用于下乡扶贫慰问支出</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扶贫保障工作完成</w:t>
            </w:r>
          </w:p>
        </w:tc>
        <w:tc>
          <w:tcPr>
            <w:tcW w:w="5386" w:type="dxa"/>
            <w:vAlign w:val="center"/>
          </w:tcPr>
          <w:p>
            <w:pPr>
              <w:pStyle w:val="13"/>
            </w:pPr>
            <w:r>
              <w:t>反应保障脱贫工作的正常运行，解决下乡扶贫的后勤问题</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贫困村农民人均纯收入增长率（%）</w:t>
            </w:r>
          </w:p>
        </w:tc>
        <w:tc>
          <w:tcPr>
            <w:tcW w:w="5386" w:type="dxa"/>
            <w:vAlign w:val="center"/>
          </w:tcPr>
          <w:p>
            <w:pPr>
              <w:pStyle w:val="13"/>
            </w:pPr>
            <w:r>
              <w:t>贫困村农民人均纯收入的同比增长比率</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被帮扶贫困人员满意度</w:t>
            </w:r>
          </w:p>
        </w:tc>
        <w:tc>
          <w:tcPr>
            <w:tcW w:w="5386" w:type="dxa"/>
            <w:vAlign w:val="center"/>
          </w:tcPr>
          <w:p>
            <w:pPr>
              <w:pStyle w:val="13"/>
            </w:pPr>
            <w:r>
              <w:t>被帮扶贫困人员对扶贫工作的满意度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13032126P00333710067P</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共安排资金4万元，其中财政资金4万元，主要用于信访工作支出。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1.妥善处理突发性、群体性事件；搞好村级治安工作，深化农村平安创建工作。</w:t>
            </w:r>
            <w:r>
              <w:tab/>
            </w:r>
            <w:r>
              <w:tab/>
            </w:r>
            <w:r>
              <w:tab/>
            </w:r>
            <w:r>
              <w:tab/>
            </w:r>
            <w:r>
              <w:tab/>
            </w:r>
            <w:r>
              <w:t>"</w:t>
            </w:r>
            <w:r>
              <w:tab/>
            </w:r>
            <w:r>
              <w:tab/>
            </w:r>
            <w:r>
              <w:tab/>
            </w:r>
            <w:r>
              <w:tab/>
            </w:r>
            <w:r>
              <w:tab/>
            </w:r>
            <w:r>
              <w:tab/>
            </w:r>
          </w:p>
          <w:p>
            <w:pPr>
              <w:pStyle w:val="13"/>
            </w:pPr>
            <w:r>
              <w:t>2.通过加强法制宣传教育、提高公民的法律意识和素质，教育群众知法、懂法和守法。</w:t>
            </w:r>
            <w:r>
              <w:tab/>
            </w:r>
            <w:r>
              <w:tab/>
            </w:r>
            <w:r>
              <w:tab/>
            </w:r>
            <w:r>
              <w:tab/>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13032125P003337100408</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w:t>
            </w:r>
          </w:p>
        </w:tc>
        <w:tc>
          <w:tcPr>
            <w:tcW w:w="2835" w:type="dxa"/>
            <w:vAlign w:val="center"/>
          </w:tcPr>
          <w:p>
            <w:pPr>
              <w:pStyle w:val="11"/>
            </w:pPr>
            <w:r>
              <w:t>其中：财政    资金</w:t>
            </w:r>
          </w:p>
        </w:tc>
        <w:tc>
          <w:tcPr>
            <w:tcW w:w="2551" w:type="dxa"/>
            <w:vAlign w:val="center"/>
          </w:tcPr>
          <w:p>
            <w:pPr>
              <w:pStyle w:val="13"/>
            </w:pPr>
            <w:r>
              <w:t>5.20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预算资金安排5.2万元，其中用于信访维稳业务5.2万元。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r>
              <w:tab/>
            </w:r>
            <w:r>
              <w:tab/>
            </w:r>
            <w:r>
              <w:tab/>
            </w:r>
            <w:r>
              <w:tab/>
            </w:r>
            <w:r>
              <w:tab/>
            </w:r>
          </w:p>
          <w:p>
            <w:pPr>
              <w:pStyle w:val="13"/>
            </w:pPr>
            <w:r>
              <w:t>2.妥善处理突发性、群体性事件；搞好村级治安工作，深化农村平安创建工作。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13032126P000006100410</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w:t>
            </w:r>
          </w:p>
        </w:tc>
        <w:tc>
          <w:tcPr>
            <w:tcW w:w="2835" w:type="dxa"/>
            <w:vAlign w:val="center"/>
          </w:tcPr>
          <w:p>
            <w:pPr>
              <w:pStyle w:val="11"/>
            </w:pPr>
            <w:r>
              <w:t>其中：财政    资金</w:t>
            </w:r>
          </w:p>
        </w:tc>
        <w:tc>
          <w:tcPr>
            <w:tcW w:w="2551" w:type="dxa"/>
            <w:vAlign w:val="center"/>
          </w:tcPr>
          <w:p>
            <w:pPr>
              <w:pStyle w:val="13"/>
            </w:pPr>
            <w:r>
              <w:t>1.02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共安排资金1.02万元，其中财政资金1.02万元，主要用于严重精神病患者监护人责任险支出。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1.通过为严重精神障碍患者监护人办理相关保险业，预防严重精神障碍患者伤及人身、损坏财物事件发生。</w:t>
            </w:r>
            <w:r>
              <w:tab/>
            </w:r>
            <w:r>
              <w:tab/>
            </w:r>
            <w:r>
              <w:tab/>
            </w:r>
            <w:r>
              <w:tab/>
            </w:r>
            <w:r>
              <w:tab/>
            </w:r>
            <w:r>
              <w:tab/>
            </w:r>
          </w:p>
          <w:p>
            <w:pPr>
              <w:pStyle w:val="13"/>
            </w:pPr>
            <w:r>
              <w:t>2.通过以政府出资投保的方式，减少监护人损失、增强监护人、当事人社会保障，从而化解事后风险。</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w:t>
            </w:r>
          </w:p>
        </w:tc>
        <w:tc>
          <w:tcPr>
            <w:tcW w:w="5386" w:type="dxa"/>
            <w:vAlign w:val="center"/>
          </w:tcPr>
          <w:p>
            <w:pPr>
              <w:pStyle w:val="13"/>
            </w:pPr>
            <w:r>
              <w:t>反映严重精神障碍患者人数</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10月前</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2268" w:type="dxa"/>
            <w:vAlign w:val="center"/>
          </w:tcPr>
          <w:p>
            <w:pPr>
              <w:pStyle w:val="13"/>
            </w:pPr>
            <w:r>
              <w:t>100元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4.40</w:t>
            </w:r>
          </w:p>
        </w:tc>
        <w:tc>
          <w:tcPr>
            <w:tcW w:w="964" w:type="dxa"/>
            <w:vAlign w:val="center"/>
          </w:tcPr>
          <w:p>
            <w:pPr>
              <w:pStyle w:val="16"/>
            </w:pPr>
            <w:r>
              <w:t>4.40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青龙满族自治县朱杖子乡人民政府本级小计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4.40</w:t>
            </w:r>
          </w:p>
        </w:tc>
        <w:tc>
          <w:tcPr>
            <w:tcW w:w="964" w:type="dxa"/>
            <w:vAlign w:val="center"/>
          </w:tcPr>
          <w:p>
            <w:pPr>
              <w:pStyle w:val="16"/>
            </w:pPr>
            <w:r>
              <w:t>4.40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500</w:t>
            </w:r>
          </w:p>
        </w:tc>
        <w:tc>
          <w:tcPr>
            <w:tcW w:w="850" w:type="dxa"/>
            <w:vAlign w:val="center"/>
          </w:tcPr>
          <w:p>
            <w:pPr>
              <w:pStyle w:val="12"/>
            </w:pPr>
            <w:r>
              <w:t>0.00</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青龙满族自治县朱杖子乡人民政府（含所属单位）上年末固定资产金额为</w:t>
      </w:r>
      <w:r>
        <w:rPr>
          <w:rFonts w:hint="eastAsia" w:eastAsia="方正仿宋_GBK" w:cs="Times New Roman"/>
          <w:b w:val="0"/>
          <w:color w:val="000000"/>
          <w:sz w:val="28"/>
          <w:lang w:val="en-US" w:eastAsia="zh-CN"/>
        </w:rPr>
        <w:t>164.83</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164.83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rPr>
                <w:rFonts w:hint="default" w:eastAsia="方正书宋_GBK"/>
                <w:lang w:val="en-US" w:eastAsia="zh-CN"/>
              </w:rPr>
            </w:pPr>
            <w:r>
              <w:rPr>
                <w:rFonts w:hint="eastAsia"/>
                <w:lang w:val="en-US" w:eastAsia="zh-CN"/>
              </w:rPr>
              <w:t>1160</w:t>
            </w:r>
          </w:p>
        </w:tc>
        <w:tc>
          <w:tcPr>
            <w:tcW w:w="2835" w:type="dxa"/>
            <w:vAlign w:val="center"/>
          </w:tcPr>
          <w:p>
            <w:pPr>
              <w:pStyle w:val="12"/>
              <w:rPr>
                <w:rFonts w:hint="default" w:eastAsia="方正书宋_GBK"/>
                <w:lang w:val="en-US" w:eastAsia="zh-CN"/>
              </w:rPr>
            </w:pPr>
            <w:r>
              <w:rPr>
                <w:rFonts w:hint="eastAsia"/>
                <w:lang w:val="en-US" w:eastAsia="zh-CN"/>
              </w:rPr>
              <w:t>86.69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rPr>
                <w:rFonts w:hint="eastAsia" w:eastAsia="方正书宋_GBK"/>
                <w:lang w:val="en-US" w:eastAsia="zh-CN"/>
              </w:rPr>
            </w:pPr>
            <w:r>
              <w:rPr>
                <w:rFonts w:hint="eastAsia"/>
                <w:lang w:val="en-US" w:eastAsia="zh-CN"/>
              </w:rPr>
              <w:t>2</w:t>
            </w:r>
          </w:p>
        </w:tc>
        <w:tc>
          <w:tcPr>
            <w:tcW w:w="2835" w:type="dxa"/>
            <w:vAlign w:val="center"/>
          </w:tcPr>
          <w:p>
            <w:pPr>
              <w:pStyle w:val="12"/>
              <w:rPr>
                <w:rFonts w:hint="default" w:eastAsia="方正书宋_GBK"/>
                <w:lang w:val="en-US" w:eastAsia="zh-CN"/>
              </w:rPr>
            </w:pPr>
            <w:r>
              <w:rPr>
                <w:rFonts w:hint="eastAsia"/>
                <w:lang w:val="en-US" w:eastAsia="zh-CN"/>
              </w:rPr>
              <w:t>26.86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125</w:t>
            </w:r>
          </w:p>
        </w:tc>
        <w:tc>
          <w:tcPr>
            <w:tcW w:w="2835" w:type="dxa"/>
            <w:vAlign w:val="center"/>
          </w:tcPr>
          <w:p>
            <w:pPr>
              <w:pStyle w:val="12"/>
              <w:rPr>
                <w:rFonts w:hint="default" w:eastAsia="方正书宋_GBK"/>
                <w:lang w:val="en-US" w:eastAsia="zh-CN"/>
              </w:rPr>
            </w:pPr>
            <w:r>
              <w:rPr>
                <w:rFonts w:hint="eastAsia"/>
                <w:lang w:val="en-US" w:eastAsia="zh-CN"/>
              </w:rPr>
              <w:t>51.28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960E0"/>
    <w:rsid w:val="19636FA3"/>
    <w:rsid w:val="31055B72"/>
    <w:rsid w:val="48B41258"/>
    <w:rsid w:val="505563DC"/>
    <w:rsid w:val="5CC44962"/>
    <w:rsid w:val="6AC91EBE"/>
    <w:rsid w:val="72210D23"/>
    <w:rsid w:val="75772547"/>
    <w:rsid w:val="775E1229"/>
    <w:rsid w:val="7B3D249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TotalTime>10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2026-01-29T11:30:00Z</dcterms:created>
  <dc:creator>Administrator</dc:creator>
  <cp:lastModifiedBy>党政办</cp:lastModifiedBy>
  <dcterms:modified xsi:type="dcterms:W3CDTF">2026-03-04T01:10:32Z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7B51522C569A4C839C02379D08E2C351</vt:lpwstr>
  </property>
</Properties>
</file>