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8"/>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8"/>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8"/>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8"/>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8"/>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8"/>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8"/>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8"/>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8"/>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8"/>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28"/>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28"/>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28"/>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28"/>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28"/>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28"/>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pPr>
        <w:pStyle w:val="28"/>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pPr>
        <w:pStyle w:val="28"/>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pPr>
        <w:pStyle w:val="28"/>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202青龙满族自治县信访局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268.42</w:t>
            </w:r>
          </w:p>
        </w:tc>
        <w:tc>
          <w:tcPr>
            <w:tcW w:w="4535" w:type="dxa"/>
            <w:vAlign w:val="center"/>
          </w:tcPr>
          <w:p>
            <w:pPr>
              <w:pStyle w:val="13"/>
            </w:pPr>
            <w:r>
              <w:t>一、一般公共服务支出</w:t>
            </w:r>
          </w:p>
        </w:tc>
        <w:tc>
          <w:tcPr>
            <w:tcW w:w="2126" w:type="dxa"/>
            <w:vAlign w:val="center"/>
          </w:tcPr>
          <w:p>
            <w:pPr>
              <w:pStyle w:val="12"/>
            </w:pPr>
            <w:r>
              <w:t>259.17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268.42</w:t>
            </w:r>
          </w:p>
        </w:tc>
        <w:tc>
          <w:tcPr>
            <w:tcW w:w="4535" w:type="dxa"/>
            <w:vAlign w:val="center"/>
          </w:tcPr>
          <w:p>
            <w:pPr>
              <w:pStyle w:val="15"/>
            </w:pPr>
            <w:r>
              <w:t>本年支出合计</w:t>
            </w:r>
          </w:p>
        </w:tc>
        <w:tc>
          <w:tcPr>
            <w:tcW w:w="2126" w:type="dxa"/>
            <w:vAlign w:val="center"/>
          </w:tcPr>
          <w:p>
            <w:pPr>
              <w:pStyle w:val="16"/>
            </w:pPr>
            <w:r>
              <w:t>305.06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36.64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305.06</w:t>
            </w:r>
          </w:p>
        </w:tc>
        <w:tc>
          <w:tcPr>
            <w:tcW w:w="4535" w:type="dxa"/>
            <w:vAlign w:val="center"/>
          </w:tcPr>
          <w:p>
            <w:pPr>
              <w:pStyle w:val="15"/>
            </w:pPr>
            <w:r>
              <w:t>支出总计</w:t>
            </w:r>
          </w:p>
        </w:tc>
        <w:tc>
          <w:tcPr>
            <w:tcW w:w="2126" w:type="dxa"/>
            <w:vAlign w:val="center"/>
          </w:tcPr>
          <w:p>
            <w:pPr>
              <w:pStyle w:val="16"/>
            </w:pPr>
            <w:r>
              <w:t>305.06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202青龙满族自治县信访局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305.06</w:t>
            </w:r>
          </w:p>
        </w:tc>
        <w:tc>
          <w:tcPr>
            <w:tcW w:w="1134" w:type="dxa"/>
            <w:vAlign w:val="center"/>
          </w:tcPr>
          <w:p>
            <w:pPr>
              <w:pStyle w:val="16"/>
            </w:pPr>
            <w:r>
              <w:t>268.42</w:t>
            </w:r>
          </w:p>
        </w:tc>
        <w:tc>
          <w:tcPr>
            <w:tcW w:w="1134" w:type="dxa"/>
            <w:vAlign w:val="center"/>
          </w:tcPr>
          <w:p>
            <w:pPr>
              <w:pStyle w:val="16"/>
            </w:pPr>
            <w:r>
              <w:t>268.42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259.17</w:t>
            </w:r>
          </w:p>
        </w:tc>
        <w:tc>
          <w:tcPr>
            <w:tcW w:w="1134" w:type="dxa"/>
            <w:vAlign w:val="center"/>
          </w:tcPr>
          <w:p>
            <w:pPr>
              <w:pStyle w:val="12"/>
            </w:pPr>
            <w:r>
              <w:t>222.55</w:t>
            </w:r>
          </w:p>
        </w:tc>
        <w:tc>
          <w:tcPr>
            <w:tcW w:w="1134" w:type="dxa"/>
            <w:vAlign w:val="center"/>
          </w:tcPr>
          <w:p>
            <w:pPr>
              <w:pStyle w:val="12"/>
            </w:pPr>
            <w:r>
              <w:t>222.55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259.17</w:t>
            </w:r>
          </w:p>
        </w:tc>
        <w:tc>
          <w:tcPr>
            <w:tcW w:w="1134" w:type="dxa"/>
            <w:vAlign w:val="center"/>
          </w:tcPr>
          <w:p>
            <w:pPr>
              <w:pStyle w:val="12"/>
            </w:pPr>
            <w:r>
              <w:t>222.55</w:t>
            </w:r>
          </w:p>
        </w:tc>
        <w:tc>
          <w:tcPr>
            <w:tcW w:w="1134" w:type="dxa"/>
            <w:vAlign w:val="center"/>
          </w:tcPr>
          <w:p>
            <w:pPr>
              <w:pStyle w:val="12"/>
            </w:pPr>
            <w:r>
              <w:t>222.55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2014001</w:t>
            </w:r>
          </w:p>
        </w:tc>
        <w:tc>
          <w:tcPr>
            <w:tcW w:w="1559" w:type="dxa"/>
            <w:vAlign w:val="center"/>
          </w:tcPr>
          <w:p>
            <w:pPr>
              <w:pStyle w:val="13"/>
            </w:pPr>
            <w:r>
              <w:t>行政运行</w:t>
            </w:r>
          </w:p>
        </w:tc>
        <w:tc>
          <w:tcPr>
            <w:tcW w:w="1134" w:type="dxa"/>
            <w:vAlign w:val="center"/>
          </w:tcPr>
          <w:p>
            <w:pPr>
              <w:pStyle w:val="12"/>
            </w:pPr>
            <w:r>
              <w:t>155.95</w:t>
            </w:r>
          </w:p>
        </w:tc>
        <w:tc>
          <w:tcPr>
            <w:tcW w:w="1134" w:type="dxa"/>
            <w:vAlign w:val="center"/>
          </w:tcPr>
          <w:p>
            <w:pPr>
              <w:pStyle w:val="12"/>
            </w:pPr>
            <w:r>
              <w:t>143.49</w:t>
            </w:r>
          </w:p>
        </w:tc>
        <w:tc>
          <w:tcPr>
            <w:tcW w:w="1134" w:type="dxa"/>
            <w:vAlign w:val="center"/>
          </w:tcPr>
          <w:p>
            <w:pPr>
              <w:pStyle w:val="12"/>
            </w:pPr>
            <w:r>
              <w:t>143.49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88.35</w:t>
            </w:r>
          </w:p>
        </w:tc>
        <w:tc>
          <w:tcPr>
            <w:tcW w:w="1134" w:type="dxa"/>
            <w:vAlign w:val="center"/>
          </w:tcPr>
          <w:p>
            <w:pPr>
              <w:pStyle w:val="12"/>
            </w:pPr>
            <w:r>
              <w:t>64.20</w:t>
            </w:r>
          </w:p>
        </w:tc>
        <w:tc>
          <w:tcPr>
            <w:tcW w:w="1134" w:type="dxa"/>
            <w:vAlign w:val="center"/>
          </w:tcPr>
          <w:p>
            <w:pPr>
              <w:pStyle w:val="12"/>
            </w:pPr>
            <w:r>
              <w:t>64.20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2014050</w:t>
            </w:r>
          </w:p>
        </w:tc>
        <w:tc>
          <w:tcPr>
            <w:tcW w:w="1559" w:type="dxa"/>
            <w:vAlign w:val="center"/>
          </w:tcPr>
          <w:p>
            <w:pPr>
              <w:pStyle w:val="13"/>
            </w:pPr>
            <w:r>
              <w:t>事业运行</w:t>
            </w:r>
          </w:p>
        </w:tc>
        <w:tc>
          <w:tcPr>
            <w:tcW w:w="1134" w:type="dxa"/>
            <w:vAlign w:val="center"/>
          </w:tcPr>
          <w:p>
            <w:pPr>
              <w:pStyle w:val="12"/>
            </w:pPr>
            <w:r>
              <w:t>14.87</w:t>
            </w:r>
          </w:p>
        </w:tc>
        <w:tc>
          <w:tcPr>
            <w:tcW w:w="1134" w:type="dxa"/>
            <w:vAlign w:val="center"/>
          </w:tcPr>
          <w:p>
            <w:pPr>
              <w:pStyle w:val="12"/>
            </w:pPr>
            <w:r>
              <w:t>14.87</w:t>
            </w:r>
          </w:p>
        </w:tc>
        <w:tc>
          <w:tcPr>
            <w:tcW w:w="1134" w:type="dxa"/>
            <w:vAlign w:val="center"/>
          </w:tcPr>
          <w:p>
            <w:pPr>
              <w:pStyle w:val="12"/>
            </w:pPr>
            <w:r>
              <w:t>14.87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26.09</w:t>
            </w:r>
          </w:p>
        </w:tc>
        <w:tc>
          <w:tcPr>
            <w:tcW w:w="1134" w:type="dxa"/>
            <w:vAlign w:val="center"/>
          </w:tcPr>
          <w:p>
            <w:pPr>
              <w:pStyle w:val="12"/>
            </w:pPr>
            <w:r>
              <w:t>26.06</w:t>
            </w:r>
          </w:p>
        </w:tc>
        <w:tc>
          <w:tcPr>
            <w:tcW w:w="1134" w:type="dxa"/>
            <w:vAlign w:val="center"/>
          </w:tcPr>
          <w:p>
            <w:pPr>
              <w:pStyle w:val="12"/>
            </w:pPr>
            <w:r>
              <w:t>26.06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24.17</w:t>
            </w:r>
          </w:p>
        </w:tc>
        <w:tc>
          <w:tcPr>
            <w:tcW w:w="1134" w:type="dxa"/>
            <w:vAlign w:val="center"/>
          </w:tcPr>
          <w:p>
            <w:pPr>
              <w:pStyle w:val="12"/>
            </w:pPr>
            <w:r>
              <w:t>24.17</w:t>
            </w:r>
          </w:p>
        </w:tc>
        <w:tc>
          <w:tcPr>
            <w:tcW w:w="1134" w:type="dxa"/>
            <w:vAlign w:val="center"/>
          </w:tcPr>
          <w:p>
            <w:pPr>
              <w:pStyle w:val="12"/>
            </w:pPr>
            <w:r>
              <w:t>24.17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4.23</w:t>
            </w:r>
          </w:p>
        </w:tc>
        <w:tc>
          <w:tcPr>
            <w:tcW w:w="1134" w:type="dxa"/>
            <w:vAlign w:val="center"/>
          </w:tcPr>
          <w:p>
            <w:pPr>
              <w:pStyle w:val="12"/>
            </w:pPr>
            <w:r>
              <w:t>4.23</w:t>
            </w:r>
          </w:p>
        </w:tc>
        <w:tc>
          <w:tcPr>
            <w:tcW w:w="1134" w:type="dxa"/>
            <w:vAlign w:val="center"/>
          </w:tcPr>
          <w:p>
            <w:pPr>
              <w:pStyle w:val="12"/>
            </w:pPr>
            <w:r>
              <w:t>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19.94</w:t>
            </w:r>
          </w:p>
        </w:tc>
        <w:tc>
          <w:tcPr>
            <w:tcW w:w="1134" w:type="dxa"/>
            <w:vAlign w:val="center"/>
          </w:tcPr>
          <w:p>
            <w:pPr>
              <w:pStyle w:val="12"/>
            </w:pPr>
            <w:r>
              <w:t>19.94</w:t>
            </w:r>
          </w:p>
        </w:tc>
        <w:tc>
          <w:tcPr>
            <w:tcW w:w="1134" w:type="dxa"/>
            <w:vAlign w:val="center"/>
          </w:tcPr>
          <w:p>
            <w:pPr>
              <w:pStyle w:val="12"/>
            </w:pPr>
            <w:r>
              <w:t>19.94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1.92</w:t>
            </w:r>
          </w:p>
        </w:tc>
        <w:tc>
          <w:tcPr>
            <w:tcW w:w="1134" w:type="dxa"/>
            <w:vAlign w:val="center"/>
          </w:tcPr>
          <w:p>
            <w:pPr>
              <w:pStyle w:val="12"/>
            </w:pPr>
            <w:r>
              <w:t>1.89</w:t>
            </w:r>
          </w:p>
        </w:tc>
        <w:tc>
          <w:tcPr>
            <w:tcW w:w="1134" w:type="dxa"/>
            <w:vAlign w:val="center"/>
          </w:tcPr>
          <w:p>
            <w:pPr>
              <w:pStyle w:val="12"/>
            </w:pPr>
            <w:r>
              <w:t>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1.92</w:t>
            </w:r>
          </w:p>
        </w:tc>
        <w:tc>
          <w:tcPr>
            <w:tcW w:w="1134" w:type="dxa"/>
            <w:vAlign w:val="center"/>
          </w:tcPr>
          <w:p>
            <w:pPr>
              <w:pStyle w:val="12"/>
            </w:pPr>
            <w:r>
              <w:t>1.89</w:t>
            </w:r>
          </w:p>
        </w:tc>
        <w:tc>
          <w:tcPr>
            <w:tcW w:w="1134" w:type="dxa"/>
            <w:vAlign w:val="center"/>
          </w:tcPr>
          <w:p>
            <w:pPr>
              <w:pStyle w:val="12"/>
            </w:pPr>
            <w:r>
              <w:t>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r>
              <w:t>9.62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8.35</w:t>
            </w:r>
          </w:p>
        </w:tc>
        <w:tc>
          <w:tcPr>
            <w:tcW w:w="1134" w:type="dxa"/>
            <w:vAlign w:val="center"/>
          </w:tcPr>
          <w:p>
            <w:pPr>
              <w:pStyle w:val="12"/>
            </w:pPr>
            <w:r>
              <w:t>8.35</w:t>
            </w:r>
          </w:p>
        </w:tc>
        <w:tc>
          <w:tcPr>
            <w:tcW w:w="1134" w:type="dxa"/>
            <w:vAlign w:val="center"/>
          </w:tcPr>
          <w:p>
            <w:pPr>
              <w:pStyle w:val="12"/>
            </w:pPr>
            <w:r>
              <w:t>8.35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1.27</w:t>
            </w:r>
          </w:p>
        </w:tc>
        <w:tc>
          <w:tcPr>
            <w:tcW w:w="1134" w:type="dxa"/>
            <w:vAlign w:val="center"/>
          </w:tcPr>
          <w:p>
            <w:pPr>
              <w:pStyle w:val="12"/>
            </w:pPr>
            <w:r>
              <w:t>1.27</w:t>
            </w:r>
          </w:p>
        </w:tc>
        <w:tc>
          <w:tcPr>
            <w:tcW w:w="1134" w:type="dxa"/>
            <w:vAlign w:val="center"/>
          </w:tcPr>
          <w:p>
            <w:pPr>
              <w:pStyle w:val="12"/>
            </w:pPr>
            <w:r>
              <w:t>1.27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r>
              <w:t>10.19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202青龙满族自治县信访局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305.06</w:t>
            </w:r>
          </w:p>
        </w:tc>
        <w:tc>
          <w:tcPr>
            <w:tcW w:w="1361" w:type="dxa"/>
            <w:vAlign w:val="center"/>
          </w:tcPr>
          <w:p>
            <w:pPr>
              <w:pStyle w:val="16"/>
            </w:pPr>
            <w:r>
              <w:t>216.71</w:t>
            </w:r>
          </w:p>
        </w:tc>
        <w:tc>
          <w:tcPr>
            <w:tcW w:w="1361" w:type="dxa"/>
            <w:vAlign w:val="center"/>
          </w:tcPr>
          <w:p>
            <w:pPr>
              <w:pStyle w:val="16"/>
            </w:pPr>
            <w:r>
              <w:t>88.35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259.17</w:t>
            </w:r>
          </w:p>
        </w:tc>
        <w:tc>
          <w:tcPr>
            <w:tcW w:w="1361" w:type="dxa"/>
            <w:vAlign w:val="center"/>
          </w:tcPr>
          <w:p>
            <w:pPr>
              <w:pStyle w:val="12"/>
            </w:pPr>
            <w:r>
              <w:t>170.82</w:t>
            </w: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259.17</w:t>
            </w:r>
          </w:p>
        </w:tc>
        <w:tc>
          <w:tcPr>
            <w:tcW w:w="1361" w:type="dxa"/>
            <w:vAlign w:val="center"/>
          </w:tcPr>
          <w:p>
            <w:pPr>
              <w:pStyle w:val="12"/>
            </w:pPr>
            <w:r>
              <w:t>170.82</w:t>
            </w: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2014001</w:t>
            </w:r>
          </w:p>
        </w:tc>
        <w:tc>
          <w:tcPr>
            <w:tcW w:w="4535" w:type="dxa"/>
            <w:vAlign w:val="center"/>
          </w:tcPr>
          <w:p>
            <w:pPr>
              <w:pStyle w:val="13"/>
            </w:pPr>
            <w:r>
              <w:t>行政运行</w:t>
            </w:r>
          </w:p>
        </w:tc>
        <w:tc>
          <w:tcPr>
            <w:tcW w:w="1361" w:type="dxa"/>
            <w:vAlign w:val="center"/>
          </w:tcPr>
          <w:p>
            <w:pPr>
              <w:pStyle w:val="12"/>
            </w:pPr>
            <w:r>
              <w:t>155.95</w:t>
            </w:r>
          </w:p>
        </w:tc>
        <w:tc>
          <w:tcPr>
            <w:tcW w:w="1361" w:type="dxa"/>
            <w:vAlign w:val="center"/>
          </w:tcPr>
          <w:p>
            <w:pPr>
              <w:pStyle w:val="12"/>
            </w:pPr>
            <w:r>
              <w:t>155.95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r>
              <w:t>88.35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2014050</w:t>
            </w:r>
          </w:p>
        </w:tc>
        <w:tc>
          <w:tcPr>
            <w:tcW w:w="4535" w:type="dxa"/>
            <w:vAlign w:val="center"/>
          </w:tcPr>
          <w:p>
            <w:pPr>
              <w:pStyle w:val="13"/>
            </w:pPr>
            <w:r>
              <w:t>事业运行</w:t>
            </w:r>
          </w:p>
        </w:tc>
        <w:tc>
          <w:tcPr>
            <w:tcW w:w="1361" w:type="dxa"/>
            <w:vAlign w:val="center"/>
          </w:tcPr>
          <w:p>
            <w:pPr>
              <w:pStyle w:val="12"/>
            </w:pPr>
            <w:r>
              <w:t>14.87</w:t>
            </w:r>
          </w:p>
        </w:tc>
        <w:tc>
          <w:tcPr>
            <w:tcW w:w="1361" w:type="dxa"/>
            <w:vAlign w:val="center"/>
          </w:tcPr>
          <w:p>
            <w:pPr>
              <w:pStyle w:val="12"/>
            </w:pPr>
            <w:r>
              <w:t>14.87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26.09</w:t>
            </w:r>
          </w:p>
        </w:tc>
        <w:tc>
          <w:tcPr>
            <w:tcW w:w="1361" w:type="dxa"/>
            <w:vAlign w:val="center"/>
          </w:tcPr>
          <w:p>
            <w:pPr>
              <w:pStyle w:val="12"/>
            </w:pPr>
            <w:r>
              <w:t>26.09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24.17</w:t>
            </w:r>
          </w:p>
        </w:tc>
        <w:tc>
          <w:tcPr>
            <w:tcW w:w="1361" w:type="dxa"/>
            <w:vAlign w:val="center"/>
          </w:tcPr>
          <w:p>
            <w:pPr>
              <w:pStyle w:val="12"/>
            </w:pPr>
            <w:r>
              <w:t>24.17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4.23</w:t>
            </w:r>
          </w:p>
        </w:tc>
        <w:tc>
          <w:tcPr>
            <w:tcW w:w="1361" w:type="dxa"/>
            <w:vAlign w:val="center"/>
          </w:tcPr>
          <w:p>
            <w:pPr>
              <w:pStyle w:val="12"/>
            </w:pPr>
            <w:r>
              <w:t>4.23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19.94</w:t>
            </w:r>
          </w:p>
        </w:tc>
        <w:tc>
          <w:tcPr>
            <w:tcW w:w="1361" w:type="dxa"/>
            <w:vAlign w:val="center"/>
          </w:tcPr>
          <w:p>
            <w:pPr>
              <w:pStyle w:val="12"/>
            </w:pPr>
            <w:r>
              <w:t>19.94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1.92</w:t>
            </w:r>
          </w:p>
        </w:tc>
        <w:tc>
          <w:tcPr>
            <w:tcW w:w="1361" w:type="dxa"/>
            <w:vAlign w:val="center"/>
          </w:tcPr>
          <w:p>
            <w:pPr>
              <w:pStyle w:val="12"/>
            </w:pPr>
            <w:r>
              <w:t>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1.92</w:t>
            </w:r>
          </w:p>
        </w:tc>
        <w:tc>
          <w:tcPr>
            <w:tcW w:w="1361" w:type="dxa"/>
            <w:vAlign w:val="center"/>
          </w:tcPr>
          <w:p>
            <w:pPr>
              <w:pStyle w:val="12"/>
            </w:pPr>
            <w:r>
              <w:t>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9.62</w:t>
            </w:r>
          </w:p>
        </w:tc>
        <w:tc>
          <w:tcPr>
            <w:tcW w:w="1361" w:type="dxa"/>
            <w:vAlign w:val="center"/>
          </w:tcPr>
          <w:p>
            <w:pPr>
              <w:pStyle w:val="12"/>
            </w:pPr>
            <w:r>
              <w:t>9.62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9.62</w:t>
            </w:r>
          </w:p>
        </w:tc>
        <w:tc>
          <w:tcPr>
            <w:tcW w:w="1361" w:type="dxa"/>
            <w:vAlign w:val="center"/>
          </w:tcPr>
          <w:p>
            <w:pPr>
              <w:pStyle w:val="12"/>
            </w:pPr>
            <w:r>
              <w:t>9.62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8.35</w:t>
            </w:r>
          </w:p>
        </w:tc>
        <w:tc>
          <w:tcPr>
            <w:tcW w:w="1361" w:type="dxa"/>
            <w:vAlign w:val="center"/>
          </w:tcPr>
          <w:p>
            <w:pPr>
              <w:pStyle w:val="12"/>
            </w:pPr>
            <w:r>
              <w:t>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1.27</w:t>
            </w:r>
          </w:p>
        </w:tc>
        <w:tc>
          <w:tcPr>
            <w:tcW w:w="1361" w:type="dxa"/>
            <w:vAlign w:val="center"/>
          </w:tcPr>
          <w:p>
            <w:pPr>
              <w:pStyle w:val="12"/>
            </w:pPr>
            <w:r>
              <w:t>1.27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10.19</w:t>
            </w:r>
          </w:p>
        </w:tc>
        <w:tc>
          <w:tcPr>
            <w:tcW w:w="1361" w:type="dxa"/>
            <w:vAlign w:val="center"/>
          </w:tcPr>
          <w:p>
            <w:pPr>
              <w:pStyle w:val="12"/>
            </w:pPr>
            <w:r>
              <w:t>10.19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10.19</w:t>
            </w:r>
          </w:p>
        </w:tc>
        <w:tc>
          <w:tcPr>
            <w:tcW w:w="1361" w:type="dxa"/>
            <w:vAlign w:val="center"/>
          </w:tcPr>
          <w:p>
            <w:pPr>
              <w:pStyle w:val="12"/>
            </w:pPr>
            <w:r>
              <w:t>10.19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10.19</w:t>
            </w:r>
          </w:p>
        </w:tc>
        <w:tc>
          <w:tcPr>
            <w:tcW w:w="1361" w:type="dxa"/>
            <w:vAlign w:val="center"/>
          </w:tcPr>
          <w:p>
            <w:pPr>
              <w:pStyle w:val="12"/>
            </w:pPr>
            <w:r>
              <w:t>10.19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202青龙满族自治县信访局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268.42</w:t>
            </w:r>
          </w:p>
        </w:tc>
        <w:tc>
          <w:tcPr>
            <w:tcW w:w="3402" w:type="dxa"/>
            <w:vAlign w:val="center"/>
          </w:tcPr>
          <w:p>
            <w:pPr>
              <w:pStyle w:val="13"/>
            </w:pPr>
            <w:r>
              <w:t>一、一般公共服务支出</w:t>
            </w:r>
          </w:p>
        </w:tc>
        <w:tc>
          <w:tcPr>
            <w:tcW w:w="1474" w:type="dxa"/>
            <w:vAlign w:val="center"/>
          </w:tcPr>
          <w:p>
            <w:pPr>
              <w:pStyle w:val="12"/>
            </w:pPr>
            <w:r>
              <w:t>259.17</w:t>
            </w:r>
          </w:p>
        </w:tc>
        <w:tc>
          <w:tcPr>
            <w:tcW w:w="1474" w:type="dxa"/>
            <w:vAlign w:val="center"/>
          </w:tcPr>
          <w:p>
            <w:pPr>
              <w:pStyle w:val="12"/>
            </w:pPr>
            <w:r>
              <w:t>259.17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26.09</w:t>
            </w:r>
          </w:p>
        </w:tc>
        <w:tc>
          <w:tcPr>
            <w:tcW w:w="1474" w:type="dxa"/>
            <w:vAlign w:val="center"/>
          </w:tcPr>
          <w:p>
            <w:pPr>
              <w:pStyle w:val="12"/>
            </w:pPr>
            <w:r>
              <w:t>26.09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9.62</w:t>
            </w:r>
          </w:p>
        </w:tc>
        <w:tc>
          <w:tcPr>
            <w:tcW w:w="1474" w:type="dxa"/>
            <w:vAlign w:val="center"/>
          </w:tcPr>
          <w:p>
            <w:pPr>
              <w:pStyle w:val="12"/>
            </w:pPr>
            <w:r>
              <w:t>9.62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10.19</w:t>
            </w:r>
          </w:p>
        </w:tc>
        <w:tc>
          <w:tcPr>
            <w:tcW w:w="1474" w:type="dxa"/>
            <w:vAlign w:val="center"/>
          </w:tcPr>
          <w:p>
            <w:pPr>
              <w:pStyle w:val="12"/>
            </w:pPr>
            <w:r>
              <w:t>10.19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268.42</w:t>
            </w:r>
          </w:p>
        </w:tc>
        <w:tc>
          <w:tcPr>
            <w:tcW w:w="3402" w:type="dxa"/>
            <w:vAlign w:val="center"/>
          </w:tcPr>
          <w:p>
            <w:pPr>
              <w:pStyle w:val="15"/>
            </w:pPr>
            <w:r>
              <w:t>本年支出合计</w:t>
            </w:r>
          </w:p>
        </w:tc>
        <w:tc>
          <w:tcPr>
            <w:tcW w:w="1474" w:type="dxa"/>
            <w:vAlign w:val="center"/>
          </w:tcPr>
          <w:p>
            <w:pPr>
              <w:pStyle w:val="16"/>
            </w:pPr>
            <w:r>
              <w:t>305.06</w:t>
            </w:r>
          </w:p>
        </w:tc>
        <w:tc>
          <w:tcPr>
            <w:tcW w:w="1474" w:type="dxa"/>
            <w:vAlign w:val="center"/>
          </w:tcPr>
          <w:p>
            <w:pPr>
              <w:pStyle w:val="16"/>
            </w:pPr>
            <w:r>
              <w:t>305.06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36.64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36.64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305.06</w:t>
            </w:r>
          </w:p>
        </w:tc>
        <w:tc>
          <w:tcPr>
            <w:tcW w:w="3402" w:type="dxa"/>
            <w:vAlign w:val="center"/>
          </w:tcPr>
          <w:p>
            <w:pPr>
              <w:pStyle w:val="15"/>
            </w:pPr>
            <w:r>
              <w:t>支出总计</w:t>
            </w:r>
          </w:p>
        </w:tc>
        <w:tc>
          <w:tcPr>
            <w:tcW w:w="1474" w:type="dxa"/>
            <w:vAlign w:val="center"/>
          </w:tcPr>
          <w:p>
            <w:pPr>
              <w:pStyle w:val="16"/>
            </w:pPr>
            <w:r>
              <w:t>305.06</w:t>
            </w:r>
          </w:p>
        </w:tc>
        <w:tc>
          <w:tcPr>
            <w:tcW w:w="1474" w:type="dxa"/>
            <w:vAlign w:val="center"/>
          </w:tcPr>
          <w:p>
            <w:pPr>
              <w:pStyle w:val="16"/>
            </w:pPr>
            <w:r>
              <w:t>305.06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202青龙满族自治县信访局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305.06</w:t>
            </w:r>
          </w:p>
        </w:tc>
        <w:tc>
          <w:tcPr>
            <w:tcW w:w="2551" w:type="dxa"/>
            <w:vAlign w:val="center"/>
          </w:tcPr>
          <w:p>
            <w:pPr>
              <w:pStyle w:val="16"/>
            </w:pPr>
            <w:r>
              <w:t>216.71</w:t>
            </w:r>
          </w:p>
        </w:tc>
        <w:tc>
          <w:tcPr>
            <w:tcW w:w="2551" w:type="dxa"/>
            <w:vAlign w:val="center"/>
          </w:tcPr>
          <w:p>
            <w:pPr>
              <w:pStyle w:val="16"/>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259.17</w:t>
            </w:r>
          </w:p>
        </w:tc>
        <w:tc>
          <w:tcPr>
            <w:tcW w:w="2551" w:type="dxa"/>
            <w:vAlign w:val="center"/>
          </w:tcPr>
          <w:p>
            <w:pPr>
              <w:pStyle w:val="12"/>
            </w:pPr>
            <w:r>
              <w:t>170.82</w:t>
            </w:r>
          </w:p>
        </w:tc>
        <w:tc>
          <w:tcPr>
            <w:tcW w:w="2551" w:type="dxa"/>
            <w:vAlign w:val="center"/>
          </w:tcPr>
          <w:p>
            <w:pPr>
              <w:pStyle w:val="12"/>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259.17</w:t>
            </w:r>
          </w:p>
        </w:tc>
        <w:tc>
          <w:tcPr>
            <w:tcW w:w="2551" w:type="dxa"/>
            <w:vAlign w:val="center"/>
          </w:tcPr>
          <w:p>
            <w:pPr>
              <w:pStyle w:val="12"/>
            </w:pPr>
            <w:r>
              <w:t>170.82</w:t>
            </w:r>
          </w:p>
        </w:tc>
        <w:tc>
          <w:tcPr>
            <w:tcW w:w="2551" w:type="dxa"/>
            <w:vAlign w:val="center"/>
          </w:tcPr>
          <w:p>
            <w:pPr>
              <w:pStyle w:val="12"/>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2014001</w:t>
            </w:r>
          </w:p>
        </w:tc>
        <w:tc>
          <w:tcPr>
            <w:tcW w:w="4535" w:type="dxa"/>
            <w:vAlign w:val="center"/>
          </w:tcPr>
          <w:p>
            <w:pPr>
              <w:pStyle w:val="13"/>
            </w:pPr>
            <w:r>
              <w:t>行政运行</w:t>
            </w:r>
          </w:p>
        </w:tc>
        <w:tc>
          <w:tcPr>
            <w:tcW w:w="2551" w:type="dxa"/>
            <w:vAlign w:val="center"/>
          </w:tcPr>
          <w:p>
            <w:pPr>
              <w:pStyle w:val="12"/>
            </w:pPr>
            <w:r>
              <w:t>155.95</w:t>
            </w:r>
          </w:p>
        </w:tc>
        <w:tc>
          <w:tcPr>
            <w:tcW w:w="2551" w:type="dxa"/>
            <w:vAlign w:val="center"/>
          </w:tcPr>
          <w:p>
            <w:pPr>
              <w:pStyle w:val="12"/>
            </w:pPr>
            <w:r>
              <w:t>155.95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88.35</w:t>
            </w:r>
          </w:p>
        </w:tc>
        <w:tc>
          <w:tcPr>
            <w:tcW w:w="2551" w:type="dxa"/>
            <w:vAlign w:val="center"/>
          </w:tcPr>
          <w:p>
            <w:pPr>
              <w:pStyle w:val="12"/>
            </w:pPr>
          </w:p>
        </w:tc>
        <w:tc>
          <w:tcPr>
            <w:tcW w:w="2551" w:type="dxa"/>
            <w:vAlign w:val="center"/>
          </w:tcPr>
          <w:p>
            <w:pPr>
              <w:pStyle w:val="12"/>
            </w:pPr>
            <w:r>
              <w:t>88.35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2014050</w:t>
            </w:r>
          </w:p>
        </w:tc>
        <w:tc>
          <w:tcPr>
            <w:tcW w:w="4535" w:type="dxa"/>
            <w:vAlign w:val="center"/>
          </w:tcPr>
          <w:p>
            <w:pPr>
              <w:pStyle w:val="13"/>
            </w:pPr>
            <w:r>
              <w:t>事业运行</w:t>
            </w:r>
          </w:p>
        </w:tc>
        <w:tc>
          <w:tcPr>
            <w:tcW w:w="2551" w:type="dxa"/>
            <w:vAlign w:val="center"/>
          </w:tcPr>
          <w:p>
            <w:pPr>
              <w:pStyle w:val="12"/>
            </w:pPr>
            <w:r>
              <w:t>14.87</w:t>
            </w:r>
          </w:p>
        </w:tc>
        <w:tc>
          <w:tcPr>
            <w:tcW w:w="2551" w:type="dxa"/>
            <w:vAlign w:val="center"/>
          </w:tcPr>
          <w:p>
            <w:pPr>
              <w:pStyle w:val="12"/>
            </w:pPr>
            <w:r>
              <w:t>14.87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26.09</w:t>
            </w:r>
          </w:p>
        </w:tc>
        <w:tc>
          <w:tcPr>
            <w:tcW w:w="2551" w:type="dxa"/>
            <w:vAlign w:val="center"/>
          </w:tcPr>
          <w:p>
            <w:pPr>
              <w:pStyle w:val="12"/>
            </w:pPr>
            <w:r>
              <w:t>26.09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24.17</w:t>
            </w:r>
          </w:p>
        </w:tc>
        <w:tc>
          <w:tcPr>
            <w:tcW w:w="2551" w:type="dxa"/>
            <w:vAlign w:val="center"/>
          </w:tcPr>
          <w:p>
            <w:pPr>
              <w:pStyle w:val="12"/>
            </w:pPr>
            <w:r>
              <w:t>24.17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4.23</w:t>
            </w:r>
          </w:p>
        </w:tc>
        <w:tc>
          <w:tcPr>
            <w:tcW w:w="2551" w:type="dxa"/>
            <w:vAlign w:val="center"/>
          </w:tcPr>
          <w:p>
            <w:pPr>
              <w:pStyle w:val="12"/>
            </w:pPr>
            <w:r>
              <w:t>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19.94</w:t>
            </w:r>
          </w:p>
        </w:tc>
        <w:tc>
          <w:tcPr>
            <w:tcW w:w="2551" w:type="dxa"/>
            <w:vAlign w:val="center"/>
          </w:tcPr>
          <w:p>
            <w:pPr>
              <w:pStyle w:val="12"/>
            </w:pPr>
            <w:r>
              <w:t>19.94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9.62</w:t>
            </w:r>
          </w:p>
        </w:tc>
        <w:tc>
          <w:tcPr>
            <w:tcW w:w="2551" w:type="dxa"/>
            <w:vAlign w:val="center"/>
          </w:tcPr>
          <w:p>
            <w:pPr>
              <w:pStyle w:val="12"/>
            </w:pPr>
            <w:r>
              <w:t>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9.62</w:t>
            </w:r>
          </w:p>
        </w:tc>
        <w:tc>
          <w:tcPr>
            <w:tcW w:w="2551" w:type="dxa"/>
            <w:vAlign w:val="center"/>
          </w:tcPr>
          <w:p>
            <w:pPr>
              <w:pStyle w:val="12"/>
            </w:pPr>
            <w:r>
              <w:t>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8.35</w:t>
            </w:r>
          </w:p>
        </w:tc>
        <w:tc>
          <w:tcPr>
            <w:tcW w:w="2551" w:type="dxa"/>
            <w:vAlign w:val="center"/>
          </w:tcPr>
          <w:p>
            <w:pPr>
              <w:pStyle w:val="12"/>
            </w:pPr>
            <w:r>
              <w:t>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1.27</w:t>
            </w:r>
          </w:p>
        </w:tc>
        <w:tc>
          <w:tcPr>
            <w:tcW w:w="2551" w:type="dxa"/>
            <w:vAlign w:val="center"/>
          </w:tcPr>
          <w:p>
            <w:pPr>
              <w:pStyle w:val="12"/>
            </w:pPr>
            <w:r>
              <w:t>1.27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202青龙满族自治县信访局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216.71</w:t>
            </w:r>
          </w:p>
        </w:tc>
        <w:tc>
          <w:tcPr>
            <w:tcW w:w="2551" w:type="dxa"/>
            <w:vAlign w:val="center"/>
          </w:tcPr>
          <w:p>
            <w:pPr>
              <w:pStyle w:val="16"/>
            </w:pPr>
            <w:r>
              <w:t>175.95</w:t>
            </w:r>
          </w:p>
        </w:tc>
        <w:tc>
          <w:tcPr>
            <w:tcW w:w="2551" w:type="dxa"/>
            <w:vAlign w:val="center"/>
          </w:tcPr>
          <w:p>
            <w:pPr>
              <w:pStyle w:val="16"/>
            </w:pPr>
            <w:r>
              <w:t>40.77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169.80</w:t>
            </w:r>
          </w:p>
        </w:tc>
        <w:tc>
          <w:tcPr>
            <w:tcW w:w="2551" w:type="dxa"/>
            <w:vAlign w:val="center"/>
          </w:tcPr>
          <w:p>
            <w:pPr>
              <w:pStyle w:val="12"/>
            </w:pPr>
            <w:r>
              <w:t>169.80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76.91</w:t>
            </w:r>
          </w:p>
        </w:tc>
        <w:tc>
          <w:tcPr>
            <w:tcW w:w="2551" w:type="dxa"/>
            <w:vAlign w:val="center"/>
          </w:tcPr>
          <w:p>
            <w:pPr>
              <w:pStyle w:val="12"/>
            </w:pPr>
            <w:r>
              <w:t>76.91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33.42</w:t>
            </w:r>
          </w:p>
        </w:tc>
        <w:tc>
          <w:tcPr>
            <w:tcW w:w="2551" w:type="dxa"/>
            <w:vAlign w:val="center"/>
          </w:tcPr>
          <w:p>
            <w:pPr>
              <w:pStyle w:val="12"/>
            </w:pPr>
            <w:r>
              <w:t>33.42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13.71</w:t>
            </w:r>
          </w:p>
        </w:tc>
        <w:tc>
          <w:tcPr>
            <w:tcW w:w="2551" w:type="dxa"/>
            <w:vAlign w:val="center"/>
          </w:tcPr>
          <w:p>
            <w:pPr>
              <w:pStyle w:val="12"/>
            </w:pPr>
            <w:r>
              <w:t>13.71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5.39</w:t>
            </w:r>
          </w:p>
        </w:tc>
        <w:tc>
          <w:tcPr>
            <w:tcW w:w="2551" w:type="dxa"/>
            <w:vAlign w:val="center"/>
          </w:tcPr>
          <w:p>
            <w:pPr>
              <w:pStyle w:val="12"/>
            </w:pPr>
            <w:r>
              <w:t>5.39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19.94</w:t>
            </w:r>
          </w:p>
        </w:tc>
        <w:tc>
          <w:tcPr>
            <w:tcW w:w="2551" w:type="dxa"/>
            <w:vAlign w:val="center"/>
          </w:tcPr>
          <w:p>
            <w:pPr>
              <w:pStyle w:val="12"/>
            </w:pPr>
            <w:r>
              <w:t>19.94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9.62</w:t>
            </w:r>
          </w:p>
        </w:tc>
        <w:tc>
          <w:tcPr>
            <w:tcW w:w="2551" w:type="dxa"/>
            <w:vAlign w:val="center"/>
          </w:tcPr>
          <w:p>
            <w:pPr>
              <w:pStyle w:val="12"/>
            </w:pPr>
            <w:r>
              <w:t>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0.62</w:t>
            </w:r>
          </w:p>
        </w:tc>
        <w:tc>
          <w:tcPr>
            <w:tcW w:w="2551" w:type="dxa"/>
            <w:vAlign w:val="center"/>
          </w:tcPr>
          <w:p>
            <w:pPr>
              <w:pStyle w:val="12"/>
            </w:pPr>
            <w:r>
              <w:t>0.62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10.19</w:t>
            </w:r>
          </w:p>
        </w:tc>
        <w:tc>
          <w:tcPr>
            <w:tcW w:w="2551" w:type="dxa"/>
            <w:vAlign w:val="center"/>
          </w:tcPr>
          <w:p>
            <w:pPr>
              <w:pStyle w:val="12"/>
            </w:pPr>
            <w:r>
              <w:t>10.19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40.77</w:t>
            </w:r>
          </w:p>
        </w:tc>
        <w:tc>
          <w:tcPr>
            <w:tcW w:w="2551" w:type="dxa"/>
            <w:vAlign w:val="center"/>
          </w:tcPr>
          <w:p>
            <w:pPr>
              <w:pStyle w:val="12"/>
            </w:pPr>
          </w:p>
        </w:tc>
        <w:tc>
          <w:tcPr>
            <w:tcW w:w="2551" w:type="dxa"/>
            <w:vAlign w:val="center"/>
          </w:tcPr>
          <w:p>
            <w:pPr>
              <w:pStyle w:val="12"/>
            </w:pPr>
            <w:r>
              <w:t>40.77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1.66</w:t>
            </w:r>
          </w:p>
        </w:tc>
        <w:tc>
          <w:tcPr>
            <w:tcW w:w="2551" w:type="dxa"/>
            <w:vAlign w:val="center"/>
          </w:tcPr>
          <w:p>
            <w:pPr>
              <w:pStyle w:val="12"/>
            </w:pPr>
          </w:p>
        </w:tc>
        <w:tc>
          <w:tcPr>
            <w:tcW w:w="2551" w:type="dxa"/>
            <w:vAlign w:val="center"/>
          </w:tcPr>
          <w:p>
            <w:pPr>
              <w:pStyle w:val="12"/>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0.72</w:t>
            </w:r>
          </w:p>
        </w:tc>
        <w:tc>
          <w:tcPr>
            <w:tcW w:w="2551" w:type="dxa"/>
            <w:vAlign w:val="center"/>
          </w:tcPr>
          <w:p>
            <w:pPr>
              <w:pStyle w:val="12"/>
            </w:pPr>
          </w:p>
        </w:tc>
        <w:tc>
          <w:tcPr>
            <w:tcW w:w="2551"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2.90</w:t>
            </w:r>
          </w:p>
        </w:tc>
        <w:tc>
          <w:tcPr>
            <w:tcW w:w="2551" w:type="dxa"/>
            <w:vAlign w:val="center"/>
          </w:tcPr>
          <w:p>
            <w:pPr>
              <w:pStyle w:val="12"/>
            </w:pPr>
          </w:p>
        </w:tc>
        <w:tc>
          <w:tcPr>
            <w:tcW w:w="2551" w:type="dxa"/>
            <w:vAlign w:val="center"/>
          </w:tcPr>
          <w:p>
            <w:pPr>
              <w:pStyle w:val="12"/>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15.84</w:t>
            </w:r>
          </w:p>
        </w:tc>
        <w:tc>
          <w:tcPr>
            <w:tcW w:w="2551" w:type="dxa"/>
            <w:vAlign w:val="center"/>
          </w:tcPr>
          <w:p>
            <w:pPr>
              <w:pStyle w:val="12"/>
            </w:pPr>
          </w:p>
        </w:tc>
        <w:tc>
          <w:tcPr>
            <w:tcW w:w="2551" w:type="dxa"/>
            <w:vAlign w:val="center"/>
          </w:tcPr>
          <w:p>
            <w:pPr>
              <w:pStyle w:val="12"/>
            </w:pPr>
            <w:r>
              <w:t>15.84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5.63</w:t>
            </w:r>
          </w:p>
        </w:tc>
        <w:tc>
          <w:tcPr>
            <w:tcW w:w="2551" w:type="dxa"/>
            <w:vAlign w:val="center"/>
          </w:tcPr>
          <w:p>
            <w:pPr>
              <w:pStyle w:val="12"/>
            </w:pPr>
          </w:p>
        </w:tc>
        <w:tc>
          <w:tcPr>
            <w:tcW w:w="2551" w:type="dxa"/>
            <w:vAlign w:val="center"/>
          </w:tcPr>
          <w:p>
            <w:pPr>
              <w:pStyle w:val="12"/>
            </w:pPr>
            <w:r>
              <w:t>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12.42</w:t>
            </w:r>
          </w:p>
        </w:tc>
        <w:tc>
          <w:tcPr>
            <w:tcW w:w="2551" w:type="dxa"/>
            <w:vAlign w:val="center"/>
          </w:tcPr>
          <w:p>
            <w:pPr>
              <w:pStyle w:val="12"/>
            </w:pPr>
          </w:p>
        </w:tc>
        <w:tc>
          <w:tcPr>
            <w:tcW w:w="2551" w:type="dxa"/>
            <w:vAlign w:val="center"/>
          </w:tcPr>
          <w:p>
            <w:pPr>
              <w:pStyle w:val="12"/>
            </w:pPr>
            <w:r>
              <w:t>12.42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6.15</w:t>
            </w:r>
          </w:p>
        </w:tc>
        <w:tc>
          <w:tcPr>
            <w:tcW w:w="2551" w:type="dxa"/>
            <w:vAlign w:val="center"/>
          </w:tcPr>
          <w:p>
            <w:pPr>
              <w:pStyle w:val="12"/>
            </w:pPr>
            <w:r>
              <w:t>6.15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4.23</w:t>
            </w:r>
          </w:p>
        </w:tc>
        <w:tc>
          <w:tcPr>
            <w:tcW w:w="2551" w:type="dxa"/>
            <w:vAlign w:val="center"/>
          </w:tcPr>
          <w:p>
            <w:pPr>
              <w:pStyle w:val="12"/>
            </w:pPr>
            <w:r>
              <w:t>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202青龙满族自治县信访局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202青龙满族自治县信访局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202青龙满族自治县信访局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1.60</w:t>
            </w:r>
          </w:p>
        </w:tc>
        <w:tc>
          <w:tcPr>
            <w:tcW w:w="2381" w:type="dxa"/>
            <w:vAlign w:val="center"/>
          </w:tcPr>
          <w:p>
            <w:pPr>
              <w:pStyle w:val="16"/>
            </w:pPr>
            <w:r>
              <w:t>1.60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1.60</w:t>
            </w:r>
          </w:p>
        </w:tc>
        <w:tc>
          <w:tcPr>
            <w:tcW w:w="2381" w:type="dxa"/>
            <w:vAlign w:val="center"/>
          </w:tcPr>
          <w:p>
            <w:pPr>
              <w:pStyle w:val="12"/>
            </w:pPr>
            <w:r>
              <w:t>1.60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青龙满族自治县信访局2026年部门预算信息公开情况说明</w:t>
      </w:r>
    </w:p>
    <w:p>
      <w:pPr>
        <w:jc w:val="center"/>
      </w:pPr>
      <w:r>
        <w:rPr>
          <w:rFonts w:ascii="方正小标宋_GBK" w:hAnsi="方正小标宋_GBK" w:eastAsia="方正小标宋_GBK" w:cs="方正小标宋_GBK"/>
          <w:color w:val="000000"/>
          <w:sz w:val="44"/>
        </w:rPr>
        <w:t>青龙满族自治县信访局2026年部门预算信息公开情况说明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按照《中华人民共和国预算法》、《地方预决算公开操作规程》和《关于进一步推进预算公开工作的实施意见》规定，现将青龙满族自治县信访局2026年部门预算公开如下：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根据《青龙满族自治县信访局职能配置、内设机构和人员编制规定》，青龙满族自治县信访局的主要职责是：</w:t>
      </w:r>
    </w:p>
    <w:p>
      <w:pPr>
        <w:pStyle w:val="18"/>
      </w:pPr>
      <w:r>
        <w:t>1.组织协调机关日常政务工作；</w:t>
      </w:r>
    </w:p>
    <w:p>
      <w:pPr>
        <w:pStyle w:val="18"/>
      </w:pPr>
      <w:r>
        <w:t>负责会议组织、文秘事务、信访信息、对外宣传、机要通信、信件管理、档案管理、保守秘密、安全保卫、计划生育等行政事务；负责群众工作中心的日常管理工作。</w:t>
      </w:r>
    </w:p>
    <w:p>
      <w:pPr>
        <w:pStyle w:val="18"/>
      </w:pPr>
      <w:r>
        <w:t>2.接待日常群众来访，处理群众来信，做上访群众的疏导工作；</w:t>
      </w:r>
    </w:p>
    <w:p>
      <w:pPr>
        <w:pStyle w:val="18"/>
      </w:pPr>
      <w:r>
        <w:t>(1)接待日常群众来信来访；</w:t>
      </w:r>
    </w:p>
    <w:p>
      <w:pPr>
        <w:pStyle w:val="18"/>
      </w:pPr>
      <w:r>
        <w:t>(2）联系、预约县级领导接待来访；</w:t>
      </w:r>
    </w:p>
    <w:p>
      <w:pPr>
        <w:pStyle w:val="18"/>
      </w:pPr>
      <w:r>
        <w:t>(3）组织、协调各部门集中接访，联系相关部门日常到信访局接访；</w:t>
      </w:r>
    </w:p>
    <w:p>
      <w:pPr>
        <w:pStyle w:val="18"/>
      </w:pPr>
      <w:r>
        <w:t>(4）协助县级领导接访，维持接访秩序；</w:t>
      </w:r>
    </w:p>
    <w:p>
      <w:pPr>
        <w:pStyle w:val="18"/>
      </w:pPr>
      <w:r>
        <w:t>(5)负责来信来访登记、各项信访统计报表上报工作;</w:t>
      </w:r>
    </w:p>
    <w:p>
      <w:pPr>
        <w:pStyle w:val="18"/>
      </w:pPr>
      <w:r>
        <w:t>(6)负责人民群众建议征集和整理工作。</w:t>
      </w:r>
    </w:p>
    <w:p>
      <w:pPr>
        <w:pStyle w:val="18"/>
      </w:pPr>
      <w:r>
        <w:t>3.承办中央、省、市、县四级交办及领导转办交办的各类信访案件及信访矛盾纠纷和隐患排查工作；</w:t>
      </w:r>
    </w:p>
    <w:p>
      <w:pPr>
        <w:pStyle w:val="18"/>
      </w:pPr>
      <w:r>
        <w:t>（1）承办中央、省、市、县四级交办及领导转办交办的各类信访案件；</w:t>
      </w:r>
    </w:p>
    <w:p>
      <w:pPr>
        <w:pStyle w:val="18"/>
      </w:pPr>
      <w:r>
        <w:t>(2）负责各类矛盾纠纷和信访隐患、信访信息排查工作；</w:t>
      </w:r>
    </w:p>
    <w:p>
      <w:pPr>
        <w:pStyle w:val="18"/>
      </w:pPr>
      <w:r>
        <w:t>(3）负责中央、省、市三级交办案件结案材料的起草、上报等各项工作。</w:t>
      </w:r>
    </w:p>
    <w:p>
      <w:pPr>
        <w:pStyle w:val="18"/>
      </w:pPr>
      <w:r>
        <w:t>4.督导、检查领导批办及上级信访部门交办的各类信访案件；</w:t>
      </w:r>
    </w:p>
    <w:p>
      <w:pPr>
        <w:pStyle w:val="18"/>
      </w:pPr>
      <w:r>
        <w:t>（1）督导、检查领导批办及上级信访部门交办的各类信访案件，协调、帮助、指导各乡镇各部门办理信访案件；</w:t>
      </w:r>
    </w:p>
    <w:p>
      <w:pPr>
        <w:pStyle w:val="18"/>
      </w:pPr>
      <w:r>
        <w:t>（2）对乡镇及县直部门信访工作进行年度考核；</w:t>
      </w:r>
    </w:p>
    <w:p>
      <w:pPr>
        <w:pStyle w:val="18"/>
      </w:pPr>
      <w:r>
        <w:t>（3）通过河北省信访信息系统，及时检查有关乡镇和部门案件办理情况。</w:t>
      </w:r>
    </w:p>
    <w:p>
      <w:pPr>
        <w:pStyle w:val="18"/>
      </w:pPr>
      <w:r>
        <w:t>5.受理信访人对各工作部门及乡镇党委、政府就信访事项所做处理意见不服而提出的复查请求。</w:t>
      </w:r>
    </w:p>
    <w:p>
      <w:pPr>
        <w:pStyle w:val="18"/>
      </w:pPr>
      <w:r>
        <w:t>畅通信访渠道、完善信访复查程序，有效化解信访矛盾，降低越级访和重复访率。受理信访人对县委、县政府各工作部门及乡镇党委、政府就信访事项所做处理意见不服而向县委、县政府提出复查请求，依法依规按规定期限向信访人出具信访答复。</w:t>
      </w:r>
    </w:p>
    <w:p>
      <w:pPr>
        <w:pStyle w:val="18"/>
      </w:pPr>
      <w:r>
        <w:t>6.做好信访维稳值班工作</w:t>
      </w:r>
    </w:p>
    <w:p>
      <w:pPr>
        <w:pStyle w:val="18"/>
      </w:pPr>
      <w:r>
        <w:t xml:space="preserve">根据省、市信访工作联席会议办公室的有关通知要求，各级“两会”、国家、省、市重大活动、北戴河旅游旺季等期间，到北京、石家庄、秦皇岛及北戴河值班，负责组织协调、稳控劝返工作。 </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青龙满族自治县信访局本级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按照预算管理有关规定，目前部门预算的编制实行综合预算管理，即全部收入和支出都反映在预算中。青龙满族自治县信访局机关及所属事业单位的收支包含在部门预算中。</w:t>
      </w:r>
    </w:p>
    <w:p>
      <w:pPr>
        <w:pStyle w:val="19"/>
      </w:pPr>
      <w:r>
        <w:t>1、收入说明</w:t>
      </w:r>
    </w:p>
    <w:p>
      <w:pPr>
        <w:pStyle w:val="19"/>
      </w:pPr>
      <w:r>
        <w:t>反映本部门当年全部收入。2026年预算收入305.06万元，其中：一般公共预算收入268.42万元，基金预算收入0.00万元，国有资本经营预算收入0.00万元，财政专户核拨收入0.00万元，单位资金收入0.00万元，上年结转结余36.64万元。</w:t>
      </w:r>
    </w:p>
    <w:p>
      <w:pPr>
        <w:pStyle w:val="19"/>
      </w:pPr>
      <w:r>
        <w:t>2、支出说明</w:t>
      </w:r>
    </w:p>
    <w:p>
      <w:pPr>
        <w:pStyle w:val="19"/>
      </w:pPr>
      <w:r>
        <w:t>收支预算总表支出栏、基本支出表、项目支出表按经济分类和支出功能分类科目编制，反映青龙满族自治县信访局年度部门预算中支出预算的总体情况。2026年支出预算305.06万元，其中基本支出216.71万元，包括人员经费175.95万元和日常公用经费40.77万元；项目支出88.35万元，主要为信访维稳经费72.34万元，特殊疑难信访问题救助资金11.8万元，法律服务费1万元，群众工作中心运行经费3.2万元；预计下年使用的单位资金结余0.00万元。委托业务费共计安排</w:t>
      </w:r>
      <w:r>
        <w:rPr>
          <w:rFonts w:hint="eastAsia"/>
          <w:lang w:val="en-US" w:eastAsia="zh-CN"/>
        </w:rPr>
        <w:t>4.2</w:t>
      </w:r>
      <w:r>
        <w:t>万元，主要用于</w:t>
      </w:r>
      <w:r>
        <w:rPr>
          <w:rFonts w:hint="eastAsia"/>
          <w:lang w:val="en-US" w:eastAsia="zh-CN"/>
        </w:rPr>
        <w:t>县群众工作中心聘用法律服务费以及解决群众工作中心聘用保安保洁劳务费等</w:t>
      </w:r>
      <w:r>
        <w:t>。</w:t>
      </w:r>
    </w:p>
    <w:p>
      <w:pPr>
        <w:pStyle w:val="19"/>
      </w:pPr>
      <w:r>
        <w:t>3、比上年增减情况</w:t>
      </w:r>
    </w:p>
    <w:p>
      <w:pPr>
        <w:pStyle w:val="19"/>
      </w:pPr>
      <w:r>
        <w:t>2026年预算收支安排305.06万元，较2025年预算减少21.79万元，其中：基本支出增加18.25万元，主要为人员增加3人项目支出减少40.05万元，主要为信访维稳经费消减30万元，特殊疑难信访问题救助资金消减10万元。预计下年使用的单位资金结余增加0.00万元。</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hint="eastAsia"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r>
        <w:rPr>
          <w:rFonts w:hint="eastAsia" w:ascii="黑体" w:hAnsi="黑体" w:eastAsia="黑体" w:cs="黑体"/>
          <w:color w:val="000000"/>
          <w:sz w:val="32"/>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ascii="Times New Roman" w:hAnsi="Times New Roman" w:eastAsia="方正仿宋_GBK" w:cs="Times New Roman"/>
          <w:kern w:val="0"/>
          <w:sz w:val="28"/>
          <w:szCs w:val="24"/>
          <w:lang w:val="en-US" w:eastAsia="uk-UA" w:bidi="ar-SA"/>
        </w:rPr>
      </w:pPr>
      <w:r>
        <w:rPr>
          <w:rFonts w:hint="default" w:ascii="Times New Roman" w:hAnsi="Times New Roman" w:eastAsia="方正仿宋_GBK" w:cs="Times New Roman"/>
          <w:kern w:val="0"/>
          <w:sz w:val="28"/>
          <w:szCs w:val="24"/>
          <w:lang w:val="en-US" w:eastAsia="uk-UA" w:bidi="ar-SA"/>
        </w:rPr>
        <w:t>2026年，我</w:t>
      </w:r>
      <w:r>
        <w:rPr>
          <w:rFonts w:hint="eastAsia" w:eastAsia="方正仿宋_GBK" w:cs="Times New Roman"/>
          <w:kern w:val="0"/>
          <w:sz w:val="28"/>
          <w:szCs w:val="24"/>
          <w:lang w:val="en-US" w:eastAsia="zh-CN" w:bidi="ar-SA"/>
        </w:rPr>
        <w:t>部门</w:t>
      </w:r>
      <w:r>
        <w:rPr>
          <w:rFonts w:hint="default" w:ascii="Times New Roman" w:hAnsi="Times New Roman" w:eastAsia="方正仿宋_GBK" w:cs="Times New Roman"/>
          <w:kern w:val="0"/>
          <w:sz w:val="28"/>
          <w:szCs w:val="24"/>
          <w:lang w:val="en-US" w:eastAsia="uk-UA" w:bidi="ar-SA"/>
        </w:rPr>
        <w:t>机关运行经费共计安排</w:t>
      </w:r>
      <w:r>
        <w:rPr>
          <w:rFonts w:hint="eastAsia" w:ascii="Times New Roman" w:hAnsi="Times New Roman" w:eastAsia="方正仿宋_GBK" w:cs="Times New Roman"/>
          <w:kern w:val="0"/>
          <w:sz w:val="28"/>
          <w:szCs w:val="24"/>
          <w:lang w:val="en-US" w:eastAsia="zh-CN" w:bidi="ar-SA"/>
        </w:rPr>
        <w:t>29.1</w:t>
      </w:r>
      <w:r>
        <w:rPr>
          <w:rFonts w:hint="default" w:ascii="Times New Roman" w:hAnsi="Times New Roman" w:eastAsia="方正仿宋_GBK" w:cs="Times New Roman"/>
          <w:kern w:val="0"/>
          <w:sz w:val="28"/>
          <w:szCs w:val="24"/>
          <w:lang w:val="en-US" w:eastAsia="uk-UA" w:bidi="ar-SA"/>
        </w:rPr>
        <w:t>万元，主要用于办公费</w:t>
      </w:r>
      <w:r>
        <w:rPr>
          <w:rFonts w:hint="eastAsia" w:ascii="Times New Roman" w:hAnsi="Times New Roman" w:eastAsia="方正仿宋_GBK" w:cs="Times New Roman"/>
          <w:kern w:val="0"/>
          <w:sz w:val="28"/>
          <w:szCs w:val="24"/>
          <w:lang w:val="en-US" w:eastAsia="zh-CN" w:bidi="ar-SA"/>
        </w:rPr>
        <w:t>2.2</w:t>
      </w:r>
      <w:r>
        <w:rPr>
          <w:rFonts w:hint="default"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水费0.7</w:t>
      </w:r>
      <w:r>
        <w:rPr>
          <w:rFonts w:hint="default" w:ascii="Times New Roman" w:hAnsi="Times New Roman" w:eastAsia="方正仿宋_GBK" w:cs="Times New Roman"/>
          <w:kern w:val="0"/>
          <w:sz w:val="28"/>
          <w:szCs w:val="24"/>
          <w:lang w:val="en-US" w:eastAsia="uk-UA" w:bidi="ar-SA"/>
        </w:rPr>
        <w:t>万元，电费</w:t>
      </w:r>
      <w:r>
        <w:rPr>
          <w:rFonts w:hint="eastAsia" w:ascii="Times New Roman" w:hAnsi="Times New Roman" w:eastAsia="方正仿宋_GBK" w:cs="Times New Roman"/>
          <w:kern w:val="0"/>
          <w:sz w:val="28"/>
          <w:szCs w:val="24"/>
          <w:lang w:val="en-US" w:eastAsia="zh-CN" w:bidi="ar-SA"/>
        </w:rPr>
        <w:t>2.9</w:t>
      </w:r>
      <w:r>
        <w:rPr>
          <w:rFonts w:hint="default"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取暖费7.92</w:t>
      </w:r>
      <w:r>
        <w:rPr>
          <w:rFonts w:hint="default" w:ascii="Times New Roman" w:hAnsi="Times New Roman" w:eastAsia="方正仿宋_GBK" w:cs="Times New Roman"/>
          <w:kern w:val="0"/>
          <w:sz w:val="28"/>
          <w:szCs w:val="24"/>
          <w:lang w:val="en-US" w:eastAsia="uk-UA" w:bidi="ar-SA"/>
        </w:rPr>
        <w:t>万元、网络运行维护费</w:t>
      </w:r>
      <w:r>
        <w:rPr>
          <w:rFonts w:hint="eastAsia" w:ascii="Times New Roman" w:hAnsi="Times New Roman" w:eastAsia="方正仿宋_GBK" w:cs="Times New Roman"/>
          <w:kern w:val="0"/>
          <w:sz w:val="28"/>
          <w:szCs w:val="24"/>
          <w:lang w:val="en-US" w:eastAsia="zh-CN" w:bidi="ar-SA"/>
        </w:rPr>
        <w:t>5.5</w:t>
      </w:r>
      <w:r>
        <w:rPr>
          <w:rFonts w:hint="default" w:ascii="Times New Roman" w:hAnsi="Times New Roman" w:eastAsia="方正仿宋_GBK" w:cs="Times New Roman"/>
          <w:kern w:val="0"/>
          <w:sz w:val="28"/>
          <w:szCs w:val="24"/>
          <w:lang w:val="en-US" w:eastAsia="uk-UA" w:bidi="ar-SA"/>
        </w:rPr>
        <w:t>万元、公务用车运行维护费</w:t>
      </w:r>
      <w:r>
        <w:rPr>
          <w:rFonts w:hint="eastAsia" w:ascii="Times New Roman" w:hAnsi="Times New Roman" w:eastAsia="方正仿宋_GBK" w:cs="Times New Roman"/>
          <w:kern w:val="0"/>
          <w:sz w:val="28"/>
          <w:szCs w:val="24"/>
          <w:lang w:val="en-US" w:eastAsia="zh-CN" w:bidi="ar-SA"/>
        </w:rPr>
        <w:t>1.4</w:t>
      </w:r>
      <w:r>
        <w:rPr>
          <w:rFonts w:hint="default" w:ascii="Times New Roman" w:hAnsi="Times New Roman" w:eastAsia="方正仿宋_GBK" w:cs="Times New Roman"/>
          <w:kern w:val="0"/>
          <w:sz w:val="28"/>
          <w:szCs w:val="24"/>
          <w:lang w:val="en-US" w:eastAsia="uk-UA" w:bidi="ar-SA"/>
        </w:rPr>
        <w:t>万元、其他交通费（公务交通补贴）</w:t>
      </w:r>
      <w:r>
        <w:rPr>
          <w:rFonts w:hint="eastAsia" w:ascii="Times New Roman" w:hAnsi="Times New Roman" w:eastAsia="方正仿宋_GBK" w:cs="Times New Roman"/>
          <w:kern w:val="0"/>
          <w:sz w:val="28"/>
          <w:szCs w:val="24"/>
          <w:lang w:val="en-US" w:eastAsia="zh-CN" w:bidi="ar-SA"/>
        </w:rPr>
        <w:t>8.28</w:t>
      </w:r>
      <w:r>
        <w:rPr>
          <w:rFonts w:hint="default"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公务接待费0.2万元</w:t>
      </w:r>
      <w:r>
        <w:rPr>
          <w:rFonts w:hint="default" w:ascii="Times New Roman" w:hAnsi="Times New Roman" w:eastAsia="方正仿宋_GBK" w:cs="Times New Roman"/>
          <w:kern w:val="0"/>
          <w:sz w:val="28"/>
          <w:szCs w:val="24"/>
          <w:lang w:val="en-US" w:eastAsia="uk-UA" w:bidi="ar-SA"/>
        </w:rPr>
        <w:t>等日常运行支出。</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 w:beforeAutospacing="0" w:after="10" w:afterAutospacing="0"/>
        <w:ind w:left="0" w:firstLine="640"/>
      </w:pPr>
      <w:r>
        <w:rPr>
          <w:rFonts w:ascii="黑体" w:hAnsi="宋体" w:eastAsia="黑体" w:cs="黑体"/>
          <w:color w:val="000000"/>
          <w:sz w:val="32"/>
          <w:szCs w:val="32"/>
        </w:rPr>
        <w:t>四、财政拨款“三公”经费预算情况及增减变化原因</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jc w:val="left"/>
        <w:rPr>
          <w:rFonts w:hint="default" w:ascii="Times New Roman" w:hAnsi="Times New Roman" w:eastAsia="方正仿宋_GBK" w:cs="Times New Roman"/>
          <w:kern w:val="0"/>
          <w:sz w:val="28"/>
          <w:szCs w:val="24"/>
          <w:lang w:val="en-US" w:eastAsia="uk-UA" w:bidi="ar-SA"/>
        </w:rPr>
      </w:pPr>
      <w:r>
        <w:rPr>
          <w:rFonts w:hint="default" w:ascii="Times New Roman" w:hAnsi="Times New Roman" w:eastAsia="方正仿宋_GBK" w:cs="Times New Roman"/>
          <w:kern w:val="0"/>
          <w:sz w:val="28"/>
          <w:szCs w:val="24"/>
          <w:lang w:val="en-US" w:eastAsia="uk-UA" w:bidi="ar-SA"/>
        </w:rPr>
        <w:t>2026年，我</w:t>
      </w:r>
      <w:r>
        <w:rPr>
          <w:rFonts w:hint="eastAsia" w:eastAsia="方正仿宋_GBK" w:cs="Times New Roman"/>
          <w:kern w:val="0"/>
          <w:sz w:val="28"/>
          <w:szCs w:val="24"/>
          <w:lang w:val="en-US" w:eastAsia="zh-CN" w:bidi="ar-SA"/>
        </w:rPr>
        <w:t>部门</w:t>
      </w:r>
      <w:r>
        <w:rPr>
          <w:rFonts w:hint="default" w:ascii="Times New Roman" w:hAnsi="Times New Roman" w:eastAsia="方正仿宋_GBK" w:cs="Times New Roman"/>
          <w:kern w:val="0"/>
          <w:sz w:val="28"/>
          <w:szCs w:val="24"/>
          <w:lang w:val="en-US" w:eastAsia="uk-UA" w:bidi="ar-SA"/>
        </w:rPr>
        <w:t>财政拨款“三公”经费预算安排</w:t>
      </w:r>
      <w:r>
        <w:rPr>
          <w:rFonts w:hint="eastAsia" w:ascii="Times New Roman" w:hAnsi="Times New Roman" w:eastAsia="方正仿宋_GBK" w:cs="Times New Roman"/>
          <w:kern w:val="0"/>
          <w:sz w:val="28"/>
          <w:szCs w:val="24"/>
          <w:lang w:val="en-US" w:eastAsia="zh-CN" w:bidi="ar-SA"/>
        </w:rPr>
        <w:t>1.6</w:t>
      </w:r>
      <w:r>
        <w:rPr>
          <w:rFonts w:hint="default" w:ascii="Times New Roman" w:hAnsi="Times New Roman" w:eastAsia="方正仿宋_GBK" w:cs="Times New Roman"/>
          <w:kern w:val="0"/>
          <w:sz w:val="28"/>
          <w:szCs w:val="24"/>
          <w:lang w:val="en-US" w:eastAsia="uk-UA" w:bidi="ar-SA"/>
        </w:rPr>
        <w:t>万元。其中：因公出国（境）费0万元，同比无变化，原因是：无因公出国（境）预算安排；公务用车购置及运维费</w:t>
      </w:r>
      <w:r>
        <w:rPr>
          <w:rFonts w:hint="eastAsia" w:ascii="Times New Roman" w:hAnsi="Times New Roman" w:eastAsia="方正仿宋_GBK" w:cs="Times New Roman"/>
          <w:kern w:val="0"/>
          <w:sz w:val="28"/>
          <w:szCs w:val="24"/>
          <w:lang w:val="en-US" w:eastAsia="zh-CN" w:bidi="ar-SA"/>
        </w:rPr>
        <w:t>1.4</w:t>
      </w:r>
      <w:r>
        <w:rPr>
          <w:rFonts w:hint="default" w:ascii="Times New Roman" w:hAnsi="Times New Roman" w:eastAsia="方正仿宋_GBK" w:cs="Times New Roman"/>
          <w:kern w:val="0"/>
          <w:sz w:val="28"/>
          <w:szCs w:val="24"/>
          <w:lang w:val="en-US" w:eastAsia="uk-UA" w:bidi="ar-SA"/>
        </w:rPr>
        <w:t>万元（其中：公务用车购置费为0万元，公务用车运维费</w:t>
      </w:r>
      <w:r>
        <w:rPr>
          <w:rFonts w:hint="eastAsia" w:ascii="Times New Roman" w:hAnsi="Times New Roman" w:eastAsia="方正仿宋_GBK" w:cs="Times New Roman"/>
          <w:kern w:val="0"/>
          <w:sz w:val="28"/>
          <w:szCs w:val="24"/>
          <w:lang w:val="en-US" w:eastAsia="zh-CN" w:bidi="ar-SA"/>
        </w:rPr>
        <w:t>1.4</w:t>
      </w:r>
      <w:r>
        <w:rPr>
          <w:rFonts w:hint="default" w:ascii="Times New Roman" w:hAnsi="Times New Roman" w:eastAsia="方正仿宋_GBK" w:cs="Times New Roman"/>
          <w:kern w:val="0"/>
          <w:sz w:val="28"/>
          <w:szCs w:val="24"/>
          <w:lang w:val="en-US" w:eastAsia="uk-UA" w:bidi="ar-SA"/>
        </w:rPr>
        <w:t>万元)，同比减少</w:t>
      </w:r>
      <w:r>
        <w:rPr>
          <w:rFonts w:hint="eastAsia" w:ascii="Times New Roman" w:hAnsi="Times New Roman" w:eastAsia="方正仿宋_GBK" w:cs="Times New Roman"/>
          <w:kern w:val="0"/>
          <w:sz w:val="28"/>
          <w:szCs w:val="24"/>
          <w:lang w:val="en-US" w:eastAsia="zh-CN" w:bidi="ar-SA"/>
        </w:rPr>
        <w:t>0.2</w:t>
      </w:r>
      <w:r>
        <w:rPr>
          <w:rFonts w:hint="default" w:ascii="Times New Roman" w:hAnsi="Times New Roman" w:eastAsia="方正仿宋_GBK" w:cs="Times New Roman"/>
          <w:kern w:val="0"/>
          <w:sz w:val="28"/>
          <w:szCs w:val="24"/>
          <w:lang w:val="en-US" w:eastAsia="uk-UA" w:bidi="ar-SA"/>
        </w:rPr>
        <w:t>万元，下降1</w:t>
      </w:r>
      <w:r>
        <w:rPr>
          <w:rFonts w:hint="eastAsia" w:ascii="Times New Roman" w:hAnsi="Times New Roman" w:eastAsia="方正仿宋_GBK" w:cs="Times New Roman"/>
          <w:kern w:val="0"/>
          <w:sz w:val="28"/>
          <w:szCs w:val="24"/>
          <w:lang w:val="en-US" w:eastAsia="zh-CN" w:bidi="ar-SA"/>
        </w:rPr>
        <w:t>2.5</w:t>
      </w:r>
      <w:r>
        <w:rPr>
          <w:rFonts w:hint="default" w:ascii="Times New Roman" w:hAnsi="Times New Roman" w:eastAsia="方正仿宋_GBK" w:cs="Times New Roman"/>
          <w:kern w:val="0"/>
          <w:sz w:val="28"/>
          <w:szCs w:val="24"/>
          <w:lang w:val="en-US" w:eastAsia="uk-UA" w:bidi="ar-SA"/>
        </w:rPr>
        <w:t>%，主要原因为：严格公务用车审批程序，严控公务用车运行维护费支出；公务接待费0</w:t>
      </w:r>
      <w:r>
        <w:rPr>
          <w:rFonts w:hint="eastAsia" w:ascii="Times New Roman" w:hAnsi="Times New Roman" w:eastAsia="方正仿宋_GBK" w:cs="Times New Roman"/>
          <w:kern w:val="0"/>
          <w:sz w:val="28"/>
          <w:szCs w:val="24"/>
          <w:lang w:val="en-US" w:eastAsia="zh-CN" w:bidi="ar-SA"/>
        </w:rPr>
        <w:t>.2</w:t>
      </w:r>
      <w:r>
        <w:rPr>
          <w:rFonts w:hint="default" w:ascii="Times New Roman" w:hAnsi="Times New Roman" w:eastAsia="方正仿宋_GBK" w:cs="Times New Roman"/>
          <w:kern w:val="0"/>
          <w:sz w:val="28"/>
          <w:szCs w:val="24"/>
          <w:lang w:val="en-US" w:eastAsia="uk-UA" w:bidi="ar-SA"/>
        </w:rPr>
        <w:t>万元，同比减少</w:t>
      </w:r>
      <w:r>
        <w:rPr>
          <w:rFonts w:hint="eastAsia" w:ascii="Times New Roman" w:hAnsi="Times New Roman" w:eastAsia="方正仿宋_GBK" w:cs="Times New Roman"/>
          <w:kern w:val="0"/>
          <w:sz w:val="28"/>
          <w:szCs w:val="24"/>
          <w:lang w:val="en-US" w:eastAsia="zh-CN" w:bidi="ar-SA"/>
        </w:rPr>
        <w:t>0.1</w:t>
      </w:r>
      <w:r>
        <w:rPr>
          <w:rFonts w:hint="default" w:ascii="Times New Roman" w:hAnsi="Times New Roman" w:eastAsia="方正仿宋_GBK" w:cs="Times New Roman"/>
          <w:kern w:val="0"/>
          <w:sz w:val="28"/>
          <w:szCs w:val="24"/>
          <w:lang w:val="en-US" w:eastAsia="uk-UA" w:bidi="ar-SA"/>
        </w:rPr>
        <w:t>万元，下降</w:t>
      </w:r>
      <w:r>
        <w:rPr>
          <w:rFonts w:hint="eastAsia" w:ascii="Times New Roman" w:hAnsi="Times New Roman" w:eastAsia="方正仿宋_GBK" w:cs="Times New Roman"/>
          <w:kern w:val="0"/>
          <w:sz w:val="28"/>
          <w:szCs w:val="24"/>
          <w:lang w:val="en-US" w:eastAsia="zh-CN" w:bidi="ar-SA"/>
        </w:rPr>
        <w:t>33</w:t>
      </w:r>
      <w:r>
        <w:rPr>
          <w:rFonts w:hint="default" w:ascii="Times New Roman" w:hAnsi="Times New Roman" w:eastAsia="方正仿宋_GBK" w:cs="Times New Roman"/>
          <w:kern w:val="0"/>
          <w:sz w:val="28"/>
          <w:szCs w:val="24"/>
          <w:lang w:val="en-US" w:eastAsia="uk-UA" w:bidi="ar-SA"/>
        </w:rPr>
        <w:t>%，主要原因是我单位严格落实《党政机关厉行节约反对浪费条件》，做到严格公务接待审批，严控公务接待标准。</w:t>
      </w:r>
    </w:p>
    <w:p>
      <w:pPr>
        <w:spacing w:before="10" w:after="10" w:line="360" w:lineRule="auto"/>
        <w:ind w:firstLine="640"/>
        <w:outlineLvl w:val="2"/>
      </w:pPr>
      <w:bookmarkStart w:id="12" w:name="_Toc_3_3_0000000014"/>
      <w:r>
        <w:rPr>
          <w:rFonts w:ascii="黑体" w:hAnsi="黑体" w:eastAsia="黑体" w:cs="黑体"/>
          <w:color w:val="000000"/>
          <w:sz w:val="32"/>
        </w:rPr>
        <w:t>五、部门整体绩效目标</w:t>
      </w:r>
      <w:bookmarkEnd w:id="12"/>
    </w:p>
    <w:p>
      <w:pPr>
        <w:spacing w:line="500" w:lineRule="exact"/>
        <w:ind w:firstLine="560"/>
      </w:pPr>
      <w:r>
        <w:rPr>
          <w:rFonts w:eastAsia="方正仿宋_GBK"/>
          <w:color w:val="000000"/>
          <w:sz w:val="28"/>
        </w:rPr>
        <w:t>（一）总体绩效目标</w:t>
      </w:r>
    </w:p>
    <w:p>
      <w:pPr>
        <w:pStyle w:val="22"/>
      </w:pPr>
      <w:r>
        <w:t>1、组织协调机关日常党务、政务工作；</w:t>
      </w:r>
    </w:p>
    <w:p>
      <w:pPr>
        <w:pStyle w:val="22"/>
      </w:pPr>
      <w:r>
        <w:t>2、接待日常群众来访，处理群众来信，做上访群众的疏导工作；</w:t>
      </w:r>
    </w:p>
    <w:p>
      <w:pPr>
        <w:pStyle w:val="22"/>
      </w:pPr>
      <w:r>
        <w:t>3、承办中央、省、市、县交办及领导转办交办的各类信访案件及信访矛盾纠纷和隐患排查工作；</w:t>
      </w:r>
    </w:p>
    <w:p>
      <w:pPr>
        <w:pStyle w:val="22"/>
      </w:pPr>
      <w:r>
        <w:t>4、承办国家、省、市信访局网上交办信访案件，县本级网上信访案件受理工作；</w:t>
      </w:r>
    </w:p>
    <w:p>
      <w:pPr>
        <w:pStyle w:val="22"/>
      </w:pPr>
      <w:r>
        <w:t>5、按规定做好各级特殊疑难信访救助资金的使用；</w:t>
      </w:r>
    </w:p>
    <w:p>
      <w:pPr>
        <w:pStyle w:val="22"/>
      </w:pPr>
      <w:r>
        <w:t>6、督导、检查领导批办及上级信访部门交办的各类信访案件；</w:t>
      </w:r>
    </w:p>
    <w:p>
      <w:pPr>
        <w:pStyle w:val="22"/>
      </w:pPr>
      <w:r>
        <w:t>7、受理信访人对各工作部门及乡镇党委、政府就信访事项所做处理意见不服而提出的复查请求；</w:t>
      </w:r>
    </w:p>
    <w:p>
      <w:pPr>
        <w:pStyle w:val="22"/>
      </w:pPr>
      <w:r>
        <w:t>8、做好信访维稳值班工作。</w:t>
      </w:r>
    </w:p>
    <w:p>
      <w:pPr>
        <w:pStyle w:val="22"/>
      </w:pPr>
      <w:r>
        <w:t>（二）分项绩效目标</w:t>
      </w:r>
    </w:p>
    <w:p>
      <w:pPr>
        <w:pStyle w:val="22"/>
      </w:pPr>
      <w:r>
        <w:t>（一）信访工作</w:t>
      </w:r>
    </w:p>
    <w:p>
      <w:pPr>
        <w:pStyle w:val="22"/>
      </w:pPr>
      <w:r>
        <w:t>绩效目标:协助上级信访局处理越级上访听证,畅通信访渠道，提高信访事项办理质量和效率,减少信访案件，维护社会和谐稳定；</w:t>
      </w:r>
    </w:p>
    <w:p>
      <w:pPr>
        <w:pStyle w:val="22"/>
      </w:pPr>
      <w:r>
        <w:t>绩效指标：</w:t>
      </w:r>
    </w:p>
    <w:p>
      <w:pPr>
        <w:pStyle w:val="22"/>
      </w:pPr>
      <w:r>
        <w:t>参与信访日常接待和处理信访案件数≥40件。</w:t>
      </w:r>
    </w:p>
    <w:p>
      <w:pPr>
        <w:pStyle w:val="22"/>
      </w:pPr>
      <w:r>
        <w:t>进京赴省到市访下降≥35百分比。</w:t>
      </w:r>
    </w:p>
    <w:p>
      <w:pPr>
        <w:pStyle w:val="22"/>
      </w:pPr>
      <w:r>
        <w:t>（二）维稳工作</w:t>
      </w:r>
    </w:p>
    <w:p>
      <w:pPr>
        <w:pStyle w:val="22"/>
      </w:pPr>
      <w:r>
        <w:t>绩效目标: 处置影响社会政治稳定的各类非访、突发性、群体性事件；组织协调、稳控劝返、服务保障我县越级非访工作。</w:t>
      </w:r>
    </w:p>
    <w:p>
      <w:pPr>
        <w:pStyle w:val="22"/>
      </w:pPr>
      <w:r>
        <w:t>绩效指标：</w:t>
      </w:r>
    </w:p>
    <w:p>
      <w:pPr>
        <w:pStyle w:val="22"/>
      </w:pPr>
      <w:r>
        <w:t>解决特殊疑难信访个案件数≥8件。</w:t>
      </w:r>
    </w:p>
    <w:p>
      <w:pPr>
        <w:pStyle w:val="22"/>
      </w:pPr>
      <w:r>
        <w:t>北京、石家庄、秦皇岛信访值班任务及接劝返工作次数≤147次。</w:t>
      </w:r>
    </w:p>
    <w:p>
      <w:pPr>
        <w:pStyle w:val="22"/>
      </w:pPr>
      <w:r>
        <w:t>（三）工作保障措施</w:t>
      </w:r>
    </w:p>
    <w:p>
      <w:pPr>
        <w:pStyle w:val="22"/>
      </w:pPr>
      <w:r>
        <w:t>1.进一步深入研究我县信访工作历史成因、现状及下一步管控办法，重点完善新时代符合青龙实际、管用的工作新机制，特别是在压实各级责任及考核管理方面，充分调动各方力量积极性；在强化社会治理方面，出台相关制度文件，调动一切积极因素，形成维护社会稳定就是促进社会发展的共识。全党动员，全民动手，切实解决群众合理诉求，做好重大敏感期信访维稳工作，形成全县信访工作强大合力。</w:t>
      </w:r>
    </w:p>
    <w:p>
      <w:pPr>
        <w:pStyle w:val="22"/>
      </w:pPr>
      <w:r>
        <w:t>2.进一步强化信访老案、骨头案、钉子案集中攻坚行动作为信访稳定工作抓手，</w:t>
      </w:r>
      <w:bookmarkStart w:id="19" w:name="_GoBack"/>
      <w:bookmarkEnd w:id="19"/>
      <w:r>
        <w:t>重视解决群众的心里事、烦心事，努力把矛盾问题化解在当地，化解在基层，化解在源头。</w:t>
      </w:r>
    </w:p>
    <w:p>
      <w:pPr>
        <w:pStyle w:val="22"/>
      </w:pPr>
      <w:r>
        <w:t>3.进一步强化初信初访办理工作。针对初信初访化解乏力现象，县联席办按照《关于开展初信初访源头预防有效控制信访增量实施方案》，对乡镇部门的初信初访化解率和息诉率进行考核，做到初信初访化解率达到100%，息诉息访率达到100%，对初信初访结案不及时、息诉息访率低实行倒排通报并上报县联席会议第一召集人。</w:t>
      </w:r>
    </w:p>
    <w:p>
      <w:pPr>
        <w:pStyle w:val="22"/>
      </w:pPr>
      <w:r>
        <w:t>4.进一步强化信访积案攻坚化解工作，提高息诉息访率。所有纳入信访积案攻坚化解的信访案件虽已全部办结，但是息诉息访率较低，县联席办将持续用力，充分利用相关资源，将所有信访积案实现清仓见底。</w:t>
      </w:r>
    </w:p>
    <w:p>
      <w:pPr>
        <w:pStyle w:val="22"/>
      </w:pPr>
      <w:r>
        <w:t>5.进一步强化“大走访、大排查、大攻坚” 活动成为常态化，结合其他中心工作，与群众零距离，密切党群、干群关系，全力做好群众工作，为今后敏感期信访稳定工作打下坚实基础。</w:t>
      </w:r>
    </w:p>
    <w:p>
      <w:pPr>
        <w:pStyle w:val="22"/>
      </w:pPr>
      <w:r>
        <w:t>6.进一步强化“阳光信访、责任信访、法治信访”，加大网上信访办理力度；强化双向治访，加大对信访工作主体责任落实跟踪督办、追责问责力度，对长期缠访、闹访的违法上访行为要依法打击，净化信访环境，规范信访秩序。</w:t>
      </w:r>
    </w:p>
    <w:p>
      <w:pPr>
        <w:spacing w:line="500" w:lineRule="exact"/>
        <w:ind w:firstLine="560"/>
      </w:pPr>
      <w:r>
        <w:rPr>
          <w:rFonts w:eastAsia="方正仿宋_GBK"/>
          <w:color w:val="000000"/>
          <w:sz w:val="28"/>
        </w:rPr>
        <w:t>（二）分项绩效目标</w:t>
      </w:r>
    </w:p>
    <w:p>
      <w:pPr>
        <w:pStyle w:val="23"/>
      </w:pPr>
      <w:r>
        <w:t>（一）信访工作</w:t>
      </w:r>
    </w:p>
    <w:p>
      <w:pPr>
        <w:pStyle w:val="23"/>
      </w:pPr>
      <w:r>
        <w:t>绩效目标:协助上级信访局处理越级上访听证,畅通信访渠道，提高信访事项办理质量和效率,减少信访案件，维护社会和谐稳定；</w:t>
      </w:r>
    </w:p>
    <w:p>
      <w:pPr>
        <w:pStyle w:val="23"/>
      </w:pPr>
      <w:r>
        <w:t>绩效指标：</w:t>
      </w:r>
    </w:p>
    <w:p>
      <w:pPr>
        <w:pStyle w:val="23"/>
      </w:pPr>
      <w:r>
        <w:t>参与信访日常接待和处理信访案件数≥40件。</w:t>
      </w:r>
    </w:p>
    <w:p>
      <w:pPr>
        <w:pStyle w:val="23"/>
      </w:pPr>
      <w:r>
        <w:t>进京赴省到市访下降≥35百分比。</w:t>
      </w:r>
    </w:p>
    <w:p>
      <w:pPr>
        <w:pStyle w:val="23"/>
      </w:pPr>
      <w:r>
        <w:t>（二）维稳工作</w:t>
      </w:r>
    </w:p>
    <w:p>
      <w:pPr>
        <w:pStyle w:val="23"/>
      </w:pPr>
      <w:r>
        <w:t>绩效目标: 处置影响社会政治稳定的各类非访、突发性、群体性事件；组织协调、稳控劝返、服务保障我县越级非访工作。</w:t>
      </w:r>
    </w:p>
    <w:p>
      <w:pPr>
        <w:pStyle w:val="23"/>
      </w:pPr>
      <w:r>
        <w:t>绩效指标：</w:t>
      </w:r>
    </w:p>
    <w:p>
      <w:pPr>
        <w:pStyle w:val="23"/>
      </w:pPr>
      <w:r>
        <w:t>解决特殊疑难信访个案件数≥8件。</w:t>
      </w:r>
    </w:p>
    <w:p>
      <w:pPr>
        <w:pStyle w:val="23"/>
      </w:pPr>
      <w:r>
        <w:t>北京、石家庄、秦皇岛信访值班任务及接劝返工作次数≤147次。</w:t>
      </w:r>
    </w:p>
    <w:p>
      <w:pPr>
        <w:spacing w:line="500" w:lineRule="exact"/>
        <w:ind w:firstLine="560"/>
      </w:pPr>
      <w:r>
        <w:rPr>
          <w:rFonts w:eastAsia="方正仿宋_GBK"/>
          <w:color w:val="000000"/>
          <w:sz w:val="28"/>
        </w:rPr>
        <w:t>（三）工作保障措施</w:t>
      </w:r>
    </w:p>
    <w:p>
      <w:pPr>
        <w:pStyle w:val="24"/>
      </w:pPr>
      <w:r>
        <w:t>1.进一步深入研究我县信访工作历史成因、现状及下一步管控办法，重点完善新时代符合青龙实际、管用的工作新机制，特别是在压实各级责任及考核管理方面，充分调动各方力量积极性；在强化社会治理方面，出台相关制度文件，调动一切积极因素，形成维护社会稳定就是促进社会发展的共识。全党动员，全民动手，切实解决群众合理诉求，做好重大敏感期信访维稳工作，形成全县信访工作强大合力。</w:t>
      </w:r>
    </w:p>
    <w:p>
      <w:pPr>
        <w:pStyle w:val="24"/>
      </w:pPr>
      <w:r>
        <w:t>2.进一步强化信访老案、骨头案、钉子案集中攻坚行动作为信访稳定工作抓手，重视解决群众的心里事、烦心事，努力把矛盾问题化解在当地，化解在基层，化解在源头。</w:t>
      </w:r>
    </w:p>
    <w:p>
      <w:pPr>
        <w:pStyle w:val="24"/>
      </w:pPr>
      <w:r>
        <w:t>3.进一步强化初信初访办理工作。针对初信初访化解乏力现象，县联席办按照《关于开展初信初访源头预防有效控制信访增量实施方案》，对乡镇部门的初信初访化解率和息诉率进行考核，做到初信初访化解率达到100%，息诉息访率达到100%，对初信初访结案不及时、息诉息访率低实行倒排通报并上报县联席会议第一召集人。</w:t>
      </w:r>
    </w:p>
    <w:p>
      <w:pPr>
        <w:pStyle w:val="24"/>
      </w:pPr>
      <w:r>
        <w:t>4.进一步强化信访积案攻坚化解工作，提高息诉息访率。所有纳入信访积案攻坚化解的信访案件虽已全部办结，但是息诉息访率较低，县联席办将持续用力，充分利用相关资源，将所有信访积案实现清仓见底。</w:t>
      </w:r>
    </w:p>
    <w:p>
      <w:pPr>
        <w:pStyle w:val="24"/>
      </w:pPr>
      <w:r>
        <w:t>5.进一步强化“大走访、大排查、大攻坚” 活动成为常态化，结合其他中心工作，与群众零距离，密切党群、干群关系，全力做好群众工作，为今后敏感期信访稳定工作打下坚实基础。</w:t>
      </w:r>
    </w:p>
    <w:p>
      <w:pPr>
        <w:pStyle w:val="24"/>
        <w:sectPr>
          <w:pgSz w:w="16840" w:h="11900" w:orient="landscape"/>
          <w:pgMar w:top="1361" w:right="1020" w:bottom="1361" w:left="1020" w:header="720" w:footer="720" w:gutter="0"/>
          <w:cols w:space="720" w:num="1"/>
        </w:sectPr>
      </w:pPr>
      <w:r>
        <w:t>6.进一步强化“阳光信访、责任信访、法治信访”，加大网上信访办理力度；强化双向治访，加大对信访工作主体责任落实跟踪督办、追责问责力度，对长期缠访、闹访的违法上访行为要依法打击，净化信访环境，规范信访秩序。</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3" w:name="_Toc_3_3_0000000015"/>
      <w:r>
        <w:rPr>
          <w:rFonts w:ascii="黑体" w:hAnsi="黑体" w:eastAsia="黑体" w:cs="黑体"/>
          <w:color w:val="000000"/>
          <w:sz w:val="32"/>
        </w:rPr>
        <w:t>六、部门主管专项资金预算安排情况及绩效目标</w:t>
      </w:r>
      <w:bookmarkEnd w:id="13"/>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6"/>
      <w:r>
        <w:rPr>
          <w:rFonts w:ascii="黑体" w:hAnsi="黑体" w:eastAsia="黑体" w:cs="黑体"/>
          <w:color w:val="000000"/>
          <w:sz w:val="32"/>
        </w:rPr>
        <w:t>七、部门项目预算安排情况及绩效目标</w:t>
      </w:r>
      <w:bookmarkEnd w:id="14"/>
    </w:p>
    <w:p>
      <w:pPr>
        <w:ind w:firstLine="560"/>
      </w:pPr>
      <w:r>
        <w:rPr>
          <w:rFonts w:ascii="方正仿宋_GBK" w:hAnsi="方正仿宋_GBK" w:eastAsia="方正仿宋_GBK" w:cs="方正仿宋_GBK"/>
          <w:color w:val="000000"/>
          <w:sz w:val="28"/>
        </w:rPr>
        <w:t>1、群众工作中心聘用法律服务费绩效目标表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13032126P003337100541</w:t>
            </w:r>
          </w:p>
        </w:tc>
        <w:tc>
          <w:tcPr>
            <w:tcW w:w="2835" w:type="dxa"/>
            <w:vAlign w:val="center"/>
          </w:tcPr>
          <w:p>
            <w:pPr>
              <w:pStyle w:val="11"/>
            </w:pPr>
            <w:r>
              <w:t>项目名称</w:t>
            </w:r>
          </w:p>
        </w:tc>
        <w:tc>
          <w:tcPr>
            <w:tcW w:w="6095" w:type="dxa"/>
            <w:gridSpan w:val="3"/>
            <w:vAlign w:val="center"/>
          </w:tcPr>
          <w:p>
            <w:pPr>
              <w:pStyle w:val="13"/>
            </w:pPr>
            <w:r>
              <w:t>群众工作中心聘用法律服务费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该项目资金总额1万元，其中财政资金1万元，主要用于群众工作中心聘用法律服务费。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1.通过促进案件化解率的提升，提高依法决策水平，提升政府公信力，推动法治政府建设。</w:t>
            </w:r>
          </w:p>
          <w:p>
            <w:pPr>
              <w:pStyle w:val="13"/>
            </w:pPr>
            <w:r>
              <w:t>2.通过聘请专业的法律服务并发挥律师专业优势，实现重大政策与法律法规的有效衔接。</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律师人数</w:t>
            </w:r>
          </w:p>
        </w:tc>
        <w:tc>
          <w:tcPr>
            <w:tcW w:w="5386" w:type="dxa"/>
            <w:vAlign w:val="center"/>
          </w:tcPr>
          <w:p>
            <w:pPr>
              <w:pStyle w:val="13"/>
            </w:pPr>
            <w:r>
              <w:t>聘请律师参与信访案件</w:t>
            </w:r>
          </w:p>
        </w:tc>
        <w:tc>
          <w:tcPr>
            <w:tcW w:w="2268" w:type="dxa"/>
            <w:vAlign w:val="center"/>
          </w:tcPr>
          <w:p>
            <w:pPr>
              <w:pStyle w:val="13"/>
            </w:pPr>
            <w:r>
              <w:t>1人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信访案件数量</w:t>
            </w:r>
          </w:p>
        </w:tc>
        <w:tc>
          <w:tcPr>
            <w:tcW w:w="5386" w:type="dxa"/>
            <w:vAlign w:val="center"/>
          </w:tcPr>
          <w:p>
            <w:pPr>
              <w:pStyle w:val="13"/>
            </w:pPr>
            <w:r>
              <w:t>参与信访日常接待和处理信访案件数</w:t>
            </w:r>
          </w:p>
        </w:tc>
        <w:tc>
          <w:tcPr>
            <w:tcW w:w="2268" w:type="dxa"/>
            <w:vAlign w:val="center"/>
          </w:tcPr>
          <w:p>
            <w:pPr>
              <w:pStyle w:val="13"/>
            </w:pPr>
            <w:r>
              <w:t>≥40次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参与信访案件听证率</w:t>
            </w:r>
          </w:p>
        </w:tc>
        <w:tc>
          <w:tcPr>
            <w:tcW w:w="5386" w:type="dxa"/>
            <w:vAlign w:val="center"/>
          </w:tcPr>
          <w:p>
            <w:pPr>
              <w:pStyle w:val="13"/>
            </w:pPr>
            <w:r>
              <w:t>听证的信访案件占信访总案件的比率</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涉法涉诉信访案件参与率</w:t>
            </w:r>
          </w:p>
        </w:tc>
        <w:tc>
          <w:tcPr>
            <w:tcW w:w="5386" w:type="dxa"/>
            <w:vAlign w:val="center"/>
          </w:tcPr>
          <w:p>
            <w:pPr>
              <w:pStyle w:val="13"/>
            </w:pPr>
            <w:r>
              <w:t>参与涉法涉诉信访案件占信访案件的比率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法律服务及时性</w:t>
            </w:r>
          </w:p>
        </w:tc>
        <w:tc>
          <w:tcPr>
            <w:tcW w:w="5386" w:type="dxa"/>
            <w:vAlign w:val="center"/>
          </w:tcPr>
          <w:p>
            <w:pPr>
              <w:pStyle w:val="13"/>
            </w:pPr>
            <w:r>
              <w:t>按合同约定及工作计划需要提供法律服务</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律师服务费</w:t>
            </w:r>
          </w:p>
        </w:tc>
        <w:tc>
          <w:tcPr>
            <w:tcW w:w="5386" w:type="dxa"/>
            <w:vAlign w:val="center"/>
          </w:tcPr>
          <w:p>
            <w:pPr>
              <w:pStyle w:val="13"/>
            </w:pPr>
            <w:r>
              <w:t>反映支付给律师的服务费用</w:t>
            </w:r>
          </w:p>
        </w:tc>
        <w:tc>
          <w:tcPr>
            <w:tcW w:w="2268" w:type="dxa"/>
            <w:vAlign w:val="center"/>
          </w:tcPr>
          <w:p>
            <w:pPr>
              <w:pStyle w:val="13"/>
            </w:pPr>
            <w:r>
              <w:t>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提高息诉息访率</w:t>
            </w:r>
          </w:p>
        </w:tc>
        <w:tc>
          <w:tcPr>
            <w:tcW w:w="5386" w:type="dxa"/>
            <w:vAlign w:val="center"/>
          </w:tcPr>
          <w:p>
            <w:pPr>
              <w:pStyle w:val="13"/>
            </w:pPr>
            <w:r>
              <w:t>对参与信访日常接待和处理信访案件息诉息访率提高</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减少差旅费</w:t>
            </w:r>
          </w:p>
        </w:tc>
        <w:tc>
          <w:tcPr>
            <w:tcW w:w="5386" w:type="dxa"/>
            <w:vAlign w:val="center"/>
          </w:tcPr>
          <w:p>
            <w:pPr>
              <w:pStyle w:val="13"/>
            </w:pPr>
            <w:r>
              <w:t>通过律师参与接访，减少到北京石家庄等地接访费用</w:t>
            </w:r>
          </w:p>
        </w:tc>
        <w:tc>
          <w:tcPr>
            <w:tcW w:w="2268" w:type="dxa"/>
            <w:vAlign w:val="center"/>
          </w:tcPr>
          <w:p>
            <w:pPr>
              <w:pStyle w:val="13"/>
            </w:pPr>
            <w:r>
              <w:t>≤1万元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律师参与的信访案件群众满意度</w:t>
            </w:r>
          </w:p>
        </w:tc>
        <w:tc>
          <w:tcPr>
            <w:tcW w:w="2268" w:type="dxa"/>
            <w:vAlign w:val="center"/>
          </w:tcPr>
          <w:p>
            <w:pPr>
              <w:pStyle w:val="13"/>
            </w:pPr>
            <w:r>
              <w:t>≥85%</w:t>
            </w:r>
          </w:p>
        </w:tc>
        <w:tc>
          <w:tcPr>
            <w:tcW w:w="1276" w:type="dxa"/>
            <w:vAlign w:val="center"/>
          </w:tcPr>
          <w:p>
            <w:pPr>
              <w:pStyle w:val="13"/>
            </w:pPr>
            <w:r>
              <w:t>年初工作计划</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2、群众工作中心运行经费绩效目标表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13032126P00333710053D</w:t>
            </w:r>
          </w:p>
        </w:tc>
        <w:tc>
          <w:tcPr>
            <w:tcW w:w="2835" w:type="dxa"/>
            <w:vAlign w:val="center"/>
          </w:tcPr>
          <w:p>
            <w:pPr>
              <w:pStyle w:val="11"/>
            </w:pPr>
            <w:r>
              <w:t>项目名称</w:t>
            </w:r>
          </w:p>
        </w:tc>
        <w:tc>
          <w:tcPr>
            <w:tcW w:w="6095" w:type="dxa"/>
            <w:gridSpan w:val="3"/>
            <w:vAlign w:val="center"/>
          </w:tcPr>
          <w:p>
            <w:pPr>
              <w:pStyle w:val="13"/>
            </w:pPr>
            <w:r>
              <w:t>群众工作中心运行经费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w:t>
            </w:r>
          </w:p>
        </w:tc>
        <w:tc>
          <w:tcPr>
            <w:tcW w:w="2835" w:type="dxa"/>
            <w:vAlign w:val="center"/>
          </w:tcPr>
          <w:p>
            <w:pPr>
              <w:pStyle w:val="11"/>
            </w:pPr>
            <w:r>
              <w:t>其中：财政    资金</w:t>
            </w:r>
          </w:p>
        </w:tc>
        <w:tc>
          <w:tcPr>
            <w:tcW w:w="2551" w:type="dxa"/>
            <w:vAlign w:val="center"/>
          </w:tcPr>
          <w:p>
            <w:pPr>
              <w:pStyle w:val="13"/>
            </w:pPr>
            <w:r>
              <w:t>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该项目资金总额3.2万元，其中财政资金3.2万元，主要用于群众工作中心门卫保安工资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1.通过处理一般性群众来访工作，促进社会稳定和谐。</w:t>
            </w:r>
            <w:r>
              <w:tab/>
            </w:r>
          </w:p>
          <w:p>
            <w:pPr>
              <w:pStyle w:val="13"/>
            </w:pPr>
            <w:r>
              <w:t>2.通过拓展和延伸群众工作职能，着力打造群众工作新平台，构建我县信访工作新格局。</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办公设备数量</w:t>
            </w:r>
          </w:p>
        </w:tc>
        <w:tc>
          <w:tcPr>
            <w:tcW w:w="5386" w:type="dxa"/>
            <w:vAlign w:val="center"/>
          </w:tcPr>
          <w:p>
            <w:pPr>
              <w:pStyle w:val="13"/>
            </w:pPr>
            <w:r>
              <w:t>群众工作中心办公设备套数</w:t>
            </w:r>
          </w:p>
        </w:tc>
        <w:tc>
          <w:tcPr>
            <w:tcW w:w="2268" w:type="dxa"/>
            <w:vAlign w:val="center"/>
          </w:tcPr>
          <w:p>
            <w:pPr>
              <w:pStyle w:val="13"/>
            </w:pPr>
            <w:r>
              <w:t>≥1套</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支付工资人数</w:t>
            </w:r>
          </w:p>
        </w:tc>
        <w:tc>
          <w:tcPr>
            <w:tcW w:w="5386" w:type="dxa"/>
            <w:vAlign w:val="center"/>
          </w:tcPr>
          <w:p>
            <w:pPr>
              <w:pStyle w:val="13"/>
            </w:pPr>
            <w:r>
              <w:t>支付保安门卫工资</w:t>
            </w:r>
          </w:p>
        </w:tc>
        <w:tc>
          <w:tcPr>
            <w:tcW w:w="2268" w:type="dxa"/>
            <w:vAlign w:val="center"/>
          </w:tcPr>
          <w:p>
            <w:pPr>
              <w:pStyle w:val="13"/>
            </w:pPr>
            <w:r>
              <w:t>≥2人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设备运行率</w:t>
            </w:r>
          </w:p>
        </w:tc>
        <w:tc>
          <w:tcPr>
            <w:tcW w:w="5386" w:type="dxa"/>
            <w:vAlign w:val="center"/>
          </w:tcPr>
          <w:p>
            <w:pPr>
              <w:pStyle w:val="13"/>
            </w:pPr>
            <w:r>
              <w:t>设备正常运行率</w:t>
            </w:r>
          </w:p>
        </w:tc>
        <w:tc>
          <w:tcPr>
            <w:tcW w:w="2268" w:type="dxa"/>
            <w:vAlign w:val="center"/>
          </w:tcPr>
          <w:p>
            <w:pPr>
              <w:pStyle w:val="13"/>
            </w:pPr>
            <w:r>
              <w:t>≥98%</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人员出勤率</w:t>
            </w:r>
          </w:p>
        </w:tc>
        <w:tc>
          <w:tcPr>
            <w:tcW w:w="5386" w:type="dxa"/>
            <w:vAlign w:val="center"/>
          </w:tcPr>
          <w:p>
            <w:pPr>
              <w:pStyle w:val="13"/>
            </w:pPr>
            <w:r>
              <w:t>保安、门卫人员月出勤率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工资支付及时性</w:t>
            </w:r>
          </w:p>
        </w:tc>
        <w:tc>
          <w:tcPr>
            <w:tcW w:w="5386" w:type="dxa"/>
            <w:vAlign w:val="center"/>
          </w:tcPr>
          <w:p>
            <w:pPr>
              <w:pStyle w:val="13"/>
            </w:pPr>
            <w:r>
              <w:t>反映工资支付的及时性</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保安、门卫工资成本</w:t>
            </w:r>
          </w:p>
        </w:tc>
        <w:tc>
          <w:tcPr>
            <w:tcW w:w="5386" w:type="dxa"/>
            <w:vAlign w:val="center"/>
          </w:tcPr>
          <w:p>
            <w:pPr>
              <w:pStyle w:val="13"/>
            </w:pPr>
            <w:r>
              <w:t>保安门卫一年的工资成本</w:t>
            </w:r>
          </w:p>
        </w:tc>
        <w:tc>
          <w:tcPr>
            <w:tcW w:w="2268" w:type="dxa"/>
            <w:vAlign w:val="center"/>
          </w:tcPr>
          <w:p>
            <w:pPr>
              <w:pStyle w:val="13"/>
            </w:pPr>
            <w:r>
              <w:t>≤3万元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办公费成本</w:t>
            </w:r>
          </w:p>
        </w:tc>
        <w:tc>
          <w:tcPr>
            <w:tcW w:w="5386" w:type="dxa"/>
            <w:vAlign w:val="center"/>
          </w:tcPr>
          <w:p>
            <w:pPr>
              <w:pStyle w:val="13"/>
            </w:pPr>
            <w:r>
              <w:t>群众工作中心运行中耗材，办公费等</w:t>
            </w:r>
          </w:p>
        </w:tc>
        <w:tc>
          <w:tcPr>
            <w:tcW w:w="2268" w:type="dxa"/>
            <w:vAlign w:val="center"/>
          </w:tcPr>
          <w:p>
            <w:pPr>
              <w:pStyle w:val="13"/>
            </w:pPr>
            <w:r>
              <w:t>≤0.2万元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接待率</w:t>
            </w:r>
          </w:p>
        </w:tc>
        <w:tc>
          <w:tcPr>
            <w:tcW w:w="5386" w:type="dxa"/>
            <w:vAlign w:val="center"/>
          </w:tcPr>
          <w:p>
            <w:pPr>
              <w:pStyle w:val="13"/>
            </w:pPr>
            <w:r>
              <w:t>做到群众来访全部接待</w:t>
            </w:r>
          </w:p>
        </w:tc>
        <w:tc>
          <w:tcPr>
            <w:tcW w:w="2268" w:type="dxa"/>
            <w:vAlign w:val="center"/>
          </w:tcPr>
          <w:p>
            <w:pPr>
              <w:pStyle w:val="13"/>
            </w:pPr>
            <w:r>
              <w:t>≥99%</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维护正常办公秩序</w:t>
            </w:r>
          </w:p>
        </w:tc>
        <w:tc>
          <w:tcPr>
            <w:tcW w:w="5386" w:type="dxa"/>
            <w:vAlign w:val="center"/>
          </w:tcPr>
          <w:p>
            <w:pPr>
              <w:pStyle w:val="13"/>
            </w:pPr>
            <w:r>
              <w:t>维护群众工作中心正常办公秩序</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≥85%</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3、特殊疑难信访问题救助资金县级配套绩效目标表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13032125P00333710003K</w:t>
            </w:r>
          </w:p>
        </w:tc>
        <w:tc>
          <w:tcPr>
            <w:tcW w:w="2835" w:type="dxa"/>
            <w:vAlign w:val="center"/>
          </w:tcPr>
          <w:p>
            <w:pPr>
              <w:pStyle w:val="11"/>
            </w:pPr>
            <w:r>
              <w:t>项目名称</w:t>
            </w:r>
          </w:p>
        </w:tc>
        <w:tc>
          <w:tcPr>
            <w:tcW w:w="6095" w:type="dxa"/>
            <w:gridSpan w:val="3"/>
            <w:vAlign w:val="center"/>
          </w:tcPr>
          <w:p>
            <w:pPr>
              <w:pStyle w:val="13"/>
            </w:pPr>
            <w:r>
              <w:t>特殊疑难信访问题救助资金县级配套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项目资金共1.8万元，其中财政资金1.8万元，主要用于解决特殊疑难信访问题，促进信访事项案件化解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1.通过化解矛盾、疏导教育等多种措施相结合，达到“案结事了”，息诉罢访。</w:t>
            </w:r>
          </w:p>
          <w:p>
            <w:pPr>
              <w:pStyle w:val="13"/>
            </w:pPr>
            <w:r>
              <w:t>2.通过对特殊疑难信访个案有实际困难的当事人给予求助，维护社会稳定。</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解决特殊疑难信访个案</w:t>
            </w:r>
          </w:p>
        </w:tc>
        <w:tc>
          <w:tcPr>
            <w:tcW w:w="5386" w:type="dxa"/>
            <w:vAlign w:val="center"/>
          </w:tcPr>
          <w:p>
            <w:pPr>
              <w:pStyle w:val="13"/>
            </w:pPr>
            <w:r>
              <w:t>年内解决了特殊疑难信访个案件数</w:t>
            </w:r>
          </w:p>
        </w:tc>
        <w:tc>
          <w:tcPr>
            <w:tcW w:w="2268" w:type="dxa"/>
            <w:vAlign w:val="center"/>
          </w:tcPr>
          <w:p>
            <w:pPr>
              <w:pStyle w:val="13"/>
            </w:pPr>
            <w:r>
              <w:t>≥2件</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特殊疑难信访个案息诉罢访率</w:t>
            </w:r>
          </w:p>
        </w:tc>
        <w:tc>
          <w:tcPr>
            <w:tcW w:w="5386" w:type="dxa"/>
            <w:vAlign w:val="center"/>
          </w:tcPr>
          <w:p>
            <w:pPr>
              <w:pStyle w:val="13"/>
            </w:pPr>
            <w:r>
              <w:t>特殊疑难信访个案息诉罢访数占疑难个案总数的比率</w:t>
            </w:r>
          </w:p>
        </w:tc>
        <w:tc>
          <w:tcPr>
            <w:tcW w:w="2268" w:type="dxa"/>
            <w:vAlign w:val="center"/>
          </w:tcPr>
          <w:p>
            <w:pPr>
              <w:pStyle w:val="13"/>
            </w:pPr>
            <w:r>
              <w:t>≥95%</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特殊疑难信访救助金核实精准率</w:t>
            </w:r>
          </w:p>
        </w:tc>
        <w:tc>
          <w:tcPr>
            <w:tcW w:w="5386" w:type="dxa"/>
            <w:vAlign w:val="center"/>
          </w:tcPr>
          <w:p>
            <w:pPr>
              <w:pStyle w:val="13"/>
            </w:pPr>
            <w:r>
              <w:t>对特殊疑难信访人员需救助真实情况进行核实</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救助金发放准确率</w:t>
            </w:r>
          </w:p>
        </w:tc>
        <w:tc>
          <w:tcPr>
            <w:tcW w:w="5386" w:type="dxa"/>
            <w:vAlign w:val="center"/>
          </w:tcPr>
          <w:p>
            <w:pPr>
              <w:pStyle w:val="13"/>
            </w:pPr>
            <w:r>
              <w:t>救助金银行转账支付</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救助资金发放时间</w:t>
            </w:r>
          </w:p>
        </w:tc>
        <w:tc>
          <w:tcPr>
            <w:tcW w:w="5386" w:type="dxa"/>
            <w:vAlign w:val="center"/>
          </w:tcPr>
          <w:p>
            <w:pPr>
              <w:pStyle w:val="13"/>
            </w:pPr>
            <w:r>
              <w:t>救助资金即时发放，申请批准日期三个月之内</w:t>
            </w:r>
          </w:p>
        </w:tc>
        <w:tc>
          <w:tcPr>
            <w:tcW w:w="2268" w:type="dxa"/>
            <w:vAlign w:val="center"/>
          </w:tcPr>
          <w:p>
            <w:pPr>
              <w:pStyle w:val="13"/>
            </w:pPr>
            <w:r>
              <w:t>3月</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救助资金标准</w:t>
            </w:r>
          </w:p>
        </w:tc>
        <w:tc>
          <w:tcPr>
            <w:tcW w:w="5386" w:type="dxa"/>
            <w:vAlign w:val="center"/>
          </w:tcPr>
          <w:p>
            <w:pPr>
              <w:pStyle w:val="13"/>
            </w:pPr>
            <w:r>
              <w:t>根据实际情况5000-50000</w:t>
            </w:r>
          </w:p>
        </w:tc>
        <w:tc>
          <w:tcPr>
            <w:tcW w:w="2268" w:type="dxa"/>
            <w:vAlign w:val="center"/>
          </w:tcPr>
          <w:p>
            <w:pPr>
              <w:pStyle w:val="13"/>
            </w:pPr>
            <w:r>
              <w:t>≤1万元</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特殊疑难信访人员救助率（%）</w:t>
            </w:r>
          </w:p>
        </w:tc>
        <w:tc>
          <w:tcPr>
            <w:tcW w:w="5386" w:type="dxa"/>
            <w:vAlign w:val="center"/>
          </w:tcPr>
          <w:p>
            <w:pPr>
              <w:pStyle w:val="13"/>
            </w:pPr>
            <w:r>
              <w:t>特殊疑难信访个案救助比例</w:t>
            </w:r>
          </w:p>
        </w:tc>
        <w:tc>
          <w:tcPr>
            <w:tcW w:w="2268" w:type="dxa"/>
            <w:vAlign w:val="center"/>
          </w:tcPr>
          <w:p>
            <w:pPr>
              <w:pStyle w:val="13"/>
            </w:pPr>
            <w:r>
              <w:t>≥10%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化解信访案件，维护社会稳定</w:t>
            </w:r>
          </w:p>
        </w:tc>
        <w:tc>
          <w:tcPr>
            <w:tcW w:w="2268" w:type="dxa"/>
            <w:vAlign w:val="center"/>
          </w:tcPr>
          <w:p>
            <w:pPr>
              <w:pStyle w:val="13"/>
            </w:pPr>
            <w:r>
              <w:t>&gt;100%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问卷调查，满意的占调查总数的比例</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4、特殊疑难信访问题救助资金县级配套绩效目标表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13032126P00333710052R</w:t>
            </w:r>
          </w:p>
        </w:tc>
        <w:tc>
          <w:tcPr>
            <w:tcW w:w="2835" w:type="dxa"/>
            <w:vAlign w:val="center"/>
          </w:tcPr>
          <w:p>
            <w:pPr>
              <w:pStyle w:val="11"/>
            </w:pPr>
            <w:r>
              <w:t>项目名称</w:t>
            </w:r>
          </w:p>
        </w:tc>
        <w:tc>
          <w:tcPr>
            <w:tcW w:w="6095" w:type="dxa"/>
            <w:gridSpan w:val="3"/>
            <w:vAlign w:val="center"/>
          </w:tcPr>
          <w:p>
            <w:pPr>
              <w:pStyle w:val="13"/>
            </w:pPr>
            <w:r>
              <w:t>特殊疑难信访问题救助资金县级配套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该项目资金总额为10万元，其中财政资金10万元，主要用于解决特殊疑难信访问题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1.通过对特殊疑难信访个案有实际困难的当事人给予求助，维护社会稳定。</w:t>
            </w:r>
            <w:r>
              <w:tab/>
            </w:r>
            <w:r>
              <w:tab/>
            </w:r>
            <w:r>
              <w:tab/>
            </w:r>
            <w:r>
              <w:tab/>
            </w:r>
            <w:r>
              <w:tab/>
            </w:r>
            <w:r>
              <w:tab/>
            </w:r>
          </w:p>
          <w:p>
            <w:pPr>
              <w:pStyle w:val="13"/>
            </w:pPr>
            <w:r>
              <w:t>2.通过化解矛盾、疏导教育等多种措施相结合，达到“案结事了”，息诉罢访。</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解决特殊疑难信访个案</w:t>
            </w:r>
          </w:p>
        </w:tc>
        <w:tc>
          <w:tcPr>
            <w:tcW w:w="5386" w:type="dxa"/>
            <w:vAlign w:val="center"/>
          </w:tcPr>
          <w:p>
            <w:pPr>
              <w:pStyle w:val="13"/>
            </w:pPr>
            <w:r>
              <w:t>年内解决了特殊疑难信访个案件数</w:t>
            </w:r>
          </w:p>
        </w:tc>
        <w:tc>
          <w:tcPr>
            <w:tcW w:w="2268" w:type="dxa"/>
            <w:vAlign w:val="center"/>
          </w:tcPr>
          <w:p>
            <w:pPr>
              <w:pStyle w:val="13"/>
            </w:pPr>
            <w:r>
              <w:t>≥10件</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特殊疑难信访个案息诉罢访率</w:t>
            </w:r>
          </w:p>
        </w:tc>
        <w:tc>
          <w:tcPr>
            <w:tcW w:w="5386" w:type="dxa"/>
            <w:vAlign w:val="center"/>
          </w:tcPr>
          <w:p>
            <w:pPr>
              <w:pStyle w:val="13"/>
            </w:pPr>
            <w:r>
              <w:t>特殊疑难信访个案息诉罢访数占疑难个案总数的比率</w:t>
            </w:r>
          </w:p>
        </w:tc>
        <w:tc>
          <w:tcPr>
            <w:tcW w:w="2268" w:type="dxa"/>
            <w:vAlign w:val="center"/>
          </w:tcPr>
          <w:p>
            <w:pPr>
              <w:pStyle w:val="13"/>
            </w:pPr>
            <w:r>
              <w:t>≥95%</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特殊疑难信访救助金核实精准率</w:t>
            </w:r>
          </w:p>
        </w:tc>
        <w:tc>
          <w:tcPr>
            <w:tcW w:w="5386" w:type="dxa"/>
            <w:vAlign w:val="center"/>
          </w:tcPr>
          <w:p>
            <w:pPr>
              <w:pStyle w:val="13"/>
            </w:pPr>
            <w:r>
              <w:t>对特殊疑难信访人员需救助真实情况进行核实</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救助金发放准确率</w:t>
            </w:r>
          </w:p>
        </w:tc>
        <w:tc>
          <w:tcPr>
            <w:tcW w:w="5386" w:type="dxa"/>
            <w:vAlign w:val="center"/>
          </w:tcPr>
          <w:p>
            <w:pPr>
              <w:pStyle w:val="13"/>
            </w:pPr>
            <w:r>
              <w:t>救助金银行转账支付</w:t>
            </w:r>
          </w:p>
        </w:tc>
        <w:tc>
          <w:tcPr>
            <w:tcW w:w="2268" w:type="dxa"/>
            <w:vAlign w:val="center"/>
          </w:tcPr>
          <w:p>
            <w:pPr>
              <w:pStyle w:val="13"/>
            </w:pPr>
            <w:r>
              <w:t>100%</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救助资金发放时间</w:t>
            </w:r>
          </w:p>
        </w:tc>
        <w:tc>
          <w:tcPr>
            <w:tcW w:w="5386" w:type="dxa"/>
            <w:vAlign w:val="center"/>
          </w:tcPr>
          <w:p>
            <w:pPr>
              <w:pStyle w:val="13"/>
            </w:pPr>
            <w:r>
              <w:t>救助资金即时发放，申请批准日期三个月之内</w:t>
            </w:r>
          </w:p>
        </w:tc>
        <w:tc>
          <w:tcPr>
            <w:tcW w:w="2268" w:type="dxa"/>
            <w:vAlign w:val="center"/>
          </w:tcPr>
          <w:p>
            <w:pPr>
              <w:pStyle w:val="13"/>
            </w:pPr>
            <w:r>
              <w:t>≤3月</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救助资金标准</w:t>
            </w:r>
          </w:p>
        </w:tc>
        <w:tc>
          <w:tcPr>
            <w:tcW w:w="5386" w:type="dxa"/>
            <w:vAlign w:val="center"/>
          </w:tcPr>
          <w:p>
            <w:pPr>
              <w:pStyle w:val="13"/>
            </w:pPr>
            <w:r>
              <w:t>每件信访案件根据实际情况不大于1万</w:t>
            </w:r>
          </w:p>
        </w:tc>
        <w:tc>
          <w:tcPr>
            <w:tcW w:w="2268" w:type="dxa"/>
            <w:vAlign w:val="center"/>
          </w:tcPr>
          <w:p>
            <w:pPr>
              <w:pStyle w:val="13"/>
            </w:pPr>
            <w:r>
              <w:t>≤1万元</w:t>
            </w:r>
          </w:p>
        </w:tc>
        <w:tc>
          <w:tcPr>
            <w:tcW w:w="1276" w:type="dxa"/>
            <w:vAlign w:val="center"/>
          </w:tcPr>
          <w:p>
            <w:pPr>
              <w:pStyle w:val="13"/>
            </w:pPr>
            <w:r>
              <w:t>解决特殊疑难信访问题专项资金管理暂行办法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特殊疑难信访人员救助率（%）</w:t>
            </w:r>
          </w:p>
        </w:tc>
        <w:tc>
          <w:tcPr>
            <w:tcW w:w="5386" w:type="dxa"/>
            <w:vAlign w:val="center"/>
          </w:tcPr>
          <w:p>
            <w:pPr>
              <w:pStyle w:val="13"/>
            </w:pPr>
            <w:r>
              <w:t>特殊疑难信访个案救助比例</w:t>
            </w:r>
          </w:p>
        </w:tc>
        <w:tc>
          <w:tcPr>
            <w:tcW w:w="2268" w:type="dxa"/>
            <w:vAlign w:val="center"/>
          </w:tcPr>
          <w:p>
            <w:pPr>
              <w:pStyle w:val="13"/>
            </w:pPr>
            <w:r>
              <w:t>≥10%</w:t>
            </w:r>
          </w:p>
        </w:tc>
        <w:tc>
          <w:tcPr>
            <w:tcW w:w="1276" w:type="dxa"/>
            <w:vAlign w:val="center"/>
          </w:tcPr>
          <w:p>
            <w:pPr>
              <w:pStyle w:val="13"/>
            </w:pPr>
            <w:r>
              <w:t>解决特殊疑难信访问题专项资金管理暂行办法</w:t>
            </w:r>
          </w:p>
          <w:p>
            <w:pPr>
              <w:pStyle w:val="13"/>
            </w:pPr>
            <w:r>
              <w:t>解决特殊疑难信访问题专项资金管理暂行办法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化解信访案件，维护社会稳定</w:t>
            </w:r>
          </w:p>
        </w:tc>
        <w:tc>
          <w:tcPr>
            <w:tcW w:w="2268" w:type="dxa"/>
            <w:vAlign w:val="center"/>
          </w:tcPr>
          <w:p>
            <w:pPr>
              <w:pStyle w:val="13"/>
            </w:pPr>
            <w:r>
              <w:t>≥90%</w:t>
            </w:r>
          </w:p>
        </w:tc>
        <w:tc>
          <w:tcPr>
            <w:tcW w:w="1276" w:type="dxa"/>
            <w:vAlign w:val="center"/>
          </w:tcPr>
          <w:p>
            <w:pPr>
              <w:pStyle w:val="13"/>
            </w:pPr>
            <w:r>
              <w:t>解决特殊疑难信访问题专项资金管理暂行办法</w:t>
            </w:r>
          </w:p>
          <w:p>
            <w:pPr>
              <w:pStyle w:val="13"/>
            </w:pPr>
            <w:r>
              <w:t>解决特殊疑难信访问题专项资金管理暂行办法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通过问卷调查，满意的受资助信访对象占所有调查对象的比例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13032125P00333710001C</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22.35</w:t>
            </w:r>
          </w:p>
        </w:tc>
        <w:tc>
          <w:tcPr>
            <w:tcW w:w="2835" w:type="dxa"/>
            <w:vAlign w:val="center"/>
          </w:tcPr>
          <w:p>
            <w:pPr>
              <w:pStyle w:val="11"/>
            </w:pPr>
            <w:r>
              <w:t>其中：财政    资金</w:t>
            </w:r>
          </w:p>
        </w:tc>
        <w:tc>
          <w:tcPr>
            <w:tcW w:w="2551" w:type="dxa"/>
            <w:vAlign w:val="center"/>
          </w:tcPr>
          <w:p>
            <w:pPr>
              <w:pStyle w:val="13"/>
            </w:pPr>
            <w:r>
              <w:t>22.35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项目资金共22.346379万元，其中财政拨款22.346379万元，主要用于保障北京石家庄北戴河等地信访维稳支出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1."通过有效防控进京、赴省、到市及北戴河集体访，圆满完成各大重要活动期间的信访值班任务及接劝返工作。</w:t>
            </w:r>
          </w:p>
          <w:p>
            <w:pPr>
              <w:pStyle w:val="13"/>
            </w:pPr>
            <w:r>
              <w:t>2.通过开展信访工作，保障我县社会稳定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接访次数</w:t>
            </w:r>
          </w:p>
        </w:tc>
        <w:tc>
          <w:tcPr>
            <w:tcW w:w="5386" w:type="dxa"/>
            <w:vAlign w:val="center"/>
          </w:tcPr>
          <w:p>
            <w:pPr>
              <w:pStyle w:val="13"/>
            </w:pPr>
            <w:r>
              <w:t>北京、石家庄接劝返工作次数</w:t>
            </w:r>
          </w:p>
        </w:tc>
        <w:tc>
          <w:tcPr>
            <w:tcW w:w="2268" w:type="dxa"/>
            <w:vAlign w:val="center"/>
          </w:tcPr>
          <w:p>
            <w:pPr>
              <w:pStyle w:val="13"/>
            </w:pPr>
            <w:r>
              <w:t>≥50次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进京集体访与上年同期下降率</w:t>
            </w:r>
          </w:p>
        </w:tc>
        <w:tc>
          <w:tcPr>
            <w:tcW w:w="5386" w:type="dxa"/>
            <w:vAlign w:val="center"/>
          </w:tcPr>
          <w:p>
            <w:pPr>
              <w:pStyle w:val="13"/>
            </w:pPr>
            <w:r>
              <w:t>北京、石家庄、秦皇岛进京集体访与上年同期下降的比率</w:t>
            </w:r>
          </w:p>
        </w:tc>
        <w:tc>
          <w:tcPr>
            <w:tcW w:w="2268" w:type="dxa"/>
            <w:vAlign w:val="center"/>
          </w:tcPr>
          <w:p>
            <w:pPr>
              <w:pStyle w:val="13"/>
            </w:pPr>
            <w:r>
              <w:t>≥35%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上访案件问题处理率</w:t>
            </w:r>
          </w:p>
        </w:tc>
        <w:tc>
          <w:tcPr>
            <w:tcW w:w="5386" w:type="dxa"/>
            <w:vAlign w:val="center"/>
          </w:tcPr>
          <w:p>
            <w:pPr>
              <w:pStyle w:val="13"/>
            </w:pPr>
            <w:r>
              <w:t>上访案件问题处理率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上访案件应急处理时间</w:t>
            </w:r>
          </w:p>
        </w:tc>
        <w:tc>
          <w:tcPr>
            <w:tcW w:w="5386" w:type="dxa"/>
            <w:vAlign w:val="center"/>
          </w:tcPr>
          <w:p>
            <w:pPr>
              <w:pStyle w:val="13"/>
            </w:pPr>
            <w:r>
              <w:t>自接到上访信息之起24小时内</w:t>
            </w:r>
          </w:p>
        </w:tc>
        <w:tc>
          <w:tcPr>
            <w:tcW w:w="2268" w:type="dxa"/>
            <w:vAlign w:val="center"/>
          </w:tcPr>
          <w:p>
            <w:pPr>
              <w:pStyle w:val="13"/>
            </w:pPr>
            <w:r>
              <w:t>&lt;24小时</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信访事项按期结案率</w:t>
            </w:r>
          </w:p>
        </w:tc>
        <w:tc>
          <w:tcPr>
            <w:tcW w:w="5386" w:type="dxa"/>
            <w:vAlign w:val="center"/>
          </w:tcPr>
          <w:p>
            <w:pPr>
              <w:pStyle w:val="13"/>
            </w:pPr>
            <w:r>
              <w:t>年度内已按期办结的案件数量占案件总数的比例</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市区400元/次，北京市1000-1500元/次，石家庄3000-4000元/次</w:t>
            </w:r>
          </w:p>
        </w:tc>
        <w:tc>
          <w:tcPr>
            <w:tcW w:w="2268" w:type="dxa"/>
            <w:vAlign w:val="center"/>
          </w:tcPr>
          <w:p>
            <w:pPr>
              <w:pStyle w:val="13"/>
            </w:pPr>
            <w:r>
              <w:t>400元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维稳人员交通费及补助</w:t>
            </w:r>
          </w:p>
        </w:tc>
        <w:tc>
          <w:tcPr>
            <w:tcW w:w="5386" w:type="dxa"/>
            <w:vAlign w:val="center"/>
          </w:tcPr>
          <w:p>
            <w:pPr>
              <w:pStyle w:val="13"/>
            </w:pPr>
            <w:r>
              <w:t>市内补助90元/人/天，市外180元/人/天,住宿标准石家庄350元，北京地区500元</w:t>
            </w:r>
          </w:p>
        </w:tc>
        <w:tc>
          <w:tcPr>
            <w:tcW w:w="2268" w:type="dxa"/>
            <w:vAlign w:val="center"/>
          </w:tcPr>
          <w:p>
            <w:pPr>
              <w:pStyle w:val="13"/>
            </w:pPr>
            <w:r>
              <w:t>680元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各“敏感期”国家、省市集体访“零登记”</w:t>
            </w:r>
          </w:p>
        </w:tc>
        <w:tc>
          <w:tcPr>
            <w:tcW w:w="5386" w:type="dxa"/>
            <w:vAlign w:val="center"/>
          </w:tcPr>
          <w:p>
            <w:pPr>
              <w:pStyle w:val="13"/>
            </w:pPr>
            <w:r>
              <w:t>年内发生进京、赴省、到市集体访登记数</w:t>
            </w:r>
          </w:p>
        </w:tc>
        <w:tc>
          <w:tcPr>
            <w:tcW w:w="2268" w:type="dxa"/>
            <w:vAlign w:val="center"/>
          </w:tcPr>
          <w:p>
            <w:pPr>
              <w:pStyle w:val="13"/>
            </w:pPr>
            <w:r>
              <w:t>≤3人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维护社会和谐稳定</w:t>
            </w:r>
          </w:p>
        </w:tc>
        <w:tc>
          <w:tcPr>
            <w:tcW w:w="5386" w:type="dxa"/>
            <w:vAlign w:val="center"/>
          </w:tcPr>
          <w:p>
            <w:pPr>
              <w:pStyle w:val="13"/>
            </w:pPr>
            <w:r>
              <w:t>进京赴省访持续下降，不出现恶性事件</w:t>
            </w:r>
          </w:p>
        </w:tc>
        <w:tc>
          <w:tcPr>
            <w:tcW w:w="2268" w:type="dxa"/>
            <w:vAlign w:val="center"/>
          </w:tcPr>
          <w:p>
            <w:pPr>
              <w:pStyle w:val="13"/>
            </w:pPr>
            <w:r>
              <w:t>≤20%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通过调查问卷，满意的占调查总数的比例</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13032126P003337100516</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项目资金50万元，其中财政资金50万元，主要用于处理北京石家庄等地信访保障值班费用，处理突发信访事项。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1.通过开展信访工作，保障我县社会稳定。</w:t>
            </w:r>
          </w:p>
          <w:p>
            <w:pPr>
              <w:pStyle w:val="13"/>
            </w:pPr>
            <w:r>
              <w:t>2.通过有效防控进京、赴省、到市及北戴河集体访，圆满完成各大重要活动期间的信访值班任务及接劝返工作。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接访次数</w:t>
            </w:r>
          </w:p>
        </w:tc>
        <w:tc>
          <w:tcPr>
            <w:tcW w:w="5386" w:type="dxa"/>
            <w:vAlign w:val="center"/>
          </w:tcPr>
          <w:p>
            <w:pPr>
              <w:pStyle w:val="13"/>
            </w:pPr>
            <w:r>
              <w:t>北京、石家庄接劝返工作次数</w:t>
            </w:r>
          </w:p>
        </w:tc>
        <w:tc>
          <w:tcPr>
            <w:tcW w:w="2268" w:type="dxa"/>
            <w:vAlign w:val="center"/>
          </w:tcPr>
          <w:p>
            <w:pPr>
              <w:pStyle w:val="13"/>
            </w:pPr>
            <w:r>
              <w:t>≥120次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进京集体访与上年同期下降率</w:t>
            </w:r>
          </w:p>
        </w:tc>
        <w:tc>
          <w:tcPr>
            <w:tcW w:w="5386" w:type="dxa"/>
            <w:vAlign w:val="center"/>
          </w:tcPr>
          <w:p>
            <w:pPr>
              <w:pStyle w:val="13"/>
            </w:pPr>
            <w:r>
              <w:t>北京、石家庄、秦皇岛进京集体访与上年同期下降的比率</w:t>
            </w:r>
          </w:p>
        </w:tc>
        <w:tc>
          <w:tcPr>
            <w:tcW w:w="2268" w:type="dxa"/>
            <w:vAlign w:val="center"/>
          </w:tcPr>
          <w:p>
            <w:pPr>
              <w:pStyle w:val="13"/>
            </w:pPr>
            <w:r>
              <w:t>≥35%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上访案件问题处理率</w:t>
            </w:r>
          </w:p>
        </w:tc>
        <w:tc>
          <w:tcPr>
            <w:tcW w:w="5386" w:type="dxa"/>
            <w:vAlign w:val="center"/>
          </w:tcPr>
          <w:p>
            <w:pPr>
              <w:pStyle w:val="13"/>
            </w:pPr>
            <w:r>
              <w:t>上访案件问题处理率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上访案件应急处理时间</w:t>
            </w:r>
          </w:p>
        </w:tc>
        <w:tc>
          <w:tcPr>
            <w:tcW w:w="5386" w:type="dxa"/>
            <w:vAlign w:val="center"/>
          </w:tcPr>
          <w:p>
            <w:pPr>
              <w:pStyle w:val="13"/>
            </w:pPr>
            <w:r>
              <w:t>自接到上访信息之起24小时内</w:t>
            </w:r>
          </w:p>
        </w:tc>
        <w:tc>
          <w:tcPr>
            <w:tcW w:w="2268" w:type="dxa"/>
            <w:vAlign w:val="center"/>
          </w:tcPr>
          <w:p>
            <w:pPr>
              <w:pStyle w:val="13"/>
            </w:pPr>
            <w:r>
              <w:t>&lt;24小时</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信访事项按期结案率</w:t>
            </w:r>
          </w:p>
        </w:tc>
        <w:tc>
          <w:tcPr>
            <w:tcW w:w="5386" w:type="dxa"/>
            <w:vAlign w:val="center"/>
          </w:tcPr>
          <w:p>
            <w:pPr>
              <w:pStyle w:val="13"/>
            </w:pPr>
            <w:r>
              <w:t>年度内已按期办结的案件数量占案件总数的比例</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市区400元/次，北京市1000-1500元/次，石家庄3000-4000元/次</w:t>
            </w:r>
          </w:p>
        </w:tc>
        <w:tc>
          <w:tcPr>
            <w:tcW w:w="2268" w:type="dxa"/>
            <w:vAlign w:val="center"/>
          </w:tcPr>
          <w:p>
            <w:pPr>
              <w:pStyle w:val="13"/>
            </w:pPr>
            <w:r>
              <w:t>≤400元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维稳人员交通费及补助</w:t>
            </w:r>
          </w:p>
        </w:tc>
        <w:tc>
          <w:tcPr>
            <w:tcW w:w="5386" w:type="dxa"/>
            <w:vAlign w:val="center"/>
          </w:tcPr>
          <w:p>
            <w:pPr>
              <w:pStyle w:val="13"/>
            </w:pPr>
            <w:r>
              <w:t>市内补助90元/人/天，市外180元/人/天,住宿标准石家庄350元，北京地区500元</w:t>
            </w:r>
          </w:p>
        </w:tc>
        <w:tc>
          <w:tcPr>
            <w:tcW w:w="2268" w:type="dxa"/>
            <w:vAlign w:val="center"/>
          </w:tcPr>
          <w:p>
            <w:pPr>
              <w:pStyle w:val="13"/>
            </w:pPr>
            <w:r>
              <w:t>≤680元</w:t>
            </w:r>
          </w:p>
        </w:tc>
        <w:tc>
          <w:tcPr>
            <w:tcW w:w="1276" w:type="dxa"/>
            <w:vAlign w:val="center"/>
          </w:tcPr>
          <w:p>
            <w:pPr>
              <w:pStyle w:val="13"/>
            </w:pPr>
            <w:r>
              <w:t>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各“敏感期”国家、省市集体访“零登记”</w:t>
            </w:r>
          </w:p>
        </w:tc>
        <w:tc>
          <w:tcPr>
            <w:tcW w:w="5386" w:type="dxa"/>
            <w:vAlign w:val="center"/>
          </w:tcPr>
          <w:p>
            <w:pPr>
              <w:pStyle w:val="13"/>
            </w:pPr>
            <w:r>
              <w:t>年内发生进京、赴省、到市集体访登记数</w:t>
            </w:r>
          </w:p>
        </w:tc>
        <w:tc>
          <w:tcPr>
            <w:tcW w:w="2268" w:type="dxa"/>
            <w:vAlign w:val="center"/>
          </w:tcPr>
          <w:p>
            <w:pPr>
              <w:pStyle w:val="13"/>
            </w:pPr>
            <w:r>
              <w:t>≤5人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维护社会和谐稳定</w:t>
            </w:r>
          </w:p>
        </w:tc>
        <w:tc>
          <w:tcPr>
            <w:tcW w:w="5386" w:type="dxa"/>
            <w:vAlign w:val="center"/>
          </w:tcPr>
          <w:p>
            <w:pPr>
              <w:pStyle w:val="13"/>
            </w:pPr>
            <w:r>
              <w:t>进京赴省访持续下降，不出现恶性事件</w:t>
            </w:r>
          </w:p>
        </w:tc>
        <w:tc>
          <w:tcPr>
            <w:tcW w:w="2268" w:type="dxa"/>
            <w:vAlign w:val="center"/>
          </w:tcPr>
          <w:p>
            <w:pPr>
              <w:pStyle w:val="13"/>
            </w:pPr>
            <w:r>
              <w:t>≥20%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通过调查问卷，满意的占调查总数的比例</w:t>
            </w:r>
          </w:p>
        </w:tc>
        <w:tc>
          <w:tcPr>
            <w:tcW w:w="2268" w:type="dxa"/>
            <w:vAlign w:val="center"/>
          </w:tcPr>
          <w:p>
            <w:pPr>
              <w:pStyle w:val="13"/>
            </w:pPr>
            <w:r>
              <w:t>≥90%</w:t>
            </w:r>
          </w:p>
        </w:tc>
        <w:tc>
          <w:tcPr>
            <w:tcW w:w="1276"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7"/>
      <w:r>
        <w:rPr>
          <w:rFonts w:ascii="黑体" w:hAnsi="黑体" w:eastAsia="黑体" w:cs="黑体"/>
          <w:color w:val="000000"/>
          <w:sz w:val="32"/>
        </w:rPr>
        <w:t>八、政府采购预算情况</w:t>
      </w:r>
      <w:bookmarkEnd w:id="15"/>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202青龙满族自治县信访局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0.26</w:t>
            </w:r>
          </w:p>
        </w:tc>
        <w:tc>
          <w:tcPr>
            <w:tcW w:w="964" w:type="dxa"/>
            <w:vAlign w:val="center"/>
          </w:tcPr>
          <w:p>
            <w:pPr>
              <w:pStyle w:val="16"/>
            </w:pPr>
            <w:r>
              <w:t>0.26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青龙满族自治县信访局本级小计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0.26</w:t>
            </w:r>
          </w:p>
        </w:tc>
        <w:tc>
          <w:tcPr>
            <w:tcW w:w="964" w:type="dxa"/>
            <w:vAlign w:val="center"/>
          </w:tcPr>
          <w:p>
            <w:pPr>
              <w:pStyle w:val="16"/>
            </w:pPr>
            <w:r>
              <w:t>0.26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28.35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150</w:t>
            </w:r>
          </w:p>
        </w:tc>
        <w:tc>
          <w:tcPr>
            <w:tcW w:w="850" w:type="dxa"/>
            <w:vAlign w:val="center"/>
          </w:tcPr>
          <w:p>
            <w:pPr>
              <w:pStyle w:val="12"/>
            </w:pPr>
            <w:r>
              <w:t>0.00</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0.26</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6" w:name="_Toc_3_3_0000000018"/>
      <w:r>
        <w:rPr>
          <w:rFonts w:ascii="黑体" w:hAnsi="黑体" w:eastAsia="黑体" w:cs="黑体"/>
          <w:color w:val="000000"/>
          <w:sz w:val="32"/>
        </w:rPr>
        <w:t>九、国有资产信息</w:t>
      </w:r>
      <w:bookmarkEnd w:id="16"/>
    </w:p>
    <w:p>
      <w:pPr>
        <w:spacing w:line="500" w:lineRule="exact"/>
        <w:ind w:firstLine="560"/>
      </w:pPr>
      <w:r>
        <w:rPr>
          <w:rFonts w:eastAsia="方正仿宋_GBK"/>
          <w:color w:val="000000"/>
          <w:sz w:val="28"/>
        </w:rPr>
        <w:t>青龙满族自治县信访局（含所属单位）上年末固定资产金额为401.76万元（详见下表）。本年度拟购置固定资产总额为0.00万元，已按要求列入政府采购预算，详见政府采购预算表。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0"/>
            </w:pPr>
            <w:r>
              <w:t>202青龙满族自治县信访局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401.76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2631.28</w:t>
            </w:r>
          </w:p>
        </w:tc>
        <w:tc>
          <w:tcPr>
            <w:tcW w:w="2835" w:type="dxa"/>
            <w:vAlign w:val="center"/>
          </w:tcPr>
          <w:p>
            <w:pPr>
              <w:pStyle w:val="12"/>
            </w:pPr>
            <w:r>
              <w:t>397.21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2631.28</w:t>
            </w:r>
          </w:p>
        </w:tc>
        <w:tc>
          <w:tcPr>
            <w:tcW w:w="2835" w:type="dxa"/>
            <w:vAlign w:val="center"/>
          </w:tcPr>
          <w:p>
            <w:pPr>
              <w:pStyle w:val="12"/>
            </w:pPr>
            <w:r>
              <w:t>397.21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634</w:t>
            </w:r>
          </w:p>
        </w:tc>
        <w:tc>
          <w:tcPr>
            <w:tcW w:w="2835" w:type="dxa"/>
            <w:vAlign w:val="center"/>
          </w:tcPr>
          <w:p>
            <w:pPr>
              <w:pStyle w:val="12"/>
            </w:pPr>
            <w:r>
              <w:t>2.47</w:t>
            </w:r>
          </w:p>
        </w:tc>
      </w:tr>
    </w:tbl>
    <w:p>
      <w:pPr>
        <w:ind w:firstLine="640"/>
      </w:pPr>
      <w:r>
        <w:rPr>
          <w:rFonts w:eastAsia="方正仿宋_GBK"/>
          <w:color w:val="000000"/>
          <w:sz w:val="32"/>
        </w:rPr>
        <w:t xml:space="preserve"> </w:t>
      </w:r>
    </w:p>
    <w:p>
      <w:pPr>
        <w:spacing w:before="10" w:after="10"/>
        <w:ind w:firstLine="640"/>
        <w:outlineLvl w:val="2"/>
      </w:pPr>
      <w:bookmarkStart w:id="17" w:name="_Toc_3_3_0000000019"/>
      <w:r>
        <w:rPr>
          <w:rFonts w:ascii="黑体" w:hAnsi="黑体" w:eastAsia="黑体" w:cs="黑体"/>
          <w:color w:val="000000"/>
          <w:sz w:val="32"/>
        </w:rPr>
        <w:t>十、名词解释</w:t>
      </w:r>
      <w:bookmarkEnd w:id="17"/>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8" w:name="_Toc_3_3_0000000020"/>
      <w:r>
        <w:rPr>
          <w:rFonts w:ascii="黑体" w:hAnsi="黑体" w:eastAsia="黑体" w:cs="黑体"/>
          <w:color w:val="000000"/>
          <w:sz w:val="32"/>
        </w:rPr>
        <w:t>十一、其他需要说明的事项</w:t>
      </w:r>
      <w:bookmarkEnd w:id="18"/>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mI3OGE4NzQwOTZiNzNhYjhkZmEyYmM0N2VkNDAifQ=="/>
  </w:docVars>
  <w:rsids>
    <w:rsidRoot w:val="00096A35"/>
    <w:rsid w:val="00096A35"/>
    <w:rsid w:val="00285CFF"/>
    <w:rsid w:val="005E4B5F"/>
    <w:rsid w:val="23702C01"/>
    <w:rsid w:val="263C5C9B"/>
    <w:rsid w:val="522270B2"/>
    <w:rsid w:val="6AC55BE4"/>
    <w:rsid w:val="7354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0"/>
    <w:semiHidden/>
    <w:unhideWhenUsed/>
    <w:qFormat/>
    <w:uiPriority w:val="99"/>
    <w:pPr>
      <w:tabs>
        <w:tab w:val="center" w:pos="4153"/>
        <w:tab w:val="right" w:pos="8306"/>
      </w:tabs>
      <w:snapToGrid w:val="0"/>
    </w:pPr>
    <w:rPr>
      <w:sz w:val="18"/>
      <w:szCs w:val="18"/>
    </w:rPr>
  </w:style>
  <w:style w:type="paragraph" w:styleId="3">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6">
    <w:name w:val="TOC 2"/>
    <w:basedOn w:val="1"/>
    <w:qFormat/>
    <w:uiPriority w:val="0"/>
    <w:pPr>
      <w:ind w:left="240"/>
    </w:pPr>
  </w:style>
  <w:style w:type="paragraph" w:customStyle="1" w:styleId="27">
    <w:name w:val="TOC 3"/>
    <w:basedOn w:val="1"/>
    <w:qFormat/>
    <w:uiPriority w:val="0"/>
    <w:pPr>
      <w:ind w:left="480"/>
    </w:pPr>
  </w:style>
  <w:style w:type="paragraph" w:customStyle="1" w:styleId="28">
    <w:name w:val="TOC 1"/>
    <w:basedOn w:val="1"/>
    <w:qFormat/>
    <w:uiPriority w:val="0"/>
    <w:pPr>
      <w:spacing w:before="120"/>
      <w:ind w:firstLine="560"/>
    </w:pPr>
    <w:rPr>
      <w:rFonts w:eastAsia="方正仿宋_GBK"/>
      <w:color w:val="000000"/>
      <w:sz w:val="28"/>
    </w:rPr>
  </w:style>
  <w:style w:type="character" w:customStyle="1" w:styleId="29">
    <w:name w:val="页眉 Char"/>
    <w:basedOn w:val="7"/>
    <w:link w:val="3"/>
    <w:semiHidden/>
    <w:qFormat/>
    <w:uiPriority w:val="99"/>
    <w:rPr>
      <w:sz w:val="18"/>
      <w:szCs w:val="18"/>
      <w:lang w:eastAsia="uk-UA"/>
    </w:rPr>
  </w:style>
  <w:style w:type="character" w:customStyle="1" w:styleId="30">
    <w:name w:val="页脚 Char"/>
    <w:basedOn w:val="7"/>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41</Pages>
  <Words>12146</Words>
  <Characters>14244</Characters>
  <Lines>128</Lines>
  <Paragraphs>36</Paragraphs>
  <TotalTime>14</TotalTime>
  <ScaleCrop>false</ScaleCrop>
  <LinksUpToDate>false</LinksUpToDate>
  <CharactersWithSpaces>14470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2026-02-13T01:16:00Z</dcterms:created>
  <dc:creator>Administrator</dc:creator>
  <cp:lastModifiedBy>王爷</cp:lastModifiedBy>
  <dcterms:modified xsi:type="dcterms:W3CDTF">2026-03-03T10:27:45Z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C4A04FE7024D407DB1AF028D9DA7F839_13</vt:lpwstr>
  </property>
</Properties>
</file>