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一、青龙满族自治县气象局本级收支预算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一、青龙满族自治县气象局本级收支预算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30.95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r>
              <w:t xml:space="preserve">30.00</w:t>
            </w: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2.61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6.93</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r>
              <w:t xml:space="preserve">21.42</w:t>
            </w: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60.95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60.95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60.95</w:t>
            </w:r>
          </w:p>
        </w:tc>
        <w:tc>
          <w:tcPr>
            <w:tcW w:w="4535" w:type="dxa"/>
            <w:vAlign w:val="center"/>
          </w:tcPr>
          <w:p>
            <w:pPr>
              <w:pStyle w:val="单元格样式6"/>
            </w:pPr>
            <w:r>
              <w:t xml:space="preserve">支出总计</w:t>
            </w:r>
          </w:p>
        </w:tc>
        <w:tc>
          <w:tcPr>
            <w:tcW w:w="2126" w:type="dxa"/>
            <w:vAlign w:val="center"/>
          </w:tcPr>
          <w:p>
            <w:pPr>
              <w:pStyle w:val="单元格样式7"/>
            </w:pPr>
            <w:r>
              <w:t xml:space="preserve">60.95</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60.95</w:t>
            </w:r>
          </w:p>
        </w:tc>
        <w:tc>
          <w:tcPr>
            <w:tcW w:w="1134" w:type="dxa"/>
            <w:vAlign w:val="center"/>
          </w:tcPr>
          <w:p>
            <w:pPr>
              <w:pStyle w:val="单元格样式7"/>
            </w:pPr>
            <w:r>
              <w:t xml:space="preserve">60.95</w:t>
            </w:r>
          </w:p>
        </w:tc>
        <w:tc>
          <w:tcPr>
            <w:tcW w:w="1134" w:type="dxa"/>
            <w:vAlign w:val="center"/>
          </w:tcPr>
          <w:p>
            <w:pPr>
              <w:pStyle w:val="单元格样式7"/>
            </w:pPr>
            <w:r>
              <w:t xml:space="preserve">60.95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r>
              <w:t xml:space="preserve">2.61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r>
              <w:t xml:space="preserve">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3.78</w:t>
            </w:r>
          </w:p>
        </w:tc>
        <w:tc>
          <w:tcPr>
            <w:tcW w:w="1134" w:type="dxa"/>
            <w:vAlign w:val="center"/>
          </w:tcPr>
          <w:p>
            <w:pPr>
              <w:pStyle w:val="单元格样式4"/>
            </w:pPr>
            <w:r>
              <w:t xml:space="preserve">3.78</w:t>
            </w:r>
          </w:p>
        </w:tc>
        <w:tc>
          <w:tcPr>
            <w:tcW w:w="1134" w:type="dxa"/>
            <w:vAlign w:val="center"/>
          </w:tcPr>
          <w:p>
            <w:pPr>
              <w:pStyle w:val="单元格样式4"/>
            </w:pPr>
            <w:r>
              <w:t xml:space="preserve">3.78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3.15</w:t>
            </w:r>
          </w:p>
        </w:tc>
        <w:tc>
          <w:tcPr>
            <w:tcW w:w="1134" w:type="dxa"/>
            <w:vAlign w:val="center"/>
          </w:tcPr>
          <w:p>
            <w:pPr>
              <w:pStyle w:val="单元格样式4"/>
            </w:pPr>
            <w:r>
              <w:t xml:space="preserve">3.15</w:t>
            </w:r>
          </w:p>
        </w:tc>
        <w:tc>
          <w:tcPr>
            <w:tcW w:w="1134" w:type="dxa"/>
            <w:vAlign w:val="center"/>
          </w:tcPr>
          <w:p>
            <w:pPr>
              <w:pStyle w:val="单元格样式4"/>
            </w:pPr>
            <w:r>
              <w:t xml:space="preserve">3.15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21208</w:t>
            </w:r>
          </w:p>
        </w:tc>
        <w:tc>
          <w:tcPr>
            <w:tcW w:w="1559" w:type="dxa"/>
            <w:vAlign w:val="center"/>
          </w:tcPr>
          <w:p>
            <w:pPr>
              <w:pStyle w:val="单元格样式2"/>
            </w:pPr>
            <w:r>
              <w:t xml:space="preserve">国有土地使用权出让收入安排的支出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2120899</w:t>
            </w:r>
          </w:p>
        </w:tc>
        <w:tc>
          <w:tcPr>
            <w:tcW w:w="1559" w:type="dxa"/>
            <w:vAlign w:val="center"/>
          </w:tcPr>
          <w:p>
            <w:pPr>
              <w:pStyle w:val="单元格样式2"/>
            </w:pPr>
            <w:r>
              <w:t xml:space="preserve">其他国有土地使用权出让收入安排的支出</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r>
              <w:t xml:space="preserve">30.00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220</w:t>
            </w:r>
          </w:p>
        </w:tc>
        <w:tc>
          <w:tcPr>
            <w:tcW w:w="1559" w:type="dxa"/>
            <w:vAlign w:val="center"/>
          </w:tcPr>
          <w:p>
            <w:pPr>
              <w:pStyle w:val="单元格样式2"/>
            </w:pPr>
            <w:r>
              <w:t xml:space="preserve">自然资源海洋气象等支出</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22005</w:t>
            </w:r>
          </w:p>
        </w:tc>
        <w:tc>
          <w:tcPr>
            <w:tcW w:w="1559" w:type="dxa"/>
            <w:vAlign w:val="center"/>
          </w:tcPr>
          <w:p>
            <w:pPr>
              <w:pStyle w:val="单元格样式2"/>
            </w:pPr>
            <w:r>
              <w:t xml:space="preserve">气象事务</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r>
              <w:t xml:space="preserve">21.42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2200501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3.76</w:t>
            </w:r>
          </w:p>
        </w:tc>
        <w:tc>
          <w:tcPr>
            <w:tcW w:w="1134" w:type="dxa"/>
            <w:vAlign w:val="center"/>
          </w:tcPr>
          <w:p>
            <w:pPr>
              <w:pStyle w:val="单元格样式4"/>
            </w:pPr>
            <w:r>
              <w:t xml:space="preserve">3.76</w:t>
            </w:r>
          </w:p>
        </w:tc>
        <w:tc>
          <w:tcPr>
            <w:tcW w:w="1134" w:type="dxa"/>
            <w:vAlign w:val="center"/>
          </w:tcPr>
          <w:p>
            <w:pPr>
              <w:pStyle w:val="单元格样式4"/>
            </w:pPr>
            <w:r>
              <w:t xml:space="preserve">3.76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2200504</w:t>
            </w:r>
          </w:p>
        </w:tc>
        <w:tc>
          <w:tcPr>
            <w:tcW w:w="1559" w:type="dxa"/>
            <w:vAlign w:val="center"/>
          </w:tcPr>
          <w:p>
            <w:pPr>
              <w:pStyle w:val="单元格样式2"/>
            </w:pPr>
            <w:r>
              <w:t xml:space="preserve">气象事业机构</w:t>
            </w:r>
          </w:p>
        </w:tc>
        <w:tc>
          <w:tcPr>
            <w:tcW w:w="1134" w:type="dxa"/>
            <w:vAlign w:val="center"/>
          </w:tcPr>
          <w:p>
            <w:pPr>
              <w:pStyle w:val="单元格样式4"/>
            </w:pPr>
            <w:r>
              <w:t xml:space="preserve">7.06</w:t>
            </w:r>
          </w:p>
        </w:tc>
        <w:tc>
          <w:tcPr>
            <w:tcW w:w="1134" w:type="dxa"/>
            <w:vAlign w:val="center"/>
          </w:tcPr>
          <w:p>
            <w:pPr>
              <w:pStyle w:val="单元格样式4"/>
            </w:pPr>
            <w:r>
              <w:t xml:space="preserve">7.06</w:t>
            </w:r>
          </w:p>
        </w:tc>
        <w:tc>
          <w:tcPr>
            <w:tcW w:w="1134" w:type="dxa"/>
            <w:vAlign w:val="center"/>
          </w:tcPr>
          <w:p>
            <w:pPr>
              <w:pStyle w:val="单元格样式4"/>
            </w:pPr>
            <w:r>
              <w:t xml:space="preserve">7.06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2200509</w:t>
            </w:r>
          </w:p>
        </w:tc>
        <w:tc>
          <w:tcPr>
            <w:tcW w:w="1559" w:type="dxa"/>
            <w:vAlign w:val="center"/>
          </w:tcPr>
          <w:p>
            <w:pPr>
              <w:pStyle w:val="单元格样式2"/>
            </w:pPr>
            <w:r>
              <w:t xml:space="preserve">气象服务</w:t>
            </w:r>
          </w:p>
        </w:tc>
        <w:tc>
          <w:tcPr>
            <w:tcW w:w="1134" w:type="dxa"/>
            <w:vAlign w:val="center"/>
          </w:tcPr>
          <w:p>
            <w:pPr>
              <w:pStyle w:val="单元格样式4"/>
            </w:pPr>
            <w:r>
              <w:t xml:space="preserve">10.60</w:t>
            </w:r>
          </w:p>
        </w:tc>
        <w:tc>
          <w:tcPr>
            <w:tcW w:w="1134" w:type="dxa"/>
            <w:vAlign w:val="center"/>
          </w:tcPr>
          <w:p>
            <w:pPr>
              <w:pStyle w:val="单元格样式4"/>
            </w:pPr>
            <w:r>
              <w:t xml:space="preserve">10.60</w:t>
            </w:r>
          </w:p>
        </w:tc>
        <w:tc>
          <w:tcPr>
            <w:tcW w:w="1134" w:type="dxa"/>
            <w:vAlign w:val="center"/>
          </w:tcPr>
          <w:p>
            <w:pPr>
              <w:pStyle w:val="单元格样式4"/>
            </w:pPr>
            <w:r>
              <w:t xml:space="preserve">10.60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60.95</w:t>
            </w:r>
          </w:p>
        </w:tc>
        <w:tc>
          <w:tcPr>
            <w:tcW w:w="1361" w:type="dxa"/>
            <w:vAlign w:val="center"/>
          </w:tcPr>
          <w:p>
            <w:pPr>
              <w:pStyle w:val="单元格样式7"/>
            </w:pPr>
            <w:r>
              <w:t xml:space="preserve">20.35</w:t>
            </w:r>
          </w:p>
        </w:tc>
        <w:tc>
          <w:tcPr>
            <w:tcW w:w="1361" w:type="dxa"/>
            <w:vAlign w:val="center"/>
          </w:tcPr>
          <w:p>
            <w:pPr>
              <w:pStyle w:val="单元格样式7"/>
            </w:pPr>
            <w:r>
              <w:t xml:space="preserve">40.60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2.61</w:t>
            </w:r>
          </w:p>
        </w:tc>
        <w:tc>
          <w:tcPr>
            <w:tcW w:w="1361" w:type="dxa"/>
            <w:vAlign w:val="center"/>
          </w:tcPr>
          <w:p>
            <w:pPr>
              <w:pStyle w:val="单元格样式4"/>
            </w:pPr>
            <w:r>
              <w:t xml:space="preserve">2.61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6.93</w:t>
            </w:r>
          </w:p>
        </w:tc>
        <w:tc>
          <w:tcPr>
            <w:tcW w:w="1361" w:type="dxa"/>
            <w:vAlign w:val="center"/>
          </w:tcPr>
          <w:p>
            <w:pPr>
              <w:pStyle w:val="单元格样式4"/>
            </w:pPr>
            <w:r>
              <w:t xml:space="preserve">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6.93</w:t>
            </w:r>
          </w:p>
        </w:tc>
        <w:tc>
          <w:tcPr>
            <w:tcW w:w="1361" w:type="dxa"/>
            <w:vAlign w:val="center"/>
          </w:tcPr>
          <w:p>
            <w:pPr>
              <w:pStyle w:val="单元格样式4"/>
            </w:pPr>
            <w:r>
              <w:t xml:space="preserve">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3.78</w:t>
            </w:r>
          </w:p>
        </w:tc>
        <w:tc>
          <w:tcPr>
            <w:tcW w:w="1361" w:type="dxa"/>
            <w:vAlign w:val="center"/>
          </w:tcPr>
          <w:p>
            <w:pPr>
              <w:pStyle w:val="单元格样式4"/>
            </w:pPr>
            <w:r>
              <w:t xml:space="preserve">3.78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3.15</w:t>
            </w:r>
          </w:p>
        </w:tc>
        <w:tc>
          <w:tcPr>
            <w:tcW w:w="1361" w:type="dxa"/>
            <w:vAlign w:val="center"/>
          </w:tcPr>
          <w:p>
            <w:pPr>
              <w:pStyle w:val="单元格样式4"/>
            </w:pPr>
            <w:r>
              <w:t xml:space="preserve">3.15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r>
              <w:t xml:space="preserve">30.00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1361" w:type="dxa"/>
            <w:vAlign w:val="center"/>
          </w:tcPr>
          <w:p>
            <w:pPr>
              <w:pStyle w:val="单元格样式4"/>
            </w:pPr>
            <w:r>
              <w:t xml:space="preserve">21.42</w:t>
            </w:r>
          </w:p>
        </w:tc>
        <w:tc>
          <w:tcPr>
            <w:tcW w:w="1361" w:type="dxa"/>
            <w:vAlign w:val="center"/>
          </w:tcPr>
          <w:p>
            <w:pPr>
              <w:pStyle w:val="单元格样式4"/>
            </w:pPr>
            <w:r>
              <w:t xml:space="preserve">10.82</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22005</w:t>
            </w:r>
          </w:p>
        </w:tc>
        <w:tc>
          <w:tcPr>
            <w:tcW w:w="4535" w:type="dxa"/>
            <w:vAlign w:val="center"/>
          </w:tcPr>
          <w:p>
            <w:pPr>
              <w:pStyle w:val="单元格样式2"/>
            </w:pPr>
            <w:r>
              <w:t xml:space="preserve">气象事务</w:t>
            </w:r>
          </w:p>
        </w:tc>
        <w:tc>
          <w:tcPr>
            <w:tcW w:w="1361" w:type="dxa"/>
            <w:vAlign w:val="center"/>
          </w:tcPr>
          <w:p>
            <w:pPr>
              <w:pStyle w:val="单元格样式4"/>
            </w:pPr>
            <w:r>
              <w:t xml:space="preserve">21.42</w:t>
            </w:r>
          </w:p>
        </w:tc>
        <w:tc>
          <w:tcPr>
            <w:tcW w:w="1361" w:type="dxa"/>
            <w:vAlign w:val="center"/>
          </w:tcPr>
          <w:p>
            <w:pPr>
              <w:pStyle w:val="单元格样式4"/>
            </w:pPr>
            <w:r>
              <w:t xml:space="preserve">10.82</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2200501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3.76</w:t>
            </w:r>
          </w:p>
        </w:tc>
        <w:tc>
          <w:tcPr>
            <w:tcW w:w="1361" w:type="dxa"/>
            <w:vAlign w:val="center"/>
          </w:tcPr>
          <w:p>
            <w:pPr>
              <w:pStyle w:val="单元格样式4"/>
            </w:pPr>
            <w:r>
              <w:t xml:space="preserve">3.76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2200504</w:t>
            </w:r>
          </w:p>
        </w:tc>
        <w:tc>
          <w:tcPr>
            <w:tcW w:w="4535" w:type="dxa"/>
            <w:vAlign w:val="center"/>
          </w:tcPr>
          <w:p>
            <w:pPr>
              <w:pStyle w:val="单元格样式2"/>
            </w:pPr>
            <w:r>
              <w:t xml:space="preserve">气象事业机构</w:t>
            </w:r>
          </w:p>
        </w:tc>
        <w:tc>
          <w:tcPr>
            <w:tcW w:w="1361" w:type="dxa"/>
            <w:vAlign w:val="center"/>
          </w:tcPr>
          <w:p>
            <w:pPr>
              <w:pStyle w:val="单元格样式4"/>
            </w:pPr>
            <w:r>
              <w:t xml:space="preserve">7.06</w:t>
            </w:r>
          </w:p>
        </w:tc>
        <w:tc>
          <w:tcPr>
            <w:tcW w:w="1361" w:type="dxa"/>
            <w:vAlign w:val="center"/>
          </w:tcPr>
          <w:p>
            <w:pPr>
              <w:pStyle w:val="单元格样式4"/>
            </w:pPr>
            <w:r>
              <w:t xml:space="preserve">7.06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2200509</w:t>
            </w:r>
          </w:p>
        </w:tc>
        <w:tc>
          <w:tcPr>
            <w:tcW w:w="4535" w:type="dxa"/>
            <w:vAlign w:val="center"/>
          </w:tcPr>
          <w:p>
            <w:pPr>
              <w:pStyle w:val="单元格样式2"/>
            </w:pPr>
            <w:r>
              <w:t xml:space="preserve">气象服务</w:t>
            </w: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r>
              <w:t xml:space="preserve">10.60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30.95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30.00</w:t>
            </w: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2.61</w:t>
            </w:r>
          </w:p>
        </w:tc>
        <w:tc>
          <w:tcPr>
            <w:tcW w:w="1474" w:type="dxa"/>
            <w:vAlign w:val="center"/>
          </w:tcPr>
          <w:p>
            <w:pPr>
              <w:pStyle w:val="单元格样式4"/>
            </w:pPr>
            <w:r>
              <w:t xml:space="preserve">2.61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6.93</w:t>
            </w:r>
          </w:p>
        </w:tc>
        <w:tc>
          <w:tcPr>
            <w:tcW w:w="1474" w:type="dxa"/>
            <w:vAlign w:val="center"/>
          </w:tcPr>
          <w:p>
            <w:pPr>
              <w:pStyle w:val="单元格样式4"/>
            </w:pPr>
            <w:r>
              <w:t xml:space="preserve">6.93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30.00</w:t>
            </w:r>
          </w:p>
        </w:tc>
        <w:tc>
          <w:tcPr>
            <w:tcW w:w="1474" w:type="dxa"/>
            <w:vAlign w:val="center"/>
          </w:tcPr>
          <w:p>
            <w:pPr>
              <w:pStyle w:val="单元格样式4"/>
            </w:pPr>
          </w:p>
        </w:tc>
        <w:tc>
          <w:tcPr>
            <w:tcW w:w="1474" w:type="dxa"/>
            <w:vAlign w:val="center"/>
          </w:tcPr>
          <w:p>
            <w:pPr>
              <w:pStyle w:val="单元格样式4"/>
            </w:pPr>
            <w:r>
              <w:t xml:space="preserve">30.00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r>
              <w:t xml:space="preserve">21.42</w:t>
            </w:r>
          </w:p>
        </w:tc>
        <w:tc>
          <w:tcPr>
            <w:tcW w:w="1474" w:type="dxa"/>
            <w:vAlign w:val="center"/>
          </w:tcPr>
          <w:p>
            <w:pPr>
              <w:pStyle w:val="单元格样式4"/>
            </w:pPr>
            <w:r>
              <w:t xml:space="preserve">21.42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60.95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60.95</w:t>
            </w:r>
          </w:p>
        </w:tc>
        <w:tc>
          <w:tcPr>
            <w:tcW w:w="1474" w:type="dxa"/>
            <w:vAlign w:val="center"/>
          </w:tcPr>
          <w:p>
            <w:pPr>
              <w:pStyle w:val="单元格样式7"/>
            </w:pPr>
            <w:r>
              <w:t xml:space="preserve">30.95</w:t>
            </w:r>
          </w:p>
        </w:tc>
        <w:tc>
          <w:tcPr>
            <w:tcW w:w="1474" w:type="dxa"/>
            <w:vAlign w:val="center"/>
          </w:tcPr>
          <w:p>
            <w:pPr>
              <w:pStyle w:val="单元格样式7"/>
            </w:pPr>
            <w:r>
              <w:t xml:space="preserve">30.00</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60.95</w:t>
            </w:r>
          </w:p>
        </w:tc>
        <w:tc>
          <w:tcPr>
            <w:tcW w:w="3402" w:type="dxa"/>
            <w:vAlign w:val="center"/>
          </w:tcPr>
          <w:p>
            <w:pPr>
              <w:pStyle w:val="单元格样式6"/>
            </w:pPr>
            <w:r>
              <w:t xml:space="preserve">支出总计</w:t>
            </w:r>
          </w:p>
        </w:tc>
        <w:tc>
          <w:tcPr>
            <w:tcW w:w="1474" w:type="dxa"/>
            <w:vAlign w:val="center"/>
          </w:tcPr>
          <w:p>
            <w:pPr>
              <w:pStyle w:val="单元格样式7"/>
            </w:pPr>
            <w:r>
              <w:t xml:space="preserve">60.95</w:t>
            </w:r>
          </w:p>
        </w:tc>
        <w:tc>
          <w:tcPr>
            <w:tcW w:w="1474" w:type="dxa"/>
            <w:vAlign w:val="center"/>
          </w:tcPr>
          <w:p>
            <w:pPr>
              <w:pStyle w:val="单元格样式7"/>
            </w:pPr>
            <w:r>
              <w:t xml:space="preserve">30.95</w:t>
            </w:r>
          </w:p>
        </w:tc>
        <w:tc>
          <w:tcPr>
            <w:tcW w:w="1474" w:type="dxa"/>
            <w:vAlign w:val="center"/>
          </w:tcPr>
          <w:p>
            <w:pPr>
              <w:pStyle w:val="单元格样式7"/>
            </w:pPr>
            <w:r>
              <w:t xml:space="preserve">30.00</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30.95</w:t>
            </w:r>
          </w:p>
        </w:tc>
        <w:tc>
          <w:tcPr>
            <w:tcW w:w="2551" w:type="dxa"/>
            <w:vAlign w:val="center"/>
          </w:tcPr>
          <w:p>
            <w:pPr>
              <w:pStyle w:val="单元格样式7"/>
            </w:pPr>
            <w:r>
              <w:t xml:space="preserve">20.35</w:t>
            </w:r>
          </w:p>
        </w:tc>
        <w:tc>
          <w:tcPr>
            <w:tcW w:w="2551" w:type="dxa"/>
            <w:vAlign w:val="center"/>
          </w:tcPr>
          <w:p>
            <w:pPr>
              <w:pStyle w:val="单元格样式7"/>
            </w:pPr>
            <w:r>
              <w:t xml:space="preserve">10.60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3.78</w:t>
            </w:r>
          </w:p>
        </w:tc>
        <w:tc>
          <w:tcPr>
            <w:tcW w:w="2551" w:type="dxa"/>
            <w:vAlign w:val="center"/>
          </w:tcPr>
          <w:p>
            <w:pPr>
              <w:pStyle w:val="单元格样式4"/>
            </w:pPr>
            <w:r>
              <w:t xml:space="preserve">3.78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3.15</w:t>
            </w:r>
          </w:p>
        </w:tc>
        <w:tc>
          <w:tcPr>
            <w:tcW w:w="2551" w:type="dxa"/>
            <w:vAlign w:val="center"/>
          </w:tcPr>
          <w:p>
            <w:pPr>
              <w:pStyle w:val="单元格样式4"/>
            </w:pPr>
            <w:r>
              <w:t xml:space="preserve">3.15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2551" w:type="dxa"/>
            <w:vAlign w:val="center"/>
          </w:tcPr>
          <w:p>
            <w:pPr>
              <w:pStyle w:val="单元格样式4"/>
            </w:pPr>
            <w:r>
              <w:t xml:space="preserve">21.42</w:t>
            </w:r>
          </w:p>
        </w:tc>
        <w:tc>
          <w:tcPr>
            <w:tcW w:w="2551" w:type="dxa"/>
            <w:vAlign w:val="center"/>
          </w:tcPr>
          <w:p>
            <w:pPr>
              <w:pStyle w:val="单元格样式4"/>
            </w:pPr>
            <w:r>
              <w:t xml:space="preserve">10.82</w:t>
            </w:r>
          </w:p>
        </w:tc>
        <w:tc>
          <w:tcPr>
            <w:tcW w:w="2551" w:type="dxa"/>
            <w:vAlign w:val="center"/>
          </w:tcPr>
          <w:p>
            <w:pPr>
              <w:pStyle w:val="单元格样式4"/>
            </w:pPr>
            <w:r>
              <w:t xml:space="preserve">10.60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22005</w:t>
            </w:r>
          </w:p>
        </w:tc>
        <w:tc>
          <w:tcPr>
            <w:tcW w:w="4535" w:type="dxa"/>
            <w:vAlign w:val="center"/>
          </w:tcPr>
          <w:p>
            <w:pPr>
              <w:pStyle w:val="单元格样式2"/>
            </w:pPr>
            <w:r>
              <w:t xml:space="preserve">气象事务</w:t>
            </w:r>
          </w:p>
        </w:tc>
        <w:tc>
          <w:tcPr>
            <w:tcW w:w="2551" w:type="dxa"/>
            <w:vAlign w:val="center"/>
          </w:tcPr>
          <w:p>
            <w:pPr>
              <w:pStyle w:val="单元格样式4"/>
            </w:pPr>
            <w:r>
              <w:t xml:space="preserve">21.42</w:t>
            </w:r>
          </w:p>
        </w:tc>
        <w:tc>
          <w:tcPr>
            <w:tcW w:w="2551" w:type="dxa"/>
            <w:vAlign w:val="center"/>
          </w:tcPr>
          <w:p>
            <w:pPr>
              <w:pStyle w:val="单元格样式4"/>
            </w:pPr>
            <w:r>
              <w:t xml:space="preserve">10.82</w:t>
            </w:r>
          </w:p>
        </w:tc>
        <w:tc>
          <w:tcPr>
            <w:tcW w:w="2551" w:type="dxa"/>
            <w:vAlign w:val="center"/>
          </w:tcPr>
          <w:p>
            <w:pPr>
              <w:pStyle w:val="单元格样式4"/>
            </w:pPr>
            <w:r>
              <w:t xml:space="preserve">10.60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2200501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3.76</w:t>
            </w:r>
          </w:p>
        </w:tc>
        <w:tc>
          <w:tcPr>
            <w:tcW w:w="2551" w:type="dxa"/>
            <w:vAlign w:val="center"/>
          </w:tcPr>
          <w:p>
            <w:pPr>
              <w:pStyle w:val="单元格样式4"/>
            </w:pPr>
            <w:r>
              <w:t xml:space="preserve">3.76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2200504</w:t>
            </w:r>
          </w:p>
        </w:tc>
        <w:tc>
          <w:tcPr>
            <w:tcW w:w="4535" w:type="dxa"/>
            <w:vAlign w:val="center"/>
          </w:tcPr>
          <w:p>
            <w:pPr>
              <w:pStyle w:val="单元格样式2"/>
            </w:pPr>
            <w:r>
              <w:t xml:space="preserve">气象事业机构</w:t>
            </w:r>
          </w:p>
        </w:tc>
        <w:tc>
          <w:tcPr>
            <w:tcW w:w="2551" w:type="dxa"/>
            <w:vAlign w:val="center"/>
          </w:tcPr>
          <w:p>
            <w:pPr>
              <w:pStyle w:val="单元格样式4"/>
            </w:pPr>
            <w:r>
              <w:t xml:space="preserve">7.06</w:t>
            </w:r>
          </w:p>
        </w:tc>
        <w:tc>
          <w:tcPr>
            <w:tcW w:w="2551" w:type="dxa"/>
            <w:vAlign w:val="center"/>
          </w:tcPr>
          <w:p>
            <w:pPr>
              <w:pStyle w:val="单元格样式4"/>
            </w:pPr>
            <w:r>
              <w:t xml:space="preserve">7.06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2200509</w:t>
            </w:r>
          </w:p>
        </w:tc>
        <w:tc>
          <w:tcPr>
            <w:tcW w:w="4535" w:type="dxa"/>
            <w:vAlign w:val="center"/>
          </w:tcPr>
          <w:p>
            <w:pPr>
              <w:pStyle w:val="单元格样式2"/>
            </w:pPr>
            <w:r>
              <w:t xml:space="preserve">气象服务</w:t>
            </w:r>
          </w:p>
        </w:tc>
        <w:tc>
          <w:tcPr>
            <w:tcW w:w="2551" w:type="dxa"/>
            <w:vAlign w:val="center"/>
          </w:tcPr>
          <w:p>
            <w:pPr>
              <w:pStyle w:val="单元格样式4"/>
            </w:pPr>
            <w:r>
              <w:t xml:space="preserve">10.60</w:t>
            </w:r>
          </w:p>
        </w:tc>
        <w:tc>
          <w:tcPr>
            <w:tcW w:w="2551" w:type="dxa"/>
            <w:vAlign w:val="center"/>
          </w:tcPr>
          <w:p>
            <w:pPr>
              <w:pStyle w:val="单元格样式4"/>
            </w:pPr>
          </w:p>
        </w:tc>
        <w:tc>
          <w:tcPr>
            <w:tcW w:w="2551" w:type="dxa"/>
            <w:vAlign w:val="center"/>
          </w:tcPr>
          <w:p>
            <w:pPr>
              <w:pStyle w:val="单元格样式4"/>
            </w:pPr>
            <w:r>
              <w:t xml:space="preserve">10.60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20.35</w:t>
            </w:r>
          </w:p>
        </w:tc>
        <w:tc>
          <w:tcPr>
            <w:tcW w:w="2551" w:type="dxa"/>
            <w:vAlign w:val="center"/>
          </w:tcPr>
          <w:p>
            <w:pPr>
              <w:pStyle w:val="单元格样式7"/>
            </w:pPr>
            <w:r>
              <w:t xml:space="preserve">20.35</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17.75</w:t>
            </w:r>
          </w:p>
        </w:tc>
        <w:tc>
          <w:tcPr>
            <w:tcW w:w="2551" w:type="dxa"/>
            <w:vAlign w:val="center"/>
          </w:tcPr>
          <w:p>
            <w:pPr>
              <w:pStyle w:val="单元格样式4"/>
            </w:pPr>
            <w:r>
              <w:t xml:space="preserve">17.75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1.51</w:t>
            </w:r>
          </w:p>
        </w:tc>
        <w:tc>
          <w:tcPr>
            <w:tcW w:w="2551" w:type="dxa"/>
            <w:vAlign w:val="center"/>
          </w:tcPr>
          <w:p>
            <w:pPr>
              <w:pStyle w:val="单元格样式4"/>
            </w:pPr>
            <w:r>
              <w:t xml:space="preserve">1.51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3.65</w:t>
            </w:r>
          </w:p>
        </w:tc>
        <w:tc>
          <w:tcPr>
            <w:tcW w:w="2551" w:type="dxa"/>
            <w:vAlign w:val="center"/>
          </w:tcPr>
          <w:p>
            <w:pPr>
              <w:pStyle w:val="单元格样式4"/>
            </w:pPr>
            <w:r>
              <w:t xml:space="preserve">3.65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5.66</w:t>
            </w:r>
          </w:p>
        </w:tc>
        <w:tc>
          <w:tcPr>
            <w:tcW w:w="2551" w:type="dxa"/>
            <w:vAlign w:val="center"/>
          </w:tcPr>
          <w:p>
            <w:pPr>
              <w:pStyle w:val="单元格样式4"/>
            </w:pPr>
            <w:r>
              <w:t xml:space="preserve">5.66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6.93</w:t>
            </w:r>
          </w:p>
        </w:tc>
        <w:tc>
          <w:tcPr>
            <w:tcW w:w="2551" w:type="dxa"/>
            <w:vAlign w:val="center"/>
          </w:tcPr>
          <w:p>
            <w:pPr>
              <w:pStyle w:val="单元格样式4"/>
            </w:pPr>
            <w:r>
              <w:t xml:space="preserve">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2.61</w:t>
            </w:r>
          </w:p>
        </w:tc>
        <w:tc>
          <w:tcPr>
            <w:tcW w:w="2551" w:type="dxa"/>
            <w:vAlign w:val="center"/>
          </w:tcPr>
          <w:p>
            <w:pPr>
              <w:pStyle w:val="单元格样式4"/>
            </w:pPr>
            <w:r>
              <w:t xml:space="preserve">2.61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30.00</w:t>
            </w:r>
          </w:p>
        </w:tc>
        <w:tc>
          <w:tcPr>
            <w:tcW w:w="2551" w:type="dxa"/>
            <w:vAlign w:val="center"/>
          </w:tcPr>
          <w:p>
            <w:pPr>
              <w:pStyle w:val="单元格样式7"/>
            </w:pPr>
          </w:p>
        </w:tc>
        <w:tc>
          <w:tcPr>
            <w:tcW w:w="2551" w:type="dxa"/>
            <w:vAlign w:val="center"/>
          </w:tcPr>
          <w:p>
            <w:pPr>
              <w:pStyle w:val="单元格样式7"/>
            </w:pPr>
            <w:r>
              <w:t xml:space="preserve">30.00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21208</w:t>
            </w:r>
          </w:p>
        </w:tc>
        <w:tc>
          <w:tcPr>
            <w:tcW w:w="4535" w:type="dxa"/>
            <w:vAlign w:val="center"/>
          </w:tcPr>
          <w:p>
            <w:pPr>
              <w:pStyle w:val="单元格样式2"/>
            </w:pPr>
            <w:r>
              <w:t xml:space="preserve">国有土地使用权出让收入安排的支出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2120899</w:t>
            </w:r>
          </w:p>
        </w:tc>
        <w:tc>
          <w:tcPr>
            <w:tcW w:w="4535" w:type="dxa"/>
            <w:vAlign w:val="center"/>
          </w:tcPr>
          <w:p>
            <w:pPr>
              <w:pStyle w:val="单元格样式2"/>
            </w:pPr>
            <w:r>
              <w:t xml:space="preserve">其他国有土地使用权出让收入安排的支出</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青龙满族自治县气象局本级2026年单位预算信息公开情况说明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按照《中华人民共和国预算法》、《地方预决算公开操作规程》和《关于进一步推进预算公开工作的实施意见》规定，现将青龙满族自治县气象局本级2026年单位预算公开如下：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青龙满族自治县气象局主要职责</w:t>
      </w:r>
    </w:p>
    <w:p>
      <w:pPr>
        <w:pStyle w:val="插入文本样式-插入单位职责文件"/>
      </w:pPr>
    </w:p>
    <w:p>
      <w:pPr>
        <w:pStyle w:val="插入文本样式-插入单位职责文件"/>
      </w:pPr>
      <w:r>
        <w:t xml:space="preserve">青龙满族自治县气象系统各级管理机构实行上级气象主管机构与本级人民政府双重领导，以上级气象主管机构领导为主的管理体制。在上级气象主管机构和本级人民政府领导下，根据授权承担本行政区域内气象工作的政府行政管理职能，依法履行气象主管机构的各项职责。</w:t>
      </w:r>
    </w:p>
    <w:p>
      <w:pPr>
        <w:pStyle w:val="插入文本样式-插入单位职责文件"/>
      </w:pPr>
    </w:p>
    <w:p>
      <w:pPr>
        <w:pStyle w:val="插入文本样式-插入单位职责文件"/>
      </w:pPr>
      <w:r>
        <w:t xml:space="preserve">根据《中华人民共和国气象法》、《气象灾害防御条例》、《人工影响天气管理条例》、《气象设施和气象探测环境保护条例》等法律、法规以及地方性法规、规章的有关规定，青龙满族自治县气象局主要职责是：</w:t>
      </w:r>
    </w:p>
    <w:p>
      <w:pPr>
        <w:pStyle w:val="插入文本样式-插入单位职责文件"/>
      </w:pPr>
    </w:p>
    <w:p>
      <w:pPr>
        <w:pStyle w:val="插入文本样式-插入单位职责文件"/>
      </w:pPr>
      <w:r>
        <w:t xml:space="preserve">1.负责本行政区域内气象事业发展规划的制定及气象工作的组织实施；对本行政区域内的气象活动进行指导、监督和行业管理。</w:t>
      </w:r>
    </w:p>
    <w:p>
      <w:pPr>
        <w:pStyle w:val="插入文本样式-插入单位职责文件"/>
      </w:pPr>
    </w:p>
    <w:p>
      <w:pPr>
        <w:pStyle w:val="插入文本样式-插入单位职责文件"/>
      </w:pPr>
      <w:r>
        <w:t xml:space="preserve">2.组织管理本行政区域内气象灾害防御工作；组织拟订和实施本行政区域的气象灾害防御规划；管理本行政区域人工影响天气工作，指导和组织人工影响天气作业；指导城乡气象工作，组织推进农村气象灾害防御体系和农业气象服务体系建设，组织指导乡镇（街道）气象工作站和气象协理员、信息员队伍建设。</w:t>
      </w:r>
    </w:p>
    <w:p>
      <w:pPr>
        <w:pStyle w:val="插入文本样式-插入单位职责文件"/>
      </w:pPr>
    </w:p>
    <w:p>
      <w:pPr>
        <w:pStyle w:val="插入文本样式-插入单位职责文件"/>
      </w:pPr>
      <w:r>
        <w:t xml:space="preserve">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pPr>
        <w:pStyle w:val="插入文本样式-插入单位职责文件"/>
      </w:pPr>
    </w:p>
    <w:p>
      <w:pPr>
        <w:pStyle w:val="插入文本样式-插入单位职责文件"/>
      </w:pPr>
      <w:r>
        <w:t xml:space="preserve">4.组织本行政区域内气候资源的综合调查、区划，指导气候资源的开发利用和保护，组织并审查重点建设工程、重大区域经济开发项目和城乡建设规划的气候可行性论证和气象灾害风险评估。</w:t>
      </w:r>
    </w:p>
    <w:p>
      <w:pPr>
        <w:pStyle w:val="插入文本样式-插入单位职责文件"/>
      </w:pPr>
    </w:p>
    <w:p>
      <w:pPr>
        <w:pStyle w:val="插入文本样式-插入单位职责文件"/>
      </w:pPr>
      <w:r>
        <w:t xml:space="preserve">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插入文本样式-插入单位职责文件"/>
      </w:pPr>
    </w:p>
    <w:p>
      <w:pPr>
        <w:pStyle w:val="插入文本样式-插入单位职责文件"/>
      </w:pPr>
      <w:r>
        <w:t xml:space="preserve">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插入文本样式-插入单位职责文件"/>
      </w:pPr>
    </w:p>
    <w:p>
      <w:pPr>
        <w:pStyle w:val="插入文本样式-插入单位职责文件"/>
      </w:pPr>
      <w:r>
        <w:t xml:space="preserve">7.组织开展气象法制宣传教育，负责监督有关气象法律法规的实施，对违反《中华人民共和国气象法》等法律法规有关规定的行为依法进行处罚，承担有关行政诉讼；组织宣传、普及气象科学知识。</w:t>
      </w:r>
    </w:p>
    <w:p>
      <w:pPr>
        <w:pStyle w:val="插入文本样式-插入单位职责文件"/>
      </w:pPr>
    </w:p>
    <w:p>
      <w:pPr>
        <w:pStyle w:val="插入文本样式-插入单位职责文件"/>
      </w:pPr>
      <w:r>
        <w:t xml:space="preserve">8.管理本级气象部门内部的计划财务、人事劳动、队伍建设、教育培训和业务建设；负责气象部门双重计划财务体制的落实工作；负责党的建设、精神文明和气象文化建设。</w:t>
      </w:r>
    </w:p>
    <w:p>
      <w:pPr>
        <w:pStyle w:val="插入文本样式-插入单位职责文件"/>
      </w:pPr>
    </w:p>
    <w:p>
      <w:pPr>
        <w:pStyle w:val="插入文本样式-插入单位职责文件"/>
      </w:pPr>
      <w:r>
        <w:t xml:space="preserve">9.承担上级气象主管机构和本级人民政府交办的其他事项。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青龙满族自治县气象局本级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60.95万元，其中：一般公共预算收入30.95万元，基金预算收入30.00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青龙满族自治县气象局本级年度单位预算中支出预算的总体情况。2026年支出预算60.95万元，其中基本支出20.35万元，包括人员经费20.35万元和日常公用经费0.00万元；项目支出40.60万元，主要为气象灾害防御经费7.4万元，预警信息发布和天气预报制作经费3.2万元。；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60.95万元，较2025年预算减少0.95万元，其中：基本支出减少0.05万元，主要为保险基数调整减少0.05万元。项目支出减少0.90万元，主要为预算减少0.9万元。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1、河北省人工影响天气水资源保障工程地方配套资金绩效目标表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13032126P00001210007N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河北省人工影响天气水资源保障工程地方配套资金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项目资金30万元，其中财政拨款30万元，主要用于人工影响天气</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1.提升气象保障经济发展能力，开发空中云水资源，抗旱减灾，降低农业生产损失，保障粮食安全</w:t>
            </w:r>
          </w:p>
          <w:p>
            <w:pPr>
              <w:pStyle w:val="单元格样式2"/>
            </w:pPr>
            <w:r>
              <w:t xml:space="preserve">2.增加地表水和补充地下水，缓解水资源短缺，保障水安全</w:t>
            </w:r>
          </w:p>
          <w:p>
            <w:pPr>
              <w:pStyle w:val="单元格样式2"/>
            </w:pPr>
            <w:r>
              <w:t xml:space="preserve">3.森林草原防灭火，保护生态环境</w:t>
            </w:r>
          </w:p>
          <w:p>
            <w:pPr>
              <w:pStyle w:val="单元格样式2"/>
            </w:pPr>
            <w:r>
              <w:t xml:space="preserve">4.提高重大活动保障服务能力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新型作业设备更新数量</w:t>
            </w:r>
          </w:p>
        </w:tc>
        <w:tc>
          <w:tcPr>
            <w:tcW w:w="5386" w:type="dxa"/>
            <w:vAlign w:val="center"/>
          </w:tcPr>
          <w:p>
            <w:pPr>
              <w:pStyle w:val="单元格样式2"/>
            </w:pPr>
            <w:r>
              <w:t xml:space="preserve">新型作业设备更新数量</w:t>
            </w:r>
          </w:p>
        </w:tc>
        <w:tc>
          <w:tcPr>
            <w:tcW w:w="2268" w:type="dxa"/>
            <w:vAlign w:val="center"/>
          </w:tcPr>
          <w:p>
            <w:pPr>
              <w:pStyle w:val="单元格样式2"/>
            </w:pPr>
            <w:r>
              <w:t xml:space="preserve">≥1套</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作业装备升级改造数量</w:t>
            </w:r>
          </w:p>
        </w:tc>
        <w:tc>
          <w:tcPr>
            <w:tcW w:w="5386" w:type="dxa"/>
            <w:vAlign w:val="center"/>
          </w:tcPr>
          <w:p>
            <w:pPr>
              <w:pStyle w:val="单元格样式2"/>
            </w:pPr>
            <w:r>
              <w:t xml:space="preserve">作业装备升级改造数量</w:t>
            </w:r>
          </w:p>
        </w:tc>
        <w:tc>
          <w:tcPr>
            <w:tcW w:w="2268" w:type="dxa"/>
            <w:vAlign w:val="center"/>
          </w:tcPr>
          <w:p>
            <w:pPr>
              <w:pStyle w:val="单元格样式2"/>
            </w:pPr>
            <w:r>
              <w:t xml:space="preserve">≥1套</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设备年检与完好率</w:t>
            </w:r>
          </w:p>
        </w:tc>
        <w:tc>
          <w:tcPr>
            <w:tcW w:w="5386" w:type="dxa"/>
            <w:vAlign w:val="center"/>
          </w:tcPr>
          <w:p>
            <w:pPr>
              <w:pStyle w:val="单元格样式2"/>
            </w:pPr>
            <w:r>
              <w:t xml:space="preserve">设备年检与完好率</w:t>
            </w:r>
          </w:p>
        </w:tc>
        <w:tc>
          <w:tcPr>
            <w:tcW w:w="2268" w:type="dxa"/>
            <w:vAlign w:val="center"/>
          </w:tcPr>
          <w:p>
            <w:pPr>
              <w:pStyle w:val="单元格样式2"/>
            </w:pPr>
            <w:r>
              <w:t xml:space="preserve">≥95%</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财政补助金额</w:t>
            </w:r>
          </w:p>
        </w:tc>
        <w:tc>
          <w:tcPr>
            <w:tcW w:w="5386" w:type="dxa"/>
            <w:vAlign w:val="center"/>
          </w:tcPr>
          <w:p>
            <w:pPr>
              <w:pStyle w:val="单元格样式2"/>
            </w:pPr>
            <w:r>
              <w:t xml:space="preserve">财政补助金额</w:t>
            </w:r>
          </w:p>
        </w:tc>
        <w:tc>
          <w:tcPr>
            <w:tcW w:w="2268" w:type="dxa"/>
            <w:vAlign w:val="center"/>
          </w:tcPr>
          <w:p>
            <w:pPr>
              <w:pStyle w:val="单元格样式2"/>
            </w:pPr>
            <w:r>
              <w:t xml:space="preserve">30万元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升级改造时间</w:t>
            </w:r>
          </w:p>
        </w:tc>
        <w:tc>
          <w:tcPr>
            <w:tcW w:w="5386" w:type="dxa"/>
            <w:vAlign w:val="center"/>
          </w:tcPr>
          <w:p>
            <w:pPr>
              <w:pStyle w:val="单元格样式2"/>
            </w:pPr>
            <w:r>
              <w:t xml:space="preserve">作业设备升级改造时间</w:t>
            </w:r>
          </w:p>
        </w:tc>
        <w:tc>
          <w:tcPr>
            <w:tcW w:w="2268" w:type="dxa"/>
            <w:vAlign w:val="center"/>
          </w:tcPr>
          <w:p>
            <w:pPr>
              <w:pStyle w:val="单元格样式2"/>
            </w:pPr>
            <w:r>
              <w:t xml:space="preserve">≤1年</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水资源保障作用</w:t>
            </w:r>
          </w:p>
        </w:tc>
        <w:tc>
          <w:tcPr>
            <w:tcW w:w="5386" w:type="dxa"/>
            <w:vAlign w:val="center"/>
          </w:tcPr>
          <w:p>
            <w:pPr>
              <w:pStyle w:val="单元格样式2"/>
            </w:pPr>
            <w:r>
              <w:t xml:space="preserve">提高水资源保障作用</w:t>
            </w:r>
          </w:p>
        </w:tc>
        <w:tc>
          <w:tcPr>
            <w:tcW w:w="2268" w:type="dxa"/>
            <w:vAlign w:val="center"/>
          </w:tcPr>
          <w:p>
            <w:pPr>
              <w:pStyle w:val="单元格样式2"/>
            </w:pPr>
            <w:r>
              <w:t xml:space="preserve">有效提高</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活动服务保障能力</w:t>
            </w:r>
          </w:p>
        </w:tc>
        <w:tc>
          <w:tcPr>
            <w:tcW w:w="5386" w:type="dxa"/>
            <w:vAlign w:val="center"/>
          </w:tcPr>
          <w:p>
            <w:pPr>
              <w:pStyle w:val="单元格样式2"/>
            </w:pPr>
            <w:r>
              <w:t xml:space="preserve">提高重大活动保障能力</w:t>
            </w:r>
          </w:p>
        </w:tc>
        <w:tc>
          <w:tcPr>
            <w:tcW w:w="2268" w:type="dxa"/>
            <w:vAlign w:val="center"/>
          </w:tcPr>
          <w:p>
            <w:pPr>
              <w:pStyle w:val="单元格样式2"/>
            </w:pPr>
            <w:r>
              <w:t xml:space="preserve">有效提高</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森林草原防灭火，保护生态环境</w:t>
            </w:r>
          </w:p>
        </w:tc>
        <w:tc>
          <w:tcPr>
            <w:tcW w:w="5386" w:type="dxa"/>
            <w:vAlign w:val="center"/>
          </w:tcPr>
          <w:p>
            <w:pPr>
              <w:pStyle w:val="单元格样式2"/>
            </w:pPr>
            <w:r>
              <w:t xml:space="preserve">有效降低森林火险等级</w:t>
            </w:r>
          </w:p>
        </w:tc>
        <w:tc>
          <w:tcPr>
            <w:tcW w:w="2268" w:type="dxa"/>
            <w:vAlign w:val="center"/>
          </w:tcPr>
          <w:p>
            <w:pPr>
              <w:pStyle w:val="单元格样式2"/>
            </w:pPr>
            <w:r>
              <w:t xml:space="preserve">有效降低</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群众满意数量占总数的比例</w:t>
            </w:r>
          </w:p>
        </w:tc>
        <w:tc>
          <w:tcPr>
            <w:tcW w:w="5386" w:type="dxa"/>
            <w:vAlign w:val="center"/>
          </w:tcPr>
          <w:p>
            <w:pPr>
              <w:pStyle w:val="单元格样式2"/>
            </w:pPr>
            <w:r>
              <w:t xml:space="preserve">群众满意数量占总数的比例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《公众满意度》规定的满意度等级划分和计算方法进行计算</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2、气象灾害防御经费绩效目标表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13032126P00880810003M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气象灾害防御经费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项目金额7.4万元，其中财政拨款7.4万元，主要用于气象灾害防御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99%</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1.灾害性天气发生前发布预报或预警服务信息</w:t>
            </w:r>
          </w:p>
          <w:p>
            <w:pPr>
              <w:pStyle w:val="单元格样式2"/>
            </w:pPr>
            <w:r>
              <w:t xml:space="preserve">2.发挥省、市、县三级成立气象灾害防御指挥部联动作用，保障人民生命财产安全</w:t>
            </w:r>
          </w:p>
          <w:p>
            <w:pPr>
              <w:pStyle w:val="单元格样式2"/>
            </w:pPr>
            <w:r>
              <w:t xml:space="preserve">3.通过多种形式增加防灾减灾宣传力度，促进全县防灾减灾工作落实到位</w:t>
            </w:r>
          </w:p>
          <w:p>
            <w:pPr>
              <w:pStyle w:val="单元格样式2"/>
            </w:pPr>
            <w:r>
              <w:t xml:space="preserve">4.为公众免费提供预报预警服务信息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维修区域站个数</w:t>
            </w:r>
          </w:p>
        </w:tc>
        <w:tc>
          <w:tcPr>
            <w:tcW w:w="5386" w:type="dxa"/>
            <w:vAlign w:val="center"/>
          </w:tcPr>
          <w:p>
            <w:pPr>
              <w:pStyle w:val="单元格样式2"/>
            </w:pPr>
            <w:r>
              <w:t xml:space="preserve">完成成各乡镇区域站维护维修的个数</w:t>
            </w:r>
          </w:p>
        </w:tc>
        <w:tc>
          <w:tcPr>
            <w:tcW w:w="2268" w:type="dxa"/>
            <w:vAlign w:val="center"/>
          </w:tcPr>
          <w:p>
            <w:pPr>
              <w:pStyle w:val="单元格样式2"/>
            </w:pPr>
            <w:r>
              <w:t xml:space="preserve">54个</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预警信息接收、处理、发布时间（小时）</w:t>
            </w:r>
          </w:p>
        </w:tc>
        <w:tc>
          <w:tcPr>
            <w:tcW w:w="5386" w:type="dxa"/>
            <w:vAlign w:val="center"/>
          </w:tcPr>
          <w:p>
            <w:pPr>
              <w:pStyle w:val="单元格样式2"/>
            </w:pPr>
            <w:r>
              <w:t xml:space="preserve">预警信息接收、处理、发布全过程用时控制时间</w:t>
            </w:r>
          </w:p>
        </w:tc>
        <w:tc>
          <w:tcPr>
            <w:tcW w:w="2268" w:type="dxa"/>
            <w:vAlign w:val="center"/>
          </w:tcPr>
          <w:p>
            <w:pPr>
              <w:pStyle w:val="单元格样式2"/>
            </w:pPr>
            <w:r>
              <w:t xml:space="preserve">≤24小时</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区域站发挥其作用的有效期限</w:t>
            </w:r>
          </w:p>
        </w:tc>
        <w:tc>
          <w:tcPr>
            <w:tcW w:w="5386" w:type="dxa"/>
            <w:vAlign w:val="center"/>
          </w:tcPr>
          <w:p>
            <w:pPr>
              <w:pStyle w:val="单元格样式2"/>
            </w:pPr>
            <w:r>
              <w:t xml:space="preserve">区域站发挥其作用的有效期限</w:t>
            </w:r>
          </w:p>
        </w:tc>
        <w:tc>
          <w:tcPr>
            <w:tcW w:w="2268" w:type="dxa"/>
            <w:vAlign w:val="center"/>
          </w:tcPr>
          <w:p>
            <w:pPr>
              <w:pStyle w:val="单元格样式2"/>
            </w:pPr>
            <w:r>
              <w:t xml:space="preserve">永久</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气象灾害防御经费预算控制数</w:t>
            </w:r>
          </w:p>
        </w:tc>
        <w:tc>
          <w:tcPr>
            <w:tcW w:w="5386" w:type="dxa"/>
            <w:vAlign w:val="center"/>
          </w:tcPr>
          <w:p>
            <w:pPr>
              <w:pStyle w:val="单元格样式2"/>
            </w:pPr>
            <w:r>
              <w:t xml:space="preserve">气象灾害防御经费预算控制数</w:t>
            </w:r>
          </w:p>
        </w:tc>
        <w:tc>
          <w:tcPr>
            <w:tcW w:w="2268" w:type="dxa"/>
            <w:vAlign w:val="center"/>
          </w:tcPr>
          <w:p>
            <w:pPr>
              <w:pStyle w:val="单元格样式2"/>
            </w:pPr>
            <w:r>
              <w:t xml:space="preserve">≤7.4万元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减少经济损失</w:t>
            </w:r>
          </w:p>
        </w:tc>
        <w:tc>
          <w:tcPr>
            <w:tcW w:w="5386" w:type="dxa"/>
            <w:vAlign w:val="center"/>
          </w:tcPr>
          <w:p>
            <w:pPr>
              <w:pStyle w:val="单元格样式2"/>
            </w:pPr>
            <w:r>
              <w:t xml:space="preserve">提前发布预报预警信息，为公众争取时间，做好应对灾害性天气的防御措施</w:t>
            </w:r>
          </w:p>
        </w:tc>
        <w:tc>
          <w:tcPr>
            <w:tcW w:w="2268" w:type="dxa"/>
            <w:vAlign w:val="center"/>
          </w:tcPr>
          <w:p>
            <w:pPr>
              <w:pStyle w:val="单元格样式2"/>
            </w:pPr>
            <w:r>
              <w:t xml:space="preserve">≥30%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预报预警作用</w:t>
            </w:r>
          </w:p>
        </w:tc>
        <w:tc>
          <w:tcPr>
            <w:tcW w:w="5386" w:type="dxa"/>
            <w:vAlign w:val="center"/>
          </w:tcPr>
          <w:p>
            <w:pPr>
              <w:pStyle w:val="单元格样式2"/>
            </w:pPr>
            <w:r>
              <w:t xml:space="preserve">能高效完成气象灾害等预报预警对公众服务工作</w:t>
            </w:r>
          </w:p>
        </w:tc>
        <w:tc>
          <w:tcPr>
            <w:tcW w:w="2268" w:type="dxa"/>
            <w:vAlign w:val="center"/>
          </w:tcPr>
          <w:p>
            <w:pPr>
              <w:pStyle w:val="单元格样式2"/>
            </w:pPr>
            <w:r>
              <w:t xml:space="preserve">提请预警5分钟</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区域站持续发挥作用</w:t>
            </w:r>
          </w:p>
        </w:tc>
        <w:tc>
          <w:tcPr>
            <w:tcW w:w="5386" w:type="dxa"/>
            <w:vAlign w:val="center"/>
          </w:tcPr>
          <w:p>
            <w:pPr>
              <w:pStyle w:val="单元格样式2"/>
            </w:pPr>
            <w:r>
              <w:t xml:space="preserve">区域站的建成及日常维修维护能持续有效的做好预警工作</w:t>
            </w:r>
          </w:p>
        </w:tc>
        <w:tc>
          <w:tcPr>
            <w:tcW w:w="2268" w:type="dxa"/>
            <w:vAlign w:val="center"/>
          </w:tcPr>
          <w:p>
            <w:pPr>
              <w:pStyle w:val="单元格样式2"/>
            </w:pPr>
            <w:r>
              <w:t xml:space="preserve">持续有效</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区域站涉及民众满意度占总人数的比重</w:t>
            </w:r>
          </w:p>
        </w:tc>
        <w:tc>
          <w:tcPr>
            <w:tcW w:w="2268" w:type="dxa"/>
            <w:vAlign w:val="center"/>
          </w:tcPr>
          <w:p>
            <w:pPr>
              <w:pStyle w:val="单元格样式2"/>
            </w:pPr>
            <w:r>
              <w:t xml:space="preserve">≥90%</w:t>
            </w:r>
          </w:p>
        </w:tc>
        <w:tc>
          <w:tcPr>
            <w:tcW w:w="1276" w:type="dxa"/>
            <w:vAlign w:val="center"/>
          </w:tcPr>
          <w:p>
            <w:pPr>
              <w:pStyle w:val="单元格样式2"/>
            </w:pPr>
            <w:r>
              <w:t xml:space="preserve">《公众满意度》规定的满意度等级划分和计算方法进行计算</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3、预警信息发布和天气预报制作经费绩效目标表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13032126P000012100063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预警信息发布和天气预报制作经费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项目金额3.2万元，其中财政拨款3.2万元，主要用于预警信息发布和天气预报制作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1.通过预警信息的发布，提高公众的防灾减灾意识和能力。</w:t>
            </w:r>
          </w:p>
          <w:p>
            <w:pPr>
              <w:pStyle w:val="单元格样式2"/>
            </w:pPr>
            <w:r>
              <w:t xml:space="preserve">2.确保预警信息能够在最短时间内发布到公众手中，减少灾害带来的损失。</w:t>
            </w:r>
          </w:p>
          <w:p>
            <w:pPr>
              <w:pStyle w:val="单元格样式2"/>
            </w:pPr>
            <w:r>
              <w:t xml:space="preserve">3.确保天气预报的制作和发布流程高效顺畅，为公众提供可靠的气象信息。</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预警信息发布条数</w:t>
            </w:r>
          </w:p>
        </w:tc>
        <w:tc>
          <w:tcPr>
            <w:tcW w:w="5386" w:type="dxa"/>
            <w:vAlign w:val="center"/>
          </w:tcPr>
          <w:p>
            <w:pPr>
              <w:pStyle w:val="单元格样式2"/>
            </w:pPr>
            <w:r>
              <w:t xml:space="preserve">预警信息发布条数</w:t>
            </w:r>
          </w:p>
        </w:tc>
        <w:tc>
          <w:tcPr>
            <w:tcW w:w="2268" w:type="dxa"/>
            <w:vAlign w:val="center"/>
          </w:tcPr>
          <w:p>
            <w:pPr>
              <w:pStyle w:val="单元格样式2"/>
            </w:pPr>
            <w:r>
              <w:t xml:space="preserve">≥10万条</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预警信息发布成功率</w:t>
            </w:r>
          </w:p>
        </w:tc>
        <w:tc>
          <w:tcPr>
            <w:tcW w:w="5386" w:type="dxa"/>
            <w:vAlign w:val="center"/>
          </w:tcPr>
          <w:p>
            <w:pPr>
              <w:pStyle w:val="单元格样式2"/>
            </w:pPr>
            <w:r>
              <w:t xml:space="preserve">预警信息发布成功率</w:t>
            </w:r>
          </w:p>
        </w:tc>
        <w:tc>
          <w:tcPr>
            <w:tcW w:w="2268" w:type="dxa"/>
            <w:vAlign w:val="center"/>
          </w:tcPr>
          <w:p>
            <w:pPr>
              <w:pStyle w:val="单元格样式2"/>
            </w:pPr>
            <w:r>
              <w:t xml:space="preserve">≥90%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预警信息发布时间</w:t>
            </w:r>
          </w:p>
        </w:tc>
        <w:tc>
          <w:tcPr>
            <w:tcW w:w="5386" w:type="dxa"/>
            <w:vAlign w:val="center"/>
          </w:tcPr>
          <w:p>
            <w:pPr>
              <w:pStyle w:val="单元格样式2"/>
            </w:pPr>
            <w:r>
              <w:t xml:space="preserve">预警信息发布时间</w:t>
            </w:r>
          </w:p>
        </w:tc>
        <w:tc>
          <w:tcPr>
            <w:tcW w:w="2268" w:type="dxa"/>
            <w:vAlign w:val="center"/>
          </w:tcPr>
          <w:p>
            <w:pPr>
              <w:pStyle w:val="单元格样式2"/>
            </w:pPr>
            <w:r>
              <w:t xml:space="preserve">≤24小时</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预警信息发布和天气预报制作成本</w:t>
            </w:r>
          </w:p>
        </w:tc>
        <w:tc>
          <w:tcPr>
            <w:tcW w:w="5386" w:type="dxa"/>
            <w:vAlign w:val="center"/>
          </w:tcPr>
          <w:p>
            <w:pPr>
              <w:pStyle w:val="单元格样式2"/>
            </w:pPr>
            <w:r>
              <w:t xml:space="preserve">预警信息发布和天气预报制作成本</w:t>
            </w:r>
          </w:p>
        </w:tc>
        <w:tc>
          <w:tcPr>
            <w:tcW w:w="2268" w:type="dxa"/>
            <w:vAlign w:val="center"/>
          </w:tcPr>
          <w:p>
            <w:pPr>
              <w:pStyle w:val="单元格样式2"/>
            </w:pPr>
            <w:r>
              <w:t xml:space="preserve">≤3.2万元</w:t>
            </w:r>
          </w:p>
        </w:tc>
        <w:tc>
          <w:tcPr>
            <w:tcW w:w="1276" w:type="dxa"/>
            <w:vAlign w:val="center"/>
          </w:tcPr>
          <w:p>
            <w:pPr>
              <w:pStyle w:val="单元格样式2"/>
            </w:pPr>
            <w:r>
              <w:t xml:space="preserve">项目预算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提升社会对自然灾害的预警和响应能力，减少灾害带来的损失。</w:t>
            </w:r>
          </w:p>
        </w:tc>
        <w:tc>
          <w:tcPr>
            <w:tcW w:w="5386" w:type="dxa"/>
            <w:vAlign w:val="center"/>
          </w:tcPr>
          <w:p>
            <w:pPr>
              <w:pStyle w:val="单元格样式2"/>
            </w:pPr>
            <w:r>
              <w:t xml:space="preserve">提升社会对自然灾害的预警和响应能力，减少灾害带来的损失。</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帮助农民合理安排农事活动，提高农业生产效率，从而增加农民收入。</w:t>
            </w:r>
          </w:p>
        </w:tc>
        <w:tc>
          <w:tcPr>
            <w:tcW w:w="5386" w:type="dxa"/>
            <w:vAlign w:val="center"/>
          </w:tcPr>
          <w:p>
            <w:pPr>
              <w:pStyle w:val="单元格样式2"/>
            </w:pPr>
            <w:r>
              <w:t xml:space="preserve">帮助农民合理安排农事活动，提高农业生产效率，从而增加农民收入。</w:t>
            </w:r>
          </w:p>
        </w:tc>
        <w:tc>
          <w:tcPr>
            <w:tcW w:w="2268" w:type="dxa"/>
            <w:vAlign w:val="center"/>
          </w:tcPr>
          <w:p>
            <w:pPr>
              <w:pStyle w:val="单元格样式2"/>
            </w:pPr>
            <w:r>
              <w:t xml:space="preserve">≥10%</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通过预警信息及时采取防范措施，可以减少森林火灾、水土流失等生态灾害的发生</w:t>
            </w:r>
          </w:p>
        </w:tc>
        <w:tc>
          <w:tcPr>
            <w:tcW w:w="5386" w:type="dxa"/>
            <w:vAlign w:val="center"/>
          </w:tcPr>
          <w:p>
            <w:pPr>
              <w:pStyle w:val="单元格样式2"/>
            </w:pPr>
            <w:r>
              <w:t xml:space="preserve">通过预警信息及时采取防范措施，可以减少森林火灾、水土流失等生态灾害的发生</w:t>
            </w:r>
          </w:p>
        </w:tc>
        <w:tc>
          <w:tcPr>
            <w:tcW w:w="2268" w:type="dxa"/>
            <w:vAlign w:val="center"/>
          </w:tcPr>
          <w:p>
            <w:pPr>
              <w:pStyle w:val="单元格样式2"/>
            </w:pPr>
            <w:r>
              <w:t xml:space="preserve">有效减少</w:t>
            </w:r>
          </w:p>
        </w:tc>
        <w:tc>
          <w:tcPr>
            <w:tcW w:w="1276" w:type="dxa"/>
            <w:vAlign w:val="center"/>
          </w:tcPr>
          <w:p>
            <w:pPr>
              <w:pStyle w:val="单元格样式2"/>
            </w:pPr>
            <w:r>
              <w:t xml:space="preserve">项目实施方案</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群众满意数量占总数的比例</w:t>
            </w:r>
          </w:p>
        </w:tc>
        <w:tc>
          <w:tcPr>
            <w:tcW w:w="5386" w:type="dxa"/>
            <w:vAlign w:val="center"/>
          </w:tcPr>
          <w:p>
            <w:pPr>
              <w:pStyle w:val="单元格样式2"/>
            </w:pPr>
            <w:r>
              <w:t xml:space="preserve">群众满意数量占总数的比例</w:t>
            </w:r>
          </w:p>
        </w:tc>
        <w:tc>
          <w:tcPr>
            <w:tcW w:w="2268" w:type="dxa"/>
            <w:vAlign w:val="center"/>
          </w:tcPr>
          <w:p>
            <w:pPr>
              <w:pStyle w:val="单元格样式2"/>
            </w:pPr>
            <w:r>
              <w:t xml:space="preserve">≥90%</w:t>
            </w:r>
          </w:p>
        </w:tc>
        <w:tc>
          <w:tcPr>
            <w:tcW w:w="1276" w:type="dxa"/>
            <w:vAlign w:val="center"/>
          </w:tcPr>
          <w:p>
            <w:pPr>
              <w:pStyle w:val="单元格样式2"/>
            </w:pPr>
            <w:r>
              <w:t xml:space="preserve">《公众满意度》规定的满意度等级划分和计算方法进行计算</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青龙满族自治县气象局本级上年末固定资产金额为0.00万元（详见下表）。本年度拟购置固定资产总额为0.00万元，已按要求列入政府采购预算，详见政府采购预算表。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416001青龙满族自治县气象局本级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28</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2026-02-04T17:11:40Z</dcterms:created>
  <dcterms:modified xsi:type="dcterms:W3CDTF">2026-02-04T17:11:40Z</dcterms:modified>
</cp:coreProperties>
</file>