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0" w:line="240" w:lineRule="auto"/>
        <w:ind w:firstLine="0"/>
        <w:jc w:val="center"/>
        <w:outlineLvl w:val="0"/>
      </w:pPr>
      <w:r>
        <w:rPr>
          <w:rFonts w:ascii="黑体" w:eastAsia="黑体" w:hAnsi="黑体" w:cs="黑体"/>
          <w:b/>
          <w:color w:val="000000"/>
          <w:sz w:val="44"/>
        </w:rPr>
        <w:t xml:space="preserve">2026年部门预算信息公开目录</w:t>
      </w:r>
    </w:p>
    <w:p>
      <w:pPr>
        <w:spacing w:before="0" w:after="0" w:line="240" w:lineRule="auto"/>
        <w:ind w:firstLine="0"/>
        <w:jc w:val="center"/>
        <w:outlineLvl w:val="9"/>
      </w:pPr>
      <w:r>
        <w:rPr>
          <w:rFonts w:ascii="黑体" w:eastAsia="黑体" w:hAnsi="黑体" w:cs="黑体"/>
          <w:b/>
          <w:color w:val="000000"/>
          <w:sz w:val="30"/>
        </w:rPr>
        <w:t xml:space="preserve"> </w:t>
      </w:r>
    </w:p>
    <w:p>
      <w:pPr>
        <w:spacing w:before="0" w:after="0" w:line="240" w:lineRule="auto"/>
        <w:ind w:firstLine="0"/>
        <w:jc w:val="left"/>
        <w:outlineLvl w:val="9"/>
      </w:pPr>
      <w:r>
        <w:rPr>
          <w:rFonts w:ascii="方正楷体_GBK" w:eastAsia="方正楷体_GBK" w:hAnsi="方正楷体_GBK" w:cs="方正楷体_GBK"/>
          <w:b/>
          <w:color w:val="000000"/>
          <w:sz w:val="28"/>
        </w:rPr>
        <w:t xml:space="preserve">部门预算公开表</w:t>
      </w:r>
    </w:p>
    <w:p>
      <w:pPr>
        <w:pStyle w:val="TOC1"/>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 xml:space="preserve">部门预算收支总表</w:t>
      </w:r>
      <w:r>
        <w:tab/>
      </w:r>
      <w:r>
        <w:fldChar w:fldCharType="begin"/>
      </w:r>
      <w:r>
        <w:instrText xml:space="preserve">PAGEREF _Toc_2_2_0000000001 \h</w:instrText>
      </w:r>
      <w:r>
        <w:fldChar w:fldCharType="separate"/>
      </w:r>
      <w:r>
        <w:t xml:space="preserve">1</w:t>
      </w:r>
      <w:r>
        <w:fldChar w:fldCharType="end"/>
      </w:r>
      <w:r>
        <w:fldChar w:fldCharType="end"/>
      </w:r>
    </w:p>
    <w:p>
      <w:pPr>
        <w:pStyle w:val="TOC1"/>
        <w:tabs>
          <w:tab w:val="right" w:leader="dot" w:pos="14562"/>
        </w:tabs>
      </w:pPr>
      <w:r>
        <w:fldChar w:fldCharType="begin"/>
      </w:r>
      <w:r>
        <w:instrText xml:space="preserve">HYPERLINK \l _Toc_2_2_0000000002</w:instrText>
      </w:r>
      <w:r>
        <w:fldChar w:fldCharType="separate"/>
      </w:r>
      <w:r>
        <w:t xml:space="preserve">部门预算收入总表</w:t>
      </w:r>
      <w:r>
        <w:tab/>
      </w:r>
      <w:r>
        <w:fldChar w:fldCharType="begin"/>
      </w:r>
      <w:r>
        <w:instrText xml:space="preserve">PAGEREF _Toc_2_2_0000000002 \h</w:instrText>
      </w:r>
      <w:r>
        <w:fldChar w:fldCharType="separate"/>
      </w:r>
      <w:r>
        <w:t xml:space="preserve">3</w:t>
      </w:r>
      <w:r>
        <w:fldChar w:fldCharType="end"/>
      </w:r>
      <w:r>
        <w:fldChar w:fldCharType="end"/>
      </w:r>
    </w:p>
    <w:p>
      <w:pPr>
        <w:pStyle w:val="TOC1"/>
        <w:tabs>
          <w:tab w:val="right" w:leader="dot" w:pos="14562"/>
        </w:tabs>
      </w:pPr>
      <w:r>
        <w:fldChar w:fldCharType="begin"/>
      </w:r>
      <w:r>
        <w:instrText xml:space="preserve">HYPERLINK \l _Toc_2_2_0000000003</w:instrText>
      </w:r>
      <w:r>
        <w:fldChar w:fldCharType="separate"/>
      </w:r>
      <w:r>
        <w:t xml:space="preserve">部门预算支出总表</w:t>
      </w:r>
      <w:r>
        <w:tab/>
      </w:r>
      <w:r>
        <w:fldChar w:fldCharType="begin"/>
      </w:r>
      <w:r>
        <w:instrText xml:space="preserve">PAGEREF _Toc_2_2_0000000003 \h</w:instrText>
      </w:r>
      <w:r>
        <w:fldChar w:fldCharType="separate"/>
      </w:r>
      <w:r>
        <w:t xml:space="preserve">5</w:t>
      </w:r>
      <w:r>
        <w:fldChar w:fldCharType="end"/>
      </w:r>
      <w:r>
        <w:fldChar w:fldCharType="end"/>
      </w:r>
    </w:p>
    <w:p>
      <w:pPr>
        <w:pStyle w:val="TOC1"/>
        <w:tabs>
          <w:tab w:val="right" w:leader="dot" w:pos="14562"/>
        </w:tabs>
      </w:pPr>
      <w:r>
        <w:fldChar w:fldCharType="begin"/>
      </w:r>
      <w:r>
        <w:instrText xml:space="preserve">HYPERLINK \l _Toc_2_2_0000000004</w:instrText>
      </w:r>
      <w:r>
        <w:fldChar w:fldCharType="separate"/>
      </w:r>
      <w:r>
        <w:t xml:space="preserve">部门预算财政拨款收支总表</w:t>
      </w:r>
      <w:r>
        <w:tab/>
      </w:r>
      <w:r>
        <w:fldChar w:fldCharType="begin"/>
      </w:r>
      <w:r>
        <w:instrText xml:space="preserve">PAGEREF _Toc_2_2_0000000004 \h</w:instrText>
      </w:r>
      <w:r>
        <w:fldChar w:fldCharType="separate"/>
      </w:r>
      <w:r>
        <w:t xml:space="preserve">6</w:t>
      </w:r>
      <w:r>
        <w:fldChar w:fldCharType="end"/>
      </w:r>
      <w:r>
        <w:fldChar w:fldCharType="end"/>
      </w:r>
    </w:p>
    <w:p>
      <w:pPr>
        <w:pStyle w:val="TOC1"/>
        <w:tabs>
          <w:tab w:val="right" w:leader="dot" w:pos="14562"/>
        </w:tabs>
      </w:pPr>
      <w:r>
        <w:fldChar w:fldCharType="begin"/>
      </w:r>
      <w:r>
        <w:instrText xml:space="preserve">HYPERLINK \l _Toc_2_2_0000000005</w:instrText>
      </w:r>
      <w:r>
        <w:fldChar w:fldCharType="separate"/>
      </w:r>
      <w:r>
        <w:t xml:space="preserve">部门预算一般公共预算财政拨款支出表</w:t>
      </w:r>
      <w:r>
        <w:tab/>
      </w:r>
      <w:r>
        <w:fldChar w:fldCharType="begin"/>
      </w:r>
      <w:r>
        <w:instrText xml:space="preserve">PAGEREF _Toc_2_2_0000000005 \h</w:instrText>
      </w:r>
      <w:r>
        <w:fldChar w:fldCharType="separate"/>
      </w:r>
      <w:r>
        <w:t xml:space="preserve">9</w:t>
      </w:r>
      <w:r>
        <w:fldChar w:fldCharType="end"/>
      </w:r>
      <w:r>
        <w:fldChar w:fldCharType="end"/>
      </w:r>
    </w:p>
    <w:p>
      <w:pPr>
        <w:pStyle w:val="TOC1"/>
        <w:tabs>
          <w:tab w:val="right" w:leader="dot" w:pos="14562"/>
        </w:tabs>
      </w:pPr>
      <w:r>
        <w:fldChar w:fldCharType="begin"/>
      </w:r>
      <w:r>
        <w:instrText xml:space="preserve">HYPERLINK \l _Toc_2_2_0000000006</w:instrText>
      </w:r>
      <w:r>
        <w:fldChar w:fldCharType="separate"/>
      </w:r>
      <w:r>
        <w:t xml:space="preserve">部门预算一般公共预算财政拨款基本支出表</w:t>
      </w:r>
      <w:r>
        <w:tab/>
      </w:r>
      <w:r>
        <w:fldChar w:fldCharType="begin"/>
      </w:r>
      <w:r>
        <w:instrText xml:space="preserve">PAGEREF _Toc_2_2_0000000006 \h</w:instrText>
      </w:r>
      <w:r>
        <w:fldChar w:fldCharType="separate"/>
      </w:r>
      <w:r>
        <w:t xml:space="preserve">10</w:t>
      </w:r>
      <w:r>
        <w:fldChar w:fldCharType="end"/>
      </w:r>
      <w:r>
        <w:fldChar w:fldCharType="end"/>
      </w:r>
    </w:p>
    <w:p>
      <w:pPr>
        <w:pStyle w:val="TOC1"/>
        <w:tabs>
          <w:tab w:val="right" w:leader="dot" w:pos="14562"/>
        </w:tabs>
      </w:pPr>
      <w:r>
        <w:fldChar w:fldCharType="begin"/>
      </w:r>
      <w:r>
        <w:instrText xml:space="preserve">HYPERLINK \l _Toc_2_2_0000000007</w:instrText>
      </w:r>
      <w:r>
        <w:fldChar w:fldCharType="separate"/>
      </w:r>
      <w:r>
        <w:t xml:space="preserve">部门预算政府性基金预算财政拨款支出表</w:t>
      </w:r>
      <w:r>
        <w:tab/>
      </w:r>
      <w:r>
        <w:fldChar w:fldCharType="begin"/>
      </w:r>
      <w:r>
        <w:instrText xml:space="preserve">PAGEREF _Toc_2_2_0000000007 \h</w:instrText>
      </w:r>
      <w:r>
        <w:fldChar w:fldCharType="separate"/>
      </w:r>
      <w:r>
        <w:t xml:space="preserve">11</w:t>
      </w:r>
      <w:r>
        <w:fldChar w:fldCharType="end"/>
      </w:r>
      <w:r>
        <w:fldChar w:fldCharType="end"/>
      </w:r>
    </w:p>
    <w:p>
      <w:pPr>
        <w:pStyle w:val="TOC1"/>
        <w:tabs>
          <w:tab w:val="right" w:leader="dot" w:pos="14562"/>
        </w:tabs>
      </w:pPr>
      <w:r>
        <w:fldChar w:fldCharType="begin"/>
      </w:r>
      <w:r>
        <w:instrText xml:space="preserve">HYPERLINK \l _Toc_2_2_0000000008</w:instrText>
      </w:r>
      <w:r>
        <w:fldChar w:fldCharType="separate"/>
      </w:r>
      <w:r>
        <w:t xml:space="preserve">部门预算国有资本经营预算财政拨款支出表</w:t>
      </w:r>
      <w:r>
        <w:tab/>
      </w:r>
      <w:r>
        <w:fldChar w:fldCharType="begin"/>
      </w:r>
      <w:r>
        <w:instrText xml:space="preserve">PAGEREF _Toc_2_2_0000000008 \h</w:instrText>
      </w:r>
      <w:r>
        <w:fldChar w:fldCharType="separate"/>
      </w:r>
      <w:r>
        <w:t xml:space="preserve">12</w:t>
      </w:r>
      <w:r>
        <w:fldChar w:fldCharType="end"/>
      </w:r>
      <w:r>
        <w:fldChar w:fldCharType="end"/>
      </w:r>
    </w:p>
    <w:p>
      <w:pPr>
        <w:pStyle w:val="TOC1"/>
        <w:tabs>
          <w:tab w:val="right" w:leader="dot" w:pos="14562"/>
        </w:tabs>
      </w:pPr>
      <w:r>
        <w:fldChar w:fldCharType="begin"/>
      </w:r>
      <w:r>
        <w:instrText xml:space="preserve">HYPERLINK \l _Toc_2_2_0000000009</w:instrText>
      </w:r>
      <w:r>
        <w:fldChar w:fldCharType="separate"/>
      </w:r>
      <w:r>
        <w:t xml:space="preserve">部门预算财政拨款“三公”经费支出表</w:t>
      </w:r>
      <w:r>
        <w:tab/>
      </w:r>
      <w:r>
        <w:fldChar w:fldCharType="begin"/>
      </w:r>
      <w:r>
        <w:instrText xml:space="preserve">PAGEREF _Toc_2_2_0000000009 \h</w:instrText>
      </w:r>
      <w:r>
        <w:fldChar w:fldCharType="separate"/>
      </w:r>
      <w:r>
        <w:t xml:space="preserve">13</w:t>
      </w:r>
      <w:r>
        <w:fldChar w:fldCharType="end"/>
      </w:r>
      <w:r>
        <w:fldChar w:fldCharType="end"/>
      </w:r>
    </w:p>
    <w:p>
      <w:r>
        <w:fldChar w:fldCharType="end"/>
      </w:r>
    </w:p>
    <w:p>
      <w:pPr>
        <w:spacing w:before="0" w:after="0" w:line="240" w:lineRule="auto"/>
        <w:ind w:firstLine="0"/>
        <w:jc w:val="left"/>
        <w:outlineLvl w:val="9"/>
      </w:pPr>
      <w:r>
        <w:rPr>
          <w:rFonts w:ascii="方正楷体_GBK" w:eastAsia="方正楷体_GBK" w:hAnsi="方正楷体_GBK" w:cs="方正楷体_GBK"/>
          <w:b/>
          <w:color w:val="000000"/>
          <w:sz w:val="28"/>
        </w:rPr>
        <w:t xml:space="preserve">部门预算信息公开情况说明</w:t>
      </w:r>
    </w:p>
    <w:p>
      <w:pPr>
        <w:pStyle w:val="TOC1"/>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 xml:space="preserve">一、部门职责及机构设置情况</w:t>
      </w:r>
      <w:r>
        <w:tab/>
      </w:r>
      <w:r>
        <w:fldChar w:fldCharType="begin"/>
      </w:r>
      <w:r>
        <w:instrText xml:space="preserve">PAGEREF _Toc_3_3_0000000010 \h</w:instrText>
      </w:r>
      <w:r>
        <w:fldChar w:fldCharType="separate"/>
      </w:r>
      <w:r>
        <w:t xml:space="preserve">14</w:t>
      </w:r>
      <w:r>
        <w:fldChar w:fldCharType="end"/>
      </w:r>
      <w:r>
        <w:fldChar w:fldCharType="end"/>
      </w:r>
    </w:p>
    <w:p>
      <w:pPr>
        <w:pStyle w:val="TOC1"/>
        <w:tabs>
          <w:tab w:val="right" w:leader="dot" w:pos="14562"/>
        </w:tabs>
      </w:pPr>
      <w:r>
        <w:fldChar w:fldCharType="begin"/>
      </w:r>
      <w:r>
        <w:instrText xml:space="preserve">HYPERLINK \l _Toc_3_3_0000000011</w:instrText>
      </w:r>
      <w:r>
        <w:fldChar w:fldCharType="separate"/>
      </w:r>
      <w:r>
        <w:t xml:space="preserve">二、部门预算安排的总体情况</w:t>
      </w:r>
      <w:r>
        <w:tab/>
      </w:r>
      <w:r>
        <w:fldChar w:fldCharType="begin"/>
      </w:r>
      <w:r>
        <w:instrText xml:space="preserve">PAGEREF _Toc_3_3_0000000011 \h</w:instrText>
      </w:r>
      <w:r>
        <w:fldChar w:fldCharType="separate"/>
      </w:r>
      <w:r>
        <w:t xml:space="preserve">16</w:t>
      </w:r>
      <w:r>
        <w:fldChar w:fldCharType="end"/>
      </w:r>
      <w:r>
        <w:fldChar w:fldCharType="end"/>
      </w:r>
    </w:p>
    <w:p>
      <w:pPr>
        <w:pStyle w:val="TOC1"/>
        <w:tabs>
          <w:tab w:val="right" w:leader="dot" w:pos="14562"/>
        </w:tabs>
      </w:pPr>
      <w:r>
        <w:fldChar w:fldCharType="begin"/>
      </w:r>
      <w:r>
        <w:instrText xml:space="preserve">HYPERLINK \l _Toc_3_3_0000000012</w:instrText>
      </w:r>
      <w:r>
        <w:fldChar w:fldCharType="separate"/>
      </w:r>
      <w:r>
        <w:t xml:space="preserve">三、机关运行经费安排情况</w:t>
      </w:r>
      <w:r>
        <w:tab/>
      </w:r>
      <w:r>
        <w:fldChar w:fldCharType="begin"/>
      </w:r>
      <w:r>
        <w:instrText xml:space="preserve">PAGEREF _Toc_3_3_0000000012 \h</w:instrText>
      </w:r>
      <w:r>
        <w:fldChar w:fldCharType="separate"/>
      </w:r>
      <w:r>
        <w:t xml:space="preserve">17</w:t>
      </w:r>
      <w:r>
        <w:fldChar w:fldCharType="end"/>
      </w:r>
      <w:r>
        <w:fldChar w:fldCharType="end"/>
      </w:r>
    </w:p>
    <w:p>
      <w:pPr>
        <w:pStyle w:val="TOC1"/>
        <w:tabs>
          <w:tab w:val="right" w:leader="dot" w:pos="14562"/>
        </w:tabs>
      </w:pPr>
      <w:r>
        <w:fldChar w:fldCharType="begin"/>
      </w:r>
      <w:r>
        <w:instrText xml:space="preserve">HYPERLINK \l _Toc_3_3_0000000013</w:instrText>
      </w:r>
      <w:r>
        <w:fldChar w:fldCharType="separate"/>
      </w:r>
      <w:r>
        <w:t xml:space="preserve">四、财政拨款“三公”经费预算情况及增减变化原因</w:t>
      </w:r>
      <w:r>
        <w:tab/>
      </w:r>
      <w:r>
        <w:fldChar w:fldCharType="begin"/>
      </w:r>
      <w:r>
        <w:instrText xml:space="preserve">PAGEREF _Toc_3_3_0000000013 \h</w:instrText>
      </w:r>
      <w:r>
        <w:fldChar w:fldCharType="separate"/>
      </w:r>
      <w:r>
        <w:t xml:space="preserve">17</w:t>
      </w:r>
      <w:r>
        <w:fldChar w:fldCharType="end"/>
      </w:r>
      <w:r>
        <w:fldChar w:fldCharType="end"/>
      </w:r>
    </w:p>
    <w:p>
      <w:pPr>
        <w:pStyle w:val="TOC1"/>
        <w:tabs>
          <w:tab w:val="right" w:leader="dot" w:pos="14562"/>
        </w:tabs>
      </w:pPr>
      <w:r>
        <w:fldChar w:fldCharType="begin"/>
      </w:r>
      <w:r>
        <w:instrText xml:space="preserve">HYPERLINK \l _Toc_3_3_0000000014</w:instrText>
      </w:r>
      <w:r>
        <w:fldChar w:fldCharType="separate"/>
      </w:r>
      <w:r>
        <w:t xml:space="preserve">五、部门整体绩效目标</w:t>
      </w:r>
      <w:r>
        <w:tab/>
      </w:r>
      <w:r>
        <w:fldChar w:fldCharType="begin"/>
      </w:r>
      <w:r>
        <w:instrText xml:space="preserve">PAGEREF _Toc_3_3_0000000014 \h</w:instrText>
      </w:r>
      <w:r>
        <w:fldChar w:fldCharType="separate"/>
      </w:r>
      <w:r>
        <w:t xml:space="preserve">17</w:t>
      </w:r>
      <w:r>
        <w:fldChar w:fldCharType="end"/>
      </w:r>
      <w:r>
        <w:fldChar w:fldCharType="end"/>
      </w:r>
    </w:p>
    <w:p>
      <w:pPr>
        <w:pStyle w:val="TOC1"/>
        <w:tabs>
          <w:tab w:val="right" w:leader="dot" w:pos="14562"/>
        </w:tabs>
      </w:pPr>
      <w:r>
        <w:fldChar w:fldCharType="begin"/>
      </w:r>
      <w:r>
        <w:instrText xml:space="preserve">HYPERLINK \l _Toc_3_3_0000000015</w:instrText>
      </w:r>
      <w:r>
        <w:fldChar w:fldCharType="separate"/>
      </w:r>
      <w:r>
        <w:t xml:space="preserve">六、部门主管专项资金预算安排情况及绩效目标</w:t>
      </w:r>
      <w:r>
        <w:tab/>
      </w:r>
      <w:r>
        <w:fldChar w:fldCharType="begin"/>
      </w:r>
      <w:r>
        <w:instrText xml:space="preserve">PAGEREF _Toc_3_3_0000000015 \h</w:instrText>
      </w:r>
      <w:r>
        <w:fldChar w:fldCharType="separate"/>
      </w:r>
      <w:r>
        <w:t xml:space="preserve">19</w:t>
      </w:r>
      <w:r>
        <w:fldChar w:fldCharType="end"/>
      </w:r>
      <w:r>
        <w:fldChar w:fldCharType="end"/>
      </w:r>
    </w:p>
    <w:p>
      <w:pPr>
        <w:pStyle w:val="TOC1"/>
        <w:tabs>
          <w:tab w:val="right" w:leader="dot" w:pos="14562"/>
        </w:tabs>
      </w:pPr>
      <w:r>
        <w:fldChar w:fldCharType="begin"/>
      </w:r>
      <w:r>
        <w:instrText xml:space="preserve">HYPERLINK \l _Toc_3_3_0000000016</w:instrText>
      </w:r>
      <w:r>
        <w:fldChar w:fldCharType="separate"/>
      </w:r>
      <w:r>
        <w:t xml:space="preserve">七、部门项目预算安排情况及绩效目标</w:t>
      </w:r>
      <w:r>
        <w:tab/>
      </w:r>
      <w:r>
        <w:fldChar w:fldCharType="begin"/>
      </w:r>
      <w:r>
        <w:instrText xml:space="preserve">PAGEREF _Toc_3_3_0000000016 \h</w:instrText>
      </w:r>
      <w:r>
        <w:fldChar w:fldCharType="separate"/>
      </w:r>
      <w:r>
        <w:t xml:space="preserve">20</w:t>
      </w:r>
      <w:r>
        <w:fldChar w:fldCharType="end"/>
      </w:r>
      <w:r>
        <w:fldChar w:fldCharType="end"/>
      </w:r>
    </w:p>
    <w:p>
      <w:pPr>
        <w:pStyle w:val="TOC1"/>
        <w:tabs>
          <w:tab w:val="right" w:leader="dot" w:pos="14562"/>
        </w:tabs>
      </w:pPr>
      <w:r>
        <w:fldChar w:fldCharType="begin"/>
      </w:r>
      <w:r>
        <w:instrText xml:space="preserve">HYPERLINK \l _Toc_3_3_0000000017</w:instrText>
      </w:r>
      <w:r>
        <w:fldChar w:fldCharType="separate"/>
      </w:r>
      <w:r>
        <w:t xml:space="preserve">八、政府采购预算情况</w:t>
      </w:r>
      <w:r>
        <w:tab/>
      </w:r>
      <w:r>
        <w:fldChar w:fldCharType="begin"/>
      </w:r>
      <w:r>
        <w:instrText xml:space="preserve">PAGEREF _Toc_3_3_0000000017 \h</w:instrText>
      </w:r>
      <w:r>
        <w:fldChar w:fldCharType="separate"/>
      </w:r>
      <w:r>
        <w:t xml:space="preserve">26</w:t>
      </w:r>
      <w:r>
        <w:fldChar w:fldCharType="end"/>
      </w:r>
      <w:r>
        <w:fldChar w:fldCharType="end"/>
      </w:r>
    </w:p>
    <w:p>
      <w:pPr>
        <w:pStyle w:val="TOC1"/>
        <w:tabs>
          <w:tab w:val="right" w:leader="dot" w:pos="14562"/>
        </w:tabs>
      </w:pPr>
      <w:r>
        <w:fldChar w:fldCharType="begin"/>
      </w:r>
      <w:r>
        <w:instrText xml:space="preserve">HYPERLINK \l _Toc_3_3_0000000018</w:instrText>
      </w:r>
      <w:r>
        <w:fldChar w:fldCharType="separate"/>
      </w:r>
      <w:r>
        <w:t xml:space="preserve">九、国有资产信息</w:t>
      </w:r>
      <w:r>
        <w:tab/>
      </w:r>
      <w:r>
        <w:fldChar w:fldCharType="begin"/>
      </w:r>
      <w:r>
        <w:instrText xml:space="preserve">PAGEREF _Toc_3_3_0000000018 \h</w:instrText>
      </w:r>
      <w:r>
        <w:fldChar w:fldCharType="separate"/>
      </w:r>
      <w:r>
        <w:t xml:space="preserve">26</w:t>
      </w:r>
      <w:r>
        <w:fldChar w:fldCharType="end"/>
      </w:r>
      <w:r>
        <w:fldChar w:fldCharType="end"/>
      </w:r>
    </w:p>
    <w:p>
      <w:pPr>
        <w:pStyle w:val="TOC1"/>
        <w:tabs>
          <w:tab w:val="right" w:leader="dot" w:pos="14562"/>
        </w:tabs>
      </w:pPr>
      <w:r>
        <w:fldChar w:fldCharType="begin"/>
      </w:r>
      <w:r>
        <w:instrText xml:space="preserve">HYPERLINK \l _Toc_3_3_0000000019</w:instrText>
      </w:r>
      <w:r>
        <w:fldChar w:fldCharType="separate"/>
      </w:r>
      <w:r>
        <w:t xml:space="preserve">十、名词解释</w:t>
      </w:r>
      <w:r>
        <w:tab/>
      </w:r>
      <w:r>
        <w:fldChar w:fldCharType="begin"/>
      </w:r>
      <w:r>
        <w:instrText xml:space="preserve">PAGEREF _Toc_3_3_0000000019 \h</w:instrText>
      </w:r>
      <w:r>
        <w:fldChar w:fldCharType="separate"/>
      </w:r>
      <w:r>
        <w:t xml:space="preserve">27</w:t>
      </w:r>
      <w:r>
        <w:fldChar w:fldCharType="end"/>
      </w:r>
      <w:r>
        <w:fldChar w:fldCharType="end"/>
      </w:r>
    </w:p>
    <w:p>
      <w:pPr>
        <w:pStyle w:val="TOC1"/>
        <w:tabs>
          <w:tab w:val="right" w:leader="dot" w:pos="14562"/>
        </w:tabs>
      </w:pPr>
      <w:r>
        <w:fldChar w:fldCharType="begin"/>
      </w:r>
      <w:r>
        <w:instrText xml:space="preserve">HYPERLINK \l _Toc_3_3_0000000020</w:instrText>
      </w:r>
      <w:r>
        <w:fldChar w:fldCharType="separate"/>
      </w:r>
      <w:r>
        <w:t xml:space="preserve">十一、其他需要说明的事项</w:t>
      </w:r>
      <w:r>
        <w:tab/>
      </w:r>
      <w:r>
        <w:fldChar w:fldCharType="begin"/>
      </w:r>
      <w:r>
        <w:instrText xml:space="preserve">PAGEREF _Toc_3_3_0000000020 \h</w:instrText>
      </w:r>
      <w:r>
        <w:fldChar w:fldCharType="separate"/>
      </w:r>
      <w:r>
        <w:t xml:space="preserve">28</w:t>
      </w:r>
      <w:r>
        <w:fldChar w:fldCharType="end"/>
      </w:r>
      <w:r>
        <w:fldChar w:fldCharType="end"/>
      </w:r>
    </w:p>
    <w:p>
      <w:pPr>
        <w:sectPr>
          <w:type w:val="nextPage"/>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eastAsia="方正小标宋_GBK" w:hAnsi="方正小标宋_GBK" w:cs="方正小标宋_GBK"/>
          <w:color w:val="000000"/>
          <w:sz w:val="36"/>
        </w:rPr>
        <w:t xml:space="preserve">部门预算收支总表</w:t>
      </w:r>
      <w:bookmarkEnd w:id="0"/>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416青龙满族自治县气象局</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30.95</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r>
              <w:t xml:space="preserve">30.00</w:t>
            </w: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2.61</w:t>
            </w: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6.93</w:t>
            </w: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r>
              <w:t xml:space="preserve">30.00</w:t>
            </w: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r>
              <w:t xml:space="preserve">21.42</w:t>
            </w: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60.95</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60.95</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60.95</w:t>
            </w:r>
          </w:p>
        </w:tc>
        <w:tc>
          <w:tcPr>
            <w:tcW w:w="4535" w:type="dxa"/>
            <w:vAlign w:val="center"/>
          </w:tcPr>
          <w:p>
            <w:pPr>
              <w:pStyle w:val="单元格样式6"/>
            </w:pPr>
            <w:r>
              <w:t xml:space="preserve">支出总计</w:t>
            </w:r>
          </w:p>
        </w:tc>
        <w:tc>
          <w:tcPr>
            <w:tcW w:w="2126" w:type="dxa"/>
            <w:vAlign w:val="center"/>
          </w:tcPr>
          <w:p>
            <w:pPr>
              <w:pStyle w:val="单元格样式7"/>
            </w:pPr>
            <w:r>
              <w:t xml:space="preserve">60.95</w:t>
            </w:r>
          </w:p>
        </w:tc>
      </w:tr>
    </w:tbl>
    <w:p>
      <w:pPr>
        <w:sectPr>
          <w:footerReference w:type="even" r:id="rId3"/>
          <w:footerReference w:type="default" r:id="rId4"/>
          <w:type w:val="nextPage"/>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eastAsia="方正小标宋_GBK" w:hAnsi="方正小标宋_GBK" w:cs="方正小标宋_GBK"/>
          <w:color w:val="000000"/>
          <w:sz w:val="36"/>
        </w:rPr>
        <w:t xml:space="preserve">部门预算收入总表</w:t>
      </w:r>
      <w:bookmarkEnd w:id="1"/>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416青龙满族自治县气象局</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60.95</w:t>
            </w:r>
          </w:p>
        </w:tc>
        <w:tc>
          <w:tcPr>
            <w:tcW w:w="1134" w:type="dxa"/>
            <w:vAlign w:val="center"/>
          </w:tcPr>
          <w:p>
            <w:pPr>
              <w:pStyle w:val="单元格样式7"/>
            </w:pPr>
            <w:r>
              <w:t xml:space="preserve">60.95</w:t>
            </w:r>
          </w:p>
        </w:tc>
        <w:tc>
          <w:tcPr>
            <w:tcW w:w="1134" w:type="dxa"/>
            <w:vAlign w:val="center"/>
          </w:tcPr>
          <w:p>
            <w:pPr>
              <w:pStyle w:val="单元格样式7"/>
            </w:pPr>
            <w:r>
              <w:t xml:space="preserve">60.95</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2.61</w:t>
            </w:r>
          </w:p>
        </w:tc>
        <w:tc>
          <w:tcPr>
            <w:tcW w:w="1134" w:type="dxa"/>
            <w:vAlign w:val="center"/>
          </w:tcPr>
          <w:p>
            <w:pPr>
              <w:pStyle w:val="单元格样式4"/>
            </w:pPr>
            <w:r>
              <w:t xml:space="preserve">2.61</w:t>
            </w:r>
          </w:p>
        </w:tc>
        <w:tc>
          <w:tcPr>
            <w:tcW w:w="1134" w:type="dxa"/>
            <w:vAlign w:val="center"/>
          </w:tcPr>
          <w:p>
            <w:pPr>
              <w:pStyle w:val="单元格样式4"/>
            </w:pPr>
            <w:r>
              <w:t xml:space="preserve">2.61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2.61</w:t>
            </w:r>
          </w:p>
        </w:tc>
        <w:tc>
          <w:tcPr>
            <w:tcW w:w="1134" w:type="dxa"/>
            <w:vAlign w:val="center"/>
          </w:tcPr>
          <w:p>
            <w:pPr>
              <w:pStyle w:val="单元格样式4"/>
            </w:pPr>
            <w:r>
              <w:t xml:space="preserve">2.61</w:t>
            </w:r>
          </w:p>
        </w:tc>
        <w:tc>
          <w:tcPr>
            <w:tcW w:w="1134" w:type="dxa"/>
            <w:vAlign w:val="center"/>
          </w:tcPr>
          <w:p>
            <w:pPr>
              <w:pStyle w:val="单元格样式4"/>
            </w:pPr>
            <w:r>
              <w:t xml:space="preserve">2.61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2080502</w:t>
            </w:r>
          </w:p>
        </w:tc>
        <w:tc>
          <w:tcPr>
            <w:tcW w:w="1559" w:type="dxa"/>
            <w:vAlign w:val="center"/>
          </w:tcPr>
          <w:p>
            <w:pPr>
              <w:pStyle w:val="单元格样式2"/>
            </w:pPr>
            <w:r>
              <w:t xml:space="preserve">事业单位离退休</w:t>
            </w:r>
          </w:p>
        </w:tc>
        <w:tc>
          <w:tcPr>
            <w:tcW w:w="1134" w:type="dxa"/>
            <w:vAlign w:val="center"/>
          </w:tcPr>
          <w:p>
            <w:pPr>
              <w:pStyle w:val="单元格样式4"/>
            </w:pPr>
            <w:r>
              <w:t xml:space="preserve">2.61</w:t>
            </w:r>
          </w:p>
        </w:tc>
        <w:tc>
          <w:tcPr>
            <w:tcW w:w="1134" w:type="dxa"/>
            <w:vAlign w:val="center"/>
          </w:tcPr>
          <w:p>
            <w:pPr>
              <w:pStyle w:val="单元格样式4"/>
            </w:pPr>
            <w:r>
              <w:t xml:space="preserve">2.61</w:t>
            </w:r>
          </w:p>
        </w:tc>
        <w:tc>
          <w:tcPr>
            <w:tcW w:w="1134" w:type="dxa"/>
            <w:vAlign w:val="center"/>
          </w:tcPr>
          <w:p>
            <w:pPr>
              <w:pStyle w:val="单元格样式4"/>
            </w:pPr>
            <w:r>
              <w:t xml:space="preserve">2.61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6.93</w:t>
            </w:r>
          </w:p>
        </w:tc>
        <w:tc>
          <w:tcPr>
            <w:tcW w:w="1134" w:type="dxa"/>
            <w:vAlign w:val="center"/>
          </w:tcPr>
          <w:p>
            <w:pPr>
              <w:pStyle w:val="单元格样式4"/>
            </w:pPr>
            <w:r>
              <w:t xml:space="preserve">6.93</w:t>
            </w:r>
          </w:p>
        </w:tc>
        <w:tc>
          <w:tcPr>
            <w:tcW w:w="1134" w:type="dxa"/>
            <w:vAlign w:val="center"/>
          </w:tcPr>
          <w:p>
            <w:pPr>
              <w:pStyle w:val="单元格样式4"/>
            </w:pPr>
            <w:r>
              <w:t xml:space="preserve">6.93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6.93</w:t>
            </w:r>
          </w:p>
        </w:tc>
        <w:tc>
          <w:tcPr>
            <w:tcW w:w="1134" w:type="dxa"/>
            <w:vAlign w:val="center"/>
          </w:tcPr>
          <w:p>
            <w:pPr>
              <w:pStyle w:val="单元格样式4"/>
            </w:pPr>
            <w:r>
              <w:t xml:space="preserve">6.93</w:t>
            </w:r>
          </w:p>
        </w:tc>
        <w:tc>
          <w:tcPr>
            <w:tcW w:w="1134" w:type="dxa"/>
            <w:vAlign w:val="center"/>
          </w:tcPr>
          <w:p>
            <w:pPr>
              <w:pStyle w:val="单元格样式4"/>
            </w:pPr>
            <w:r>
              <w:t xml:space="preserve">6.93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2101101</w:t>
            </w:r>
          </w:p>
        </w:tc>
        <w:tc>
          <w:tcPr>
            <w:tcW w:w="1559" w:type="dxa"/>
            <w:vAlign w:val="center"/>
          </w:tcPr>
          <w:p>
            <w:pPr>
              <w:pStyle w:val="单元格样式2"/>
            </w:pPr>
            <w:r>
              <w:t xml:space="preserve">行政单位医疗</w:t>
            </w:r>
          </w:p>
        </w:tc>
        <w:tc>
          <w:tcPr>
            <w:tcW w:w="1134" w:type="dxa"/>
            <w:vAlign w:val="center"/>
          </w:tcPr>
          <w:p>
            <w:pPr>
              <w:pStyle w:val="单元格样式4"/>
            </w:pPr>
            <w:r>
              <w:t xml:space="preserve">3.78</w:t>
            </w:r>
          </w:p>
        </w:tc>
        <w:tc>
          <w:tcPr>
            <w:tcW w:w="1134" w:type="dxa"/>
            <w:vAlign w:val="center"/>
          </w:tcPr>
          <w:p>
            <w:pPr>
              <w:pStyle w:val="单元格样式4"/>
            </w:pPr>
            <w:r>
              <w:t xml:space="preserve">3.78</w:t>
            </w:r>
          </w:p>
        </w:tc>
        <w:tc>
          <w:tcPr>
            <w:tcW w:w="1134" w:type="dxa"/>
            <w:vAlign w:val="center"/>
          </w:tcPr>
          <w:p>
            <w:pPr>
              <w:pStyle w:val="单元格样式4"/>
            </w:pPr>
            <w:r>
              <w:t xml:space="preserve">3.78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2101102</w:t>
            </w:r>
          </w:p>
        </w:tc>
        <w:tc>
          <w:tcPr>
            <w:tcW w:w="1559" w:type="dxa"/>
            <w:vAlign w:val="center"/>
          </w:tcPr>
          <w:p>
            <w:pPr>
              <w:pStyle w:val="单元格样式2"/>
            </w:pPr>
            <w:r>
              <w:t xml:space="preserve">事业单位医疗</w:t>
            </w:r>
          </w:p>
        </w:tc>
        <w:tc>
          <w:tcPr>
            <w:tcW w:w="1134" w:type="dxa"/>
            <w:vAlign w:val="center"/>
          </w:tcPr>
          <w:p>
            <w:pPr>
              <w:pStyle w:val="单元格样式4"/>
            </w:pPr>
            <w:r>
              <w:t xml:space="preserve">3.15</w:t>
            </w:r>
          </w:p>
        </w:tc>
        <w:tc>
          <w:tcPr>
            <w:tcW w:w="1134" w:type="dxa"/>
            <w:vAlign w:val="center"/>
          </w:tcPr>
          <w:p>
            <w:pPr>
              <w:pStyle w:val="单元格样式4"/>
            </w:pPr>
            <w:r>
              <w:t xml:space="preserve">3.15</w:t>
            </w:r>
          </w:p>
        </w:tc>
        <w:tc>
          <w:tcPr>
            <w:tcW w:w="1134" w:type="dxa"/>
            <w:vAlign w:val="center"/>
          </w:tcPr>
          <w:p>
            <w:pPr>
              <w:pStyle w:val="单元格样式4"/>
            </w:pPr>
            <w:r>
              <w:t xml:space="preserve">3.15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212</w:t>
            </w:r>
          </w:p>
        </w:tc>
        <w:tc>
          <w:tcPr>
            <w:tcW w:w="1559" w:type="dxa"/>
            <w:vAlign w:val="center"/>
          </w:tcPr>
          <w:p>
            <w:pPr>
              <w:pStyle w:val="单元格样式2"/>
            </w:pPr>
            <w:r>
              <w:t xml:space="preserve">城乡社区支出</w:t>
            </w:r>
          </w:p>
        </w:tc>
        <w:tc>
          <w:tcPr>
            <w:tcW w:w="1134" w:type="dxa"/>
            <w:vAlign w:val="center"/>
          </w:tcPr>
          <w:p>
            <w:pPr>
              <w:pStyle w:val="单元格样式4"/>
            </w:pPr>
            <w:r>
              <w:t xml:space="preserve">30.00</w:t>
            </w:r>
          </w:p>
        </w:tc>
        <w:tc>
          <w:tcPr>
            <w:tcW w:w="1134" w:type="dxa"/>
            <w:vAlign w:val="center"/>
          </w:tcPr>
          <w:p>
            <w:pPr>
              <w:pStyle w:val="单元格样式4"/>
            </w:pPr>
            <w:r>
              <w:t xml:space="preserve">30.00</w:t>
            </w:r>
          </w:p>
        </w:tc>
        <w:tc>
          <w:tcPr>
            <w:tcW w:w="1134" w:type="dxa"/>
            <w:vAlign w:val="center"/>
          </w:tcPr>
          <w:p>
            <w:pPr>
              <w:pStyle w:val="单元格样式4"/>
            </w:pPr>
            <w:r>
              <w:t xml:space="preserve">30.00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21208</w:t>
            </w:r>
          </w:p>
        </w:tc>
        <w:tc>
          <w:tcPr>
            <w:tcW w:w="1559" w:type="dxa"/>
            <w:vAlign w:val="center"/>
          </w:tcPr>
          <w:p>
            <w:pPr>
              <w:pStyle w:val="单元格样式2"/>
            </w:pPr>
            <w:r>
              <w:t xml:space="preserve">国有土地使用权出让收入安排的支出</w:t>
            </w:r>
          </w:p>
        </w:tc>
        <w:tc>
          <w:tcPr>
            <w:tcW w:w="1134" w:type="dxa"/>
            <w:vAlign w:val="center"/>
          </w:tcPr>
          <w:p>
            <w:pPr>
              <w:pStyle w:val="单元格样式4"/>
            </w:pPr>
            <w:r>
              <w:t xml:space="preserve">30.00</w:t>
            </w:r>
          </w:p>
        </w:tc>
        <w:tc>
          <w:tcPr>
            <w:tcW w:w="1134" w:type="dxa"/>
            <w:vAlign w:val="center"/>
          </w:tcPr>
          <w:p>
            <w:pPr>
              <w:pStyle w:val="单元格样式4"/>
            </w:pPr>
            <w:r>
              <w:t xml:space="preserve">30.00</w:t>
            </w:r>
          </w:p>
        </w:tc>
        <w:tc>
          <w:tcPr>
            <w:tcW w:w="1134" w:type="dxa"/>
            <w:vAlign w:val="center"/>
          </w:tcPr>
          <w:p>
            <w:pPr>
              <w:pStyle w:val="单元格样式4"/>
            </w:pPr>
            <w:r>
              <w:t xml:space="preserve">30.00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2120899</w:t>
            </w:r>
          </w:p>
        </w:tc>
        <w:tc>
          <w:tcPr>
            <w:tcW w:w="1559" w:type="dxa"/>
            <w:vAlign w:val="center"/>
          </w:tcPr>
          <w:p>
            <w:pPr>
              <w:pStyle w:val="单元格样式2"/>
            </w:pPr>
            <w:r>
              <w:t xml:space="preserve">其他国有土地使用权出让收入安排的支出</w:t>
            </w:r>
          </w:p>
        </w:tc>
        <w:tc>
          <w:tcPr>
            <w:tcW w:w="1134" w:type="dxa"/>
            <w:vAlign w:val="center"/>
          </w:tcPr>
          <w:p>
            <w:pPr>
              <w:pStyle w:val="单元格样式4"/>
            </w:pPr>
            <w:r>
              <w:t xml:space="preserve">30.00</w:t>
            </w:r>
          </w:p>
        </w:tc>
        <w:tc>
          <w:tcPr>
            <w:tcW w:w="1134" w:type="dxa"/>
            <w:vAlign w:val="center"/>
          </w:tcPr>
          <w:p>
            <w:pPr>
              <w:pStyle w:val="单元格样式4"/>
            </w:pPr>
            <w:r>
              <w:t xml:space="preserve">30.00</w:t>
            </w:r>
          </w:p>
        </w:tc>
        <w:tc>
          <w:tcPr>
            <w:tcW w:w="1134" w:type="dxa"/>
            <w:vAlign w:val="center"/>
          </w:tcPr>
          <w:p>
            <w:pPr>
              <w:pStyle w:val="单元格样式4"/>
            </w:pPr>
            <w:r>
              <w:t xml:space="preserve">30.00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220</w:t>
            </w:r>
          </w:p>
        </w:tc>
        <w:tc>
          <w:tcPr>
            <w:tcW w:w="1559" w:type="dxa"/>
            <w:vAlign w:val="center"/>
          </w:tcPr>
          <w:p>
            <w:pPr>
              <w:pStyle w:val="单元格样式2"/>
            </w:pPr>
            <w:r>
              <w:t xml:space="preserve">自然资源海洋气象等支出</w:t>
            </w:r>
          </w:p>
        </w:tc>
        <w:tc>
          <w:tcPr>
            <w:tcW w:w="1134" w:type="dxa"/>
            <w:vAlign w:val="center"/>
          </w:tcPr>
          <w:p>
            <w:pPr>
              <w:pStyle w:val="单元格样式4"/>
            </w:pPr>
            <w:r>
              <w:t xml:space="preserve">21.42</w:t>
            </w:r>
          </w:p>
        </w:tc>
        <w:tc>
          <w:tcPr>
            <w:tcW w:w="1134" w:type="dxa"/>
            <w:vAlign w:val="center"/>
          </w:tcPr>
          <w:p>
            <w:pPr>
              <w:pStyle w:val="单元格样式4"/>
            </w:pPr>
            <w:r>
              <w:t xml:space="preserve">21.42</w:t>
            </w:r>
          </w:p>
        </w:tc>
        <w:tc>
          <w:tcPr>
            <w:tcW w:w="1134" w:type="dxa"/>
            <w:vAlign w:val="center"/>
          </w:tcPr>
          <w:p>
            <w:pPr>
              <w:pStyle w:val="单元格样式4"/>
            </w:pPr>
            <w:r>
              <w:t xml:space="preserve">21.42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22005</w:t>
            </w:r>
          </w:p>
        </w:tc>
        <w:tc>
          <w:tcPr>
            <w:tcW w:w="1559" w:type="dxa"/>
            <w:vAlign w:val="center"/>
          </w:tcPr>
          <w:p>
            <w:pPr>
              <w:pStyle w:val="单元格样式2"/>
            </w:pPr>
            <w:r>
              <w:t xml:space="preserve">气象事务</w:t>
            </w:r>
          </w:p>
        </w:tc>
        <w:tc>
          <w:tcPr>
            <w:tcW w:w="1134" w:type="dxa"/>
            <w:vAlign w:val="center"/>
          </w:tcPr>
          <w:p>
            <w:pPr>
              <w:pStyle w:val="单元格样式4"/>
            </w:pPr>
            <w:r>
              <w:t xml:space="preserve">21.42</w:t>
            </w:r>
          </w:p>
        </w:tc>
        <w:tc>
          <w:tcPr>
            <w:tcW w:w="1134" w:type="dxa"/>
            <w:vAlign w:val="center"/>
          </w:tcPr>
          <w:p>
            <w:pPr>
              <w:pStyle w:val="单元格样式4"/>
            </w:pPr>
            <w:r>
              <w:t xml:space="preserve">21.42</w:t>
            </w:r>
          </w:p>
        </w:tc>
        <w:tc>
          <w:tcPr>
            <w:tcW w:w="1134" w:type="dxa"/>
            <w:vAlign w:val="center"/>
          </w:tcPr>
          <w:p>
            <w:pPr>
              <w:pStyle w:val="单元格样式4"/>
            </w:pPr>
            <w:r>
              <w:t xml:space="preserve">21.42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2200501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3.76</w:t>
            </w:r>
          </w:p>
        </w:tc>
        <w:tc>
          <w:tcPr>
            <w:tcW w:w="1134" w:type="dxa"/>
            <w:vAlign w:val="center"/>
          </w:tcPr>
          <w:p>
            <w:pPr>
              <w:pStyle w:val="单元格样式4"/>
            </w:pPr>
            <w:r>
              <w:t xml:space="preserve">3.76</w:t>
            </w:r>
          </w:p>
        </w:tc>
        <w:tc>
          <w:tcPr>
            <w:tcW w:w="1134" w:type="dxa"/>
            <w:vAlign w:val="center"/>
          </w:tcPr>
          <w:p>
            <w:pPr>
              <w:pStyle w:val="单元格样式4"/>
            </w:pPr>
            <w:r>
              <w:t xml:space="preserve">3.76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2200504</w:t>
            </w:r>
          </w:p>
        </w:tc>
        <w:tc>
          <w:tcPr>
            <w:tcW w:w="1559" w:type="dxa"/>
            <w:vAlign w:val="center"/>
          </w:tcPr>
          <w:p>
            <w:pPr>
              <w:pStyle w:val="单元格样式2"/>
            </w:pPr>
            <w:r>
              <w:t xml:space="preserve">气象事业机构</w:t>
            </w:r>
          </w:p>
        </w:tc>
        <w:tc>
          <w:tcPr>
            <w:tcW w:w="1134" w:type="dxa"/>
            <w:vAlign w:val="center"/>
          </w:tcPr>
          <w:p>
            <w:pPr>
              <w:pStyle w:val="单元格样式4"/>
            </w:pPr>
            <w:r>
              <w:t xml:space="preserve">7.06</w:t>
            </w:r>
          </w:p>
        </w:tc>
        <w:tc>
          <w:tcPr>
            <w:tcW w:w="1134" w:type="dxa"/>
            <w:vAlign w:val="center"/>
          </w:tcPr>
          <w:p>
            <w:pPr>
              <w:pStyle w:val="单元格样式4"/>
            </w:pPr>
            <w:r>
              <w:t xml:space="preserve">7.06</w:t>
            </w:r>
          </w:p>
        </w:tc>
        <w:tc>
          <w:tcPr>
            <w:tcW w:w="1134" w:type="dxa"/>
            <w:vAlign w:val="center"/>
          </w:tcPr>
          <w:p>
            <w:pPr>
              <w:pStyle w:val="单元格样式4"/>
            </w:pPr>
            <w:r>
              <w:t xml:space="preserve">7.06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16</w:t>
            </w:r>
          </w:p>
        </w:tc>
        <w:tc>
          <w:tcPr>
            <w:tcW w:w="992" w:type="dxa"/>
            <w:vAlign w:val="center"/>
          </w:tcPr>
          <w:p>
            <w:pPr>
              <w:pStyle w:val="单元格样式2"/>
            </w:pPr>
            <w:r>
              <w:t xml:space="preserve">2200509</w:t>
            </w:r>
          </w:p>
        </w:tc>
        <w:tc>
          <w:tcPr>
            <w:tcW w:w="1559" w:type="dxa"/>
            <w:vAlign w:val="center"/>
          </w:tcPr>
          <w:p>
            <w:pPr>
              <w:pStyle w:val="单元格样式2"/>
            </w:pPr>
            <w:r>
              <w:t xml:space="preserve">气象服务</w:t>
            </w:r>
          </w:p>
        </w:tc>
        <w:tc>
          <w:tcPr>
            <w:tcW w:w="1134" w:type="dxa"/>
            <w:vAlign w:val="center"/>
          </w:tcPr>
          <w:p>
            <w:pPr>
              <w:pStyle w:val="单元格样式4"/>
            </w:pPr>
            <w:r>
              <w:t xml:space="preserve">10.60</w:t>
            </w:r>
          </w:p>
        </w:tc>
        <w:tc>
          <w:tcPr>
            <w:tcW w:w="1134" w:type="dxa"/>
            <w:vAlign w:val="center"/>
          </w:tcPr>
          <w:p>
            <w:pPr>
              <w:pStyle w:val="单元格样式4"/>
            </w:pPr>
            <w:r>
              <w:t xml:space="preserve">10.60</w:t>
            </w:r>
          </w:p>
        </w:tc>
        <w:tc>
          <w:tcPr>
            <w:tcW w:w="1134" w:type="dxa"/>
            <w:vAlign w:val="center"/>
          </w:tcPr>
          <w:p>
            <w:pPr>
              <w:pStyle w:val="单元格样式4"/>
            </w:pPr>
            <w:r>
              <w:t xml:space="preserve">10.60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1"/>
      </w:pPr>
      <w:bookmarkStart w:id="2" w:name="_Toc_2_2_0000000003"/>
      <w:r>
        <w:rPr>
          <w:rFonts w:ascii="方正小标宋_GBK" w:eastAsia="方正小标宋_GBK" w:hAnsi="方正小标宋_GBK" w:cs="方正小标宋_GBK"/>
          <w:color w:val="000000"/>
          <w:sz w:val="36"/>
        </w:rPr>
        <w:t xml:space="preserve">部门预算支出总表</w:t>
      </w:r>
      <w:bookmarkEnd w:id="2"/>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416青龙满族自治县气象局</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60.95</w:t>
            </w:r>
          </w:p>
        </w:tc>
        <w:tc>
          <w:tcPr>
            <w:tcW w:w="1361" w:type="dxa"/>
            <w:vAlign w:val="center"/>
          </w:tcPr>
          <w:p>
            <w:pPr>
              <w:pStyle w:val="单元格样式7"/>
            </w:pPr>
            <w:r>
              <w:t xml:space="preserve">20.35</w:t>
            </w:r>
          </w:p>
        </w:tc>
        <w:tc>
          <w:tcPr>
            <w:tcW w:w="1361" w:type="dxa"/>
            <w:vAlign w:val="center"/>
          </w:tcPr>
          <w:p>
            <w:pPr>
              <w:pStyle w:val="单元格样式7"/>
            </w:pPr>
            <w:r>
              <w:t xml:space="preserve">40.60</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2.61</w:t>
            </w:r>
          </w:p>
        </w:tc>
        <w:tc>
          <w:tcPr>
            <w:tcW w:w="1361" w:type="dxa"/>
            <w:vAlign w:val="center"/>
          </w:tcPr>
          <w:p>
            <w:pPr>
              <w:pStyle w:val="单元格样式4"/>
            </w:pPr>
            <w:r>
              <w:t xml:space="preserve">2.61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2.61</w:t>
            </w:r>
          </w:p>
        </w:tc>
        <w:tc>
          <w:tcPr>
            <w:tcW w:w="1361" w:type="dxa"/>
            <w:vAlign w:val="center"/>
          </w:tcPr>
          <w:p>
            <w:pPr>
              <w:pStyle w:val="单元格样式4"/>
            </w:pPr>
            <w:r>
              <w:t xml:space="preserve">2.61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2080502</w:t>
            </w:r>
          </w:p>
        </w:tc>
        <w:tc>
          <w:tcPr>
            <w:tcW w:w="4535" w:type="dxa"/>
            <w:vAlign w:val="center"/>
          </w:tcPr>
          <w:p>
            <w:pPr>
              <w:pStyle w:val="单元格样式2"/>
            </w:pPr>
            <w:r>
              <w:t xml:space="preserve">事业单位离退休</w:t>
            </w:r>
          </w:p>
        </w:tc>
        <w:tc>
          <w:tcPr>
            <w:tcW w:w="1361" w:type="dxa"/>
            <w:vAlign w:val="center"/>
          </w:tcPr>
          <w:p>
            <w:pPr>
              <w:pStyle w:val="单元格样式4"/>
            </w:pPr>
            <w:r>
              <w:t xml:space="preserve">2.61</w:t>
            </w:r>
          </w:p>
        </w:tc>
        <w:tc>
          <w:tcPr>
            <w:tcW w:w="1361" w:type="dxa"/>
            <w:vAlign w:val="center"/>
          </w:tcPr>
          <w:p>
            <w:pPr>
              <w:pStyle w:val="单元格样式4"/>
            </w:pPr>
            <w:r>
              <w:t xml:space="preserve">2.61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6.93</w:t>
            </w:r>
          </w:p>
        </w:tc>
        <w:tc>
          <w:tcPr>
            <w:tcW w:w="1361" w:type="dxa"/>
            <w:vAlign w:val="center"/>
          </w:tcPr>
          <w:p>
            <w:pPr>
              <w:pStyle w:val="单元格样式4"/>
            </w:pPr>
            <w:r>
              <w:t xml:space="preserve">6.93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6.93</w:t>
            </w:r>
          </w:p>
        </w:tc>
        <w:tc>
          <w:tcPr>
            <w:tcW w:w="1361" w:type="dxa"/>
            <w:vAlign w:val="center"/>
          </w:tcPr>
          <w:p>
            <w:pPr>
              <w:pStyle w:val="单元格样式4"/>
            </w:pPr>
            <w:r>
              <w:t xml:space="preserve">6.93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1361" w:type="dxa"/>
            <w:vAlign w:val="center"/>
          </w:tcPr>
          <w:p>
            <w:pPr>
              <w:pStyle w:val="单元格样式4"/>
            </w:pPr>
            <w:r>
              <w:t xml:space="preserve">3.78</w:t>
            </w:r>
          </w:p>
        </w:tc>
        <w:tc>
          <w:tcPr>
            <w:tcW w:w="1361" w:type="dxa"/>
            <w:vAlign w:val="center"/>
          </w:tcPr>
          <w:p>
            <w:pPr>
              <w:pStyle w:val="单元格样式4"/>
            </w:pPr>
            <w:r>
              <w:t xml:space="preserve">3.78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1361" w:type="dxa"/>
            <w:vAlign w:val="center"/>
          </w:tcPr>
          <w:p>
            <w:pPr>
              <w:pStyle w:val="单元格样式4"/>
            </w:pPr>
            <w:r>
              <w:t xml:space="preserve">3.15</w:t>
            </w:r>
          </w:p>
        </w:tc>
        <w:tc>
          <w:tcPr>
            <w:tcW w:w="1361" w:type="dxa"/>
            <w:vAlign w:val="center"/>
          </w:tcPr>
          <w:p>
            <w:pPr>
              <w:pStyle w:val="单元格样式4"/>
            </w:pPr>
            <w:r>
              <w:t xml:space="preserve">3.15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212</w:t>
            </w:r>
          </w:p>
        </w:tc>
        <w:tc>
          <w:tcPr>
            <w:tcW w:w="4535" w:type="dxa"/>
            <w:vAlign w:val="center"/>
          </w:tcPr>
          <w:p>
            <w:pPr>
              <w:pStyle w:val="单元格样式2"/>
            </w:pPr>
            <w:r>
              <w:t xml:space="preserve">城乡社区支出</w:t>
            </w:r>
          </w:p>
        </w:tc>
        <w:tc>
          <w:tcPr>
            <w:tcW w:w="1361" w:type="dxa"/>
            <w:vAlign w:val="center"/>
          </w:tcPr>
          <w:p>
            <w:pPr>
              <w:pStyle w:val="单元格样式4"/>
            </w:pPr>
            <w:r>
              <w:t xml:space="preserve">30.00</w:t>
            </w:r>
          </w:p>
        </w:tc>
        <w:tc>
          <w:tcPr>
            <w:tcW w:w="1361" w:type="dxa"/>
            <w:vAlign w:val="center"/>
          </w:tcPr>
          <w:p>
            <w:pPr>
              <w:pStyle w:val="单元格样式4"/>
            </w:pPr>
          </w:p>
        </w:tc>
        <w:tc>
          <w:tcPr>
            <w:tcW w:w="1361" w:type="dxa"/>
            <w:vAlign w:val="center"/>
          </w:tcPr>
          <w:p>
            <w:pPr>
              <w:pStyle w:val="单元格样式4"/>
            </w:pPr>
            <w:r>
              <w:t xml:space="preserve">30.00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21208</w:t>
            </w:r>
          </w:p>
        </w:tc>
        <w:tc>
          <w:tcPr>
            <w:tcW w:w="4535" w:type="dxa"/>
            <w:vAlign w:val="center"/>
          </w:tcPr>
          <w:p>
            <w:pPr>
              <w:pStyle w:val="单元格样式2"/>
            </w:pPr>
            <w:r>
              <w:t xml:space="preserve">国有土地使用权出让收入安排的支出</w:t>
            </w:r>
          </w:p>
        </w:tc>
        <w:tc>
          <w:tcPr>
            <w:tcW w:w="1361" w:type="dxa"/>
            <w:vAlign w:val="center"/>
          </w:tcPr>
          <w:p>
            <w:pPr>
              <w:pStyle w:val="单元格样式4"/>
            </w:pPr>
            <w:r>
              <w:t xml:space="preserve">30.00</w:t>
            </w:r>
          </w:p>
        </w:tc>
        <w:tc>
          <w:tcPr>
            <w:tcW w:w="1361" w:type="dxa"/>
            <w:vAlign w:val="center"/>
          </w:tcPr>
          <w:p>
            <w:pPr>
              <w:pStyle w:val="单元格样式4"/>
            </w:pPr>
          </w:p>
        </w:tc>
        <w:tc>
          <w:tcPr>
            <w:tcW w:w="1361" w:type="dxa"/>
            <w:vAlign w:val="center"/>
          </w:tcPr>
          <w:p>
            <w:pPr>
              <w:pStyle w:val="单元格样式4"/>
            </w:pPr>
            <w:r>
              <w:t xml:space="preserve">30.00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2120899</w:t>
            </w:r>
          </w:p>
        </w:tc>
        <w:tc>
          <w:tcPr>
            <w:tcW w:w="4535" w:type="dxa"/>
            <w:vAlign w:val="center"/>
          </w:tcPr>
          <w:p>
            <w:pPr>
              <w:pStyle w:val="单元格样式2"/>
            </w:pPr>
            <w:r>
              <w:t xml:space="preserve">其他国有土地使用权出让收入安排的支出</w:t>
            </w:r>
          </w:p>
        </w:tc>
        <w:tc>
          <w:tcPr>
            <w:tcW w:w="1361" w:type="dxa"/>
            <w:vAlign w:val="center"/>
          </w:tcPr>
          <w:p>
            <w:pPr>
              <w:pStyle w:val="单元格样式4"/>
            </w:pPr>
            <w:r>
              <w:t xml:space="preserve">30.00</w:t>
            </w:r>
          </w:p>
        </w:tc>
        <w:tc>
          <w:tcPr>
            <w:tcW w:w="1361" w:type="dxa"/>
            <w:vAlign w:val="center"/>
          </w:tcPr>
          <w:p>
            <w:pPr>
              <w:pStyle w:val="单元格样式4"/>
            </w:pPr>
          </w:p>
        </w:tc>
        <w:tc>
          <w:tcPr>
            <w:tcW w:w="1361" w:type="dxa"/>
            <w:vAlign w:val="center"/>
          </w:tcPr>
          <w:p>
            <w:pPr>
              <w:pStyle w:val="单元格样式4"/>
            </w:pPr>
            <w:r>
              <w:t xml:space="preserve">30.00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220</w:t>
            </w:r>
          </w:p>
        </w:tc>
        <w:tc>
          <w:tcPr>
            <w:tcW w:w="4535" w:type="dxa"/>
            <w:vAlign w:val="center"/>
          </w:tcPr>
          <w:p>
            <w:pPr>
              <w:pStyle w:val="单元格样式2"/>
            </w:pPr>
            <w:r>
              <w:t xml:space="preserve">自然资源海洋气象等支出</w:t>
            </w:r>
          </w:p>
        </w:tc>
        <w:tc>
          <w:tcPr>
            <w:tcW w:w="1361" w:type="dxa"/>
            <w:vAlign w:val="center"/>
          </w:tcPr>
          <w:p>
            <w:pPr>
              <w:pStyle w:val="单元格样式4"/>
            </w:pPr>
            <w:r>
              <w:t xml:space="preserve">21.42</w:t>
            </w:r>
          </w:p>
        </w:tc>
        <w:tc>
          <w:tcPr>
            <w:tcW w:w="1361" w:type="dxa"/>
            <w:vAlign w:val="center"/>
          </w:tcPr>
          <w:p>
            <w:pPr>
              <w:pStyle w:val="单元格样式4"/>
            </w:pPr>
            <w:r>
              <w:t xml:space="preserve">10.82</w:t>
            </w:r>
          </w:p>
        </w:tc>
        <w:tc>
          <w:tcPr>
            <w:tcW w:w="1361" w:type="dxa"/>
            <w:vAlign w:val="center"/>
          </w:tcPr>
          <w:p>
            <w:pPr>
              <w:pStyle w:val="单元格样式4"/>
            </w:pPr>
            <w:r>
              <w:t xml:space="preserve">10.60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22005</w:t>
            </w:r>
          </w:p>
        </w:tc>
        <w:tc>
          <w:tcPr>
            <w:tcW w:w="4535" w:type="dxa"/>
            <w:vAlign w:val="center"/>
          </w:tcPr>
          <w:p>
            <w:pPr>
              <w:pStyle w:val="单元格样式2"/>
            </w:pPr>
            <w:r>
              <w:t xml:space="preserve">气象事务</w:t>
            </w:r>
          </w:p>
        </w:tc>
        <w:tc>
          <w:tcPr>
            <w:tcW w:w="1361" w:type="dxa"/>
            <w:vAlign w:val="center"/>
          </w:tcPr>
          <w:p>
            <w:pPr>
              <w:pStyle w:val="单元格样式4"/>
            </w:pPr>
            <w:r>
              <w:t xml:space="preserve">21.42</w:t>
            </w:r>
          </w:p>
        </w:tc>
        <w:tc>
          <w:tcPr>
            <w:tcW w:w="1361" w:type="dxa"/>
            <w:vAlign w:val="center"/>
          </w:tcPr>
          <w:p>
            <w:pPr>
              <w:pStyle w:val="单元格样式4"/>
            </w:pPr>
            <w:r>
              <w:t xml:space="preserve">10.82</w:t>
            </w:r>
          </w:p>
        </w:tc>
        <w:tc>
          <w:tcPr>
            <w:tcW w:w="1361" w:type="dxa"/>
            <w:vAlign w:val="center"/>
          </w:tcPr>
          <w:p>
            <w:pPr>
              <w:pStyle w:val="单元格样式4"/>
            </w:pPr>
            <w:r>
              <w:t xml:space="preserve">10.60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2200501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3.76</w:t>
            </w:r>
          </w:p>
        </w:tc>
        <w:tc>
          <w:tcPr>
            <w:tcW w:w="1361" w:type="dxa"/>
            <w:vAlign w:val="center"/>
          </w:tcPr>
          <w:p>
            <w:pPr>
              <w:pStyle w:val="单元格样式4"/>
            </w:pPr>
            <w:r>
              <w:t xml:space="preserve">3.76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2200504</w:t>
            </w:r>
          </w:p>
        </w:tc>
        <w:tc>
          <w:tcPr>
            <w:tcW w:w="4535" w:type="dxa"/>
            <w:vAlign w:val="center"/>
          </w:tcPr>
          <w:p>
            <w:pPr>
              <w:pStyle w:val="单元格样式2"/>
            </w:pPr>
            <w:r>
              <w:t xml:space="preserve">气象事业机构</w:t>
            </w:r>
          </w:p>
        </w:tc>
        <w:tc>
          <w:tcPr>
            <w:tcW w:w="1361" w:type="dxa"/>
            <w:vAlign w:val="center"/>
          </w:tcPr>
          <w:p>
            <w:pPr>
              <w:pStyle w:val="单元格样式4"/>
            </w:pPr>
            <w:r>
              <w:t xml:space="preserve">7.06</w:t>
            </w:r>
          </w:p>
        </w:tc>
        <w:tc>
          <w:tcPr>
            <w:tcW w:w="1361" w:type="dxa"/>
            <w:vAlign w:val="center"/>
          </w:tcPr>
          <w:p>
            <w:pPr>
              <w:pStyle w:val="单元格样式4"/>
            </w:pPr>
            <w:r>
              <w:t xml:space="preserve">7.06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992" w:type="dxa"/>
            <w:vAlign w:val="center"/>
          </w:tcPr>
          <w:p>
            <w:pPr>
              <w:pStyle w:val="单元格样式2"/>
            </w:pPr>
            <w:r>
              <w:t xml:space="preserve">2200509</w:t>
            </w:r>
          </w:p>
        </w:tc>
        <w:tc>
          <w:tcPr>
            <w:tcW w:w="4535" w:type="dxa"/>
            <w:vAlign w:val="center"/>
          </w:tcPr>
          <w:p>
            <w:pPr>
              <w:pStyle w:val="单元格样式2"/>
            </w:pPr>
            <w:r>
              <w:t xml:space="preserve">气象服务</w:t>
            </w:r>
          </w:p>
        </w:tc>
        <w:tc>
          <w:tcPr>
            <w:tcW w:w="1361" w:type="dxa"/>
            <w:vAlign w:val="center"/>
          </w:tcPr>
          <w:p>
            <w:pPr>
              <w:pStyle w:val="单元格样式4"/>
            </w:pPr>
            <w:r>
              <w:t xml:space="preserve">10.60</w:t>
            </w:r>
          </w:p>
        </w:tc>
        <w:tc>
          <w:tcPr>
            <w:tcW w:w="1361" w:type="dxa"/>
            <w:vAlign w:val="center"/>
          </w:tcPr>
          <w:p>
            <w:pPr>
              <w:pStyle w:val="单元格样式4"/>
            </w:pPr>
          </w:p>
        </w:tc>
        <w:tc>
          <w:tcPr>
            <w:tcW w:w="1361" w:type="dxa"/>
            <w:vAlign w:val="center"/>
          </w:tcPr>
          <w:p>
            <w:pPr>
              <w:pStyle w:val="单元格样式4"/>
            </w:pPr>
            <w:r>
              <w:t xml:space="preserve">10.60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1"/>
      </w:pPr>
      <w:bookmarkStart w:id="3" w:name="_Toc_2_2_0000000004"/>
      <w:r>
        <w:rPr>
          <w:rFonts w:ascii="方正小标宋_GBK" w:eastAsia="方正小标宋_GBK" w:hAnsi="方正小标宋_GBK" w:cs="方正小标宋_GBK"/>
          <w:color w:val="000000"/>
          <w:sz w:val="36"/>
        </w:rPr>
        <w:t xml:space="preserve">部门预算财政拨款收支总表</w:t>
      </w:r>
      <w:bookmarkEnd w:id="3"/>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416青龙满族自治县气象局</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30.95</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r>
              <w:t xml:space="preserve">30.00</w:t>
            </w: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2.61</w:t>
            </w:r>
          </w:p>
        </w:tc>
        <w:tc>
          <w:tcPr>
            <w:tcW w:w="1474" w:type="dxa"/>
            <w:vAlign w:val="center"/>
          </w:tcPr>
          <w:p>
            <w:pPr>
              <w:pStyle w:val="单元格样式4"/>
            </w:pPr>
            <w:r>
              <w:t xml:space="preserve">2.61</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6.93</w:t>
            </w:r>
          </w:p>
        </w:tc>
        <w:tc>
          <w:tcPr>
            <w:tcW w:w="1474" w:type="dxa"/>
            <w:vAlign w:val="center"/>
          </w:tcPr>
          <w:p>
            <w:pPr>
              <w:pStyle w:val="单元格样式4"/>
            </w:pPr>
            <w:r>
              <w:t xml:space="preserve">6.93</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r>
              <w:t xml:space="preserve">30.00</w:t>
            </w:r>
          </w:p>
        </w:tc>
        <w:tc>
          <w:tcPr>
            <w:tcW w:w="1474" w:type="dxa"/>
            <w:vAlign w:val="center"/>
          </w:tcPr>
          <w:p>
            <w:pPr>
              <w:pStyle w:val="单元格样式4"/>
            </w:pPr>
          </w:p>
        </w:tc>
        <w:tc>
          <w:tcPr>
            <w:tcW w:w="1474" w:type="dxa"/>
            <w:vAlign w:val="center"/>
          </w:tcPr>
          <w:p>
            <w:pPr>
              <w:pStyle w:val="单元格样式4"/>
            </w:pPr>
            <w:r>
              <w:t xml:space="preserve">30.00</w:t>
            </w: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r>
              <w:t xml:space="preserve">21.42</w:t>
            </w:r>
          </w:p>
        </w:tc>
        <w:tc>
          <w:tcPr>
            <w:tcW w:w="1474" w:type="dxa"/>
            <w:vAlign w:val="center"/>
          </w:tcPr>
          <w:p>
            <w:pPr>
              <w:pStyle w:val="单元格样式4"/>
            </w:pPr>
            <w:r>
              <w:t xml:space="preserve">21.42</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60.95</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60.95</w:t>
            </w:r>
          </w:p>
        </w:tc>
        <w:tc>
          <w:tcPr>
            <w:tcW w:w="1474" w:type="dxa"/>
            <w:vAlign w:val="center"/>
          </w:tcPr>
          <w:p>
            <w:pPr>
              <w:pStyle w:val="单元格样式7"/>
            </w:pPr>
            <w:r>
              <w:t xml:space="preserve">30.95</w:t>
            </w:r>
          </w:p>
        </w:tc>
        <w:tc>
          <w:tcPr>
            <w:tcW w:w="1474" w:type="dxa"/>
            <w:vAlign w:val="center"/>
          </w:tcPr>
          <w:p>
            <w:pPr>
              <w:pStyle w:val="单元格样式7"/>
            </w:pPr>
            <w:r>
              <w:t xml:space="preserve">30.00</w:t>
            </w: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60.95</w:t>
            </w:r>
          </w:p>
        </w:tc>
        <w:tc>
          <w:tcPr>
            <w:tcW w:w="3402" w:type="dxa"/>
            <w:vAlign w:val="center"/>
          </w:tcPr>
          <w:p>
            <w:pPr>
              <w:pStyle w:val="单元格样式6"/>
            </w:pPr>
            <w:r>
              <w:t xml:space="preserve">支出总计</w:t>
            </w:r>
          </w:p>
        </w:tc>
        <w:tc>
          <w:tcPr>
            <w:tcW w:w="1474" w:type="dxa"/>
            <w:vAlign w:val="center"/>
          </w:tcPr>
          <w:p>
            <w:pPr>
              <w:pStyle w:val="单元格样式7"/>
            </w:pPr>
            <w:r>
              <w:t xml:space="preserve">60.95</w:t>
            </w:r>
          </w:p>
        </w:tc>
        <w:tc>
          <w:tcPr>
            <w:tcW w:w="1474" w:type="dxa"/>
            <w:vAlign w:val="center"/>
          </w:tcPr>
          <w:p>
            <w:pPr>
              <w:pStyle w:val="单元格样式7"/>
            </w:pPr>
            <w:r>
              <w:t xml:space="preserve">30.95</w:t>
            </w:r>
          </w:p>
        </w:tc>
        <w:tc>
          <w:tcPr>
            <w:tcW w:w="1474" w:type="dxa"/>
            <w:vAlign w:val="center"/>
          </w:tcPr>
          <w:p>
            <w:pPr>
              <w:pStyle w:val="单元格样式7"/>
            </w:pPr>
            <w:r>
              <w:t xml:space="preserve">30.00</w:t>
            </w: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eastAsia="方正小标宋_GBK" w:hAnsi="方正小标宋_GBK" w:cs="方正小标宋_GBK"/>
          <w:color w:val="000000"/>
          <w:sz w:val="36"/>
        </w:rPr>
        <w:t xml:space="preserve">部门预算一般公共预算财政拨款支出表</w:t>
      </w:r>
      <w:bookmarkEnd w:id="4"/>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416青龙满族自治县气象局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30.95</w:t>
            </w:r>
          </w:p>
        </w:tc>
        <w:tc>
          <w:tcPr>
            <w:tcW w:w="2551" w:type="dxa"/>
            <w:vAlign w:val="center"/>
          </w:tcPr>
          <w:p>
            <w:pPr>
              <w:pStyle w:val="单元格样式7"/>
            </w:pPr>
            <w:r>
              <w:t xml:space="preserve">20.35</w:t>
            </w:r>
          </w:p>
        </w:tc>
        <w:tc>
          <w:tcPr>
            <w:tcW w:w="2551" w:type="dxa"/>
            <w:vAlign w:val="center"/>
          </w:tcPr>
          <w:p>
            <w:pPr>
              <w:pStyle w:val="单元格样式7"/>
            </w:pPr>
            <w:r>
              <w:t xml:space="preserve">10.60</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2.61</w:t>
            </w:r>
          </w:p>
        </w:tc>
        <w:tc>
          <w:tcPr>
            <w:tcW w:w="2551" w:type="dxa"/>
            <w:vAlign w:val="center"/>
          </w:tcPr>
          <w:p>
            <w:pPr>
              <w:pStyle w:val="单元格样式4"/>
            </w:pPr>
            <w:r>
              <w:t xml:space="preserve">2.61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2.61</w:t>
            </w:r>
          </w:p>
        </w:tc>
        <w:tc>
          <w:tcPr>
            <w:tcW w:w="2551" w:type="dxa"/>
            <w:vAlign w:val="center"/>
          </w:tcPr>
          <w:p>
            <w:pPr>
              <w:pStyle w:val="单元格样式4"/>
            </w:pPr>
            <w:r>
              <w:t xml:space="preserve">2.61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2080502</w:t>
            </w:r>
          </w:p>
        </w:tc>
        <w:tc>
          <w:tcPr>
            <w:tcW w:w="4535" w:type="dxa"/>
            <w:vAlign w:val="center"/>
          </w:tcPr>
          <w:p>
            <w:pPr>
              <w:pStyle w:val="单元格样式2"/>
            </w:pPr>
            <w:r>
              <w:t xml:space="preserve">事业单位离退休</w:t>
            </w:r>
          </w:p>
        </w:tc>
        <w:tc>
          <w:tcPr>
            <w:tcW w:w="2551" w:type="dxa"/>
            <w:vAlign w:val="center"/>
          </w:tcPr>
          <w:p>
            <w:pPr>
              <w:pStyle w:val="单元格样式4"/>
            </w:pPr>
            <w:r>
              <w:t xml:space="preserve">2.61</w:t>
            </w:r>
          </w:p>
        </w:tc>
        <w:tc>
          <w:tcPr>
            <w:tcW w:w="2551" w:type="dxa"/>
            <w:vAlign w:val="center"/>
          </w:tcPr>
          <w:p>
            <w:pPr>
              <w:pStyle w:val="单元格样式4"/>
            </w:pPr>
            <w:r>
              <w:t xml:space="preserve">2.61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6.93</w:t>
            </w:r>
          </w:p>
        </w:tc>
        <w:tc>
          <w:tcPr>
            <w:tcW w:w="2551" w:type="dxa"/>
            <w:vAlign w:val="center"/>
          </w:tcPr>
          <w:p>
            <w:pPr>
              <w:pStyle w:val="单元格样式4"/>
            </w:pPr>
            <w:r>
              <w:t xml:space="preserve">6.93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6.93</w:t>
            </w:r>
          </w:p>
        </w:tc>
        <w:tc>
          <w:tcPr>
            <w:tcW w:w="2551" w:type="dxa"/>
            <w:vAlign w:val="center"/>
          </w:tcPr>
          <w:p>
            <w:pPr>
              <w:pStyle w:val="单元格样式4"/>
            </w:pPr>
            <w:r>
              <w:t xml:space="preserve">6.93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2551" w:type="dxa"/>
            <w:vAlign w:val="center"/>
          </w:tcPr>
          <w:p>
            <w:pPr>
              <w:pStyle w:val="单元格样式4"/>
            </w:pPr>
            <w:r>
              <w:t xml:space="preserve">3.78</w:t>
            </w:r>
          </w:p>
        </w:tc>
        <w:tc>
          <w:tcPr>
            <w:tcW w:w="2551" w:type="dxa"/>
            <w:vAlign w:val="center"/>
          </w:tcPr>
          <w:p>
            <w:pPr>
              <w:pStyle w:val="单元格样式4"/>
            </w:pPr>
            <w:r>
              <w:t xml:space="preserve">3.78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2551" w:type="dxa"/>
            <w:vAlign w:val="center"/>
          </w:tcPr>
          <w:p>
            <w:pPr>
              <w:pStyle w:val="单元格样式4"/>
            </w:pPr>
            <w:r>
              <w:t xml:space="preserve">3.15</w:t>
            </w:r>
          </w:p>
        </w:tc>
        <w:tc>
          <w:tcPr>
            <w:tcW w:w="2551" w:type="dxa"/>
            <w:vAlign w:val="center"/>
          </w:tcPr>
          <w:p>
            <w:pPr>
              <w:pStyle w:val="单元格样式4"/>
            </w:pPr>
            <w:r>
              <w:t xml:space="preserve">3.15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220</w:t>
            </w:r>
          </w:p>
        </w:tc>
        <w:tc>
          <w:tcPr>
            <w:tcW w:w="4535" w:type="dxa"/>
            <w:vAlign w:val="center"/>
          </w:tcPr>
          <w:p>
            <w:pPr>
              <w:pStyle w:val="单元格样式2"/>
            </w:pPr>
            <w:r>
              <w:t xml:space="preserve">自然资源海洋气象等支出</w:t>
            </w:r>
          </w:p>
        </w:tc>
        <w:tc>
          <w:tcPr>
            <w:tcW w:w="2551" w:type="dxa"/>
            <w:vAlign w:val="center"/>
          </w:tcPr>
          <w:p>
            <w:pPr>
              <w:pStyle w:val="单元格样式4"/>
            </w:pPr>
            <w:r>
              <w:t xml:space="preserve">21.42</w:t>
            </w:r>
          </w:p>
        </w:tc>
        <w:tc>
          <w:tcPr>
            <w:tcW w:w="2551" w:type="dxa"/>
            <w:vAlign w:val="center"/>
          </w:tcPr>
          <w:p>
            <w:pPr>
              <w:pStyle w:val="单元格样式4"/>
            </w:pPr>
            <w:r>
              <w:t xml:space="preserve">10.82</w:t>
            </w:r>
          </w:p>
        </w:tc>
        <w:tc>
          <w:tcPr>
            <w:tcW w:w="2551" w:type="dxa"/>
            <w:vAlign w:val="center"/>
          </w:tcPr>
          <w:p>
            <w:pPr>
              <w:pStyle w:val="单元格样式4"/>
            </w:pPr>
            <w:r>
              <w:t xml:space="preserve">10.60</w:t>
            </w: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22005</w:t>
            </w:r>
          </w:p>
        </w:tc>
        <w:tc>
          <w:tcPr>
            <w:tcW w:w="4535" w:type="dxa"/>
            <w:vAlign w:val="center"/>
          </w:tcPr>
          <w:p>
            <w:pPr>
              <w:pStyle w:val="单元格样式2"/>
            </w:pPr>
            <w:r>
              <w:t xml:space="preserve">气象事务</w:t>
            </w:r>
          </w:p>
        </w:tc>
        <w:tc>
          <w:tcPr>
            <w:tcW w:w="2551" w:type="dxa"/>
            <w:vAlign w:val="center"/>
          </w:tcPr>
          <w:p>
            <w:pPr>
              <w:pStyle w:val="单元格样式4"/>
            </w:pPr>
            <w:r>
              <w:t xml:space="preserve">21.42</w:t>
            </w:r>
          </w:p>
        </w:tc>
        <w:tc>
          <w:tcPr>
            <w:tcW w:w="2551" w:type="dxa"/>
            <w:vAlign w:val="center"/>
          </w:tcPr>
          <w:p>
            <w:pPr>
              <w:pStyle w:val="单元格样式4"/>
            </w:pPr>
            <w:r>
              <w:t xml:space="preserve">10.82</w:t>
            </w:r>
          </w:p>
        </w:tc>
        <w:tc>
          <w:tcPr>
            <w:tcW w:w="2551" w:type="dxa"/>
            <w:vAlign w:val="center"/>
          </w:tcPr>
          <w:p>
            <w:pPr>
              <w:pStyle w:val="单元格样式4"/>
            </w:pPr>
            <w:r>
              <w:t xml:space="preserve">10.60</w:t>
            </w: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2200501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3.76</w:t>
            </w:r>
          </w:p>
        </w:tc>
        <w:tc>
          <w:tcPr>
            <w:tcW w:w="2551" w:type="dxa"/>
            <w:vAlign w:val="center"/>
          </w:tcPr>
          <w:p>
            <w:pPr>
              <w:pStyle w:val="单元格样式4"/>
            </w:pPr>
            <w:r>
              <w:t xml:space="preserve">3.76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2200504</w:t>
            </w:r>
          </w:p>
        </w:tc>
        <w:tc>
          <w:tcPr>
            <w:tcW w:w="4535" w:type="dxa"/>
            <w:vAlign w:val="center"/>
          </w:tcPr>
          <w:p>
            <w:pPr>
              <w:pStyle w:val="单元格样式2"/>
            </w:pPr>
            <w:r>
              <w:t xml:space="preserve">气象事业机构</w:t>
            </w:r>
          </w:p>
        </w:tc>
        <w:tc>
          <w:tcPr>
            <w:tcW w:w="2551" w:type="dxa"/>
            <w:vAlign w:val="center"/>
          </w:tcPr>
          <w:p>
            <w:pPr>
              <w:pStyle w:val="单元格样式4"/>
            </w:pPr>
            <w:r>
              <w:t xml:space="preserve">7.06</w:t>
            </w:r>
          </w:p>
        </w:tc>
        <w:tc>
          <w:tcPr>
            <w:tcW w:w="2551" w:type="dxa"/>
            <w:vAlign w:val="center"/>
          </w:tcPr>
          <w:p>
            <w:pPr>
              <w:pStyle w:val="单元格样式4"/>
            </w:pPr>
            <w:r>
              <w:t xml:space="preserve">7.06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2200509</w:t>
            </w:r>
          </w:p>
        </w:tc>
        <w:tc>
          <w:tcPr>
            <w:tcW w:w="4535" w:type="dxa"/>
            <w:vAlign w:val="center"/>
          </w:tcPr>
          <w:p>
            <w:pPr>
              <w:pStyle w:val="单元格样式2"/>
            </w:pPr>
            <w:r>
              <w:t xml:space="preserve">气象服务</w:t>
            </w:r>
          </w:p>
        </w:tc>
        <w:tc>
          <w:tcPr>
            <w:tcW w:w="2551" w:type="dxa"/>
            <w:vAlign w:val="center"/>
          </w:tcPr>
          <w:p>
            <w:pPr>
              <w:pStyle w:val="单元格样式4"/>
            </w:pPr>
            <w:r>
              <w:t xml:space="preserve">10.60</w:t>
            </w:r>
          </w:p>
        </w:tc>
        <w:tc>
          <w:tcPr>
            <w:tcW w:w="2551" w:type="dxa"/>
            <w:vAlign w:val="center"/>
          </w:tcPr>
          <w:p>
            <w:pPr>
              <w:pStyle w:val="单元格样式4"/>
            </w:pPr>
          </w:p>
        </w:tc>
        <w:tc>
          <w:tcPr>
            <w:tcW w:w="2551" w:type="dxa"/>
            <w:vAlign w:val="center"/>
          </w:tcPr>
          <w:p>
            <w:pPr>
              <w:pStyle w:val="单元格样式4"/>
            </w:pPr>
            <w:r>
              <w:t xml:space="preserve">10.60</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eastAsia="方正小标宋_GBK" w:hAnsi="方正小标宋_GBK" w:cs="方正小标宋_GBK"/>
          <w:color w:val="000000"/>
          <w:sz w:val="36"/>
        </w:rPr>
        <w:t xml:space="preserve">部门预算一般公共预算财政拨款基本支出表</w:t>
      </w:r>
      <w:bookmarkEnd w:id="5"/>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416青龙满族自治县气象局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20.35</w:t>
            </w:r>
          </w:p>
        </w:tc>
        <w:tc>
          <w:tcPr>
            <w:tcW w:w="2551" w:type="dxa"/>
            <w:vAlign w:val="center"/>
          </w:tcPr>
          <w:p>
            <w:pPr>
              <w:pStyle w:val="单元格样式7"/>
            </w:pPr>
            <w:r>
              <w:t xml:space="preserve">20.35</w:t>
            </w:r>
          </w:p>
        </w:tc>
        <w:tc>
          <w:tcPr>
            <w:tcW w:w="255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17.75</w:t>
            </w:r>
          </w:p>
        </w:tc>
        <w:tc>
          <w:tcPr>
            <w:tcW w:w="2551" w:type="dxa"/>
            <w:vAlign w:val="center"/>
          </w:tcPr>
          <w:p>
            <w:pPr>
              <w:pStyle w:val="单元格样式4"/>
            </w:pPr>
            <w:r>
              <w:t xml:space="preserve">17.75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1.51</w:t>
            </w:r>
          </w:p>
        </w:tc>
        <w:tc>
          <w:tcPr>
            <w:tcW w:w="2551" w:type="dxa"/>
            <w:vAlign w:val="center"/>
          </w:tcPr>
          <w:p>
            <w:pPr>
              <w:pStyle w:val="单元格样式4"/>
            </w:pPr>
            <w:r>
              <w:t xml:space="preserve">1.51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3.65</w:t>
            </w:r>
          </w:p>
        </w:tc>
        <w:tc>
          <w:tcPr>
            <w:tcW w:w="2551" w:type="dxa"/>
            <w:vAlign w:val="center"/>
          </w:tcPr>
          <w:p>
            <w:pPr>
              <w:pStyle w:val="单元格样式4"/>
            </w:pPr>
            <w:r>
              <w:t xml:space="preserve">3.65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5.66</w:t>
            </w:r>
          </w:p>
        </w:tc>
        <w:tc>
          <w:tcPr>
            <w:tcW w:w="2551" w:type="dxa"/>
            <w:vAlign w:val="center"/>
          </w:tcPr>
          <w:p>
            <w:pPr>
              <w:pStyle w:val="单元格样式4"/>
            </w:pPr>
            <w:r>
              <w:t xml:space="preserve">5.66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6.93</w:t>
            </w:r>
          </w:p>
        </w:tc>
        <w:tc>
          <w:tcPr>
            <w:tcW w:w="2551" w:type="dxa"/>
            <w:vAlign w:val="center"/>
          </w:tcPr>
          <w:p>
            <w:pPr>
              <w:pStyle w:val="单元格样式4"/>
            </w:pPr>
            <w:r>
              <w:t xml:space="preserve">6.93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2.61</w:t>
            </w:r>
          </w:p>
        </w:tc>
        <w:tc>
          <w:tcPr>
            <w:tcW w:w="2551" w:type="dxa"/>
            <w:vAlign w:val="center"/>
          </w:tcPr>
          <w:p>
            <w:pPr>
              <w:pStyle w:val="单元格样式4"/>
            </w:pPr>
            <w:r>
              <w:t xml:space="preserve">2.61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2.61</w:t>
            </w:r>
          </w:p>
        </w:tc>
        <w:tc>
          <w:tcPr>
            <w:tcW w:w="2551" w:type="dxa"/>
            <w:vAlign w:val="center"/>
          </w:tcPr>
          <w:p>
            <w:pPr>
              <w:pStyle w:val="单元格样式4"/>
            </w:pPr>
            <w:r>
              <w:t xml:space="preserve">2.61</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eastAsia="方正小标宋_GBK" w:hAnsi="方正小标宋_GBK" w:cs="方正小标宋_GBK"/>
          <w:color w:val="000000"/>
          <w:sz w:val="36"/>
        </w:rPr>
        <w:t xml:space="preserve">部门预算政府性基金预算财政拨款支出表</w:t>
      </w:r>
      <w:bookmarkEnd w:id="6"/>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416青龙满族自治县气象局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30.00</w:t>
            </w:r>
          </w:p>
        </w:tc>
        <w:tc>
          <w:tcPr>
            <w:tcW w:w="2551" w:type="dxa"/>
            <w:vAlign w:val="center"/>
          </w:tcPr>
          <w:p>
            <w:pPr>
              <w:pStyle w:val="单元格样式7"/>
            </w:pPr>
          </w:p>
        </w:tc>
        <w:tc>
          <w:tcPr>
            <w:tcW w:w="2551" w:type="dxa"/>
            <w:vAlign w:val="center"/>
          </w:tcPr>
          <w:p>
            <w:pPr>
              <w:pStyle w:val="单元格样式7"/>
            </w:pPr>
            <w:r>
              <w:t xml:space="preserve">30.00</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212</w:t>
            </w:r>
          </w:p>
        </w:tc>
        <w:tc>
          <w:tcPr>
            <w:tcW w:w="4535" w:type="dxa"/>
            <w:vAlign w:val="center"/>
          </w:tcPr>
          <w:p>
            <w:pPr>
              <w:pStyle w:val="单元格样式2"/>
            </w:pPr>
            <w:r>
              <w:t xml:space="preserve">城乡社区支出</w:t>
            </w:r>
          </w:p>
        </w:tc>
        <w:tc>
          <w:tcPr>
            <w:tcW w:w="2551" w:type="dxa"/>
            <w:vAlign w:val="center"/>
          </w:tcPr>
          <w:p>
            <w:pPr>
              <w:pStyle w:val="单元格样式4"/>
            </w:pPr>
            <w:r>
              <w:t xml:space="preserve">30.00</w:t>
            </w:r>
          </w:p>
        </w:tc>
        <w:tc>
          <w:tcPr>
            <w:tcW w:w="2551" w:type="dxa"/>
            <w:vAlign w:val="center"/>
          </w:tcPr>
          <w:p>
            <w:pPr>
              <w:pStyle w:val="单元格样式4"/>
            </w:pPr>
          </w:p>
        </w:tc>
        <w:tc>
          <w:tcPr>
            <w:tcW w:w="2551" w:type="dxa"/>
            <w:vAlign w:val="center"/>
          </w:tcPr>
          <w:p>
            <w:pPr>
              <w:pStyle w:val="单元格样式4"/>
            </w:pPr>
            <w:r>
              <w:t xml:space="preserve">30.00</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21208</w:t>
            </w:r>
          </w:p>
        </w:tc>
        <w:tc>
          <w:tcPr>
            <w:tcW w:w="4535" w:type="dxa"/>
            <w:vAlign w:val="center"/>
          </w:tcPr>
          <w:p>
            <w:pPr>
              <w:pStyle w:val="单元格样式2"/>
            </w:pPr>
            <w:r>
              <w:t xml:space="preserve">国有土地使用权出让收入安排的支出</w:t>
            </w:r>
          </w:p>
        </w:tc>
        <w:tc>
          <w:tcPr>
            <w:tcW w:w="2551" w:type="dxa"/>
            <w:vAlign w:val="center"/>
          </w:tcPr>
          <w:p>
            <w:pPr>
              <w:pStyle w:val="单元格样式4"/>
            </w:pPr>
            <w:r>
              <w:t xml:space="preserve">30.00</w:t>
            </w:r>
          </w:p>
        </w:tc>
        <w:tc>
          <w:tcPr>
            <w:tcW w:w="2551" w:type="dxa"/>
            <w:vAlign w:val="center"/>
          </w:tcPr>
          <w:p>
            <w:pPr>
              <w:pStyle w:val="单元格样式4"/>
            </w:pPr>
          </w:p>
        </w:tc>
        <w:tc>
          <w:tcPr>
            <w:tcW w:w="2551" w:type="dxa"/>
            <w:vAlign w:val="center"/>
          </w:tcPr>
          <w:p>
            <w:pPr>
              <w:pStyle w:val="单元格样式4"/>
            </w:pPr>
            <w:r>
              <w:t xml:space="preserve">30.00</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2120899</w:t>
            </w:r>
          </w:p>
        </w:tc>
        <w:tc>
          <w:tcPr>
            <w:tcW w:w="4535" w:type="dxa"/>
            <w:vAlign w:val="center"/>
          </w:tcPr>
          <w:p>
            <w:pPr>
              <w:pStyle w:val="单元格样式2"/>
            </w:pPr>
            <w:r>
              <w:t xml:space="preserve">其他国有土地使用权出让收入安排的支出</w:t>
            </w:r>
          </w:p>
        </w:tc>
        <w:tc>
          <w:tcPr>
            <w:tcW w:w="2551" w:type="dxa"/>
            <w:vAlign w:val="center"/>
          </w:tcPr>
          <w:p>
            <w:pPr>
              <w:pStyle w:val="单元格样式4"/>
            </w:pPr>
            <w:r>
              <w:t xml:space="preserve">30.00</w:t>
            </w:r>
          </w:p>
        </w:tc>
        <w:tc>
          <w:tcPr>
            <w:tcW w:w="2551" w:type="dxa"/>
            <w:vAlign w:val="center"/>
          </w:tcPr>
          <w:p>
            <w:pPr>
              <w:pStyle w:val="单元格样式4"/>
            </w:pPr>
          </w:p>
        </w:tc>
        <w:tc>
          <w:tcPr>
            <w:tcW w:w="2551" w:type="dxa"/>
            <w:vAlign w:val="center"/>
          </w:tcPr>
          <w:p>
            <w:pPr>
              <w:pStyle w:val="单元格样式4"/>
            </w:pPr>
            <w:r>
              <w:t xml:space="preserve">30.00</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1"/>
      </w:pPr>
      <w:bookmarkStart w:id="7" w:name="_Toc_2_2_0000000008"/>
      <w:r>
        <w:rPr>
          <w:rFonts w:ascii="方正小标宋_GBK" w:eastAsia="方正小标宋_GBK" w:hAnsi="方正小标宋_GBK" w:cs="方正小标宋_GBK"/>
          <w:color w:val="000000"/>
          <w:sz w:val="36"/>
        </w:rPr>
        <w:t xml:space="preserve">部门预算国有资本经营预算财政拨款支出表</w:t>
      </w:r>
      <w:bookmarkEnd w:id="7"/>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416青龙满族自治县气象局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1"/>
      </w:pPr>
      <w:bookmarkStart w:id="8" w:name="_Toc_2_2_0000000009"/>
      <w:r>
        <w:rPr>
          <w:rFonts w:ascii="方正小标宋_GBK" w:eastAsia="方正小标宋_GBK" w:hAnsi="方正小标宋_GBK" w:cs="方正小标宋_GBK"/>
          <w:color w:val="000000"/>
          <w:sz w:val="36"/>
        </w:rPr>
        <w:t xml:space="preserve">部门预算财政拨款“三公”经费支出表</w:t>
      </w:r>
      <w:bookmarkEnd w:id="8"/>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416青龙满族自治县气象局</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420"/>
        <w:jc w:val="left"/>
        <w:outlineLvl w:val="9"/>
      </w:pPr>
      <w:r>
        <w:rPr>
          <w:rFonts w:ascii="方正书宋_GBK" w:eastAsia="方正书宋_GBK" w:hAnsi="方正书宋_GBK" w:cs="方正书宋_GBK"/>
          <w:color w:val="000000"/>
          <w:sz w:val="21"/>
        </w:rPr>
        <w:t xml:space="preserve">注：无财政拨款“三公”经费支出预算，空表列示。</w:t>
      </w:r>
    </w:p>
    <w:p>
      <w:pPr>
        <w:spacing w:before="0" w:after="0" w:line="240" w:lineRule="auto"/>
        <w:ind w:firstLine="0"/>
        <w:jc w:val="center"/>
        <w:outlineLvl w:val="0"/>
        <w:sectPr>
          <w:type w:val="nextPage"/>
          <w:pgSz w:w="16840" w:h="11900" w:orient="landscape"/>
          <w:pgMar w:top="1361" w:right="1020" w:bottom="1361" w:left="1020" w:header="720" w:footer="720" w:gutter="0"/>
        </w:sectPr>
      </w:pPr>
      <w:r>
        <w:rPr>
          <w:rFonts w:ascii="方正书宋_GBK" w:eastAsia="方正书宋_GBK" w:hAnsi="方正书宋_GBK" w:cs="方正书宋_GBK"/>
          <w:color w:val="FFFFFF"/>
          <w:sz w:val="21"/>
        </w:rPr>
        <w:t xml:space="preserve">第一部分  青龙满族自治县气象局2026年部门预算信息公开情况说明</w:t>
      </w:r>
    </w:p>
    <w:p>
      <w:pPr>
        <w:spacing w:before="0" w:after="0" w:line="240" w:lineRule="auto"/>
        <w:ind w:firstLine="0"/>
        <w:jc w:val="center"/>
        <w:outlineLvl w:val="9"/>
      </w:pPr>
      <w:r>
        <w:rPr>
          <w:rFonts w:ascii="方正小标宋_GBK" w:eastAsia="方正小标宋_GBK" w:hAnsi="方正小标宋_GBK" w:cs="方正小标宋_GBK"/>
          <w:color w:val="000000"/>
          <w:sz w:val="44"/>
        </w:rPr>
        <w:t xml:space="preserve">青龙满族自治县气象局2026年部门预算信息公开情况说明</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按照《中华人民共和国预算法》、《地方预决算公开操作规程》和《关于进一步推进预算公开工作的实施意见》规定，现将青龙满族自治县气象局2026年部门预算公开如下：</w:t>
      </w:r>
    </w:p>
    <w:p>
      <w:pPr>
        <w:spacing w:before="10" w:after="10" w:line="360" w:lineRule="auto"/>
        <w:ind w:firstLine="640"/>
        <w:jc w:val="left"/>
        <w:outlineLvl w:val="2"/>
      </w:pPr>
      <w:bookmarkStart w:id="9" w:name="_Toc_3_3_0000000010"/>
      <w:r>
        <w:rPr>
          <w:rFonts w:ascii="黑体" w:eastAsia="黑体" w:hAnsi="黑体" w:cs="黑体"/>
          <w:color w:val="000000"/>
          <w:sz w:val="32"/>
        </w:rPr>
        <w:t xml:space="preserve">一、部门职责及机构设置情况</w:t>
      </w:r>
      <w:bookmarkEnd w:id="9"/>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部门职责：</w:t>
      </w:r>
    </w:p>
    <w:p>
      <w:pPr>
        <w:pStyle w:val="插入文本样式-插入预算公开部门职责文件"/>
      </w:pPr>
      <w:r>
        <w:t xml:space="preserve">青龙满族自治县气象局主要职责</w:t>
      </w:r>
    </w:p>
    <w:p>
      <w:pPr>
        <w:pStyle w:val="插入文本样式-插入预算公开部门职责文件"/>
      </w:pPr>
    </w:p>
    <w:p>
      <w:pPr>
        <w:pStyle w:val="插入文本样式-插入预算公开部门职责文件"/>
      </w:pPr>
      <w:r>
        <w:t xml:space="preserve">青龙满族自治县气象系统各级管理机构实行上级气象主管机构与本级人民政府双重领导，以上级气象主管机构领导为主的管理体制。在上级气象主管机构和本级人民政府领导下，根据授权承担本行政区域内气象工作的政府行政管理职能，依法履行气象主管机构的各项职责。</w:t>
      </w:r>
    </w:p>
    <w:p>
      <w:pPr>
        <w:pStyle w:val="插入文本样式-插入预算公开部门职责文件"/>
      </w:pPr>
    </w:p>
    <w:p>
      <w:pPr>
        <w:pStyle w:val="插入文本样式-插入预算公开部门职责文件"/>
      </w:pPr>
      <w:r>
        <w:t xml:space="preserve">根据《中华人民共和国气象法》、《气象灾害防御条例》、《人工影响天气管理条例》、《气象设施和气象探测环境保护条例》等法律、法规以及地方性法规、规章的有关规定，青龙满族自治县气象局主要职责是：</w:t>
      </w:r>
    </w:p>
    <w:p>
      <w:pPr>
        <w:pStyle w:val="插入文本样式-插入预算公开部门职责文件"/>
      </w:pPr>
    </w:p>
    <w:p>
      <w:pPr>
        <w:pStyle w:val="插入文本样式-插入预算公开部门职责文件"/>
      </w:pPr>
      <w:r>
        <w:t xml:space="preserve">1.负责本行政区域内气象事业发展规划的制定及气象工作的组织实施；对本行政区域内的气象活动进行指导、监督和行业管理。</w:t>
      </w:r>
    </w:p>
    <w:p>
      <w:pPr>
        <w:pStyle w:val="插入文本样式-插入预算公开部门职责文件"/>
      </w:pPr>
    </w:p>
    <w:p>
      <w:pPr>
        <w:pStyle w:val="插入文本样式-插入预算公开部门职责文件"/>
      </w:pPr>
      <w:r>
        <w:t xml:space="preserve">2.组织管理本行政区域内气象灾害防御工作；组织拟订和实施本行政区域的气象灾害防御规划；管理本行政区域人工影响天气工作，指导和组织人工影响天气作业；指导城乡气象工作，组织推进农村气象灾害防御体系和农业气象服务体系建设，组织指导乡镇（街道）气象工作站和气象协理员、信息员队伍建设。</w:t>
      </w:r>
    </w:p>
    <w:p>
      <w:pPr>
        <w:pStyle w:val="插入文本样式-插入预算公开部门职责文件"/>
      </w:pPr>
    </w:p>
    <w:p>
      <w:pPr>
        <w:pStyle w:val="插入文本样式-插入预算公开部门职责文件"/>
      </w:pPr>
      <w:r>
        <w:t xml:space="preserve">3.组织管理本行政区域内雷电灾害防御工作，会同有关部门指导对可能遭受袭击的建筑物、构筑物和其它设施安装的雷电灾害防护装置的检测工作；负责本行政区域内雷电灾害防护装置的设计审核和竣工验收；负责管理本行政区域内的施放气球活动。</w:t>
      </w:r>
    </w:p>
    <w:p>
      <w:pPr>
        <w:pStyle w:val="插入文本样式-插入预算公开部门职责文件"/>
      </w:pPr>
    </w:p>
    <w:p>
      <w:pPr>
        <w:pStyle w:val="插入文本样式-插入预算公开部门职责文件"/>
      </w:pPr>
      <w:r>
        <w:t xml:space="preserve">4.组织本行政区域内气候资源的综合调查、区划，指导气候资源的开发利用和保护，组织并审查重点建设工程、重大区域经济开发项目和城乡建设规划的气候可行性论证和气象灾害风险评估。</w:t>
      </w:r>
    </w:p>
    <w:p>
      <w:pPr>
        <w:pStyle w:val="插入文本样式-插入预算公开部门职责文件"/>
      </w:pPr>
    </w:p>
    <w:p>
      <w:pPr>
        <w:pStyle w:val="插入文本样式-插入预算公开部门职责文件"/>
      </w:pPr>
      <w:r>
        <w:t xml:space="preserve">5.负责本行政区域内的气象台站和气象设施的组织建设和维护管理；组织管理本行政区域内气象探测资料的采集、传输和汇交；依法保护气象设施和探测环境；负责审查建设项目大气环境影响评价所使用的气象资料。</w:t>
      </w:r>
    </w:p>
    <w:p>
      <w:pPr>
        <w:pStyle w:val="插入文本样式-插入预算公开部门职责文件"/>
      </w:pPr>
    </w:p>
    <w:p>
      <w:pPr>
        <w:pStyle w:val="插入文本样式-插入预算公开部门职责文件"/>
      </w:pPr>
      <w:r>
        <w:t xml:space="preserve">6.负责本行政区域内的气象监测、预报、预警、公共服务管理工作；组织管理本行政区域内气象信息的发布和传播；组织重大活动、突发公共事件气象保障工作；承担重大突发公共事件预警信息发布系统建设及运行维护。</w:t>
      </w:r>
    </w:p>
    <w:p>
      <w:pPr>
        <w:pStyle w:val="插入文本样式-插入预算公开部门职责文件"/>
      </w:pPr>
    </w:p>
    <w:p>
      <w:pPr>
        <w:pStyle w:val="插入文本样式-插入预算公开部门职责文件"/>
      </w:pPr>
      <w:r>
        <w:t xml:space="preserve">7.组织开展气象法制宣传教育，负责监督有关气象法律法规的实施，对违反《中华人民共和国气象法》等法律法规有关规定的行为依法进行处罚，承担有关行政诉讼；组织宣传、普及气象科学知识。</w:t>
      </w:r>
    </w:p>
    <w:p>
      <w:pPr>
        <w:pStyle w:val="插入文本样式-插入预算公开部门职责文件"/>
      </w:pPr>
    </w:p>
    <w:p>
      <w:pPr>
        <w:pStyle w:val="插入文本样式-插入预算公开部门职责文件"/>
      </w:pPr>
      <w:r>
        <w:t xml:space="preserve">8.管理本级气象部门内部的计划财务、人事劳动、队伍建设、教育培训和业务建设；负责气象部门双重计划财务体制的落实工作；负责党的建设、精神文明和气象文化建设。</w:t>
      </w:r>
    </w:p>
    <w:p>
      <w:pPr>
        <w:pStyle w:val="插入文本样式-插入预算公开部门职责文件"/>
      </w:pPr>
    </w:p>
    <w:p>
      <w:pPr>
        <w:pStyle w:val="插入文本样式-插入预算公开部门职责文件"/>
      </w:pPr>
      <w:r>
        <w:t xml:space="preserve">9.承担上级气象主管机构和本级人民政府交办的其他事项。</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部门机构设置情况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青龙满族自治县气象局本级</w:t>
            </w:r>
          </w:p>
        </w:tc>
        <w:tc>
          <w:tcPr>
            <w:tcW w:w="1843" w:type="dxa"/>
            <w:vAlign w:val="center"/>
          </w:tcPr>
          <w:p>
            <w:pPr>
              <w:pStyle w:val="单元格样式3"/>
            </w:pPr>
            <w:r>
              <w:t xml:space="preserve">事业</w:t>
            </w:r>
          </w:p>
        </w:tc>
        <w:tc>
          <w:tcPr>
            <w:tcW w:w="2126" w:type="dxa"/>
            <w:vAlign w:val="center"/>
          </w:tcPr>
          <w:p>
            <w:pPr>
              <w:pStyle w:val="单元格样式3"/>
            </w:pPr>
            <w:r>
              <w:t xml:space="preserve">正科级</w:t>
            </w:r>
          </w:p>
        </w:tc>
        <w:tc>
          <w:tcPr>
            <w:tcW w:w="3827" w:type="dxa"/>
            <w:vAlign w:val="center"/>
          </w:tcPr>
          <w:p>
            <w:pPr>
              <w:pStyle w:val="单元格样式3"/>
            </w:pPr>
            <w:r>
              <w:t xml:space="preserve">其他</w:t>
            </w:r>
          </w:p>
        </w:tc>
      </w:tr>
    </w:tbl>
    <w:p>
      <w:pPr>
        <w:spacing w:before="10" w:after="10" w:line="360" w:lineRule="auto"/>
        <w:ind w:firstLine="640"/>
        <w:jc w:val="left"/>
        <w:outlineLvl w:val="2"/>
      </w:pPr>
      <w:bookmarkStart w:id="10" w:name="_Toc_3_3_0000000011"/>
      <w:r>
        <w:rPr>
          <w:rFonts w:ascii="黑体" w:eastAsia="黑体" w:hAnsi="黑体" w:cs="黑体"/>
          <w:color w:val="000000"/>
          <w:sz w:val="32"/>
        </w:rPr>
        <w:t xml:space="preserve">二、部门预算安排的总体情况</w:t>
      </w:r>
      <w:bookmarkEnd w:id="10"/>
    </w:p>
    <w:p>
      <w:pPr>
        <w:pStyle w:val="插入文本样式-插入预算公开部门预算安排的总体情况文件"/>
      </w:pPr>
      <w:r>
        <w:t xml:space="preserve">按照预算管理有关规定，目前部门预算的编制实行综合预算管理，即全部收入和支出都反映在预算中。青龙满族自治县气象局机关及所属事业单位的收支包含在部门预算中。</w:t>
      </w:r>
    </w:p>
    <w:p>
      <w:pPr>
        <w:pStyle w:val="插入文本样式-插入预算公开部门预算安排的总体情况文件"/>
      </w:pPr>
      <w:r>
        <w:t xml:space="preserve">1、收入说明</w:t>
      </w:r>
    </w:p>
    <w:p>
      <w:pPr>
        <w:pStyle w:val="插入文本样式-插入预算公开部门预算安排的总体情况文件"/>
      </w:pPr>
      <w:r>
        <w:t xml:space="preserve">反映本部门当年全部收入。2026年预算收入60.95万元，其中：一般公共预算收入30.95万元，基金预算收入30.00万元，国有资本经营预算收入0.00万元，财政专户核拨收入0.00万元，单位资金收入0.00万元，上年结转结余0.00万元。</w:t>
      </w:r>
    </w:p>
    <w:p>
      <w:pPr>
        <w:pStyle w:val="插入文本样式-插入预算公开部门预算安排的总体情况文件"/>
      </w:pPr>
      <w:r>
        <w:t xml:space="preserve">2、支出说明</w:t>
      </w:r>
    </w:p>
    <w:p>
      <w:pPr>
        <w:pStyle w:val="插入文本样式-插入预算公开部门预算安排的总体情况文件"/>
      </w:pPr>
      <w:r>
        <w:t xml:space="preserve">收支预算总表支出栏、基本支出表、项目支出表按经济分类和支出功能分类科目编制，反映青龙满族自治县气象局年度部门预算中支出预算的总体情况。2026年支出预算60.95万元，其中基本支出20.35万元，包括人员经费20.35万元和日常公用经费0.00万元；项目支出40.60万元，主要为气象灾害防御经费7.4万元，预警信息发布和天气预报制作经费3.2万元。；预计下年使用的单位资金结余0.00万元。委托业务费共计安排0.00万元，主要用于因技术原因确需对外委托的辅助性工作和确有必要对外委托开展咨询、评审、规划等工作。</w:t>
      </w:r>
    </w:p>
    <w:p>
      <w:pPr>
        <w:pStyle w:val="插入文本样式-插入预算公开部门预算安排的总体情况文件"/>
      </w:pPr>
      <w:r>
        <w:t xml:space="preserve">3、比上年增减情况</w:t>
      </w:r>
    </w:p>
    <w:p>
      <w:pPr>
        <w:pStyle w:val="插入文本样式-插入预算公开部门预算安排的总体情况文件"/>
      </w:pPr>
      <w:r>
        <w:t xml:space="preserve">2026年预算收支安排60.95万元，较2025年预算减少0.95万元，其中：基本支出减少0.05万元，主要为保险基数调整减少0.05万元。项目支出减少0.90万元，主要为预算减少0.9万元。。预计下年使用的单位资金结余增加0.00万元。</w:t>
      </w:r>
    </w:p>
    <w:p>
      <w:pPr>
        <w:spacing w:before="10" w:after="10" w:line="360" w:lineRule="auto"/>
        <w:ind w:firstLine="640"/>
        <w:jc w:val="left"/>
        <w:outlineLvl w:val="2"/>
      </w:pPr>
      <w:bookmarkStart w:id="11" w:name="_Toc_3_3_0000000012"/>
      <w:r>
        <w:rPr>
          <w:rFonts w:ascii="黑体" w:eastAsia="黑体" w:hAnsi="黑体" w:cs="黑体"/>
          <w:color w:val="000000"/>
          <w:sz w:val="32"/>
        </w:rPr>
        <w:t xml:space="preserve">三、机关运行经费安排情况</w:t>
      </w:r>
      <w:bookmarkEnd w:id="11"/>
    </w:p>
    <w:p>
      <w:pPr>
        <w:pStyle w:val="插入文本样式-插入预算公开部门机关运行经费安排情况文件"/>
      </w:pPr>
    </w:p>
    <w:p>
      <w:pPr>
        <w:spacing w:before="10" w:after="10" w:line="360" w:lineRule="auto"/>
        <w:ind w:firstLine="640"/>
        <w:jc w:val="left"/>
        <w:outlineLvl w:val="2"/>
      </w:pPr>
      <w:bookmarkStart w:id="12" w:name="_Toc_3_3_0000000013"/>
      <w:r>
        <w:rPr>
          <w:rFonts w:ascii="黑体" w:eastAsia="黑体" w:hAnsi="黑体" w:cs="黑体"/>
          <w:color w:val="000000"/>
          <w:sz w:val="32"/>
        </w:rPr>
        <w:t xml:space="preserve">四、财政拨款“三公”经费预算情况及增减变化原因</w:t>
      </w:r>
      <w:bookmarkEnd w:id="12"/>
    </w:p>
    <w:p>
      <w:pPr>
        <w:pStyle w:val="插入文本样式-插入预算公开部门财政拨款三公经费预算情况及增减变化原因文件"/>
      </w:pPr>
    </w:p>
    <w:p>
      <w:pPr>
        <w:spacing w:before="10" w:after="10" w:line="360" w:lineRule="auto"/>
        <w:ind w:firstLine="640"/>
        <w:jc w:val="left"/>
        <w:outlineLvl w:val="2"/>
      </w:pPr>
      <w:bookmarkStart w:id="13" w:name="_Toc_3_3_0000000014"/>
      <w:r>
        <w:rPr>
          <w:rFonts w:ascii="黑体" w:eastAsia="黑体" w:hAnsi="黑体" w:cs="黑体"/>
          <w:color w:val="000000"/>
          <w:sz w:val="32"/>
        </w:rPr>
        <w:t xml:space="preserve">五、部门整体绩效目标</w:t>
      </w:r>
      <w:bookmarkEnd w:id="13"/>
    </w:p>
    <w:p>
      <w:pPr>
        <w:spacing w:before="0" w:after="0" w:line="500" w:lineRule="exact"/>
        <w:ind w:firstLine="560"/>
        <w:jc w:val="left"/>
        <w:outlineLvl w:val="9"/>
      </w:pPr>
      <w:r>
        <w:rPr>
          <w:rFonts w:ascii="Times New Roman" w:eastAsia="方正仿宋_GBK" w:hAnsi="Times New Roman" w:cs="Times New Roman"/>
          <w:color w:val="000000"/>
          <w:sz w:val="28"/>
        </w:rPr>
        <w:t xml:space="preserve">（一）总体绩效目标</w:t>
      </w:r>
    </w:p>
    <w:p>
      <w:pPr>
        <w:pStyle w:val="插入文本样式-插入总体目标文件"/>
      </w:pPr>
      <w:r>
        <w:t xml:space="preserve">负责本行政区域内气象综合观测、开展天气预报、气候预测、公共气象服务和信息与技术支持体系的有关工作。</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（二）分项绩效目标</w:t>
      </w:r>
    </w:p>
    <w:p>
      <w:pPr>
        <w:pStyle w:val="插入文本样式-插入职责分类绩效目标文件"/>
      </w:pPr>
      <w:r>
        <w:t xml:space="preserve">本行政区域内人工影响天气工作的管理，组织人工影响天气作业。</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（三）工作保障措施</w:t>
      </w:r>
    </w:p>
    <w:p>
      <w:pPr>
        <w:pStyle w:val="插入文本样式-插入实现年度发展规划目标的保障措施文件"/>
        <w:sectPr>
          <w:type w:val="nextPage"/>
          <w:pgSz w:w="16840" w:h="11900" w:orient="landscape"/>
          <w:pgMar w:top="1361" w:right="1020" w:bottom="1361" w:left="1020" w:header="720" w:footer="720" w:gutter="0"/>
        </w:sectPr>
      </w:pPr>
      <w:r>
        <w:t xml:space="preserve">全面落实各项防灾减灾工作措施，切实抓好气象还在普查和隐患排查。建立气象灾害风险数据库。加强气象灾害分析评估。加强气象灾害预报预警，做好灾害性、关键性、转折性天气的预报和趋势预测。</w:t>
      </w:r>
    </w:p>
    <w:p>
      <w:pPr>
        <w:spacing w:before="10" w:after="10" w:line="360" w:lineRule="auto"/>
        <w:ind w:firstLine="640"/>
        <w:jc w:val="left"/>
        <w:outlineLvl w:val="2"/>
        <w:sectPr>
          <w:type w:val="nextPage"/>
          <w:pgSz w:w="16840" w:h="11900" w:orient="landscape"/>
          <w:pgMar w:top="1361" w:right="1020" w:bottom="1134" w:left="1020" w:header="720" w:footer="720" w:gutter="0"/>
        </w:sectPr>
      </w:pPr>
      <w:bookmarkStart w:id="14" w:name="_Toc_3_3_0000000015"/>
      <w:r>
        <w:rPr>
          <w:rFonts w:ascii="黑体" w:eastAsia="黑体" w:hAnsi="黑体" w:cs="黑体"/>
          <w:color w:val="000000"/>
          <w:sz w:val="32"/>
        </w:rPr>
        <w:t xml:space="preserve">六、部门主管专项资金预算安排情况及绩效目标</w:t>
      </w:r>
      <w:bookmarkEnd w:id="14"/>
    </w:p>
    <w:p>
      <w:pPr>
        <w:spacing w:before="10" w:after="10" w:line="360" w:lineRule="auto"/>
        <w:ind w:firstLine="640"/>
        <w:jc w:val="left"/>
        <w:outlineLvl w:val="2"/>
        <w:sectPr>
          <w:type w:val="nextPage"/>
          <w:pgSz w:w="16840" w:h="11900" w:orient="landscape"/>
          <w:pgMar w:top="1361" w:right="1020" w:bottom="1134" w:left="1020" w:header="720" w:footer="720" w:gutter="0"/>
        </w:sectPr>
      </w:pPr>
      <w:bookmarkStart w:id="15" w:name="_Toc_3_3_0000000016"/>
      <w:r>
        <w:rPr>
          <w:rFonts w:ascii="黑体" w:eastAsia="黑体" w:hAnsi="黑体" w:cs="黑体"/>
          <w:color w:val="000000"/>
          <w:sz w:val="32"/>
        </w:rPr>
        <w:t xml:space="preserve">七、部门项目预算安排情况及绩效目标</w:t>
      </w:r>
      <w:bookmarkEnd w:id="15"/>
    </w:p>
    <w:p>
      <w:pPr>
        <w:spacing w:before="0" w:after="0"/>
        <w:ind w:firstLine="560"/>
        <w:jc w:val="left"/>
        <w:outlineLvl w:val="9"/>
      </w:pPr>
      <w:r>
        <w:rPr>
          <w:rFonts w:ascii="方正仿宋_GBK" w:eastAsia="方正仿宋_GBK" w:hAnsi="方正仿宋_GBK" w:cs="方正仿宋_GBK"/>
          <w:color w:val="000000"/>
          <w:sz w:val="28"/>
        </w:rPr>
        <w:t xml:space="preserve">1、河北省人工影响天气水资源保障工程地方配套资金绩效目标表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13032126P00001210007N</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河北省人工影响天气水资源保障工程地方配套资金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项目资金30万元，其中财政拨款30万元，主要用于人工影响天气</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30%</w:t>
            </w:r>
          </w:p>
        </w:tc>
        <w:tc>
          <w:tcPr>
            <w:tcW w:w="2835" w:type="dxa"/>
            <w:vAlign w:val="center"/>
          </w:tcPr>
          <w:p>
            <w:pPr>
              <w:pStyle w:val="单元格样式3"/>
            </w:pPr>
            <w:r>
              <w:t xml:space="preserve">60%</w:t>
            </w:r>
          </w:p>
        </w:tc>
        <w:tc>
          <w:tcPr>
            <w:tcW w:w="2551" w:type="dxa"/>
            <w:vAlign w:val="center"/>
          </w:tcPr>
          <w:p>
            <w:pPr>
              <w:pStyle w:val="单元格样式3"/>
            </w:pPr>
            <w:r>
              <w:t xml:space="preserve">90%</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1.提升气象保障经济发展能力，开发空中云水资源，抗旱减灾，降低农业生产损失，保障粮食安全</w:t>
            </w:r>
          </w:p>
          <w:p>
            <w:pPr>
              <w:pStyle w:val="单元格样式2"/>
            </w:pPr>
            <w:r>
              <w:t xml:space="preserve">2.增加地表水和补充地下水，缓解水资源短缺，保障水安全</w:t>
            </w:r>
          </w:p>
          <w:p>
            <w:pPr>
              <w:pStyle w:val="单元格样式2"/>
            </w:pPr>
            <w:r>
              <w:t xml:space="preserve">3.森林草原防灭火，保护生态环境</w:t>
            </w:r>
          </w:p>
          <w:p>
            <w:pPr>
              <w:pStyle w:val="单元格样式2"/>
            </w:pPr>
            <w:r>
              <w:t xml:space="preserve">4.提高重大活动保障服务能力</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新型作业设备更新数量</w:t>
            </w:r>
          </w:p>
        </w:tc>
        <w:tc>
          <w:tcPr>
            <w:tcW w:w="5386" w:type="dxa"/>
            <w:vAlign w:val="center"/>
          </w:tcPr>
          <w:p>
            <w:pPr>
              <w:pStyle w:val="单元格样式2"/>
            </w:pPr>
            <w:r>
              <w:t xml:space="preserve">新型作业设备更新数量</w:t>
            </w:r>
          </w:p>
        </w:tc>
        <w:tc>
          <w:tcPr>
            <w:tcW w:w="2268" w:type="dxa"/>
            <w:vAlign w:val="center"/>
          </w:tcPr>
          <w:p>
            <w:pPr>
              <w:pStyle w:val="单元格样式2"/>
            </w:pPr>
            <w:r>
              <w:t xml:space="preserve">≥1套</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作业装备升级改造数量</w:t>
            </w:r>
          </w:p>
        </w:tc>
        <w:tc>
          <w:tcPr>
            <w:tcW w:w="5386" w:type="dxa"/>
            <w:vAlign w:val="center"/>
          </w:tcPr>
          <w:p>
            <w:pPr>
              <w:pStyle w:val="单元格样式2"/>
            </w:pPr>
            <w:r>
              <w:t xml:space="preserve">作业装备升级改造数量</w:t>
            </w:r>
          </w:p>
        </w:tc>
        <w:tc>
          <w:tcPr>
            <w:tcW w:w="2268" w:type="dxa"/>
            <w:vAlign w:val="center"/>
          </w:tcPr>
          <w:p>
            <w:pPr>
              <w:pStyle w:val="单元格样式2"/>
            </w:pPr>
            <w:r>
              <w:t xml:space="preserve">≥1套</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设备年检与完好率</w:t>
            </w:r>
          </w:p>
        </w:tc>
        <w:tc>
          <w:tcPr>
            <w:tcW w:w="5386" w:type="dxa"/>
            <w:vAlign w:val="center"/>
          </w:tcPr>
          <w:p>
            <w:pPr>
              <w:pStyle w:val="单元格样式2"/>
            </w:pPr>
            <w:r>
              <w:t xml:space="preserve">设备年检与完好率</w:t>
            </w:r>
          </w:p>
        </w:tc>
        <w:tc>
          <w:tcPr>
            <w:tcW w:w="2268" w:type="dxa"/>
            <w:vAlign w:val="center"/>
          </w:tcPr>
          <w:p>
            <w:pPr>
              <w:pStyle w:val="单元格样式2"/>
            </w:pPr>
            <w:r>
              <w:t xml:space="preserve">≥95%</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财政补助金额</w:t>
            </w:r>
          </w:p>
        </w:tc>
        <w:tc>
          <w:tcPr>
            <w:tcW w:w="5386" w:type="dxa"/>
            <w:vAlign w:val="center"/>
          </w:tcPr>
          <w:p>
            <w:pPr>
              <w:pStyle w:val="单元格样式2"/>
            </w:pPr>
            <w:r>
              <w:t xml:space="preserve">财政补助金额</w:t>
            </w:r>
          </w:p>
        </w:tc>
        <w:tc>
          <w:tcPr>
            <w:tcW w:w="2268" w:type="dxa"/>
            <w:vAlign w:val="center"/>
          </w:tcPr>
          <w:p>
            <w:pPr>
              <w:pStyle w:val="单元格样式2"/>
            </w:pPr>
            <w:r>
              <w:t xml:space="preserve">30万元</w:t>
            </w:r>
          </w:p>
        </w:tc>
        <w:tc>
          <w:tcPr>
            <w:tcW w:w="1276" w:type="dxa"/>
            <w:vAlign w:val="center"/>
          </w:tcPr>
          <w:p>
            <w:pPr>
              <w:pStyle w:val="单元格样式2"/>
            </w:pPr>
            <w:r>
              <w:t xml:space="preserve">项目预算</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升级改造时间</w:t>
            </w:r>
          </w:p>
        </w:tc>
        <w:tc>
          <w:tcPr>
            <w:tcW w:w="5386" w:type="dxa"/>
            <w:vAlign w:val="center"/>
          </w:tcPr>
          <w:p>
            <w:pPr>
              <w:pStyle w:val="单元格样式2"/>
            </w:pPr>
            <w:r>
              <w:t xml:space="preserve">作业设备升级改造时间</w:t>
            </w:r>
          </w:p>
        </w:tc>
        <w:tc>
          <w:tcPr>
            <w:tcW w:w="2268" w:type="dxa"/>
            <w:vAlign w:val="center"/>
          </w:tcPr>
          <w:p>
            <w:pPr>
              <w:pStyle w:val="单元格样式2"/>
            </w:pPr>
            <w:r>
              <w:t xml:space="preserve">≤1年</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水资源保障作用</w:t>
            </w:r>
          </w:p>
        </w:tc>
        <w:tc>
          <w:tcPr>
            <w:tcW w:w="5386" w:type="dxa"/>
            <w:vAlign w:val="center"/>
          </w:tcPr>
          <w:p>
            <w:pPr>
              <w:pStyle w:val="单元格样式2"/>
            </w:pPr>
            <w:r>
              <w:t xml:space="preserve">提高水资源保障作用</w:t>
            </w:r>
          </w:p>
        </w:tc>
        <w:tc>
          <w:tcPr>
            <w:tcW w:w="2268" w:type="dxa"/>
            <w:vAlign w:val="center"/>
          </w:tcPr>
          <w:p>
            <w:pPr>
              <w:pStyle w:val="单元格样式2"/>
            </w:pPr>
            <w:r>
              <w:t xml:space="preserve">有效提高</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活动服务保障能力</w:t>
            </w:r>
          </w:p>
        </w:tc>
        <w:tc>
          <w:tcPr>
            <w:tcW w:w="5386" w:type="dxa"/>
            <w:vAlign w:val="center"/>
          </w:tcPr>
          <w:p>
            <w:pPr>
              <w:pStyle w:val="单元格样式2"/>
            </w:pPr>
            <w:r>
              <w:t xml:space="preserve">提高重大活动保障能力</w:t>
            </w:r>
          </w:p>
        </w:tc>
        <w:tc>
          <w:tcPr>
            <w:tcW w:w="2268" w:type="dxa"/>
            <w:vAlign w:val="center"/>
          </w:tcPr>
          <w:p>
            <w:pPr>
              <w:pStyle w:val="单元格样式2"/>
            </w:pPr>
            <w:r>
              <w:t xml:space="preserve">有效提高</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森林草原防灭火，保护生态环境</w:t>
            </w:r>
          </w:p>
        </w:tc>
        <w:tc>
          <w:tcPr>
            <w:tcW w:w="5386" w:type="dxa"/>
            <w:vAlign w:val="center"/>
          </w:tcPr>
          <w:p>
            <w:pPr>
              <w:pStyle w:val="单元格样式2"/>
            </w:pPr>
            <w:r>
              <w:t xml:space="preserve">有效降低森林火险等级</w:t>
            </w:r>
          </w:p>
        </w:tc>
        <w:tc>
          <w:tcPr>
            <w:tcW w:w="2268" w:type="dxa"/>
            <w:vAlign w:val="center"/>
          </w:tcPr>
          <w:p>
            <w:pPr>
              <w:pStyle w:val="单元格样式2"/>
            </w:pPr>
            <w:r>
              <w:t xml:space="preserve">有效降低</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群众满意数量占总数的比例</w:t>
            </w:r>
          </w:p>
        </w:tc>
        <w:tc>
          <w:tcPr>
            <w:tcW w:w="5386" w:type="dxa"/>
            <w:vAlign w:val="center"/>
          </w:tcPr>
          <w:p>
            <w:pPr>
              <w:pStyle w:val="单元格样式2"/>
            </w:pPr>
            <w:r>
              <w:t xml:space="preserve">群众满意数量占总数的比例</w:t>
            </w:r>
          </w:p>
        </w:tc>
        <w:tc>
          <w:tcPr>
            <w:tcW w:w="2268" w:type="dxa"/>
            <w:vAlign w:val="center"/>
          </w:tcPr>
          <w:p>
            <w:pPr>
              <w:pStyle w:val="单元格样式2"/>
            </w:pPr>
            <w:r>
              <w:t xml:space="preserve">≥95%</w:t>
            </w:r>
          </w:p>
        </w:tc>
        <w:tc>
          <w:tcPr>
            <w:tcW w:w="1276" w:type="dxa"/>
            <w:vAlign w:val="center"/>
          </w:tcPr>
          <w:p>
            <w:pPr>
              <w:pStyle w:val="单元格样式2"/>
            </w:pPr>
            <w:r>
              <w:t xml:space="preserve">《公众满意度》规定的满意度等级划分和计算方法进行计算</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2、气象灾害防御经费绩效目标表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13032126P00880810003M</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气象灾害防御经费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7.40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7.40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项目金额7.4万元，其中财政拨款7.4万元，主要用于气象灾害防御</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30%</w:t>
            </w:r>
          </w:p>
        </w:tc>
        <w:tc>
          <w:tcPr>
            <w:tcW w:w="2835" w:type="dxa"/>
            <w:vAlign w:val="center"/>
          </w:tcPr>
          <w:p>
            <w:pPr>
              <w:pStyle w:val="单元格样式3"/>
            </w:pPr>
            <w:r>
              <w:t xml:space="preserve">60%</w:t>
            </w:r>
          </w:p>
        </w:tc>
        <w:tc>
          <w:tcPr>
            <w:tcW w:w="2551" w:type="dxa"/>
            <w:vAlign w:val="center"/>
          </w:tcPr>
          <w:p>
            <w:pPr>
              <w:pStyle w:val="单元格样式3"/>
            </w:pPr>
            <w:r>
              <w:t xml:space="preserve">99%</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1.灾害性天气发生前发布预报或预警服务信息</w:t>
            </w:r>
          </w:p>
          <w:p>
            <w:pPr>
              <w:pStyle w:val="单元格样式2"/>
            </w:pPr>
            <w:r>
              <w:t xml:space="preserve">2.发挥省、市、县三级成立气象灾害防御指挥部联动作用，保障人民生命财产安全</w:t>
            </w:r>
          </w:p>
          <w:p>
            <w:pPr>
              <w:pStyle w:val="单元格样式2"/>
            </w:pPr>
            <w:r>
              <w:t xml:space="preserve">3.通过多种形式增加防灾减灾宣传力度，促进全县防灾减灾工作落实到位</w:t>
            </w:r>
          </w:p>
          <w:p>
            <w:pPr>
              <w:pStyle w:val="单元格样式2"/>
            </w:pPr>
            <w:r>
              <w:t xml:space="preserve">4.为公众免费提供预报预警服务信息</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维修区域站个数</w:t>
            </w:r>
          </w:p>
        </w:tc>
        <w:tc>
          <w:tcPr>
            <w:tcW w:w="5386" w:type="dxa"/>
            <w:vAlign w:val="center"/>
          </w:tcPr>
          <w:p>
            <w:pPr>
              <w:pStyle w:val="单元格样式2"/>
            </w:pPr>
            <w:r>
              <w:t xml:space="preserve">完成成各乡镇区域站维护维修的个数</w:t>
            </w:r>
          </w:p>
        </w:tc>
        <w:tc>
          <w:tcPr>
            <w:tcW w:w="2268" w:type="dxa"/>
            <w:vAlign w:val="center"/>
          </w:tcPr>
          <w:p>
            <w:pPr>
              <w:pStyle w:val="单元格样式2"/>
            </w:pPr>
            <w:r>
              <w:t xml:space="preserve">54个</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预警信息接收、处理、发布时间（小时）</w:t>
            </w:r>
          </w:p>
        </w:tc>
        <w:tc>
          <w:tcPr>
            <w:tcW w:w="5386" w:type="dxa"/>
            <w:vAlign w:val="center"/>
          </w:tcPr>
          <w:p>
            <w:pPr>
              <w:pStyle w:val="单元格样式2"/>
            </w:pPr>
            <w:r>
              <w:t xml:space="preserve">预警信息接收、处理、发布全过程用时控制时间</w:t>
            </w:r>
          </w:p>
        </w:tc>
        <w:tc>
          <w:tcPr>
            <w:tcW w:w="2268" w:type="dxa"/>
            <w:vAlign w:val="center"/>
          </w:tcPr>
          <w:p>
            <w:pPr>
              <w:pStyle w:val="单元格样式2"/>
            </w:pPr>
            <w:r>
              <w:t xml:space="preserve">≤24小时</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区域站发挥其作用的有效期限</w:t>
            </w:r>
          </w:p>
        </w:tc>
        <w:tc>
          <w:tcPr>
            <w:tcW w:w="5386" w:type="dxa"/>
            <w:vAlign w:val="center"/>
          </w:tcPr>
          <w:p>
            <w:pPr>
              <w:pStyle w:val="单元格样式2"/>
            </w:pPr>
            <w:r>
              <w:t xml:space="preserve">区域站发挥其作用的有效期限</w:t>
            </w:r>
          </w:p>
        </w:tc>
        <w:tc>
          <w:tcPr>
            <w:tcW w:w="2268" w:type="dxa"/>
            <w:vAlign w:val="center"/>
          </w:tcPr>
          <w:p>
            <w:pPr>
              <w:pStyle w:val="单元格样式2"/>
            </w:pPr>
            <w:r>
              <w:t xml:space="preserve">永久</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气象灾害防御经费预算控制数</w:t>
            </w:r>
          </w:p>
        </w:tc>
        <w:tc>
          <w:tcPr>
            <w:tcW w:w="5386" w:type="dxa"/>
            <w:vAlign w:val="center"/>
          </w:tcPr>
          <w:p>
            <w:pPr>
              <w:pStyle w:val="单元格样式2"/>
            </w:pPr>
            <w:r>
              <w:t xml:space="preserve">气象灾害防御经费预算控制数</w:t>
            </w:r>
          </w:p>
        </w:tc>
        <w:tc>
          <w:tcPr>
            <w:tcW w:w="2268" w:type="dxa"/>
            <w:vAlign w:val="center"/>
          </w:tcPr>
          <w:p>
            <w:pPr>
              <w:pStyle w:val="单元格样式2"/>
            </w:pPr>
            <w:r>
              <w:t xml:space="preserve">≤7.4万元</w:t>
            </w:r>
          </w:p>
        </w:tc>
        <w:tc>
          <w:tcPr>
            <w:tcW w:w="1276" w:type="dxa"/>
            <w:vAlign w:val="center"/>
          </w:tcPr>
          <w:p>
            <w:pPr>
              <w:pStyle w:val="单元格样式2"/>
            </w:pPr>
            <w:r>
              <w:t xml:space="preserve">项目预算</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减少经济损失</w:t>
            </w:r>
          </w:p>
        </w:tc>
        <w:tc>
          <w:tcPr>
            <w:tcW w:w="5386" w:type="dxa"/>
            <w:vAlign w:val="center"/>
          </w:tcPr>
          <w:p>
            <w:pPr>
              <w:pStyle w:val="单元格样式2"/>
            </w:pPr>
            <w:r>
              <w:t xml:space="preserve">提前发布预报预警信息，为公众争取时间，做好应对灾害性天气的防御措施</w:t>
            </w:r>
          </w:p>
        </w:tc>
        <w:tc>
          <w:tcPr>
            <w:tcW w:w="2268" w:type="dxa"/>
            <w:vAlign w:val="center"/>
          </w:tcPr>
          <w:p>
            <w:pPr>
              <w:pStyle w:val="单元格样式2"/>
            </w:pPr>
            <w:r>
              <w:t xml:space="preserve">≥30%</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预报预警作用</w:t>
            </w:r>
          </w:p>
        </w:tc>
        <w:tc>
          <w:tcPr>
            <w:tcW w:w="5386" w:type="dxa"/>
            <w:vAlign w:val="center"/>
          </w:tcPr>
          <w:p>
            <w:pPr>
              <w:pStyle w:val="单元格样式2"/>
            </w:pPr>
            <w:r>
              <w:t xml:space="preserve">能高效完成气象灾害等预报预警对公众服务工作</w:t>
            </w:r>
          </w:p>
        </w:tc>
        <w:tc>
          <w:tcPr>
            <w:tcW w:w="2268" w:type="dxa"/>
            <w:vAlign w:val="center"/>
          </w:tcPr>
          <w:p>
            <w:pPr>
              <w:pStyle w:val="单元格样式2"/>
            </w:pPr>
            <w:r>
              <w:t xml:space="preserve">提请预警5分钟</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区域站持续发挥作用</w:t>
            </w:r>
          </w:p>
        </w:tc>
        <w:tc>
          <w:tcPr>
            <w:tcW w:w="5386" w:type="dxa"/>
            <w:vAlign w:val="center"/>
          </w:tcPr>
          <w:p>
            <w:pPr>
              <w:pStyle w:val="单元格样式2"/>
            </w:pPr>
            <w:r>
              <w:t xml:space="preserve">区域站的建成及日常维修维护能持续有效的做好预警工作</w:t>
            </w:r>
          </w:p>
        </w:tc>
        <w:tc>
          <w:tcPr>
            <w:tcW w:w="2268" w:type="dxa"/>
            <w:vAlign w:val="center"/>
          </w:tcPr>
          <w:p>
            <w:pPr>
              <w:pStyle w:val="单元格样式2"/>
            </w:pPr>
            <w:r>
              <w:t xml:space="preserve">持续有效</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区域站涉及民众满意度占总人数的比重</w:t>
            </w:r>
          </w:p>
        </w:tc>
        <w:tc>
          <w:tcPr>
            <w:tcW w:w="2268" w:type="dxa"/>
            <w:vAlign w:val="center"/>
          </w:tcPr>
          <w:p>
            <w:pPr>
              <w:pStyle w:val="单元格样式2"/>
            </w:pPr>
            <w:r>
              <w:t xml:space="preserve">≥90%</w:t>
            </w:r>
          </w:p>
        </w:tc>
        <w:tc>
          <w:tcPr>
            <w:tcW w:w="1276" w:type="dxa"/>
            <w:vAlign w:val="center"/>
          </w:tcPr>
          <w:p>
            <w:pPr>
              <w:pStyle w:val="单元格样式2"/>
            </w:pPr>
            <w:r>
              <w:t xml:space="preserve">《公众满意度》规定的满意度等级划分和计算方法进行计算</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3、预警信息发布和天气预报制作经费绩效目标表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13032126P000012100063</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预警信息发布和天气预报制作经费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3.20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3.20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项目金额3.2万元，其中财政拨款3.2万元，主要用于预警信息发布和天气预报制作</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30%</w:t>
            </w:r>
          </w:p>
        </w:tc>
        <w:tc>
          <w:tcPr>
            <w:tcW w:w="2835" w:type="dxa"/>
            <w:vAlign w:val="center"/>
          </w:tcPr>
          <w:p>
            <w:pPr>
              <w:pStyle w:val="单元格样式3"/>
            </w:pPr>
            <w:r>
              <w:t xml:space="preserve">60%</w:t>
            </w:r>
          </w:p>
        </w:tc>
        <w:tc>
          <w:tcPr>
            <w:tcW w:w="2551" w:type="dxa"/>
            <w:vAlign w:val="center"/>
          </w:tcPr>
          <w:p>
            <w:pPr>
              <w:pStyle w:val="单元格样式3"/>
            </w:pPr>
            <w:r>
              <w:t xml:space="preserve">90%</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1.通过预警信息的发布，提高公众的防灾减灾意识和能力。</w:t>
            </w:r>
          </w:p>
          <w:p>
            <w:pPr>
              <w:pStyle w:val="单元格样式2"/>
            </w:pPr>
            <w:r>
              <w:t xml:space="preserve">2.确保预警信息能够在最短时间内发布到公众手中，减少灾害带来的损失。</w:t>
            </w:r>
          </w:p>
          <w:p>
            <w:pPr>
              <w:pStyle w:val="单元格样式2"/>
            </w:pPr>
            <w:r>
              <w:t xml:space="preserve">3.确保天气预报的制作和发布流程高效顺畅，为公众提供可靠的气象信息。</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预警信息发布条数</w:t>
            </w:r>
          </w:p>
        </w:tc>
        <w:tc>
          <w:tcPr>
            <w:tcW w:w="5386" w:type="dxa"/>
            <w:vAlign w:val="center"/>
          </w:tcPr>
          <w:p>
            <w:pPr>
              <w:pStyle w:val="单元格样式2"/>
            </w:pPr>
            <w:r>
              <w:t xml:space="preserve">预警信息发布条数</w:t>
            </w:r>
          </w:p>
        </w:tc>
        <w:tc>
          <w:tcPr>
            <w:tcW w:w="2268" w:type="dxa"/>
            <w:vAlign w:val="center"/>
          </w:tcPr>
          <w:p>
            <w:pPr>
              <w:pStyle w:val="单元格样式2"/>
            </w:pPr>
            <w:r>
              <w:t xml:space="preserve">≥10万条</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预警信息发布成功率</w:t>
            </w:r>
          </w:p>
        </w:tc>
        <w:tc>
          <w:tcPr>
            <w:tcW w:w="5386" w:type="dxa"/>
            <w:vAlign w:val="center"/>
          </w:tcPr>
          <w:p>
            <w:pPr>
              <w:pStyle w:val="单元格样式2"/>
            </w:pPr>
            <w:r>
              <w:t xml:space="preserve">预警信息发布成功率</w:t>
            </w:r>
          </w:p>
        </w:tc>
        <w:tc>
          <w:tcPr>
            <w:tcW w:w="2268" w:type="dxa"/>
            <w:vAlign w:val="center"/>
          </w:tcPr>
          <w:p>
            <w:pPr>
              <w:pStyle w:val="单元格样式2"/>
            </w:pPr>
            <w:r>
              <w:t xml:space="preserve">≥90%</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预警信息发布时间</w:t>
            </w:r>
          </w:p>
        </w:tc>
        <w:tc>
          <w:tcPr>
            <w:tcW w:w="5386" w:type="dxa"/>
            <w:vAlign w:val="center"/>
          </w:tcPr>
          <w:p>
            <w:pPr>
              <w:pStyle w:val="单元格样式2"/>
            </w:pPr>
            <w:r>
              <w:t xml:space="preserve">预警信息发布时间</w:t>
            </w:r>
          </w:p>
        </w:tc>
        <w:tc>
          <w:tcPr>
            <w:tcW w:w="2268" w:type="dxa"/>
            <w:vAlign w:val="center"/>
          </w:tcPr>
          <w:p>
            <w:pPr>
              <w:pStyle w:val="单元格样式2"/>
            </w:pPr>
            <w:r>
              <w:t xml:space="preserve">≤24小时</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预警信息发布和天气预报制作成本</w:t>
            </w:r>
          </w:p>
        </w:tc>
        <w:tc>
          <w:tcPr>
            <w:tcW w:w="5386" w:type="dxa"/>
            <w:vAlign w:val="center"/>
          </w:tcPr>
          <w:p>
            <w:pPr>
              <w:pStyle w:val="单元格样式2"/>
            </w:pPr>
            <w:r>
              <w:t xml:space="preserve">预警信息发布和天气预报制作成本</w:t>
            </w:r>
          </w:p>
        </w:tc>
        <w:tc>
          <w:tcPr>
            <w:tcW w:w="2268" w:type="dxa"/>
            <w:vAlign w:val="center"/>
          </w:tcPr>
          <w:p>
            <w:pPr>
              <w:pStyle w:val="单元格样式2"/>
            </w:pPr>
            <w:r>
              <w:t xml:space="preserve">≤3.2万元</w:t>
            </w:r>
          </w:p>
        </w:tc>
        <w:tc>
          <w:tcPr>
            <w:tcW w:w="1276" w:type="dxa"/>
            <w:vAlign w:val="center"/>
          </w:tcPr>
          <w:p>
            <w:pPr>
              <w:pStyle w:val="单元格样式2"/>
            </w:pPr>
            <w:r>
              <w:t xml:space="preserve">项目预算</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提升社会对自然灾害的预警和响应能力，减少灾害带来的损失。</w:t>
            </w:r>
          </w:p>
        </w:tc>
        <w:tc>
          <w:tcPr>
            <w:tcW w:w="5386" w:type="dxa"/>
            <w:vAlign w:val="center"/>
          </w:tcPr>
          <w:p>
            <w:pPr>
              <w:pStyle w:val="单元格样式2"/>
            </w:pPr>
            <w:r>
              <w:t xml:space="preserve">提升社会对自然灾害的预警和响应能力，减少灾害带来的损失。</w:t>
            </w:r>
          </w:p>
        </w:tc>
        <w:tc>
          <w:tcPr>
            <w:tcW w:w="2268" w:type="dxa"/>
            <w:vAlign w:val="center"/>
          </w:tcPr>
          <w:p>
            <w:pPr>
              <w:pStyle w:val="单元格样式2"/>
            </w:pPr>
            <w:r>
              <w:t xml:space="preserve">≥10%</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帮助农民合理安排农事活动，提高农业生产效率，从而增加农民收入。</w:t>
            </w:r>
          </w:p>
        </w:tc>
        <w:tc>
          <w:tcPr>
            <w:tcW w:w="5386" w:type="dxa"/>
            <w:vAlign w:val="center"/>
          </w:tcPr>
          <w:p>
            <w:pPr>
              <w:pStyle w:val="单元格样式2"/>
            </w:pPr>
            <w:r>
              <w:t xml:space="preserve">帮助农民合理安排农事活动，提高农业生产效率，从而增加农民收入。</w:t>
            </w:r>
          </w:p>
        </w:tc>
        <w:tc>
          <w:tcPr>
            <w:tcW w:w="2268" w:type="dxa"/>
            <w:vAlign w:val="center"/>
          </w:tcPr>
          <w:p>
            <w:pPr>
              <w:pStyle w:val="单元格样式2"/>
            </w:pPr>
            <w:r>
              <w:t xml:space="preserve">≥10%</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通过预警信息及时采取防范措施，可以减少森林火灾、水土流失等生态灾害的发生</w:t>
            </w:r>
          </w:p>
        </w:tc>
        <w:tc>
          <w:tcPr>
            <w:tcW w:w="5386" w:type="dxa"/>
            <w:vAlign w:val="center"/>
          </w:tcPr>
          <w:p>
            <w:pPr>
              <w:pStyle w:val="单元格样式2"/>
            </w:pPr>
            <w:r>
              <w:t xml:space="preserve">通过预警信息及时采取防范措施，可以减少森林火灾、水土流失等生态灾害的发生</w:t>
            </w:r>
          </w:p>
        </w:tc>
        <w:tc>
          <w:tcPr>
            <w:tcW w:w="2268" w:type="dxa"/>
            <w:vAlign w:val="center"/>
          </w:tcPr>
          <w:p>
            <w:pPr>
              <w:pStyle w:val="单元格样式2"/>
            </w:pPr>
            <w:r>
              <w:t xml:space="preserve">有效减少</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群众满意数量占总数的比例</w:t>
            </w:r>
          </w:p>
        </w:tc>
        <w:tc>
          <w:tcPr>
            <w:tcW w:w="5386" w:type="dxa"/>
            <w:vAlign w:val="center"/>
          </w:tcPr>
          <w:p>
            <w:pPr>
              <w:pStyle w:val="单元格样式2"/>
            </w:pPr>
            <w:r>
              <w:t xml:space="preserve">群众满意数量占总数的比例</w:t>
            </w:r>
          </w:p>
        </w:tc>
        <w:tc>
          <w:tcPr>
            <w:tcW w:w="2268" w:type="dxa"/>
            <w:vAlign w:val="center"/>
          </w:tcPr>
          <w:p>
            <w:pPr>
              <w:pStyle w:val="单元格样式2"/>
            </w:pPr>
            <w:r>
              <w:t xml:space="preserve">≥90%</w:t>
            </w:r>
          </w:p>
        </w:tc>
        <w:tc>
          <w:tcPr>
            <w:tcW w:w="1276" w:type="dxa"/>
            <w:vAlign w:val="center"/>
          </w:tcPr>
          <w:p>
            <w:pPr>
              <w:pStyle w:val="单元格样式2"/>
            </w:pPr>
            <w:r>
              <w:t xml:space="preserve">《公众满意度》规定的满意度等级划分和计算方法进行计算</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eastAsia="黑体" w:hAnsi="黑体" w:cs="黑体"/>
          <w:color w:val="000000"/>
          <w:sz w:val="32"/>
        </w:rPr>
        <w:t xml:space="preserve">八、政府采购预算情况</w:t>
      </w:r>
      <w:bookmarkEnd w:id="16"/>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部门政府采购预算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416青龙满族自治县气象局</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2"/>
            </w:pPr>
          </w:p>
        </w:tc>
        <w:tc>
          <w:tcPr>
            <w:tcW w:w="964" w:type="dxa"/>
            <w:vAlign w:val="center"/>
          </w:tcPr>
          <w:p>
            <w:pPr>
              <w:pStyle w:val="单元格样式4"/>
            </w:pPr>
          </w:p>
        </w:tc>
        <w:tc>
          <w:tcPr>
            <w:tcW w:w="1134" w:type="dxa"/>
            <w:vAlign w:val="center"/>
          </w:tcPr>
          <w:p>
            <w:pPr>
              <w:pStyle w:val="单元格样式2"/>
            </w:pPr>
          </w:p>
        </w:tc>
        <w:tc>
          <w:tcPr>
            <w:tcW w:w="1134" w:type="dxa"/>
            <w:vAlign w:val="center"/>
          </w:tcPr>
          <w:p>
            <w:pPr>
              <w:pStyle w:val="单元格样式2"/>
            </w:pPr>
          </w:p>
        </w:tc>
        <w:tc>
          <w:tcPr>
            <w:tcW w:w="709" w:type="dxa"/>
            <w:vAlign w:val="center"/>
          </w:tcPr>
          <w:p>
            <w:pPr>
              <w:pStyle w:val="单元格样式3"/>
            </w:pPr>
          </w:p>
        </w:tc>
        <w:tc>
          <w:tcPr>
            <w:tcW w:w="850" w:type="dxa"/>
            <w:vAlign w:val="center"/>
          </w:tcPr>
          <w:p>
            <w:pPr>
              <w:pStyle w:val="单元格样式4"/>
            </w:pPr>
          </w:p>
        </w:tc>
        <w:tc>
          <w:tcPr>
            <w:tcW w:w="850"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hAnsi="方正书宋_GBK" w:cs="方正书宋_GBK"/>
          <w:color w:val="000000"/>
          <w:sz w:val="21"/>
        </w:rPr>
        <w:t xml:space="preserve">注：无政府采购预算，空表列示。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2"/>
      </w:pPr>
      <w:bookmarkStart w:id="17" w:name="_Toc_3_3_0000000018"/>
      <w:r>
        <w:rPr>
          <w:rFonts w:ascii="黑体" w:eastAsia="黑体" w:hAnsi="黑体" w:cs="黑体"/>
          <w:color w:val="000000"/>
          <w:sz w:val="32"/>
        </w:rPr>
        <w:t xml:space="preserve">九、国有资产信息</w:t>
      </w:r>
      <w:bookmarkEnd w:id="17"/>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青龙满族自治县气象局（含所属单位）上年末固定资产金额为0.00万元（详见下表）。本年度拟购置固定资产总额为0.00万元，已按要求列入政府采购预算，详见政府采购预算表。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部门固定资产占用情况表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416青龙满族自治县气象局</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p>
        </w:tc>
        <w:tc>
          <w:tcPr>
            <w:tcW w:w="2835" w:type="dxa"/>
            <w:vAlign w:val="center"/>
          </w:tcPr>
          <w:p>
            <w:pPr>
              <w:pStyle w:val="单元格样式4"/>
            </w:pPr>
          </w:p>
        </w:tc>
      </w:tr>
    </w:tbl>
    <w:p>
      <w:pPr>
        <w:spacing w:before="0" w:after="0" w:line="240" w:lineRule="auto"/>
        <w:ind w:firstLine="420"/>
        <w:jc w:val="left"/>
        <w:outlineLvl w:val="9"/>
      </w:pPr>
      <w:r>
        <w:rPr>
          <w:rFonts w:ascii="方正书宋_GBK" w:eastAsia="方正书宋_GBK" w:hAnsi="方正书宋_GBK" w:cs="方正书宋_GBK"/>
          <w:color w:val="000000"/>
          <w:sz w:val="21"/>
        </w:rPr>
        <w:t xml:space="preserve">注：无固定资产占用情况，空表列示。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2"/>
      </w:pPr>
      <w:bookmarkStart w:id="18" w:name="_Toc_3_3_0000000019"/>
      <w:r>
        <w:rPr>
          <w:rFonts w:ascii="黑体" w:eastAsia="黑体" w:hAnsi="黑体" w:cs="黑体"/>
          <w:color w:val="000000"/>
          <w:sz w:val="32"/>
        </w:rPr>
        <w:t xml:space="preserve">十、名词解释</w:t>
      </w:r>
      <w:bookmarkEnd w:id="18"/>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部门预算支出：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eastAsia="黑体" w:hAnsi="黑体" w:cs="黑体"/>
          <w:color w:val="000000"/>
          <w:sz w:val="32"/>
        </w:rPr>
        <w:t xml:space="preserve">十一、其他需要说明的事项</w:t>
      </w:r>
      <w:bookmarkEnd w:id="19"/>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我部门无其他需要说明的事项。</w:t>
      </w:r>
    </w:p>
    <w:sectPr>
      <w:type w:val="nextPage"/>
      <w:pgSz w:w="16840" w:h="11900" w:orient="landscape"/>
      <w:pgMar w:top="1361" w:right="1020" w:bottom="1134" w:left="1020" w:header="720" w:footer="720" w:gutter="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fldChar w:fldCharType="begin"/>
    </w:r>
    <w:r>
      <w:instrText xml:space="preserve">PAGE "page number"</w:instrText>
    </w:r>
    <w:r>
      <w:fldChar w:fldCharType="separate"/>
    </w:r>
    <w:r>
      <w:t xml:space="preserve">28</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 xml:space="preserve">PAGE "page number"</w:instrText>
    </w:r>
    <w:r>
      <w:fldChar w:fldCharType="separate"/>
    </w:r>
    <w:r>
      <w:t xml:space="preserve">27</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val="0"/>
  <w:bordersDoNotSurroundHeader w:val="0"/>
  <w:doNotTrackMoves/>
  <w:defaultTabStop w:val="720.0"/>
  <w:evenAndOddHeaders/>
  <w:characterSpacingControl w:val="doNotCompress"/>
  <w:compat>
    <w:doNotLeaveBackslashAlone/>
    <w:doNotExpandShiftReturn/>
    <w:adjustLineHeightInTable/>
    <w:useFELayout/>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paragraph" w:styleId="单元格样式22">
    <w:name w:val="单元格样式22"/>
    <w:basedOn w:val="Normal"/>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basedOn w:val="Normal"/>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插入文本样式-插入预算公开部门职责文件">
    <w:name w:val="插入文本样式-插入预算公开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预算安排的总体情况文件">
    <w:name w:val="插入文本样式-插入预算公开部门预算安排的总体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机关运行经费安排情况文件">
    <w:name w:val="插入文本样式-插入预算公开部门机关运行经费安排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财政拨款三公经费预算情况及增减变化原因文件">
    <w:name w:val="插入文本样式-插入预算公开部门财政拨款三公经费预算情况及增减变化原因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styleId="TableGrid">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2">
    <w:name w:val="TOC 2"/>
    <w:basedOn w:val="Normal"/>
    <w:qFormat/>
    <w:pPr>
      <w:ind w:left="240"/>
    </w:pPr>
  </w:style>
  <w:style w:type="paragraph" w:styleId="TOC3">
    <w:name w:val="TOC 3"/>
    <w:basedOn w:val="Normal"/>
    <w:qFormat/>
    <w:pPr>
      <w:ind w:left="480"/>
    </w:p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Pages>30</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2026-02-04T17:14:41Z</dcterms:created>
  <dcterms:modified xsi:type="dcterms:W3CDTF">2026-02-04T17:14:41Z</dcterms:modified>
</cp:coreProperties>
</file>