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一、青龙满族自治县青龙镇人民政府本级收支预算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一、青龙满族自治县青龙镇人民政府本级收支预算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2020.43</w:t>
            </w:r>
          </w:p>
        </w:tc>
        <w:tc>
          <w:tcPr>
            <w:tcW w:w="4535" w:type="dxa"/>
            <w:vAlign w:val="center"/>
          </w:tcPr>
          <w:p>
            <w:pPr>
              <w:pStyle w:val="12"/>
            </w:pPr>
            <w:r>
              <w:t>一、一般公共服务支出</w:t>
            </w:r>
          </w:p>
        </w:tc>
        <w:tc>
          <w:tcPr>
            <w:tcW w:w="2126" w:type="dxa"/>
            <w:vAlign w:val="center"/>
          </w:tcPr>
          <w:p>
            <w:pPr>
              <w:pStyle w:val="11"/>
            </w:pPr>
            <w:r>
              <w:t>1356.69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1095.00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350.56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3115.43</w:t>
            </w:r>
          </w:p>
        </w:tc>
        <w:tc>
          <w:tcPr>
            <w:tcW w:w="4535" w:type="dxa"/>
            <w:vAlign w:val="center"/>
          </w:tcPr>
          <w:p>
            <w:pPr>
              <w:pStyle w:val="14"/>
            </w:pPr>
            <w:r>
              <w:t>本年支出合计</w:t>
            </w:r>
          </w:p>
        </w:tc>
        <w:tc>
          <w:tcPr>
            <w:tcW w:w="2126" w:type="dxa"/>
            <w:vAlign w:val="center"/>
          </w:tcPr>
          <w:p>
            <w:pPr>
              <w:pStyle w:val="15"/>
            </w:pPr>
            <w:r>
              <w:t>3448.09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332.65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3448.09</w:t>
            </w:r>
          </w:p>
        </w:tc>
        <w:tc>
          <w:tcPr>
            <w:tcW w:w="4535" w:type="dxa"/>
            <w:vAlign w:val="center"/>
          </w:tcPr>
          <w:p>
            <w:pPr>
              <w:pStyle w:val="14"/>
            </w:pPr>
            <w:r>
              <w:t>支出总计</w:t>
            </w:r>
          </w:p>
        </w:tc>
        <w:tc>
          <w:tcPr>
            <w:tcW w:w="2126" w:type="dxa"/>
            <w:vAlign w:val="center"/>
          </w:tcPr>
          <w:p>
            <w:pPr>
              <w:pStyle w:val="15"/>
            </w:pPr>
            <w:r>
              <w:t>3448.09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3448.09</w:t>
            </w:r>
          </w:p>
        </w:tc>
        <w:tc>
          <w:tcPr>
            <w:tcW w:w="1134" w:type="dxa"/>
            <w:vAlign w:val="center"/>
          </w:tcPr>
          <w:p>
            <w:pPr>
              <w:pStyle w:val="15"/>
            </w:pPr>
            <w:r>
              <w:t>3115.43</w:t>
            </w:r>
          </w:p>
        </w:tc>
        <w:tc>
          <w:tcPr>
            <w:tcW w:w="1134" w:type="dxa"/>
            <w:vAlign w:val="center"/>
          </w:tcPr>
          <w:p>
            <w:pPr>
              <w:pStyle w:val="15"/>
            </w:pPr>
            <w:r>
              <w:t>3115.43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332.65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1356.69</w:t>
            </w:r>
          </w:p>
        </w:tc>
        <w:tc>
          <w:tcPr>
            <w:tcW w:w="1134" w:type="dxa"/>
            <w:vAlign w:val="center"/>
          </w:tcPr>
          <w:p>
            <w:pPr>
              <w:pStyle w:val="11"/>
            </w:pPr>
            <w:r>
              <w:t>1334.23</w:t>
            </w:r>
          </w:p>
        </w:tc>
        <w:tc>
          <w:tcPr>
            <w:tcW w:w="1134" w:type="dxa"/>
            <w:vAlign w:val="center"/>
          </w:tcPr>
          <w:p>
            <w:pPr>
              <w:pStyle w:val="11"/>
            </w:pPr>
            <w:r>
              <w:t>1334.23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1344.19</w:t>
            </w:r>
          </w:p>
        </w:tc>
        <w:tc>
          <w:tcPr>
            <w:tcW w:w="1134" w:type="dxa"/>
            <w:vAlign w:val="center"/>
          </w:tcPr>
          <w:p>
            <w:pPr>
              <w:pStyle w:val="11"/>
            </w:pPr>
            <w:r>
              <w:t>1321.73</w:t>
            </w:r>
          </w:p>
        </w:tc>
        <w:tc>
          <w:tcPr>
            <w:tcW w:w="1134" w:type="dxa"/>
            <w:vAlign w:val="center"/>
          </w:tcPr>
          <w:p>
            <w:pPr>
              <w:pStyle w:val="11"/>
            </w:pPr>
            <w:r>
              <w:t>1321.73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457.14</w:t>
            </w:r>
          </w:p>
        </w:tc>
        <w:tc>
          <w:tcPr>
            <w:tcW w:w="1134" w:type="dxa"/>
            <w:vAlign w:val="center"/>
          </w:tcPr>
          <w:p>
            <w:pPr>
              <w:pStyle w:val="11"/>
            </w:pPr>
            <w:r>
              <w:t>434.67</w:t>
            </w:r>
          </w:p>
        </w:tc>
        <w:tc>
          <w:tcPr>
            <w:tcW w:w="1134" w:type="dxa"/>
            <w:vAlign w:val="center"/>
          </w:tcPr>
          <w:p>
            <w:pPr>
              <w:pStyle w:val="11"/>
            </w:pPr>
            <w:r>
              <w:t>434.67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884.06</w:t>
            </w:r>
          </w:p>
        </w:tc>
        <w:tc>
          <w:tcPr>
            <w:tcW w:w="1134" w:type="dxa"/>
            <w:vAlign w:val="center"/>
          </w:tcPr>
          <w:p>
            <w:pPr>
              <w:pStyle w:val="11"/>
            </w:pPr>
            <w:r>
              <w:t>884.06</w:t>
            </w:r>
          </w:p>
        </w:tc>
        <w:tc>
          <w:tcPr>
            <w:tcW w:w="1134" w:type="dxa"/>
            <w:vAlign w:val="center"/>
          </w:tcPr>
          <w:p>
            <w:pPr>
              <w:pStyle w:val="11"/>
            </w:pPr>
            <w:r>
              <w:t>884.06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350.56</w:t>
            </w:r>
          </w:p>
        </w:tc>
        <w:tc>
          <w:tcPr>
            <w:tcW w:w="1134" w:type="dxa"/>
            <w:vAlign w:val="center"/>
          </w:tcPr>
          <w:p>
            <w:pPr>
              <w:pStyle w:val="11"/>
            </w:pPr>
            <w:r>
              <w:t>275.29</w:t>
            </w:r>
          </w:p>
        </w:tc>
        <w:tc>
          <w:tcPr>
            <w:tcW w:w="1134" w:type="dxa"/>
            <w:vAlign w:val="center"/>
          </w:tcPr>
          <w:p>
            <w:pPr>
              <w:pStyle w:val="11"/>
            </w:pPr>
            <w:r>
              <w:t>275.29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256.19</w:t>
            </w:r>
          </w:p>
        </w:tc>
        <w:tc>
          <w:tcPr>
            <w:tcW w:w="1134" w:type="dxa"/>
            <w:vAlign w:val="center"/>
          </w:tcPr>
          <w:p>
            <w:pPr>
              <w:pStyle w:val="11"/>
            </w:pPr>
            <w:r>
              <w:t>256.19</w:t>
            </w:r>
          </w:p>
        </w:tc>
        <w:tc>
          <w:tcPr>
            <w:tcW w:w="1134" w:type="dxa"/>
            <w:vAlign w:val="center"/>
          </w:tcPr>
          <w:p>
            <w:pPr>
              <w:pStyle w:val="11"/>
            </w:pPr>
            <w:r>
              <w:t>256.19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58.71</w:t>
            </w:r>
          </w:p>
        </w:tc>
        <w:tc>
          <w:tcPr>
            <w:tcW w:w="1134" w:type="dxa"/>
            <w:vAlign w:val="center"/>
          </w:tcPr>
          <w:p>
            <w:pPr>
              <w:pStyle w:val="11"/>
            </w:pPr>
            <w:r>
              <w:t>58.71</w:t>
            </w:r>
          </w:p>
        </w:tc>
        <w:tc>
          <w:tcPr>
            <w:tcW w:w="1134" w:type="dxa"/>
            <w:vAlign w:val="center"/>
          </w:tcPr>
          <w:p>
            <w:pPr>
              <w:pStyle w:val="11"/>
            </w:pPr>
            <w:r>
              <w:t>58.71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20.28</w:t>
            </w:r>
          </w:p>
        </w:tc>
        <w:tc>
          <w:tcPr>
            <w:tcW w:w="1134" w:type="dxa"/>
            <w:vAlign w:val="center"/>
          </w:tcPr>
          <w:p>
            <w:pPr>
              <w:pStyle w:val="11"/>
            </w:pPr>
            <w:r>
              <w:t>20.28</w:t>
            </w:r>
          </w:p>
        </w:tc>
        <w:tc>
          <w:tcPr>
            <w:tcW w:w="1134" w:type="dxa"/>
            <w:vAlign w:val="center"/>
          </w:tcPr>
          <w:p>
            <w:pPr>
              <w:pStyle w:val="11"/>
            </w:pPr>
            <w:r>
              <w:t>20.28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177.20</w:t>
            </w:r>
          </w:p>
        </w:tc>
        <w:tc>
          <w:tcPr>
            <w:tcW w:w="1134" w:type="dxa"/>
            <w:vAlign w:val="center"/>
          </w:tcPr>
          <w:p>
            <w:pPr>
              <w:pStyle w:val="11"/>
            </w:pPr>
            <w:r>
              <w:t>177.20</w:t>
            </w:r>
          </w:p>
        </w:tc>
        <w:tc>
          <w:tcPr>
            <w:tcW w:w="1134" w:type="dxa"/>
            <w:vAlign w:val="center"/>
          </w:tcPr>
          <w:p>
            <w:pPr>
              <w:pStyle w:val="11"/>
            </w:pPr>
            <w:r>
              <w:t>177.20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94.36</w:t>
            </w:r>
          </w:p>
        </w:tc>
        <w:tc>
          <w:tcPr>
            <w:tcW w:w="1134" w:type="dxa"/>
            <w:vAlign w:val="center"/>
          </w:tcPr>
          <w:p>
            <w:pPr>
              <w:pStyle w:val="11"/>
            </w:pPr>
            <w:r>
              <w:t>19.10</w:t>
            </w:r>
          </w:p>
        </w:tc>
        <w:tc>
          <w:tcPr>
            <w:tcW w:w="1134" w:type="dxa"/>
            <w:vAlign w:val="center"/>
          </w:tcPr>
          <w:p>
            <w:pPr>
              <w:pStyle w:val="11"/>
            </w:pPr>
            <w:r>
              <w:t>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73.14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21.22</w:t>
            </w:r>
          </w:p>
        </w:tc>
        <w:tc>
          <w:tcPr>
            <w:tcW w:w="1134" w:type="dxa"/>
            <w:vAlign w:val="center"/>
          </w:tcPr>
          <w:p>
            <w:pPr>
              <w:pStyle w:val="11"/>
            </w:pPr>
            <w:r>
              <w:t>19.10</w:t>
            </w:r>
          </w:p>
        </w:tc>
        <w:tc>
          <w:tcPr>
            <w:tcW w:w="1134" w:type="dxa"/>
            <w:vAlign w:val="center"/>
          </w:tcPr>
          <w:p>
            <w:pPr>
              <w:pStyle w:val="11"/>
            </w:pPr>
            <w:r>
              <w:t>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99.31</w:t>
            </w:r>
          </w:p>
        </w:tc>
        <w:tc>
          <w:tcPr>
            <w:tcW w:w="1134" w:type="dxa"/>
            <w:vAlign w:val="center"/>
          </w:tcPr>
          <w:p>
            <w:pPr>
              <w:pStyle w:val="11"/>
            </w:pPr>
            <w:r>
              <w:t>99.31</w:t>
            </w:r>
          </w:p>
        </w:tc>
        <w:tc>
          <w:tcPr>
            <w:tcW w:w="1134" w:type="dxa"/>
            <w:vAlign w:val="center"/>
          </w:tcPr>
          <w:p>
            <w:pPr>
              <w:pStyle w:val="11"/>
            </w:pPr>
            <w:r>
              <w:t>99.31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2.36</w:t>
            </w:r>
          </w:p>
        </w:tc>
        <w:tc>
          <w:tcPr>
            <w:tcW w:w="1134" w:type="dxa"/>
            <w:vAlign w:val="center"/>
          </w:tcPr>
          <w:p>
            <w:pPr>
              <w:pStyle w:val="11"/>
            </w:pPr>
            <w:r>
              <w:t>2.36</w:t>
            </w:r>
          </w:p>
        </w:tc>
        <w:tc>
          <w:tcPr>
            <w:tcW w:w="1134" w:type="dxa"/>
            <w:vAlign w:val="center"/>
          </w:tcPr>
          <w:p>
            <w:pPr>
              <w:pStyle w:val="11"/>
            </w:pPr>
            <w:r>
              <w:t>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2.36</w:t>
            </w:r>
          </w:p>
        </w:tc>
        <w:tc>
          <w:tcPr>
            <w:tcW w:w="1134" w:type="dxa"/>
            <w:vAlign w:val="center"/>
          </w:tcPr>
          <w:p>
            <w:pPr>
              <w:pStyle w:val="11"/>
            </w:pPr>
            <w:r>
              <w:t>2.36</w:t>
            </w:r>
          </w:p>
        </w:tc>
        <w:tc>
          <w:tcPr>
            <w:tcW w:w="1134" w:type="dxa"/>
            <w:vAlign w:val="center"/>
          </w:tcPr>
          <w:p>
            <w:pPr>
              <w:pStyle w:val="11"/>
            </w:pPr>
            <w:r>
              <w:t>2.36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91.63</w:t>
            </w:r>
          </w:p>
        </w:tc>
        <w:tc>
          <w:tcPr>
            <w:tcW w:w="1134" w:type="dxa"/>
            <w:vAlign w:val="center"/>
          </w:tcPr>
          <w:p>
            <w:pPr>
              <w:pStyle w:val="11"/>
            </w:pPr>
            <w:r>
              <w:t>91.63</w:t>
            </w:r>
          </w:p>
        </w:tc>
        <w:tc>
          <w:tcPr>
            <w:tcW w:w="1134" w:type="dxa"/>
            <w:vAlign w:val="center"/>
          </w:tcPr>
          <w:p>
            <w:pPr>
              <w:pStyle w:val="11"/>
            </w:pPr>
            <w:r>
              <w:t>91.63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r>
              <w:t>23.84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67.79</w:t>
            </w:r>
          </w:p>
        </w:tc>
        <w:tc>
          <w:tcPr>
            <w:tcW w:w="1134" w:type="dxa"/>
            <w:vAlign w:val="center"/>
          </w:tcPr>
          <w:p>
            <w:pPr>
              <w:pStyle w:val="11"/>
            </w:pPr>
            <w:r>
              <w:t>67.79</w:t>
            </w:r>
          </w:p>
        </w:tc>
        <w:tc>
          <w:tcPr>
            <w:tcW w:w="1134" w:type="dxa"/>
            <w:vAlign w:val="center"/>
          </w:tcPr>
          <w:p>
            <w:pPr>
              <w:pStyle w:val="11"/>
            </w:pPr>
            <w:r>
              <w:t>67.79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r>
              <w:t>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1095.00</w:t>
            </w:r>
          </w:p>
        </w:tc>
        <w:tc>
          <w:tcPr>
            <w:tcW w:w="1134" w:type="dxa"/>
            <w:vAlign w:val="center"/>
          </w:tcPr>
          <w:p>
            <w:pPr>
              <w:pStyle w:val="11"/>
            </w:pPr>
            <w:r>
              <w:t>1095.00</w:t>
            </w:r>
          </w:p>
        </w:tc>
        <w:tc>
          <w:tcPr>
            <w:tcW w:w="1134" w:type="dxa"/>
            <w:vAlign w:val="center"/>
          </w:tcPr>
          <w:p>
            <w:pPr>
              <w:pStyle w:val="11"/>
            </w:pPr>
            <w:r>
              <w:t>1095.00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1095.00</w:t>
            </w:r>
          </w:p>
        </w:tc>
        <w:tc>
          <w:tcPr>
            <w:tcW w:w="1134" w:type="dxa"/>
            <w:vAlign w:val="center"/>
          </w:tcPr>
          <w:p>
            <w:pPr>
              <w:pStyle w:val="11"/>
            </w:pPr>
            <w:r>
              <w:t>1095.00</w:t>
            </w:r>
          </w:p>
        </w:tc>
        <w:tc>
          <w:tcPr>
            <w:tcW w:w="1134" w:type="dxa"/>
            <w:vAlign w:val="center"/>
          </w:tcPr>
          <w:p>
            <w:pPr>
              <w:pStyle w:val="11"/>
            </w:pPr>
            <w:r>
              <w:t>1095.00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940.00</w:t>
            </w:r>
          </w:p>
        </w:tc>
        <w:tc>
          <w:tcPr>
            <w:tcW w:w="1134" w:type="dxa"/>
            <w:vAlign w:val="center"/>
          </w:tcPr>
          <w:p>
            <w:pPr>
              <w:pStyle w:val="11"/>
            </w:pPr>
            <w:r>
              <w:t>940.00</w:t>
            </w:r>
          </w:p>
        </w:tc>
        <w:tc>
          <w:tcPr>
            <w:tcW w:w="1134" w:type="dxa"/>
            <w:vAlign w:val="center"/>
          </w:tcPr>
          <w:p>
            <w:pPr>
              <w:pStyle w:val="11"/>
            </w:pPr>
            <w:r>
              <w:t>940.00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41.50</w:t>
            </w:r>
          </w:p>
        </w:tc>
        <w:tc>
          <w:tcPr>
            <w:tcW w:w="1134" w:type="dxa"/>
            <w:vAlign w:val="center"/>
          </w:tcPr>
          <w:p>
            <w:pPr>
              <w:pStyle w:val="11"/>
            </w:pPr>
            <w:r>
              <w:t>41.50</w:t>
            </w:r>
          </w:p>
        </w:tc>
        <w:tc>
          <w:tcPr>
            <w:tcW w:w="1134" w:type="dxa"/>
            <w:vAlign w:val="center"/>
          </w:tcPr>
          <w:p>
            <w:pPr>
              <w:pStyle w:val="11"/>
            </w:pPr>
            <w:r>
              <w:t>41.50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113.50</w:t>
            </w:r>
          </w:p>
        </w:tc>
        <w:tc>
          <w:tcPr>
            <w:tcW w:w="1134" w:type="dxa"/>
            <w:vAlign w:val="center"/>
          </w:tcPr>
          <w:p>
            <w:pPr>
              <w:pStyle w:val="11"/>
            </w:pPr>
            <w:r>
              <w:t>113.50</w:t>
            </w:r>
          </w:p>
        </w:tc>
        <w:tc>
          <w:tcPr>
            <w:tcW w:w="1134" w:type="dxa"/>
            <w:vAlign w:val="center"/>
          </w:tcPr>
          <w:p>
            <w:pPr>
              <w:pStyle w:val="11"/>
            </w:pPr>
            <w:r>
              <w:t>113.50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377.92</w:t>
            </w:r>
          </w:p>
        </w:tc>
        <w:tc>
          <w:tcPr>
            <w:tcW w:w="1134" w:type="dxa"/>
            <w:vAlign w:val="center"/>
          </w:tcPr>
          <w:p>
            <w:pPr>
              <w:pStyle w:val="11"/>
            </w:pPr>
            <w:r>
              <w:t>208.00</w:t>
            </w:r>
          </w:p>
        </w:tc>
        <w:tc>
          <w:tcPr>
            <w:tcW w:w="1134" w:type="dxa"/>
            <w:vAlign w:val="center"/>
          </w:tcPr>
          <w:p>
            <w:pPr>
              <w:pStyle w:val="11"/>
            </w:pPr>
            <w:r>
              <w:t>208.00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r>
              <w:t>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169.92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169.92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r>
              <w:t>91.60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2296099</w:t>
            </w:r>
          </w:p>
        </w:tc>
        <w:tc>
          <w:tcPr>
            <w:tcW w:w="1559" w:type="dxa"/>
            <w:vAlign w:val="center"/>
          </w:tcPr>
          <w:p>
            <w:pPr>
              <w:pStyle w:val="12"/>
            </w:pPr>
            <w:r>
              <w:t>用于其他社会公益事业的彩票公益金支出</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3448.09</w:t>
            </w:r>
          </w:p>
        </w:tc>
        <w:tc>
          <w:tcPr>
            <w:tcW w:w="1361" w:type="dxa"/>
            <w:vAlign w:val="center"/>
          </w:tcPr>
          <w:p>
            <w:pPr>
              <w:pStyle w:val="15"/>
            </w:pPr>
            <w:r>
              <w:t>1874.98</w:t>
            </w:r>
          </w:p>
        </w:tc>
        <w:tc>
          <w:tcPr>
            <w:tcW w:w="1361" w:type="dxa"/>
            <w:vAlign w:val="center"/>
          </w:tcPr>
          <w:p>
            <w:pPr>
              <w:pStyle w:val="15"/>
            </w:pPr>
            <w:r>
              <w:t>1573.11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1356.69</w:t>
            </w:r>
          </w:p>
        </w:tc>
        <w:tc>
          <w:tcPr>
            <w:tcW w:w="1361" w:type="dxa"/>
            <w:vAlign w:val="center"/>
          </w:tcPr>
          <w:p>
            <w:pPr>
              <w:pStyle w:val="11"/>
            </w:pPr>
            <w:r>
              <w:t>1341.19</w:t>
            </w:r>
          </w:p>
        </w:tc>
        <w:tc>
          <w:tcPr>
            <w:tcW w:w="1361" w:type="dxa"/>
            <w:vAlign w:val="center"/>
          </w:tcPr>
          <w:p>
            <w:pPr>
              <w:pStyle w:val="11"/>
            </w:pPr>
            <w:r>
              <w:t>15.50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1344.19</w:t>
            </w:r>
          </w:p>
        </w:tc>
        <w:tc>
          <w:tcPr>
            <w:tcW w:w="1361" w:type="dxa"/>
            <w:vAlign w:val="center"/>
          </w:tcPr>
          <w:p>
            <w:pPr>
              <w:pStyle w:val="11"/>
            </w:pPr>
            <w:r>
              <w:t>1341.19</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457.14</w:t>
            </w:r>
          </w:p>
        </w:tc>
        <w:tc>
          <w:tcPr>
            <w:tcW w:w="1361" w:type="dxa"/>
            <w:vAlign w:val="center"/>
          </w:tcPr>
          <w:p>
            <w:pPr>
              <w:pStyle w:val="11"/>
            </w:pPr>
            <w:r>
              <w:t>457.14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884.06</w:t>
            </w:r>
          </w:p>
        </w:tc>
        <w:tc>
          <w:tcPr>
            <w:tcW w:w="1361" w:type="dxa"/>
            <w:vAlign w:val="center"/>
          </w:tcPr>
          <w:p>
            <w:pPr>
              <w:pStyle w:val="11"/>
            </w:pPr>
            <w:r>
              <w:t>884.06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350.56</w:t>
            </w:r>
          </w:p>
        </w:tc>
        <w:tc>
          <w:tcPr>
            <w:tcW w:w="1361" w:type="dxa"/>
            <w:vAlign w:val="center"/>
          </w:tcPr>
          <w:p>
            <w:pPr>
              <w:pStyle w:val="11"/>
            </w:pPr>
            <w:r>
              <w:t>350.56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256.19</w:t>
            </w:r>
          </w:p>
        </w:tc>
        <w:tc>
          <w:tcPr>
            <w:tcW w:w="1361" w:type="dxa"/>
            <w:vAlign w:val="center"/>
          </w:tcPr>
          <w:p>
            <w:pPr>
              <w:pStyle w:val="11"/>
            </w:pPr>
            <w:r>
              <w:t>256.19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58.71</w:t>
            </w:r>
          </w:p>
        </w:tc>
        <w:tc>
          <w:tcPr>
            <w:tcW w:w="1361" w:type="dxa"/>
            <w:vAlign w:val="center"/>
          </w:tcPr>
          <w:p>
            <w:pPr>
              <w:pStyle w:val="11"/>
            </w:pPr>
            <w:r>
              <w:t>58.71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20.28</w:t>
            </w:r>
          </w:p>
        </w:tc>
        <w:tc>
          <w:tcPr>
            <w:tcW w:w="1361" w:type="dxa"/>
            <w:vAlign w:val="center"/>
          </w:tcPr>
          <w:p>
            <w:pPr>
              <w:pStyle w:val="11"/>
            </w:pPr>
            <w:r>
              <w:t>20.28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177.20</w:t>
            </w:r>
          </w:p>
        </w:tc>
        <w:tc>
          <w:tcPr>
            <w:tcW w:w="1361" w:type="dxa"/>
            <w:vAlign w:val="center"/>
          </w:tcPr>
          <w:p>
            <w:pPr>
              <w:pStyle w:val="11"/>
            </w:pPr>
            <w:r>
              <w:t>177.20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94.36</w:t>
            </w:r>
          </w:p>
        </w:tc>
        <w:tc>
          <w:tcPr>
            <w:tcW w:w="1361" w:type="dxa"/>
            <w:vAlign w:val="center"/>
          </w:tcPr>
          <w:p>
            <w:pPr>
              <w:pStyle w:val="11"/>
            </w:pPr>
            <w:r>
              <w:t>94.36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73.14</w:t>
            </w:r>
          </w:p>
        </w:tc>
        <w:tc>
          <w:tcPr>
            <w:tcW w:w="1361" w:type="dxa"/>
            <w:vAlign w:val="center"/>
          </w:tcPr>
          <w:p>
            <w:pPr>
              <w:pStyle w:val="11"/>
            </w:pPr>
            <w:r>
              <w:t>73.14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21.22</w:t>
            </w:r>
          </w:p>
        </w:tc>
        <w:tc>
          <w:tcPr>
            <w:tcW w:w="1361" w:type="dxa"/>
            <w:vAlign w:val="center"/>
          </w:tcPr>
          <w:p>
            <w:pPr>
              <w:pStyle w:val="11"/>
            </w:pPr>
            <w:r>
              <w:t>21.22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99.31</w:t>
            </w:r>
          </w:p>
        </w:tc>
        <w:tc>
          <w:tcPr>
            <w:tcW w:w="1361" w:type="dxa"/>
            <w:vAlign w:val="center"/>
          </w:tcPr>
          <w:p>
            <w:pPr>
              <w:pStyle w:val="11"/>
            </w:pPr>
            <w:r>
              <w:t>91.63</w:t>
            </w:r>
          </w:p>
        </w:tc>
        <w:tc>
          <w:tcPr>
            <w:tcW w:w="1361" w:type="dxa"/>
            <w:vAlign w:val="center"/>
          </w:tcPr>
          <w:p>
            <w:pPr>
              <w:pStyle w:val="11"/>
            </w:pPr>
            <w:r>
              <w:t>7.68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2.36</w:t>
            </w:r>
          </w:p>
        </w:tc>
        <w:tc>
          <w:tcPr>
            <w:tcW w:w="1361" w:type="dxa"/>
            <w:vAlign w:val="center"/>
          </w:tcPr>
          <w:p>
            <w:pPr>
              <w:pStyle w:val="11"/>
            </w:pPr>
          </w:p>
        </w:tc>
        <w:tc>
          <w:tcPr>
            <w:tcW w:w="1361" w:type="dxa"/>
            <w:vAlign w:val="center"/>
          </w:tcPr>
          <w:p>
            <w:pPr>
              <w:pStyle w:val="11"/>
            </w:pPr>
            <w:r>
              <w:t>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2.36</w:t>
            </w:r>
          </w:p>
        </w:tc>
        <w:tc>
          <w:tcPr>
            <w:tcW w:w="1361" w:type="dxa"/>
            <w:vAlign w:val="center"/>
          </w:tcPr>
          <w:p>
            <w:pPr>
              <w:pStyle w:val="11"/>
            </w:pPr>
          </w:p>
        </w:tc>
        <w:tc>
          <w:tcPr>
            <w:tcW w:w="1361" w:type="dxa"/>
            <w:vAlign w:val="center"/>
          </w:tcPr>
          <w:p>
            <w:pPr>
              <w:pStyle w:val="11"/>
            </w:pPr>
            <w:r>
              <w:t>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91.63</w:t>
            </w:r>
          </w:p>
        </w:tc>
        <w:tc>
          <w:tcPr>
            <w:tcW w:w="1361" w:type="dxa"/>
            <w:vAlign w:val="center"/>
          </w:tcPr>
          <w:p>
            <w:pPr>
              <w:pStyle w:val="11"/>
            </w:pPr>
            <w:r>
              <w:t>91.63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23.84</w:t>
            </w:r>
          </w:p>
        </w:tc>
        <w:tc>
          <w:tcPr>
            <w:tcW w:w="1361" w:type="dxa"/>
            <w:vAlign w:val="center"/>
          </w:tcPr>
          <w:p>
            <w:pPr>
              <w:pStyle w:val="11"/>
            </w:pPr>
            <w:r>
              <w:t>23.84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67.79</w:t>
            </w:r>
          </w:p>
        </w:tc>
        <w:tc>
          <w:tcPr>
            <w:tcW w:w="1361" w:type="dxa"/>
            <w:vAlign w:val="center"/>
          </w:tcPr>
          <w:p>
            <w:pPr>
              <w:pStyle w:val="11"/>
            </w:pPr>
            <w:r>
              <w:t>67.79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5.32</w:t>
            </w:r>
          </w:p>
        </w:tc>
        <w:tc>
          <w:tcPr>
            <w:tcW w:w="1361" w:type="dxa"/>
            <w:vAlign w:val="center"/>
          </w:tcPr>
          <w:p>
            <w:pPr>
              <w:pStyle w:val="11"/>
            </w:pPr>
          </w:p>
        </w:tc>
        <w:tc>
          <w:tcPr>
            <w:tcW w:w="1361" w:type="dxa"/>
            <w:vAlign w:val="center"/>
          </w:tcPr>
          <w:p>
            <w:pPr>
              <w:pStyle w:val="11"/>
            </w:pPr>
            <w:r>
              <w:t>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5.32</w:t>
            </w:r>
          </w:p>
        </w:tc>
        <w:tc>
          <w:tcPr>
            <w:tcW w:w="1361" w:type="dxa"/>
            <w:vAlign w:val="center"/>
          </w:tcPr>
          <w:p>
            <w:pPr>
              <w:pStyle w:val="11"/>
            </w:pPr>
          </w:p>
        </w:tc>
        <w:tc>
          <w:tcPr>
            <w:tcW w:w="1361" w:type="dxa"/>
            <w:vAlign w:val="center"/>
          </w:tcPr>
          <w:p>
            <w:pPr>
              <w:pStyle w:val="11"/>
            </w:pPr>
            <w:r>
              <w:t>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1095.00</w:t>
            </w:r>
          </w:p>
        </w:tc>
        <w:tc>
          <w:tcPr>
            <w:tcW w:w="1361" w:type="dxa"/>
            <w:vAlign w:val="center"/>
          </w:tcPr>
          <w:p>
            <w:pPr>
              <w:pStyle w:val="11"/>
            </w:pPr>
          </w:p>
        </w:tc>
        <w:tc>
          <w:tcPr>
            <w:tcW w:w="1361" w:type="dxa"/>
            <w:vAlign w:val="center"/>
          </w:tcPr>
          <w:p>
            <w:pPr>
              <w:pStyle w:val="11"/>
            </w:pPr>
            <w:r>
              <w:t>1095.00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1095.00</w:t>
            </w:r>
          </w:p>
        </w:tc>
        <w:tc>
          <w:tcPr>
            <w:tcW w:w="1361" w:type="dxa"/>
            <w:vAlign w:val="center"/>
          </w:tcPr>
          <w:p>
            <w:pPr>
              <w:pStyle w:val="11"/>
            </w:pPr>
          </w:p>
        </w:tc>
        <w:tc>
          <w:tcPr>
            <w:tcW w:w="1361" w:type="dxa"/>
            <w:vAlign w:val="center"/>
          </w:tcPr>
          <w:p>
            <w:pPr>
              <w:pStyle w:val="11"/>
            </w:pPr>
            <w:r>
              <w:t>1095.00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940.00</w:t>
            </w:r>
          </w:p>
        </w:tc>
        <w:tc>
          <w:tcPr>
            <w:tcW w:w="1361" w:type="dxa"/>
            <w:vAlign w:val="center"/>
          </w:tcPr>
          <w:p>
            <w:pPr>
              <w:pStyle w:val="11"/>
            </w:pPr>
          </w:p>
        </w:tc>
        <w:tc>
          <w:tcPr>
            <w:tcW w:w="1361" w:type="dxa"/>
            <w:vAlign w:val="center"/>
          </w:tcPr>
          <w:p>
            <w:pPr>
              <w:pStyle w:val="11"/>
            </w:pPr>
            <w:r>
              <w:t>940.00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41.50</w:t>
            </w:r>
          </w:p>
        </w:tc>
        <w:tc>
          <w:tcPr>
            <w:tcW w:w="1361" w:type="dxa"/>
            <w:vAlign w:val="center"/>
          </w:tcPr>
          <w:p>
            <w:pPr>
              <w:pStyle w:val="11"/>
            </w:pPr>
          </w:p>
        </w:tc>
        <w:tc>
          <w:tcPr>
            <w:tcW w:w="1361" w:type="dxa"/>
            <w:vAlign w:val="center"/>
          </w:tcPr>
          <w:p>
            <w:pPr>
              <w:pStyle w:val="11"/>
            </w:pPr>
            <w:r>
              <w:t>41.50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113.50</w:t>
            </w:r>
          </w:p>
        </w:tc>
        <w:tc>
          <w:tcPr>
            <w:tcW w:w="1361" w:type="dxa"/>
            <w:vAlign w:val="center"/>
          </w:tcPr>
          <w:p>
            <w:pPr>
              <w:pStyle w:val="11"/>
            </w:pPr>
          </w:p>
        </w:tc>
        <w:tc>
          <w:tcPr>
            <w:tcW w:w="1361" w:type="dxa"/>
            <w:vAlign w:val="center"/>
          </w:tcPr>
          <w:p>
            <w:pPr>
              <w:pStyle w:val="11"/>
            </w:pPr>
            <w:r>
              <w:t>113.50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377.92</w:t>
            </w:r>
          </w:p>
        </w:tc>
        <w:tc>
          <w:tcPr>
            <w:tcW w:w="1361" w:type="dxa"/>
            <w:vAlign w:val="center"/>
          </w:tcPr>
          <w:p>
            <w:pPr>
              <w:pStyle w:val="11"/>
            </w:pPr>
          </w:p>
        </w:tc>
        <w:tc>
          <w:tcPr>
            <w:tcW w:w="1361" w:type="dxa"/>
            <w:vAlign w:val="center"/>
          </w:tcPr>
          <w:p>
            <w:pPr>
              <w:pStyle w:val="11"/>
            </w:pPr>
            <w:r>
              <w:t>377.92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r>
              <w:t>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169.92</w:t>
            </w:r>
          </w:p>
        </w:tc>
        <w:tc>
          <w:tcPr>
            <w:tcW w:w="1361" w:type="dxa"/>
            <w:vAlign w:val="center"/>
          </w:tcPr>
          <w:p>
            <w:pPr>
              <w:pStyle w:val="11"/>
            </w:pPr>
          </w:p>
        </w:tc>
        <w:tc>
          <w:tcPr>
            <w:tcW w:w="1361" w:type="dxa"/>
            <w:vAlign w:val="center"/>
          </w:tcPr>
          <w:p>
            <w:pPr>
              <w:pStyle w:val="11"/>
            </w:pPr>
            <w:r>
              <w:t>169.92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169.92</w:t>
            </w:r>
          </w:p>
        </w:tc>
        <w:tc>
          <w:tcPr>
            <w:tcW w:w="1361" w:type="dxa"/>
            <w:vAlign w:val="center"/>
          </w:tcPr>
          <w:p>
            <w:pPr>
              <w:pStyle w:val="11"/>
            </w:pPr>
          </w:p>
        </w:tc>
        <w:tc>
          <w:tcPr>
            <w:tcW w:w="1361" w:type="dxa"/>
            <w:vAlign w:val="center"/>
          </w:tcPr>
          <w:p>
            <w:pPr>
              <w:pStyle w:val="11"/>
            </w:pPr>
            <w:r>
              <w:t>169.92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91.60</w:t>
            </w:r>
          </w:p>
        </w:tc>
        <w:tc>
          <w:tcPr>
            <w:tcW w:w="1361" w:type="dxa"/>
            <w:vAlign w:val="center"/>
          </w:tcPr>
          <w:p>
            <w:pPr>
              <w:pStyle w:val="11"/>
            </w:pPr>
            <w:r>
              <w:t>91.60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91.60</w:t>
            </w:r>
          </w:p>
        </w:tc>
        <w:tc>
          <w:tcPr>
            <w:tcW w:w="1361" w:type="dxa"/>
            <w:vAlign w:val="center"/>
          </w:tcPr>
          <w:p>
            <w:pPr>
              <w:pStyle w:val="11"/>
            </w:pPr>
            <w:r>
              <w:t>91.60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91.60</w:t>
            </w:r>
          </w:p>
        </w:tc>
        <w:tc>
          <w:tcPr>
            <w:tcW w:w="1361" w:type="dxa"/>
            <w:vAlign w:val="center"/>
          </w:tcPr>
          <w:p>
            <w:pPr>
              <w:pStyle w:val="11"/>
            </w:pPr>
            <w:r>
              <w:t>91.60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2296099</w:t>
            </w:r>
          </w:p>
        </w:tc>
        <w:tc>
          <w:tcPr>
            <w:tcW w:w="4535" w:type="dxa"/>
            <w:vAlign w:val="center"/>
          </w:tcPr>
          <w:p>
            <w:pPr>
              <w:pStyle w:val="12"/>
            </w:pPr>
            <w:r>
              <w:t>用于其他社会公益事业的彩票公益金支出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2020.43</w:t>
            </w:r>
          </w:p>
        </w:tc>
        <w:tc>
          <w:tcPr>
            <w:tcW w:w="3402" w:type="dxa"/>
            <w:vAlign w:val="center"/>
          </w:tcPr>
          <w:p>
            <w:pPr>
              <w:pStyle w:val="12"/>
            </w:pPr>
            <w:r>
              <w:t>一、一般公共服务支出</w:t>
            </w:r>
          </w:p>
        </w:tc>
        <w:tc>
          <w:tcPr>
            <w:tcW w:w="1474" w:type="dxa"/>
            <w:vAlign w:val="center"/>
          </w:tcPr>
          <w:p>
            <w:pPr>
              <w:pStyle w:val="11"/>
            </w:pPr>
            <w:r>
              <w:t>1356.69</w:t>
            </w:r>
          </w:p>
        </w:tc>
        <w:tc>
          <w:tcPr>
            <w:tcW w:w="1474" w:type="dxa"/>
            <w:vAlign w:val="center"/>
          </w:tcPr>
          <w:p>
            <w:pPr>
              <w:pStyle w:val="11"/>
            </w:pPr>
            <w:r>
              <w:t>1356.69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1095.00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350.56</w:t>
            </w:r>
          </w:p>
        </w:tc>
        <w:tc>
          <w:tcPr>
            <w:tcW w:w="1474" w:type="dxa"/>
            <w:vAlign w:val="center"/>
          </w:tcPr>
          <w:p>
            <w:pPr>
              <w:pStyle w:val="11"/>
            </w:pPr>
            <w:r>
              <w:t>350.56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99.31</w:t>
            </w:r>
          </w:p>
        </w:tc>
        <w:tc>
          <w:tcPr>
            <w:tcW w:w="1474" w:type="dxa"/>
            <w:vAlign w:val="center"/>
          </w:tcPr>
          <w:p>
            <w:pPr>
              <w:pStyle w:val="11"/>
            </w:pPr>
            <w:r>
              <w:t>99.31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10.00</w:t>
            </w:r>
          </w:p>
        </w:tc>
        <w:tc>
          <w:tcPr>
            <w:tcW w:w="1474" w:type="dxa"/>
            <w:vAlign w:val="center"/>
          </w:tcPr>
          <w:p>
            <w:pPr>
              <w:pStyle w:val="11"/>
            </w:pPr>
            <w:r>
              <w:t>10.00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1095.00</w:t>
            </w:r>
          </w:p>
        </w:tc>
        <w:tc>
          <w:tcPr>
            <w:tcW w:w="1474" w:type="dxa"/>
            <w:vAlign w:val="center"/>
          </w:tcPr>
          <w:p>
            <w:pPr>
              <w:pStyle w:val="11"/>
            </w:pPr>
          </w:p>
        </w:tc>
        <w:tc>
          <w:tcPr>
            <w:tcW w:w="1474" w:type="dxa"/>
            <w:vAlign w:val="center"/>
          </w:tcPr>
          <w:p>
            <w:pPr>
              <w:pStyle w:val="11"/>
            </w:pPr>
            <w:r>
              <w:t>1095.00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377.92</w:t>
            </w:r>
          </w:p>
        </w:tc>
        <w:tc>
          <w:tcPr>
            <w:tcW w:w="1474" w:type="dxa"/>
            <w:vAlign w:val="center"/>
          </w:tcPr>
          <w:p>
            <w:pPr>
              <w:pStyle w:val="11"/>
            </w:pPr>
            <w:r>
              <w:t>377.92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91.60</w:t>
            </w:r>
          </w:p>
        </w:tc>
        <w:tc>
          <w:tcPr>
            <w:tcW w:w="1474" w:type="dxa"/>
            <w:vAlign w:val="center"/>
          </w:tcPr>
          <w:p>
            <w:pPr>
              <w:pStyle w:val="11"/>
            </w:pPr>
            <w:r>
              <w:t>91.60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65.00</w:t>
            </w:r>
          </w:p>
        </w:tc>
        <w:tc>
          <w:tcPr>
            <w:tcW w:w="1474" w:type="dxa"/>
            <w:vAlign w:val="center"/>
          </w:tcPr>
          <w:p>
            <w:pPr>
              <w:pStyle w:val="11"/>
            </w:pPr>
          </w:p>
        </w:tc>
        <w:tc>
          <w:tcPr>
            <w:tcW w:w="1474" w:type="dxa"/>
            <w:vAlign w:val="center"/>
          </w:tcPr>
          <w:p>
            <w:pPr>
              <w:pStyle w:val="11"/>
            </w:pPr>
            <w:r>
              <w:t>65.00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3115.43</w:t>
            </w:r>
          </w:p>
        </w:tc>
        <w:tc>
          <w:tcPr>
            <w:tcW w:w="3402" w:type="dxa"/>
            <w:vAlign w:val="center"/>
          </w:tcPr>
          <w:p>
            <w:pPr>
              <w:pStyle w:val="14"/>
            </w:pPr>
            <w:r>
              <w:t>本年支出合计</w:t>
            </w:r>
          </w:p>
        </w:tc>
        <w:tc>
          <w:tcPr>
            <w:tcW w:w="1474" w:type="dxa"/>
            <w:vAlign w:val="center"/>
          </w:tcPr>
          <w:p>
            <w:pPr>
              <w:pStyle w:val="15"/>
            </w:pPr>
            <w:r>
              <w:t>3448.09</w:t>
            </w:r>
          </w:p>
        </w:tc>
        <w:tc>
          <w:tcPr>
            <w:tcW w:w="1474" w:type="dxa"/>
            <w:vAlign w:val="center"/>
          </w:tcPr>
          <w:p>
            <w:pPr>
              <w:pStyle w:val="15"/>
            </w:pPr>
            <w:r>
              <w:t>2288.09</w:t>
            </w:r>
          </w:p>
        </w:tc>
        <w:tc>
          <w:tcPr>
            <w:tcW w:w="1474" w:type="dxa"/>
            <w:vAlign w:val="center"/>
          </w:tcPr>
          <w:p>
            <w:pPr>
              <w:pStyle w:val="15"/>
            </w:pPr>
            <w:r>
              <w:t>1160.00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332.65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267.65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65.00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3448.09</w:t>
            </w:r>
          </w:p>
        </w:tc>
        <w:tc>
          <w:tcPr>
            <w:tcW w:w="3402" w:type="dxa"/>
            <w:vAlign w:val="center"/>
          </w:tcPr>
          <w:p>
            <w:pPr>
              <w:pStyle w:val="14"/>
            </w:pPr>
            <w:r>
              <w:t>支出总计</w:t>
            </w:r>
          </w:p>
        </w:tc>
        <w:tc>
          <w:tcPr>
            <w:tcW w:w="1474" w:type="dxa"/>
            <w:vAlign w:val="center"/>
          </w:tcPr>
          <w:p>
            <w:pPr>
              <w:pStyle w:val="15"/>
            </w:pPr>
            <w:r>
              <w:t>3448.09</w:t>
            </w:r>
          </w:p>
        </w:tc>
        <w:tc>
          <w:tcPr>
            <w:tcW w:w="1474" w:type="dxa"/>
            <w:vAlign w:val="center"/>
          </w:tcPr>
          <w:p>
            <w:pPr>
              <w:pStyle w:val="15"/>
            </w:pPr>
            <w:r>
              <w:t>2288.09</w:t>
            </w:r>
          </w:p>
        </w:tc>
        <w:tc>
          <w:tcPr>
            <w:tcW w:w="1474" w:type="dxa"/>
            <w:vAlign w:val="center"/>
          </w:tcPr>
          <w:p>
            <w:pPr>
              <w:pStyle w:val="15"/>
            </w:pPr>
            <w:r>
              <w:t>1160.00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2288.09</w:t>
            </w:r>
          </w:p>
        </w:tc>
        <w:tc>
          <w:tcPr>
            <w:tcW w:w="2551" w:type="dxa"/>
            <w:vAlign w:val="center"/>
          </w:tcPr>
          <w:p>
            <w:pPr>
              <w:pStyle w:val="15"/>
            </w:pPr>
            <w:r>
              <w:t>1874.98</w:t>
            </w:r>
          </w:p>
        </w:tc>
        <w:tc>
          <w:tcPr>
            <w:tcW w:w="2551" w:type="dxa"/>
            <w:vAlign w:val="center"/>
          </w:tcPr>
          <w:p>
            <w:pPr>
              <w:pStyle w:val="15"/>
            </w:pPr>
            <w:r>
              <w:t>413.11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1356.69</w:t>
            </w:r>
          </w:p>
        </w:tc>
        <w:tc>
          <w:tcPr>
            <w:tcW w:w="2551" w:type="dxa"/>
            <w:vAlign w:val="center"/>
          </w:tcPr>
          <w:p>
            <w:pPr>
              <w:pStyle w:val="11"/>
            </w:pPr>
            <w:r>
              <w:t>1341.19</w:t>
            </w:r>
          </w:p>
        </w:tc>
        <w:tc>
          <w:tcPr>
            <w:tcW w:w="2551" w:type="dxa"/>
            <w:vAlign w:val="center"/>
          </w:tcPr>
          <w:p>
            <w:pPr>
              <w:pStyle w:val="11"/>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1344.19</w:t>
            </w:r>
          </w:p>
        </w:tc>
        <w:tc>
          <w:tcPr>
            <w:tcW w:w="2551" w:type="dxa"/>
            <w:vAlign w:val="center"/>
          </w:tcPr>
          <w:p>
            <w:pPr>
              <w:pStyle w:val="11"/>
            </w:pPr>
            <w:r>
              <w:t>1341.19</w:t>
            </w: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457.14</w:t>
            </w:r>
          </w:p>
        </w:tc>
        <w:tc>
          <w:tcPr>
            <w:tcW w:w="2551" w:type="dxa"/>
            <w:vAlign w:val="center"/>
          </w:tcPr>
          <w:p>
            <w:pPr>
              <w:pStyle w:val="11"/>
            </w:pPr>
            <w:r>
              <w:t>457.14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884.06</w:t>
            </w:r>
          </w:p>
        </w:tc>
        <w:tc>
          <w:tcPr>
            <w:tcW w:w="2551" w:type="dxa"/>
            <w:vAlign w:val="center"/>
          </w:tcPr>
          <w:p>
            <w:pPr>
              <w:pStyle w:val="11"/>
            </w:pPr>
            <w:r>
              <w:t>884.06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350.56</w:t>
            </w:r>
          </w:p>
        </w:tc>
        <w:tc>
          <w:tcPr>
            <w:tcW w:w="2551" w:type="dxa"/>
            <w:vAlign w:val="center"/>
          </w:tcPr>
          <w:p>
            <w:pPr>
              <w:pStyle w:val="11"/>
            </w:pPr>
            <w:r>
              <w:t>350.56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256.19</w:t>
            </w:r>
          </w:p>
        </w:tc>
        <w:tc>
          <w:tcPr>
            <w:tcW w:w="2551" w:type="dxa"/>
            <w:vAlign w:val="center"/>
          </w:tcPr>
          <w:p>
            <w:pPr>
              <w:pStyle w:val="11"/>
            </w:pPr>
            <w:r>
              <w:t>256.19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58.71</w:t>
            </w:r>
          </w:p>
        </w:tc>
        <w:tc>
          <w:tcPr>
            <w:tcW w:w="2551" w:type="dxa"/>
            <w:vAlign w:val="center"/>
          </w:tcPr>
          <w:p>
            <w:pPr>
              <w:pStyle w:val="11"/>
            </w:pPr>
            <w:r>
              <w:t>58.71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20.28</w:t>
            </w:r>
          </w:p>
        </w:tc>
        <w:tc>
          <w:tcPr>
            <w:tcW w:w="2551" w:type="dxa"/>
            <w:vAlign w:val="center"/>
          </w:tcPr>
          <w:p>
            <w:pPr>
              <w:pStyle w:val="11"/>
            </w:pPr>
            <w:r>
              <w:t>20.28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177.20</w:t>
            </w:r>
          </w:p>
        </w:tc>
        <w:tc>
          <w:tcPr>
            <w:tcW w:w="2551" w:type="dxa"/>
            <w:vAlign w:val="center"/>
          </w:tcPr>
          <w:p>
            <w:pPr>
              <w:pStyle w:val="11"/>
            </w:pPr>
            <w:r>
              <w:t>177.20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94.36</w:t>
            </w:r>
          </w:p>
        </w:tc>
        <w:tc>
          <w:tcPr>
            <w:tcW w:w="2551" w:type="dxa"/>
            <w:vAlign w:val="center"/>
          </w:tcPr>
          <w:p>
            <w:pPr>
              <w:pStyle w:val="11"/>
            </w:pPr>
            <w:r>
              <w:t>94.36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73.14</w:t>
            </w:r>
          </w:p>
        </w:tc>
        <w:tc>
          <w:tcPr>
            <w:tcW w:w="2551" w:type="dxa"/>
            <w:vAlign w:val="center"/>
          </w:tcPr>
          <w:p>
            <w:pPr>
              <w:pStyle w:val="11"/>
            </w:pPr>
            <w:r>
              <w:t>73.14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21.22</w:t>
            </w:r>
          </w:p>
        </w:tc>
        <w:tc>
          <w:tcPr>
            <w:tcW w:w="2551" w:type="dxa"/>
            <w:vAlign w:val="center"/>
          </w:tcPr>
          <w:p>
            <w:pPr>
              <w:pStyle w:val="11"/>
            </w:pPr>
            <w:r>
              <w:t>21.22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99.31</w:t>
            </w:r>
          </w:p>
        </w:tc>
        <w:tc>
          <w:tcPr>
            <w:tcW w:w="2551" w:type="dxa"/>
            <w:vAlign w:val="center"/>
          </w:tcPr>
          <w:p>
            <w:pPr>
              <w:pStyle w:val="11"/>
            </w:pPr>
            <w:r>
              <w:t>91.63</w:t>
            </w:r>
          </w:p>
        </w:tc>
        <w:tc>
          <w:tcPr>
            <w:tcW w:w="2551" w:type="dxa"/>
            <w:vAlign w:val="center"/>
          </w:tcPr>
          <w:p>
            <w:pPr>
              <w:pStyle w:val="11"/>
            </w:pPr>
            <w:r>
              <w:t>7.68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2.36</w:t>
            </w:r>
          </w:p>
        </w:tc>
        <w:tc>
          <w:tcPr>
            <w:tcW w:w="2551" w:type="dxa"/>
            <w:vAlign w:val="center"/>
          </w:tcPr>
          <w:p>
            <w:pPr>
              <w:pStyle w:val="11"/>
            </w:pPr>
          </w:p>
        </w:tc>
        <w:tc>
          <w:tcPr>
            <w:tcW w:w="2551" w:type="dxa"/>
            <w:vAlign w:val="center"/>
          </w:tcPr>
          <w:p>
            <w:pPr>
              <w:pStyle w:val="11"/>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2.36</w:t>
            </w:r>
          </w:p>
        </w:tc>
        <w:tc>
          <w:tcPr>
            <w:tcW w:w="2551" w:type="dxa"/>
            <w:vAlign w:val="center"/>
          </w:tcPr>
          <w:p>
            <w:pPr>
              <w:pStyle w:val="11"/>
            </w:pPr>
          </w:p>
        </w:tc>
        <w:tc>
          <w:tcPr>
            <w:tcW w:w="2551" w:type="dxa"/>
            <w:vAlign w:val="center"/>
          </w:tcPr>
          <w:p>
            <w:pPr>
              <w:pStyle w:val="11"/>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91.63</w:t>
            </w:r>
          </w:p>
        </w:tc>
        <w:tc>
          <w:tcPr>
            <w:tcW w:w="2551" w:type="dxa"/>
            <w:vAlign w:val="center"/>
          </w:tcPr>
          <w:p>
            <w:pPr>
              <w:pStyle w:val="11"/>
            </w:pPr>
            <w:r>
              <w:t>91.63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23.84</w:t>
            </w:r>
          </w:p>
        </w:tc>
        <w:tc>
          <w:tcPr>
            <w:tcW w:w="2551" w:type="dxa"/>
            <w:vAlign w:val="center"/>
          </w:tcPr>
          <w:p>
            <w:pPr>
              <w:pStyle w:val="11"/>
            </w:pPr>
            <w:r>
              <w:t>23.84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67.79</w:t>
            </w:r>
          </w:p>
        </w:tc>
        <w:tc>
          <w:tcPr>
            <w:tcW w:w="2551" w:type="dxa"/>
            <w:vAlign w:val="center"/>
          </w:tcPr>
          <w:p>
            <w:pPr>
              <w:pStyle w:val="11"/>
            </w:pPr>
            <w:r>
              <w:t>67.79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5.32</w:t>
            </w:r>
          </w:p>
        </w:tc>
        <w:tc>
          <w:tcPr>
            <w:tcW w:w="2551" w:type="dxa"/>
            <w:vAlign w:val="center"/>
          </w:tcPr>
          <w:p>
            <w:pPr>
              <w:pStyle w:val="11"/>
            </w:pPr>
          </w:p>
        </w:tc>
        <w:tc>
          <w:tcPr>
            <w:tcW w:w="2551" w:type="dxa"/>
            <w:vAlign w:val="center"/>
          </w:tcPr>
          <w:p>
            <w:pPr>
              <w:pStyle w:val="11"/>
            </w:pPr>
            <w:r>
              <w:t>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5.32</w:t>
            </w:r>
          </w:p>
        </w:tc>
        <w:tc>
          <w:tcPr>
            <w:tcW w:w="2551" w:type="dxa"/>
            <w:vAlign w:val="center"/>
          </w:tcPr>
          <w:p>
            <w:pPr>
              <w:pStyle w:val="11"/>
            </w:pPr>
          </w:p>
        </w:tc>
        <w:tc>
          <w:tcPr>
            <w:tcW w:w="2551" w:type="dxa"/>
            <w:vAlign w:val="center"/>
          </w:tcPr>
          <w:p>
            <w:pPr>
              <w:pStyle w:val="11"/>
            </w:pPr>
            <w:r>
              <w:t>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377.92</w:t>
            </w:r>
          </w:p>
        </w:tc>
        <w:tc>
          <w:tcPr>
            <w:tcW w:w="2551" w:type="dxa"/>
            <w:vAlign w:val="center"/>
          </w:tcPr>
          <w:p>
            <w:pPr>
              <w:pStyle w:val="11"/>
            </w:pPr>
          </w:p>
        </w:tc>
        <w:tc>
          <w:tcPr>
            <w:tcW w:w="2551" w:type="dxa"/>
            <w:vAlign w:val="center"/>
          </w:tcPr>
          <w:p>
            <w:pPr>
              <w:pStyle w:val="11"/>
            </w:pPr>
            <w:r>
              <w:t>377.92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200.00</w:t>
            </w:r>
          </w:p>
        </w:tc>
        <w:tc>
          <w:tcPr>
            <w:tcW w:w="2551" w:type="dxa"/>
            <w:vAlign w:val="center"/>
          </w:tcPr>
          <w:p>
            <w:pPr>
              <w:pStyle w:val="11"/>
            </w:pPr>
          </w:p>
        </w:tc>
        <w:tc>
          <w:tcPr>
            <w:tcW w:w="2551"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169.92</w:t>
            </w:r>
          </w:p>
        </w:tc>
        <w:tc>
          <w:tcPr>
            <w:tcW w:w="2551" w:type="dxa"/>
            <w:vAlign w:val="center"/>
          </w:tcPr>
          <w:p>
            <w:pPr>
              <w:pStyle w:val="11"/>
            </w:pPr>
          </w:p>
        </w:tc>
        <w:tc>
          <w:tcPr>
            <w:tcW w:w="2551" w:type="dxa"/>
            <w:vAlign w:val="center"/>
          </w:tcPr>
          <w:p>
            <w:pPr>
              <w:pStyle w:val="11"/>
            </w:pPr>
            <w:r>
              <w:t>169.92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169.92</w:t>
            </w:r>
          </w:p>
        </w:tc>
        <w:tc>
          <w:tcPr>
            <w:tcW w:w="2551" w:type="dxa"/>
            <w:vAlign w:val="center"/>
          </w:tcPr>
          <w:p>
            <w:pPr>
              <w:pStyle w:val="11"/>
            </w:pPr>
          </w:p>
        </w:tc>
        <w:tc>
          <w:tcPr>
            <w:tcW w:w="2551" w:type="dxa"/>
            <w:vAlign w:val="center"/>
          </w:tcPr>
          <w:p>
            <w:pPr>
              <w:pStyle w:val="11"/>
            </w:pPr>
            <w:r>
              <w:t>169.92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91.60</w:t>
            </w:r>
          </w:p>
        </w:tc>
        <w:tc>
          <w:tcPr>
            <w:tcW w:w="2551" w:type="dxa"/>
            <w:vAlign w:val="center"/>
          </w:tcPr>
          <w:p>
            <w:pPr>
              <w:pStyle w:val="11"/>
            </w:pPr>
            <w:r>
              <w:t>91.60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91.60</w:t>
            </w:r>
          </w:p>
        </w:tc>
        <w:tc>
          <w:tcPr>
            <w:tcW w:w="2551" w:type="dxa"/>
            <w:vAlign w:val="center"/>
          </w:tcPr>
          <w:p>
            <w:pPr>
              <w:pStyle w:val="11"/>
            </w:pPr>
            <w:r>
              <w:t>91.60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91.60</w:t>
            </w:r>
          </w:p>
        </w:tc>
        <w:tc>
          <w:tcPr>
            <w:tcW w:w="2551" w:type="dxa"/>
            <w:vAlign w:val="center"/>
          </w:tcPr>
          <w:p>
            <w:pPr>
              <w:pStyle w:val="11"/>
            </w:pPr>
            <w:r>
              <w:t>91.60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1874.98</w:t>
            </w:r>
          </w:p>
        </w:tc>
        <w:tc>
          <w:tcPr>
            <w:tcW w:w="2551" w:type="dxa"/>
            <w:vAlign w:val="center"/>
          </w:tcPr>
          <w:p>
            <w:pPr>
              <w:pStyle w:val="15"/>
            </w:pPr>
            <w:r>
              <w:t>1706.28</w:t>
            </w:r>
          </w:p>
        </w:tc>
        <w:tc>
          <w:tcPr>
            <w:tcW w:w="2551" w:type="dxa"/>
            <w:vAlign w:val="center"/>
          </w:tcPr>
          <w:p>
            <w:pPr>
              <w:pStyle w:val="15"/>
            </w:pPr>
            <w:r>
              <w:t>168.70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1532.92</w:t>
            </w:r>
          </w:p>
        </w:tc>
        <w:tc>
          <w:tcPr>
            <w:tcW w:w="2551" w:type="dxa"/>
            <w:vAlign w:val="center"/>
          </w:tcPr>
          <w:p>
            <w:pPr>
              <w:pStyle w:val="11"/>
            </w:pPr>
            <w:r>
              <w:t>1532.92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627.85</w:t>
            </w:r>
          </w:p>
        </w:tc>
        <w:tc>
          <w:tcPr>
            <w:tcW w:w="2551" w:type="dxa"/>
            <w:vAlign w:val="center"/>
          </w:tcPr>
          <w:p>
            <w:pPr>
              <w:pStyle w:val="11"/>
            </w:pPr>
            <w:r>
              <w:t>627.85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214.13</w:t>
            </w:r>
          </w:p>
        </w:tc>
        <w:tc>
          <w:tcPr>
            <w:tcW w:w="2551" w:type="dxa"/>
            <w:vAlign w:val="center"/>
          </w:tcPr>
          <w:p>
            <w:pPr>
              <w:pStyle w:val="11"/>
            </w:pPr>
            <w:r>
              <w:t>214.13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35.46</w:t>
            </w:r>
          </w:p>
        </w:tc>
        <w:tc>
          <w:tcPr>
            <w:tcW w:w="2551" w:type="dxa"/>
            <w:vAlign w:val="center"/>
          </w:tcPr>
          <w:p>
            <w:pPr>
              <w:pStyle w:val="11"/>
            </w:pPr>
            <w:r>
              <w:t>35.46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286.74</w:t>
            </w:r>
          </w:p>
        </w:tc>
        <w:tc>
          <w:tcPr>
            <w:tcW w:w="2551" w:type="dxa"/>
            <w:vAlign w:val="center"/>
          </w:tcPr>
          <w:p>
            <w:pPr>
              <w:pStyle w:val="11"/>
            </w:pPr>
            <w:r>
              <w:t>286.74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177.20</w:t>
            </w:r>
          </w:p>
        </w:tc>
        <w:tc>
          <w:tcPr>
            <w:tcW w:w="2551" w:type="dxa"/>
            <w:vAlign w:val="center"/>
          </w:tcPr>
          <w:p>
            <w:pPr>
              <w:pStyle w:val="11"/>
            </w:pPr>
            <w:r>
              <w:t>177.20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91.63</w:t>
            </w:r>
          </w:p>
        </w:tc>
        <w:tc>
          <w:tcPr>
            <w:tcW w:w="2551" w:type="dxa"/>
            <w:vAlign w:val="center"/>
          </w:tcPr>
          <w:p>
            <w:pPr>
              <w:pStyle w:val="11"/>
            </w:pPr>
            <w:r>
              <w:t>91.63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91.60</w:t>
            </w:r>
          </w:p>
        </w:tc>
        <w:tc>
          <w:tcPr>
            <w:tcW w:w="2551" w:type="dxa"/>
            <w:vAlign w:val="center"/>
          </w:tcPr>
          <w:p>
            <w:pPr>
              <w:pStyle w:val="11"/>
            </w:pPr>
            <w:r>
              <w:t>91.60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168.70</w:t>
            </w:r>
          </w:p>
        </w:tc>
        <w:tc>
          <w:tcPr>
            <w:tcW w:w="2551" w:type="dxa"/>
            <w:vAlign w:val="center"/>
          </w:tcPr>
          <w:p>
            <w:pPr>
              <w:pStyle w:val="11"/>
            </w:pPr>
          </w:p>
        </w:tc>
        <w:tc>
          <w:tcPr>
            <w:tcW w:w="2551" w:type="dxa"/>
            <w:vAlign w:val="center"/>
          </w:tcPr>
          <w:p>
            <w:pPr>
              <w:pStyle w:val="11"/>
            </w:pPr>
            <w:r>
              <w:t>168.70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34.50</w:t>
            </w:r>
          </w:p>
        </w:tc>
        <w:tc>
          <w:tcPr>
            <w:tcW w:w="2551" w:type="dxa"/>
            <w:vAlign w:val="center"/>
          </w:tcPr>
          <w:p>
            <w:pPr>
              <w:pStyle w:val="11"/>
            </w:pPr>
          </w:p>
        </w:tc>
        <w:tc>
          <w:tcPr>
            <w:tcW w:w="2551" w:type="dxa"/>
            <w:vAlign w:val="center"/>
          </w:tcPr>
          <w:p>
            <w:pPr>
              <w:pStyle w:val="11"/>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7.95</w:t>
            </w:r>
          </w:p>
        </w:tc>
        <w:tc>
          <w:tcPr>
            <w:tcW w:w="2551" w:type="dxa"/>
            <w:vAlign w:val="center"/>
          </w:tcPr>
          <w:p>
            <w:pPr>
              <w:pStyle w:val="11"/>
            </w:pPr>
          </w:p>
        </w:tc>
        <w:tc>
          <w:tcPr>
            <w:tcW w:w="2551" w:type="dxa"/>
            <w:vAlign w:val="center"/>
          </w:tcPr>
          <w:p>
            <w:pPr>
              <w:pStyle w:val="11"/>
            </w:pPr>
            <w:r>
              <w:t>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37.38</w:t>
            </w:r>
          </w:p>
        </w:tc>
        <w:tc>
          <w:tcPr>
            <w:tcW w:w="2551" w:type="dxa"/>
            <w:vAlign w:val="center"/>
          </w:tcPr>
          <w:p>
            <w:pPr>
              <w:pStyle w:val="11"/>
            </w:pPr>
          </w:p>
        </w:tc>
        <w:tc>
          <w:tcPr>
            <w:tcW w:w="2551" w:type="dxa"/>
            <w:vAlign w:val="center"/>
          </w:tcPr>
          <w:p>
            <w:pPr>
              <w:pStyle w:val="11"/>
            </w:pPr>
            <w:r>
              <w:t>37.38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19.05</w:t>
            </w:r>
          </w:p>
        </w:tc>
        <w:tc>
          <w:tcPr>
            <w:tcW w:w="2551" w:type="dxa"/>
            <w:vAlign w:val="center"/>
          </w:tcPr>
          <w:p>
            <w:pPr>
              <w:pStyle w:val="11"/>
            </w:pPr>
          </w:p>
        </w:tc>
        <w:tc>
          <w:tcPr>
            <w:tcW w:w="2551" w:type="dxa"/>
            <w:vAlign w:val="center"/>
          </w:tcPr>
          <w:p>
            <w:pPr>
              <w:pStyle w:val="11"/>
            </w:pPr>
            <w:r>
              <w:t>19.05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7.44</w:t>
            </w:r>
          </w:p>
        </w:tc>
        <w:tc>
          <w:tcPr>
            <w:tcW w:w="2551" w:type="dxa"/>
            <w:vAlign w:val="center"/>
          </w:tcPr>
          <w:p>
            <w:pPr>
              <w:pStyle w:val="11"/>
            </w:pPr>
          </w:p>
        </w:tc>
        <w:tc>
          <w:tcPr>
            <w:tcW w:w="2551" w:type="dxa"/>
            <w:vAlign w:val="center"/>
          </w:tcPr>
          <w:p>
            <w:pPr>
              <w:pStyle w:val="11"/>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46.08</w:t>
            </w:r>
          </w:p>
        </w:tc>
        <w:tc>
          <w:tcPr>
            <w:tcW w:w="2551" w:type="dxa"/>
            <w:vAlign w:val="center"/>
          </w:tcPr>
          <w:p>
            <w:pPr>
              <w:pStyle w:val="11"/>
            </w:pPr>
          </w:p>
        </w:tc>
        <w:tc>
          <w:tcPr>
            <w:tcW w:w="2551" w:type="dxa"/>
            <w:vAlign w:val="center"/>
          </w:tcPr>
          <w:p>
            <w:pPr>
              <w:pStyle w:val="11"/>
            </w:pPr>
            <w:r>
              <w:t>46.08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173.36</w:t>
            </w:r>
          </w:p>
        </w:tc>
        <w:tc>
          <w:tcPr>
            <w:tcW w:w="2551" w:type="dxa"/>
            <w:vAlign w:val="center"/>
          </w:tcPr>
          <w:p>
            <w:pPr>
              <w:pStyle w:val="11"/>
            </w:pPr>
            <w:r>
              <w:t>173.36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78.99</w:t>
            </w:r>
          </w:p>
        </w:tc>
        <w:tc>
          <w:tcPr>
            <w:tcW w:w="2551" w:type="dxa"/>
            <w:vAlign w:val="center"/>
          </w:tcPr>
          <w:p>
            <w:pPr>
              <w:pStyle w:val="11"/>
            </w:pPr>
            <w:r>
              <w:t>78.99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73.14</w:t>
            </w:r>
          </w:p>
        </w:tc>
        <w:tc>
          <w:tcPr>
            <w:tcW w:w="2551" w:type="dxa"/>
            <w:vAlign w:val="center"/>
          </w:tcPr>
          <w:p>
            <w:pPr>
              <w:pStyle w:val="11"/>
            </w:pPr>
            <w:r>
              <w:t>73.14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21.22</w:t>
            </w:r>
          </w:p>
        </w:tc>
        <w:tc>
          <w:tcPr>
            <w:tcW w:w="2551" w:type="dxa"/>
            <w:vAlign w:val="center"/>
          </w:tcPr>
          <w:p>
            <w:pPr>
              <w:pStyle w:val="11"/>
            </w:pPr>
            <w:r>
              <w:t>21.22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1160.00</w:t>
            </w:r>
          </w:p>
        </w:tc>
        <w:tc>
          <w:tcPr>
            <w:tcW w:w="2551" w:type="dxa"/>
            <w:vAlign w:val="center"/>
          </w:tcPr>
          <w:p>
            <w:pPr>
              <w:pStyle w:val="15"/>
            </w:pPr>
          </w:p>
        </w:tc>
        <w:tc>
          <w:tcPr>
            <w:tcW w:w="2551" w:type="dxa"/>
            <w:vAlign w:val="center"/>
          </w:tcPr>
          <w:p>
            <w:pPr>
              <w:pStyle w:val="15"/>
            </w:pPr>
            <w:r>
              <w:t>1160.00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1095.00</w:t>
            </w:r>
          </w:p>
        </w:tc>
        <w:tc>
          <w:tcPr>
            <w:tcW w:w="2551" w:type="dxa"/>
            <w:vAlign w:val="center"/>
          </w:tcPr>
          <w:p>
            <w:pPr>
              <w:pStyle w:val="11"/>
            </w:pPr>
          </w:p>
        </w:tc>
        <w:tc>
          <w:tcPr>
            <w:tcW w:w="2551" w:type="dxa"/>
            <w:vAlign w:val="center"/>
          </w:tcPr>
          <w:p>
            <w:pPr>
              <w:pStyle w:val="11"/>
            </w:pPr>
            <w:r>
              <w:t>1095.00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1095.00</w:t>
            </w:r>
          </w:p>
        </w:tc>
        <w:tc>
          <w:tcPr>
            <w:tcW w:w="2551" w:type="dxa"/>
            <w:vAlign w:val="center"/>
          </w:tcPr>
          <w:p>
            <w:pPr>
              <w:pStyle w:val="11"/>
            </w:pPr>
          </w:p>
        </w:tc>
        <w:tc>
          <w:tcPr>
            <w:tcW w:w="2551" w:type="dxa"/>
            <w:vAlign w:val="center"/>
          </w:tcPr>
          <w:p>
            <w:pPr>
              <w:pStyle w:val="11"/>
            </w:pPr>
            <w:r>
              <w:t>1095.00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940.00</w:t>
            </w:r>
          </w:p>
        </w:tc>
        <w:tc>
          <w:tcPr>
            <w:tcW w:w="2551" w:type="dxa"/>
            <w:vAlign w:val="center"/>
          </w:tcPr>
          <w:p>
            <w:pPr>
              <w:pStyle w:val="11"/>
            </w:pPr>
          </w:p>
        </w:tc>
        <w:tc>
          <w:tcPr>
            <w:tcW w:w="2551" w:type="dxa"/>
            <w:vAlign w:val="center"/>
          </w:tcPr>
          <w:p>
            <w:pPr>
              <w:pStyle w:val="11"/>
            </w:pPr>
            <w:r>
              <w:t>940.00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41.50</w:t>
            </w:r>
          </w:p>
        </w:tc>
        <w:tc>
          <w:tcPr>
            <w:tcW w:w="2551" w:type="dxa"/>
            <w:vAlign w:val="center"/>
          </w:tcPr>
          <w:p>
            <w:pPr>
              <w:pStyle w:val="11"/>
            </w:pPr>
          </w:p>
        </w:tc>
        <w:tc>
          <w:tcPr>
            <w:tcW w:w="2551" w:type="dxa"/>
            <w:vAlign w:val="center"/>
          </w:tcPr>
          <w:p>
            <w:pPr>
              <w:pStyle w:val="11"/>
            </w:pPr>
            <w:r>
              <w:t>41.50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113.50</w:t>
            </w:r>
          </w:p>
        </w:tc>
        <w:tc>
          <w:tcPr>
            <w:tcW w:w="2551" w:type="dxa"/>
            <w:vAlign w:val="center"/>
          </w:tcPr>
          <w:p>
            <w:pPr>
              <w:pStyle w:val="11"/>
            </w:pPr>
          </w:p>
        </w:tc>
        <w:tc>
          <w:tcPr>
            <w:tcW w:w="2551" w:type="dxa"/>
            <w:vAlign w:val="center"/>
          </w:tcPr>
          <w:p>
            <w:pPr>
              <w:pStyle w:val="11"/>
            </w:pPr>
            <w:r>
              <w:t>113.50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2296099</w:t>
            </w:r>
          </w:p>
        </w:tc>
        <w:tc>
          <w:tcPr>
            <w:tcW w:w="4535" w:type="dxa"/>
            <w:vAlign w:val="center"/>
          </w:tcPr>
          <w:p>
            <w:pPr>
              <w:pStyle w:val="12"/>
            </w:pPr>
            <w:r>
              <w:t>用于其他社会公益事业的彩票公益金支出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青龙满族自治县青龙镇人民政府本级2026年单位预算信息公开情况说明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按照《中华人民共和国预算法》、《地方预决算公开操作规程》和《关于进一步推进预算公开工作的实施意见》规定，现将青龙满族自治县青龙镇人民政府本级2026年单位预算公开如下：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青龙满族自治县青龙镇人民政府本级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3448.09万元，其中：一般公共预算收入2020.43万元，基金预算收入1095.00万元，国有资本经营预算收入0.00万元，财政专户核拨收入0.00万元，单位资金收入0.00万元，上年结转结余332.65万元。</w:t>
      </w:r>
    </w:p>
    <w:p>
      <w:pPr>
        <w:pStyle w:val="18"/>
      </w:pPr>
      <w:r>
        <w:t>2、支出说明</w:t>
      </w:r>
    </w:p>
    <w:p>
      <w:pPr>
        <w:pStyle w:val="18"/>
      </w:pPr>
      <w:r>
        <w:t>收支预算总表支出栏、基本支出表、项目支出表按经济分类和支出功能分类科目编制，反映青龙满族自治县青龙镇人民政府本级年度单位预算中支出预算的总体情况。2026年支出预算3448.09万元，其中基本支出1874.98万元，包括人员经费1706.28万元和日常公用经费168.70万元；项目支出1573.11万元，主要为西城区拆迁项目、森林体育公园防火通道项目、2022年清洁取暖改造户补贴项目。；预计下年使用的单位资金结余0.00万元。委托业务费共计安排7.44万元，主要用于因技术原因确需对外委托的辅助性工作和确有必要对外委托开展咨询、评审、规划等工作。</w:t>
      </w:r>
    </w:p>
    <w:p>
      <w:pPr>
        <w:pStyle w:val="18"/>
      </w:pPr>
      <w:r>
        <w:t>3、比上年增减情况</w:t>
      </w:r>
    </w:p>
    <w:p>
      <w:pPr>
        <w:pStyle w:val="18"/>
      </w:pPr>
      <w:r>
        <w:t>2026年预算收支安排3448.09万元，较2025年预算增加976.27万元，其中：基本支出增加107.23万元，主要为人员经费增加项目支出增加869.04万元，主要为西城区拆迁项目、森林体育公园防火通道项目、2022年清洁取暖改造户补贴项目等。。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13032126P003349104535</w:t>
            </w:r>
          </w:p>
        </w:tc>
        <w:tc>
          <w:tcPr>
            <w:tcW w:w="2835" w:type="dxa"/>
            <w:vAlign w:val="center"/>
          </w:tcPr>
          <w:p>
            <w:pPr>
              <w:pStyle w:val="10"/>
            </w:pPr>
            <w:r>
              <w:t>项目名称</w:t>
            </w:r>
          </w:p>
        </w:tc>
        <w:tc>
          <w:tcPr>
            <w:tcW w:w="6095" w:type="dxa"/>
            <w:gridSpan w:val="3"/>
            <w:vAlign w:val="center"/>
          </w:tcPr>
          <w:p>
            <w:pPr>
              <w:pStyle w:val="12"/>
            </w:pPr>
            <w:r>
              <w:t>安全生产经费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预算数1万元，其中财政资金1万元，主要用于安全生产经费支出。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1."通过开展执法检查工作，对发现的安全生产违法行为依法进行行政处罚，遏制重特大事故发生，确保全安全生产形势稳定。</w:t>
            </w:r>
            <w:r>
              <w:tab/>
            </w:r>
            <w:r>
              <w:tab/>
            </w:r>
            <w:r>
              <w:tab/>
            </w:r>
            <w:r>
              <w:tab/>
            </w:r>
            <w:r>
              <w:tab/>
            </w:r>
            <w:r>
              <w:tab/>
            </w:r>
          </w:p>
          <w:p>
            <w:pPr>
              <w:pStyle w:val="12"/>
            </w:pPr>
            <w:r>
              <w:t>"</w:t>
            </w:r>
            <w:r>
              <w:tab/>
            </w:r>
            <w:r>
              <w:tab/>
            </w:r>
            <w:r>
              <w:tab/>
            </w:r>
            <w:r>
              <w:tab/>
            </w:r>
            <w:r>
              <w:tab/>
            </w:r>
            <w:r>
              <w:tab/>
            </w:r>
          </w:p>
          <w:p>
            <w:pPr>
              <w:pStyle w:val="12"/>
            </w:pPr>
          </w:p>
          <w:p>
            <w:pPr>
              <w:pStyle w:val="12"/>
            </w:pPr>
            <w:r>
              <w:t>2."通过依法行使综合监督管理职权,确保不发生重特大事故。</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反映开展执法检查的次数</w:t>
            </w:r>
          </w:p>
        </w:tc>
        <w:tc>
          <w:tcPr>
            <w:tcW w:w="2268" w:type="dxa"/>
            <w:vAlign w:val="center"/>
          </w:tcPr>
          <w:p>
            <w:pPr>
              <w:pStyle w:val="12"/>
            </w:pPr>
            <w:r>
              <w:t>≥120次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安全生产隐患排查率</w:t>
            </w:r>
          </w:p>
        </w:tc>
        <w:tc>
          <w:tcPr>
            <w:tcW w:w="5386" w:type="dxa"/>
            <w:vAlign w:val="center"/>
          </w:tcPr>
          <w:p>
            <w:pPr>
              <w:pStyle w:val="12"/>
            </w:pPr>
            <w:r>
              <w:t>实际隐患排查数量占隐患总数的比例</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安全质量标准化达标率</w:t>
            </w:r>
          </w:p>
        </w:tc>
        <w:tc>
          <w:tcPr>
            <w:tcW w:w="5386" w:type="dxa"/>
            <w:vAlign w:val="center"/>
          </w:tcPr>
          <w:p>
            <w:pPr>
              <w:pStyle w:val="12"/>
            </w:pPr>
            <w:r>
              <w:t>达标数量占需达标总数的比率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排查完成时间</w:t>
            </w:r>
          </w:p>
        </w:tc>
        <w:tc>
          <w:tcPr>
            <w:tcW w:w="5386" w:type="dxa"/>
            <w:vAlign w:val="center"/>
          </w:tcPr>
          <w:p>
            <w:pPr>
              <w:pStyle w:val="12"/>
            </w:pPr>
            <w:r>
              <w:t>反应开展执法检查的完成时间</w:t>
            </w:r>
          </w:p>
        </w:tc>
        <w:tc>
          <w:tcPr>
            <w:tcW w:w="2268" w:type="dxa"/>
            <w:vAlign w:val="center"/>
          </w:tcPr>
          <w:p>
            <w:pPr>
              <w:pStyle w:val="12"/>
            </w:pPr>
            <w:r>
              <w:t>2026年每月31日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下乡用车费用</w:t>
            </w:r>
          </w:p>
        </w:tc>
        <w:tc>
          <w:tcPr>
            <w:tcW w:w="5386" w:type="dxa"/>
            <w:vAlign w:val="center"/>
          </w:tcPr>
          <w:p>
            <w:pPr>
              <w:pStyle w:val="12"/>
            </w:pPr>
            <w:r>
              <w:t>反映下乡开展安全监督检查工作</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反应执法检查过程中办公费控制在预算范围内</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对监管企业发展的影响</w:t>
            </w:r>
          </w:p>
        </w:tc>
        <w:tc>
          <w:tcPr>
            <w:tcW w:w="5386" w:type="dxa"/>
            <w:vAlign w:val="center"/>
          </w:tcPr>
          <w:p>
            <w:pPr>
              <w:pStyle w:val="12"/>
            </w:pPr>
            <w:r>
              <w:t>对监管企业发展</w:t>
            </w:r>
          </w:p>
          <w:p>
            <w:pPr>
              <w:pStyle w:val="12"/>
            </w:pPr>
            <w:r>
              <w:t>的影响</w:t>
            </w:r>
          </w:p>
        </w:tc>
        <w:tc>
          <w:tcPr>
            <w:tcW w:w="2268" w:type="dxa"/>
            <w:vAlign w:val="center"/>
          </w:tcPr>
          <w:p>
            <w:pPr>
              <w:pStyle w:val="12"/>
            </w:pPr>
            <w:r>
              <w:t>≥1年</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安全隐患下降率</w:t>
            </w:r>
          </w:p>
        </w:tc>
        <w:tc>
          <w:tcPr>
            <w:tcW w:w="5386" w:type="dxa"/>
            <w:vAlign w:val="center"/>
          </w:tcPr>
          <w:p>
            <w:pPr>
              <w:pStyle w:val="12"/>
            </w:pPr>
            <w:r>
              <w:t>遏制重特大事故发生，确保全安全生产形势稳定</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群众满意及比较满意人数占参加调查总人数的比率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13032126P00334910454Q</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预算数1万元，其中财政资金1万元，主要用于党建工作经费支出。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1."通过开展党建工作，实现党内民主，达到密切联系群众的优势。</w:t>
            </w:r>
            <w:r>
              <w:tab/>
            </w:r>
            <w:r>
              <w:tab/>
            </w:r>
            <w:r>
              <w:tab/>
            </w:r>
            <w:r>
              <w:tab/>
            </w:r>
            <w:r>
              <w:tab/>
            </w:r>
            <w:r>
              <w:tab/>
            </w:r>
          </w:p>
          <w:p>
            <w:pPr>
              <w:pStyle w:val="12"/>
            </w:pPr>
            <w:r>
              <w:t>"</w:t>
            </w:r>
            <w:r>
              <w:tab/>
            </w:r>
            <w:r>
              <w:tab/>
            </w:r>
            <w:r>
              <w:tab/>
            </w:r>
            <w:r>
              <w:tab/>
            </w:r>
            <w:r>
              <w:tab/>
            </w:r>
            <w:r>
              <w:tab/>
            </w:r>
          </w:p>
          <w:p>
            <w:pPr>
              <w:pStyle w:val="12"/>
            </w:pPr>
          </w:p>
          <w:p>
            <w:pPr>
              <w:pStyle w:val="12"/>
            </w:pPr>
            <w:r>
              <w:t>2."通过开展党建工作，充分发挥基层乡镇党组织的作用，把服务中心、建设队伍贯穿始终。</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党报党刊征订</w:t>
            </w:r>
          </w:p>
        </w:tc>
        <w:tc>
          <w:tcPr>
            <w:tcW w:w="5386" w:type="dxa"/>
            <w:vAlign w:val="center"/>
          </w:tcPr>
          <w:p>
            <w:pPr>
              <w:pStyle w:val="12"/>
            </w:pPr>
            <w:r>
              <w:t>党报党刊征订种类</w:t>
            </w:r>
          </w:p>
        </w:tc>
        <w:tc>
          <w:tcPr>
            <w:tcW w:w="2268" w:type="dxa"/>
            <w:vAlign w:val="center"/>
          </w:tcPr>
          <w:p>
            <w:pPr>
              <w:pStyle w:val="12"/>
            </w:pPr>
            <w:r>
              <w:t>≥6种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2026年12月底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提高党员业务能力</w:t>
            </w:r>
          </w:p>
        </w:tc>
        <w:tc>
          <w:tcPr>
            <w:tcW w:w="5386" w:type="dxa"/>
            <w:vAlign w:val="center"/>
          </w:tcPr>
          <w:p>
            <w:pPr>
              <w:pStyle w:val="12"/>
            </w:pPr>
            <w:r>
              <w:t>提高党员业务能力,组织业务培训次数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群众对全乡党建满意度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13032126P00334910455C</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预算数1万元，其中财政资金1万元，主要用于人大办公费支出。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1."通过开展人大代表活动，密切联系群众，接受群众监督，提出议案建议。</w:t>
            </w:r>
            <w:r>
              <w:tab/>
            </w:r>
            <w:r>
              <w:tab/>
            </w:r>
            <w:r>
              <w:tab/>
            </w:r>
            <w:r>
              <w:tab/>
            </w:r>
            <w:r>
              <w:tab/>
            </w:r>
            <w:r>
              <w:tab/>
            </w:r>
          </w:p>
          <w:p>
            <w:pPr>
              <w:pStyle w:val="12"/>
            </w:pPr>
            <w:r>
              <w:t>"</w:t>
            </w:r>
            <w:r>
              <w:tab/>
            </w:r>
            <w:r>
              <w:tab/>
            </w:r>
            <w:r>
              <w:tab/>
            </w:r>
            <w:r>
              <w:tab/>
            </w:r>
            <w:r>
              <w:tab/>
            </w:r>
            <w:r>
              <w:tab/>
            </w:r>
          </w:p>
          <w:p>
            <w:pPr>
              <w:pStyle w:val="12"/>
            </w:pPr>
          </w:p>
          <w:p>
            <w:pPr>
              <w:pStyle w:val="12"/>
            </w:pPr>
            <w:r>
              <w:t>2."通过人大代表之家工作，充分发挥人大监督职能，推动各项事业有效开展。</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代表履职保障率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代表参加活动或培训覆盖率</w:t>
            </w:r>
          </w:p>
        </w:tc>
        <w:tc>
          <w:tcPr>
            <w:tcW w:w="5386" w:type="dxa"/>
            <w:vAlign w:val="center"/>
          </w:tcPr>
          <w:p>
            <w:pPr>
              <w:pStyle w:val="12"/>
            </w:pPr>
            <w:r>
              <w:t>联络机构、网络平台完成情况占年初计划任务比率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意见建议采纳率（%）</w:t>
            </w:r>
          </w:p>
        </w:tc>
        <w:tc>
          <w:tcPr>
            <w:tcW w:w="5386" w:type="dxa"/>
            <w:vAlign w:val="center"/>
          </w:tcPr>
          <w:p>
            <w:pPr>
              <w:pStyle w:val="12"/>
            </w:pPr>
            <w:r>
              <w:t>被采纳的意见建议数量占总数量的比率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反映举办活动的时间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业务保障能力</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镇人大代表和常委对代表工作的满意程度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13032126P003349104560</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预算数2万元，其中财政资金2万元，主要用于团委工作经费支出。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1.确保团委工作有序开展，积极发挥团委作用。</w:t>
            </w:r>
            <w:r>
              <w:tab/>
            </w:r>
            <w:r>
              <w:tab/>
            </w:r>
            <w:r>
              <w:tab/>
            </w:r>
          </w:p>
          <w:p>
            <w:pPr>
              <w:pStyle w:val="12"/>
            </w:pPr>
          </w:p>
          <w:p>
            <w:pPr>
              <w:pStyle w:val="12"/>
            </w:pPr>
            <w:r>
              <w:t>2."通过开展群团组织工作，为党的建设储备好后备力量。</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≥2000张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群众对全镇团委工作满意度</w:t>
            </w:r>
          </w:p>
        </w:tc>
        <w:tc>
          <w:tcPr>
            <w:tcW w:w="5386" w:type="dxa"/>
            <w:vAlign w:val="center"/>
          </w:tcPr>
          <w:p>
            <w:pPr>
              <w:pStyle w:val="12"/>
            </w:pPr>
            <w:r>
              <w:t>全镇群众对团委工作的满意及比较满意人数占参加调查总人数的比率满意度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13032126P00334910457K</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预算数2万元，其中财政资金2万元，主要用于专项武装经费支出。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1.通过开展兵役登记、征兵工作，为国家提供高素质兵源</w:t>
            </w:r>
            <w:r>
              <w:tab/>
            </w:r>
            <w:r>
              <w:tab/>
            </w:r>
            <w:r>
              <w:tab/>
            </w:r>
          </w:p>
          <w:p>
            <w:pPr>
              <w:pStyle w:val="12"/>
            </w:pPr>
          </w:p>
          <w:p>
            <w:pPr>
              <w:pStyle w:val="12"/>
            </w:pPr>
            <w:r>
              <w:t>2."通过开展民兵训练工作，确保人民武装力量得到保障</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群众财产保障度</w:t>
            </w:r>
          </w:p>
        </w:tc>
        <w:tc>
          <w:tcPr>
            <w:tcW w:w="5386" w:type="dxa"/>
            <w:vAlign w:val="center"/>
          </w:tcPr>
          <w:p>
            <w:pPr>
              <w:pStyle w:val="12"/>
            </w:pPr>
            <w:r>
              <w:t>群众财产保障度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6、2020年清洁取暖改造户补贴资金绩效目标表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13032126P000115101207</w:t>
            </w:r>
          </w:p>
        </w:tc>
        <w:tc>
          <w:tcPr>
            <w:tcW w:w="2835" w:type="dxa"/>
            <w:vAlign w:val="center"/>
          </w:tcPr>
          <w:p>
            <w:pPr>
              <w:pStyle w:val="10"/>
            </w:pPr>
            <w:r>
              <w:t>项目名称</w:t>
            </w:r>
          </w:p>
        </w:tc>
        <w:tc>
          <w:tcPr>
            <w:tcW w:w="6095" w:type="dxa"/>
            <w:gridSpan w:val="3"/>
            <w:vAlign w:val="center"/>
          </w:tcPr>
          <w:p>
            <w:pPr>
              <w:pStyle w:val="12"/>
            </w:pPr>
            <w:r>
              <w:t>2020年清洁取暖改造户补贴资金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41.50</w:t>
            </w:r>
          </w:p>
        </w:tc>
        <w:tc>
          <w:tcPr>
            <w:tcW w:w="2835" w:type="dxa"/>
            <w:vAlign w:val="center"/>
          </w:tcPr>
          <w:p>
            <w:pPr>
              <w:pStyle w:val="10"/>
            </w:pPr>
            <w:r>
              <w:t>其中：财政    资金</w:t>
            </w:r>
          </w:p>
        </w:tc>
        <w:tc>
          <w:tcPr>
            <w:tcW w:w="2551" w:type="dxa"/>
            <w:vAlign w:val="center"/>
          </w:tcPr>
          <w:p>
            <w:pPr>
              <w:pStyle w:val="12"/>
            </w:pPr>
            <w:r>
              <w:t>41.50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预算数41.5万元，其中财政资金41.5万元，主要用于清洁取暖改造户补贴支出。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1.通过开展清洁取暖改造工作，确保清洁取暖用户能够提供良好的保障。</w:t>
            </w:r>
            <w:r>
              <w:tab/>
            </w:r>
          </w:p>
          <w:p>
            <w:pPr>
              <w:pStyle w:val="12"/>
            </w:pPr>
          </w:p>
          <w:p>
            <w:pPr>
              <w:pStyle w:val="12"/>
            </w:pPr>
            <w:r>
              <w:t>2.通过改变取暖方式，加大大气治理力度，提升大气质量。</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清洁取暖改造户数</w:t>
            </w:r>
          </w:p>
        </w:tc>
        <w:tc>
          <w:tcPr>
            <w:tcW w:w="5386" w:type="dxa"/>
            <w:vAlign w:val="center"/>
          </w:tcPr>
          <w:p>
            <w:pPr>
              <w:pStyle w:val="12"/>
            </w:pPr>
            <w:r>
              <w:t>当年实际完成清洁取暖改造面积及户数数量</w:t>
            </w:r>
          </w:p>
        </w:tc>
        <w:tc>
          <w:tcPr>
            <w:tcW w:w="2268" w:type="dxa"/>
            <w:vAlign w:val="center"/>
          </w:tcPr>
          <w:p>
            <w:pPr>
              <w:pStyle w:val="12"/>
            </w:pPr>
            <w:r>
              <w:t>≥416户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人群覆盖率</w:t>
            </w:r>
          </w:p>
        </w:tc>
        <w:tc>
          <w:tcPr>
            <w:tcW w:w="5386" w:type="dxa"/>
            <w:vAlign w:val="center"/>
          </w:tcPr>
          <w:p>
            <w:pPr>
              <w:pStyle w:val="12"/>
            </w:pPr>
            <w:r>
              <w:t>目标人群覆盖率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二氧化碳硫削排放减率</w:t>
            </w:r>
          </w:p>
        </w:tc>
        <w:tc>
          <w:tcPr>
            <w:tcW w:w="5386" w:type="dxa"/>
            <w:vAlign w:val="center"/>
          </w:tcPr>
          <w:p>
            <w:pPr>
              <w:pStyle w:val="12"/>
            </w:pPr>
            <w:r>
              <w:t>当年实际二氧化碳硫削排削减率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按实际清洁取暖改造补贴及时到位</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清洁取暖费用支出</w:t>
            </w:r>
          </w:p>
        </w:tc>
        <w:tc>
          <w:tcPr>
            <w:tcW w:w="5386" w:type="dxa"/>
            <w:vAlign w:val="center"/>
          </w:tcPr>
          <w:p>
            <w:pPr>
              <w:pStyle w:val="12"/>
            </w:pPr>
            <w:r>
              <w:t>改造户所需补贴费用</w:t>
            </w:r>
          </w:p>
        </w:tc>
        <w:tc>
          <w:tcPr>
            <w:tcW w:w="2268" w:type="dxa"/>
            <w:vAlign w:val="center"/>
          </w:tcPr>
          <w:p>
            <w:pPr>
              <w:pStyle w:val="12"/>
            </w:pPr>
            <w:r>
              <w:t>≤41.5万元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调查中满意和满意的公众人数占比例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7、村党组织书记、村民委员会主任绩效补贴绩效目标表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13032125P000010101243</w:t>
            </w:r>
          </w:p>
        </w:tc>
        <w:tc>
          <w:tcPr>
            <w:tcW w:w="2835" w:type="dxa"/>
            <w:vAlign w:val="center"/>
          </w:tcPr>
          <w:p>
            <w:pPr>
              <w:pStyle w:val="10"/>
            </w:pPr>
            <w:r>
              <w:t>项目名称</w:t>
            </w:r>
          </w:p>
        </w:tc>
        <w:tc>
          <w:tcPr>
            <w:tcW w:w="6095" w:type="dxa"/>
            <w:gridSpan w:val="3"/>
            <w:vAlign w:val="center"/>
          </w:tcPr>
          <w:p>
            <w:pPr>
              <w:pStyle w:val="12"/>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33.68</w:t>
            </w:r>
          </w:p>
        </w:tc>
        <w:tc>
          <w:tcPr>
            <w:tcW w:w="2835" w:type="dxa"/>
            <w:vAlign w:val="center"/>
          </w:tcPr>
          <w:p>
            <w:pPr>
              <w:pStyle w:val="10"/>
            </w:pPr>
            <w:r>
              <w:t>其中：财政    资金</w:t>
            </w:r>
          </w:p>
        </w:tc>
        <w:tc>
          <w:tcPr>
            <w:tcW w:w="2551" w:type="dxa"/>
            <w:vAlign w:val="center"/>
          </w:tcPr>
          <w:p>
            <w:pPr>
              <w:pStyle w:val="12"/>
            </w:pPr>
            <w:r>
              <w:t>33.68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预算数40.32万元，其中财政资金40.32万元，主要用于村书记、村民委员会主任基本补贴支出。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r>
              <w:tab/>
            </w:r>
            <w:r>
              <w:tab/>
            </w:r>
            <w:r>
              <w:tab/>
            </w:r>
            <w:r>
              <w:t>"</w:t>
            </w:r>
            <w:r>
              <w:tab/>
            </w:r>
            <w:r>
              <w:tab/>
            </w:r>
            <w:r>
              <w:tab/>
            </w:r>
            <w:r>
              <w:tab/>
            </w:r>
            <w:r>
              <w:tab/>
            </w:r>
            <w:r>
              <w:tab/>
            </w:r>
          </w:p>
          <w:p>
            <w:pPr>
              <w:pStyle w:val="12"/>
            </w:pPr>
          </w:p>
          <w:p>
            <w:pPr>
              <w:pStyle w:val="12"/>
            </w:pPr>
            <w:r>
              <w:t xml:space="preserve">2."激发农村干部干事创业热情，确保村级工作正常运转及村干部队伍稳定。      </w:t>
            </w: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反映发放村党组织书记、村民委员会主任绩效补贴发放的村数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28人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按月发放村干部绩效补贴比率</w:t>
            </w:r>
          </w:p>
        </w:tc>
        <w:tc>
          <w:tcPr>
            <w:tcW w:w="5386" w:type="dxa"/>
            <w:vAlign w:val="center"/>
          </w:tcPr>
          <w:p>
            <w:pPr>
              <w:pStyle w:val="12"/>
            </w:pPr>
            <w:r>
              <w:t>反映村干部绩效补贴发放情况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40.32万元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13032125P00001010037G</w:t>
            </w:r>
          </w:p>
        </w:tc>
        <w:tc>
          <w:tcPr>
            <w:tcW w:w="2835" w:type="dxa"/>
            <w:vAlign w:val="center"/>
          </w:tcPr>
          <w:p>
            <w:pPr>
              <w:pStyle w:val="10"/>
            </w:pPr>
            <w:r>
              <w:t>项目名称</w:t>
            </w:r>
          </w:p>
        </w:tc>
        <w:tc>
          <w:tcPr>
            <w:tcW w:w="6095"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32.72</w:t>
            </w:r>
          </w:p>
        </w:tc>
        <w:tc>
          <w:tcPr>
            <w:tcW w:w="2835" w:type="dxa"/>
            <w:vAlign w:val="center"/>
          </w:tcPr>
          <w:p>
            <w:pPr>
              <w:pStyle w:val="10"/>
            </w:pPr>
            <w:r>
              <w:t>其中：财政    资金</w:t>
            </w:r>
          </w:p>
        </w:tc>
        <w:tc>
          <w:tcPr>
            <w:tcW w:w="2551" w:type="dxa"/>
            <w:vAlign w:val="center"/>
          </w:tcPr>
          <w:p>
            <w:pPr>
              <w:pStyle w:val="12"/>
            </w:pPr>
            <w:r>
              <w:t>32.72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预算数54.42万元，其中财政资金54.42万元，主要用于村级组织办公经费支出。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1.通过保障村级干部工作积极性，确保村级组织正常、高效运转。</w:t>
            </w:r>
            <w:r>
              <w:tab/>
            </w:r>
            <w:r>
              <w:tab/>
            </w:r>
            <w:r>
              <w:tab/>
            </w:r>
          </w:p>
          <w:p>
            <w:pPr>
              <w:pStyle w:val="12"/>
            </w:pPr>
          </w:p>
          <w:p>
            <w:pPr>
              <w:pStyle w:val="12"/>
            </w:pPr>
            <w:r>
              <w:t>2.通过及时支付村级组织办公用品、水电暖等费用，保障日常工作有序开展。</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≤1.94万元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13032125P000010100359</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预算数140万元，其中财政资金140万元，主要用于村级服务专项支出。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1.通过项目实施为村级组织公共卫生防疫、村内治安等临时劳务用工提供费用保障，为群众提供安全稳定生活环境。</w:t>
            </w:r>
            <w:r>
              <w:tab/>
            </w:r>
            <w:r>
              <w:tab/>
            </w:r>
            <w:r>
              <w:tab/>
            </w:r>
          </w:p>
          <w:p>
            <w:pPr>
              <w:pStyle w:val="12"/>
            </w:pPr>
          </w:p>
          <w:p>
            <w:pPr>
              <w:pStyle w:val="12"/>
            </w:pPr>
            <w:r>
              <w:t>2.通过开展服务群众工作，为村综合服务站日常运转、公共设施维护等提供保障，为群众提供便捷优质生产生活条件。</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对经济发展带来效果 </w:t>
            </w:r>
          </w:p>
        </w:tc>
        <w:tc>
          <w:tcPr>
            <w:tcW w:w="5386" w:type="dxa"/>
            <w:vAlign w:val="center"/>
          </w:tcPr>
          <w:p>
            <w:pPr>
              <w:pStyle w:val="12"/>
            </w:pPr>
            <w:r>
              <w:t xml:space="preserve">对经济发展带来效果 </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13032126P003306100726</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预算数5万元，其中财政资金5万元，主要用于防火防汛下乡费用支出。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1.通过扎实开展日常防火工作，广泛宣传，全天候巡查，加强防火扑救物资的储备，有效防范和遏制森林火灾的发生。</w:t>
            </w:r>
          </w:p>
          <w:p>
            <w:pPr>
              <w:pStyle w:val="12"/>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&lt;0.1%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巡查范围为整个青龙镇。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上年10月至本年5月底防火期巡查、6月至9月防汛巡查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反映用于防火防汛的宣传单等办公费</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下乡差旅费用</w:t>
            </w:r>
          </w:p>
        </w:tc>
        <w:tc>
          <w:tcPr>
            <w:tcW w:w="5386" w:type="dxa"/>
            <w:vAlign w:val="center"/>
          </w:tcPr>
          <w:p>
            <w:pPr>
              <w:pStyle w:val="12"/>
            </w:pPr>
            <w:r>
              <w:t>反映防火宣传下乡差旅费用</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消除安全隐患</w:t>
            </w:r>
          </w:p>
        </w:tc>
        <w:tc>
          <w:tcPr>
            <w:tcW w:w="5386" w:type="dxa"/>
            <w:vAlign w:val="center"/>
          </w:tcPr>
          <w:p>
            <w:pPr>
              <w:pStyle w:val="12"/>
            </w:pPr>
            <w:r>
              <w:t>反映防汛工作消除了安全隐患，保障人民生命财产安全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11、关于提前下达2025年中央专项彩票公益金支持地方社会公益事业发展资金预算的通知-青龙镇农村道路提升工程（冀财综[2024]29号）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13032125P00004010001W</w:t>
            </w:r>
          </w:p>
        </w:tc>
        <w:tc>
          <w:tcPr>
            <w:tcW w:w="2835" w:type="dxa"/>
            <w:vAlign w:val="center"/>
          </w:tcPr>
          <w:p>
            <w:pPr>
              <w:pStyle w:val="10"/>
            </w:pPr>
            <w:r>
              <w:t>项目名称</w:t>
            </w:r>
          </w:p>
        </w:tc>
        <w:tc>
          <w:tcPr>
            <w:tcW w:w="6095" w:type="dxa"/>
            <w:gridSpan w:val="3"/>
            <w:vAlign w:val="center"/>
          </w:tcPr>
          <w:p>
            <w:pPr>
              <w:pStyle w:val="12"/>
            </w:pPr>
            <w:r>
              <w:t>关于提前下达2025年中央专项彩票公益金支持地方社会公益事业发展资金预算的通知-青龙镇农村道路提升工程（冀财综[2024]29号）</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预算数94万元，其中财政资金94万元，主要用于项目工程款支出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23000000%</w:t>
            </w:r>
          </w:p>
        </w:tc>
        <w:tc>
          <w:tcPr>
            <w:tcW w:w="2835" w:type="dxa"/>
            <w:vAlign w:val="center"/>
          </w:tcPr>
          <w:p>
            <w:pPr>
              <w:pStyle w:val="13"/>
            </w:pPr>
            <w:r>
              <w:t>47000000%</w:t>
            </w:r>
          </w:p>
        </w:tc>
        <w:tc>
          <w:tcPr>
            <w:tcW w:w="2551" w:type="dxa"/>
            <w:vAlign w:val="center"/>
          </w:tcPr>
          <w:p>
            <w:pPr>
              <w:pStyle w:val="13"/>
            </w:pPr>
            <w:r>
              <w:t>70000000%</w:t>
            </w:r>
          </w:p>
        </w:tc>
        <w:tc>
          <w:tcPr>
            <w:tcW w:w="3544" w:type="dxa"/>
            <w:gridSpan w:val="2"/>
            <w:vAlign w:val="center"/>
          </w:tcPr>
          <w:p>
            <w:pPr>
              <w:pStyle w:val="13"/>
            </w:pPr>
            <w:r>
              <w:t>94000000%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p>
          <w:p>
            <w:pPr>
              <w:pStyle w:val="12"/>
            </w:pPr>
            <w:r>
              <w:t>2.通过项目有效实施，解决农副产品运输问题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≤4.7公里</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≤94万元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≥4031人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12、关于提前下达2026年革命老区转移支付预算的通知-青龙镇西双山村道路改造项目（冀财预[2025]35号）绩效目标表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13032126P00004810009M</w:t>
            </w:r>
          </w:p>
        </w:tc>
        <w:tc>
          <w:tcPr>
            <w:tcW w:w="2835" w:type="dxa"/>
            <w:vAlign w:val="center"/>
          </w:tcPr>
          <w:p>
            <w:pPr>
              <w:pStyle w:val="10"/>
            </w:pPr>
            <w:r>
              <w:t>项目名称</w:t>
            </w:r>
          </w:p>
        </w:tc>
        <w:tc>
          <w:tcPr>
            <w:tcW w:w="6095" w:type="dxa"/>
            <w:gridSpan w:val="3"/>
            <w:vAlign w:val="center"/>
          </w:tcPr>
          <w:p>
            <w:pPr>
              <w:pStyle w:val="12"/>
            </w:pPr>
            <w:r>
              <w:t>关于提前下达2026年革命老区转移支付预算的通知-青龙镇西双山村道路改造项目（冀财预[2025]35号）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预算数200万元，其中财政资金200万元，主要用于基础设施建设费用。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r>
              <w:tab/>
            </w:r>
            <w:r>
              <w:tab/>
            </w:r>
            <w:r>
              <w:tab/>
            </w:r>
            <w:r>
              <w:tab/>
            </w:r>
            <w:r>
              <w:tab/>
            </w:r>
            <w:r>
              <w:tab/>
            </w:r>
          </w:p>
          <w:p>
            <w:pPr>
              <w:pStyle w:val="12"/>
            </w:pPr>
          </w:p>
          <w:p>
            <w:pPr>
              <w:pStyle w:val="12"/>
            </w:pPr>
            <w:r>
              <w:t>2."通过修建道路，改善村民出行环境，保证人民群众生命财产安全。</w:t>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≤2649米</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≤200万元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≥3208人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13、关于提前下达2026年省级财政衔接推进乡村振兴补助资金(驻村工作队综合经费）预算的通知-五道沟村经费（冀财农[2025]112号绩效目标表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13032126P00328310177J</w:t>
            </w:r>
          </w:p>
        </w:tc>
        <w:tc>
          <w:tcPr>
            <w:tcW w:w="2835" w:type="dxa"/>
            <w:vAlign w:val="center"/>
          </w:tcPr>
          <w:p>
            <w:pPr>
              <w:pStyle w:val="10"/>
            </w:pPr>
            <w:r>
              <w:t>项目名称</w:t>
            </w:r>
          </w:p>
        </w:tc>
        <w:tc>
          <w:tcPr>
            <w:tcW w:w="6095" w:type="dxa"/>
            <w:gridSpan w:val="3"/>
            <w:vAlign w:val="center"/>
          </w:tcPr>
          <w:p>
            <w:pPr>
              <w:pStyle w:val="12"/>
            </w:pPr>
            <w:r>
              <w:t>关于提前下达2026年省级财政衔接推进乡村振兴补助资金(驻村工作队综合经费）预算的通知-五道沟村经费（冀财农[2025]112号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预算数8万元，其中财政资金8万元，主要用于驻村工作经费支出。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1.通过开展扶贫、防贫工作，实现脱贫目标，巩固扶贫成果，推进乡村振兴。</w:t>
            </w:r>
          </w:p>
          <w:p>
            <w:pPr>
              <w:pStyle w:val="12"/>
            </w:pPr>
            <w:r>
              <w:t>2.通过实施该项目，为扶贫工作驻村工作队提供经费保障，使其扶贫、防贫工作正常开展。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反映驻村工作队数量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脱贫村人口</w:t>
            </w:r>
          </w:p>
        </w:tc>
        <w:tc>
          <w:tcPr>
            <w:tcW w:w="5386" w:type="dxa"/>
            <w:vAlign w:val="center"/>
          </w:tcPr>
          <w:p>
            <w:pPr>
              <w:pStyle w:val="12"/>
            </w:pPr>
            <w:r>
              <w:t>反映省级驻村脱贫村脱贫人口</w:t>
            </w:r>
          </w:p>
        </w:tc>
        <w:tc>
          <w:tcPr>
            <w:tcW w:w="2268" w:type="dxa"/>
            <w:vAlign w:val="center"/>
          </w:tcPr>
          <w:p>
            <w:pPr>
              <w:pStyle w:val="12"/>
            </w:pPr>
            <w:r>
              <w:t>≥1293人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脱贫达标率</w:t>
            </w:r>
          </w:p>
        </w:tc>
        <w:tc>
          <w:tcPr>
            <w:tcW w:w="5386" w:type="dxa"/>
            <w:vAlign w:val="center"/>
          </w:tcPr>
          <w:p>
            <w:pPr>
              <w:pStyle w:val="12"/>
            </w:pPr>
            <w:r>
              <w:t>反映脱贫达标率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反映各项扶贫工作按年度计划完成率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贫困村驻村工作队出勤率</w:t>
            </w:r>
          </w:p>
        </w:tc>
        <w:tc>
          <w:tcPr>
            <w:tcW w:w="5386" w:type="dxa"/>
            <w:vAlign w:val="center"/>
          </w:tcPr>
          <w:p>
            <w:pPr>
              <w:pStyle w:val="12"/>
            </w:pPr>
            <w:r>
              <w:t>每月在村工作天数占要求天数的比重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费用预算控制数</w:t>
            </w:r>
          </w:p>
        </w:tc>
        <w:tc>
          <w:tcPr>
            <w:tcW w:w="5386" w:type="dxa"/>
            <w:vAlign w:val="center"/>
          </w:tcPr>
          <w:p>
            <w:pPr>
              <w:pStyle w:val="12"/>
            </w:pPr>
            <w:r>
              <w:t>反映省级驻村工作队经费保障标准/村</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保障贫困村驻村工作正常进行</w:t>
            </w:r>
          </w:p>
        </w:tc>
        <w:tc>
          <w:tcPr>
            <w:tcW w:w="5386" w:type="dxa"/>
            <w:vAlign w:val="center"/>
          </w:tcPr>
          <w:p>
            <w:pPr>
              <w:pStyle w:val="12"/>
            </w:pPr>
            <w:r>
              <w:t>足额发放工作经费保障贫困村驻村工作正常进行</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村民调查满意度</w:t>
            </w:r>
          </w:p>
        </w:tc>
        <w:tc>
          <w:tcPr>
            <w:tcW w:w="5386" w:type="dxa"/>
            <w:vAlign w:val="center"/>
          </w:tcPr>
          <w:p>
            <w:pPr>
              <w:pStyle w:val="12"/>
            </w:pPr>
            <w:r>
              <w:t>脱贫村村民参与调查的满意度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14、马成林等2户拆迁安置补偿绩效目标表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13032126P00010910015K</w:t>
            </w:r>
          </w:p>
        </w:tc>
        <w:tc>
          <w:tcPr>
            <w:tcW w:w="2835" w:type="dxa"/>
            <w:vAlign w:val="center"/>
          </w:tcPr>
          <w:p>
            <w:pPr>
              <w:pStyle w:val="10"/>
            </w:pPr>
            <w:r>
              <w:t>项目名称</w:t>
            </w:r>
          </w:p>
        </w:tc>
        <w:tc>
          <w:tcPr>
            <w:tcW w:w="6095" w:type="dxa"/>
            <w:gridSpan w:val="3"/>
            <w:vAlign w:val="center"/>
          </w:tcPr>
          <w:p>
            <w:pPr>
              <w:pStyle w:val="12"/>
            </w:pPr>
            <w:r>
              <w:t>马成林等2户拆迁安置补偿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900.00</w:t>
            </w:r>
          </w:p>
        </w:tc>
        <w:tc>
          <w:tcPr>
            <w:tcW w:w="2835" w:type="dxa"/>
            <w:vAlign w:val="center"/>
          </w:tcPr>
          <w:p>
            <w:pPr>
              <w:pStyle w:val="10"/>
            </w:pPr>
            <w:r>
              <w:t>其中：财政    资金</w:t>
            </w:r>
          </w:p>
        </w:tc>
        <w:tc>
          <w:tcPr>
            <w:tcW w:w="2551" w:type="dxa"/>
            <w:vAlign w:val="center"/>
          </w:tcPr>
          <w:p>
            <w:pPr>
              <w:pStyle w:val="12"/>
            </w:pPr>
            <w:r>
              <w:t>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预算900万元，其中财政资金900万元，主要用于拆迁补偿费用。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1.确保过渡期安置补偿及时拨付到位。</w:t>
            </w:r>
          </w:p>
          <w:p>
            <w:pPr>
              <w:pStyle w:val="12"/>
            </w:pPr>
            <w:r>
              <w:t>2.通过过渡期安置补偿拨付，解决信访隐患问题。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补偿户数</w:t>
            </w:r>
          </w:p>
        </w:tc>
        <w:tc>
          <w:tcPr>
            <w:tcW w:w="5386" w:type="dxa"/>
            <w:vAlign w:val="center"/>
          </w:tcPr>
          <w:p>
            <w:pPr>
              <w:pStyle w:val="12"/>
            </w:pPr>
            <w:r>
              <w:t>因征迁工作需要补偿的居民户数</w:t>
            </w:r>
          </w:p>
        </w:tc>
        <w:tc>
          <w:tcPr>
            <w:tcW w:w="2268" w:type="dxa"/>
            <w:vAlign w:val="center"/>
          </w:tcPr>
          <w:p>
            <w:pPr>
              <w:pStyle w:val="12"/>
            </w:pPr>
            <w:r>
              <w:t>2户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安置补偿金额</w:t>
            </w:r>
          </w:p>
        </w:tc>
        <w:tc>
          <w:tcPr>
            <w:tcW w:w="5386" w:type="dxa"/>
            <w:vAlign w:val="center"/>
          </w:tcPr>
          <w:p>
            <w:pPr>
              <w:pStyle w:val="12"/>
            </w:pPr>
            <w:r>
              <w:t>过渡期安置补偿马成林金额</w:t>
            </w:r>
          </w:p>
        </w:tc>
        <w:tc>
          <w:tcPr>
            <w:tcW w:w="2268" w:type="dxa"/>
            <w:vAlign w:val="center"/>
          </w:tcPr>
          <w:p>
            <w:pPr>
              <w:pStyle w:val="12"/>
            </w:pPr>
            <w:r>
              <w:t>≤384.8万元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安置补偿金额</w:t>
            </w:r>
          </w:p>
        </w:tc>
        <w:tc>
          <w:tcPr>
            <w:tcW w:w="5386" w:type="dxa"/>
            <w:vAlign w:val="center"/>
          </w:tcPr>
          <w:p>
            <w:pPr>
              <w:pStyle w:val="12"/>
            </w:pPr>
            <w:r>
              <w:t>过渡期安置补偿马清华金额</w:t>
            </w:r>
          </w:p>
        </w:tc>
        <w:tc>
          <w:tcPr>
            <w:tcW w:w="2268" w:type="dxa"/>
            <w:vAlign w:val="center"/>
          </w:tcPr>
          <w:p>
            <w:pPr>
              <w:pStyle w:val="12"/>
            </w:pPr>
            <w:r>
              <w:t>≤515.2万元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增加经济收入</w:t>
            </w:r>
          </w:p>
        </w:tc>
        <w:tc>
          <w:tcPr>
            <w:tcW w:w="5386" w:type="dxa"/>
            <w:vAlign w:val="center"/>
          </w:tcPr>
          <w:p>
            <w:pPr>
              <w:pStyle w:val="12"/>
            </w:pPr>
            <w:r>
              <w:t>通过对拆迁户补偿资金的拨付,增加经济收入</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13032126P00005810039G</w:t>
            </w:r>
          </w:p>
        </w:tc>
        <w:tc>
          <w:tcPr>
            <w:tcW w:w="2835" w:type="dxa"/>
            <w:vAlign w:val="center"/>
          </w:tcPr>
          <w:p>
            <w:pPr>
              <w:pStyle w:val="10"/>
            </w:pPr>
            <w:r>
              <w:t>项目名称</w:t>
            </w:r>
          </w:p>
        </w:tc>
        <w:tc>
          <w:tcPr>
            <w:tcW w:w="6095"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预算安排资金5万元，其中财政资金5万元，主要用于农村环境整治经费的支出。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1.通过环境整治工作，解决村庄环境脏、乱、差问题，确保村容村貌干净整洁有序。</w:t>
            </w:r>
          </w:p>
          <w:p>
            <w:pPr>
              <w:pStyle w:val="12"/>
            </w:pPr>
            <w:r>
              <w:t>2.通过环境整治工作，改善农村生态环境，确保提高人民生活环境质量。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≥100次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全乡20%群众环保意识有所提高。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通过开展信息宣传工作，创造良好的舆论氛围，使我厅工作得到广大受众的充分认可。</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16、其他村两委干部绩效补贴绩效目标表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13032125P00001010126A</w:t>
            </w:r>
          </w:p>
        </w:tc>
        <w:tc>
          <w:tcPr>
            <w:tcW w:w="2835" w:type="dxa"/>
            <w:vAlign w:val="center"/>
          </w:tcPr>
          <w:p>
            <w:pPr>
              <w:pStyle w:val="10"/>
            </w:pPr>
            <w:r>
              <w:t>项目名称</w:t>
            </w:r>
          </w:p>
        </w:tc>
        <w:tc>
          <w:tcPr>
            <w:tcW w:w="6095" w:type="dxa"/>
            <w:gridSpan w:val="3"/>
            <w:vAlign w:val="center"/>
          </w:tcPr>
          <w:p>
            <w:pPr>
              <w:pStyle w:val="12"/>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47.52</w:t>
            </w:r>
          </w:p>
        </w:tc>
        <w:tc>
          <w:tcPr>
            <w:tcW w:w="2835" w:type="dxa"/>
            <w:vAlign w:val="center"/>
          </w:tcPr>
          <w:p>
            <w:pPr>
              <w:pStyle w:val="10"/>
            </w:pPr>
            <w:r>
              <w:t>其中：财政    资金</w:t>
            </w:r>
          </w:p>
        </w:tc>
        <w:tc>
          <w:tcPr>
            <w:tcW w:w="2551" w:type="dxa"/>
            <w:vAlign w:val="center"/>
          </w:tcPr>
          <w:p>
            <w:pPr>
              <w:pStyle w:val="12"/>
            </w:pPr>
            <w:r>
              <w:t>47.52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预算数71.592万元、其中财政资金71.592万元，主要用于村两委干部绩效工资支出。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1.通过及时发放村民两委干部绩效补贴，为农村干部工作生活提供保障。</w:t>
            </w:r>
            <w:r>
              <w:tab/>
            </w:r>
            <w:r>
              <w:tab/>
            </w:r>
            <w:r>
              <w:tab/>
            </w:r>
            <w:r>
              <w:tab/>
            </w:r>
            <w:r>
              <w:tab/>
            </w:r>
            <w:r>
              <w:tab/>
            </w:r>
          </w:p>
          <w:p>
            <w:pPr>
              <w:pStyle w:val="12"/>
            </w:pPr>
          </w:p>
          <w:p>
            <w:pPr>
              <w:pStyle w:val="12"/>
            </w:pPr>
            <w:r>
              <w:t>2.激发农村干部干事创业热情，确保村级工作正常运转及村干部队伍稳定。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反映发放村干部基本职务补贴的村数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142人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村两委干部绩效工资</w:t>
            </w:r>
          </w:p>
        </w:tc>
        <w:tc>
          <w:tcPr>
            <w:tcW w:w="5386" w:type="dxa"/>
            <w:vAlign w:val="center"/>
          </w:tcPr>
          <w:p>
            <w:pPr>
              <w:pStyle w:val="12"/>
            </w:pPr>
            <w:r>
              <w:t>反映村两委干部绩效工资发放情况</w:t>
            </w:r>
          </w:p>
        </w:tc>
        <w:tc>
          <w:tcPr>
            <w:tcW w:w="2268" w:type="dxa"/>
            <w:vAlign w:val="center"/>
          </w:tcPr>
          <w:p>
            <w:pPr>
              <w:pStyle w:val="12"/>
            </w:pPr>
            <w:r>
              <w:t>715920元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13032126P00331910036D</w:t>
            </w:r>
          </w:p>
        </w:tc>
        <w:tc>
          <w:tcPr>
            <w:tcW w:w="2835" w:type="dxa"/>
            <w:vAlign w:val="center"/>
          </w:tcPr>
          <w:p>
            <w:pPr>
              <w:pStyle w:val="10"/>
            </w:pPr>
            <w:r>
              <w:t>项目名称</w:t>
            </w:r>
          </w:p>
        </w:tc>
        <w:tc>
          <w:tcPr>
            <w:tcW w:w="6095" w:type="dxa"/>
            <w:gridSpan w:val="3"/>
            <w:vAlign w:val="center"/>
          </w:tcPr>
          <w:p>
            <w:pPr>
              <w:pStyle w:val="12"/>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预算安排资金1万元，其中财政资金1万元，主要用于自然灾害普查经费的支出。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1.通过发现问题隐患，及早上报处置，降低人民群众生命财产损失。</w:t>
            </w:r>
          </w:p>
          <w:p>
            <w:pPr>
              <w:pStyle w:val="12"/>
            </w:pPr>
            <w:r>
              <w:t>2.通过辖区内自然灾害风险普查，增强群众防范意识。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风险普查次数</w:t>
            </w:r>
          </w:p>
        </w:tc>
        <w:tc>
          <w:tcPr>
            <w:tcW w:w="5386" w:type="dxa"/>
            <w:vAlign w:val="center"/>
          </w:tcPr>
          <w:p>
            <w:pPr>
              <w:pStyle w:val="12"/>
            </w:pPr>
            <w:r>
              <w:t>反映每年安排风险普查次</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≥49800人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风险排查率</w:t>
            </w:r>
          </w:p>
        </w:tc>
        <w:tc>
          <w:tcPr>
            <w:tcW w:w="5386" w:type="dxa"/>
            <w:vAlign w:val="center"/>
          </w:tcPr>
          <w:p>
            <w:pPr>
              <w:pStyle w:val="12"/>
            </w:pPr>
            <w:r>
              <w:t>反映普查发现隐患数量占年度自然灾害总数的比率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反映降低因自然灾害造成群众恐慌情绪</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群众对风险普查工作的满意率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18、森林体育公园防火通道项目征地资金补偿金绩效目标表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13032126P00010910020D</w:t>
            </w:r>
          </w:p>
        </w:tc>
        <w:tc>
          <w:tcPr>
            <w:tcW w:w="2835" w:type="dxa"/>
            <w:vAlign w:val="center"/>
          </w:tcPr>
          <w:p>
            <w:pPr>
              <w:pStyle w:val="10"/>
            </w:pPr>
            <w:r>
              <w:t>项目名称</w:t>
            </w:r>
          </w:p>
        </w:tc>
        <w:tc>
          <w:tcPr>
            <w:tcW w:w="6095" w:type="dxa"/>
            <w:gridSpan w:val="3"/>
            <w:vAlign w:val="center"/>
          </w:tcPr>
          <w:p>
            <w:pPr>
              <w:pStyle w:val="12"/>
            </w:pPr>
            <w:r>
              <w:t>森林体育公园防火通道项目征地资金补偿金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113.50</w:t>
            </w:r>
          </w:p>
        </w:tc>
        <w:tc>
          <w:tcPr>
            <w:tcW w:w="2835" w:type="dxa"/>
            <w:vAlign w:val="center"/>
          </w:tcPr>
          <w:p>
            <w:pPr>
              <w:pStyle w:val="10"/>
            </w:pPr>
            <w:r>
              <w:t>其中：财政    资金</w:t>
            </w:r>
          </w:p>
        </w:tc>
        <w:tc>
          <w:tcPr>
            <w:tcW w:w="2551" w:type="dxa"/>
            <w:vAlign w:val="center"/>
          </w:tcPr>
          <w:p>
            <w:pPr>
              <w:pStyle w:val="12"/>
            </w:pPr>
            <w:r>
              <w:t>113.50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预算数113.49765万元，其中财政资金113.49765万元，主要用于拆迁补偿款支出。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1.通过资金及时拨付到位，解决信访问题。</w:t>
            </w:r>
          </w:p>
          <w:p>
            <w:pPr>
              <w:pStyle w:val="12"/>
            </w:pPr>
            <w:r>
              <w:t>2.确保项目土地征拆补偿资金及时拨付到位。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补偿村数</w:t>
            </w:r>
          </w:p>
        </w:tc>
        <w:tc>
          <w:tcPr>
            <w:tcW w:w="5386" w:type="dxa"/>
            <w:vAlign w:val="center"/>
          </w:tcPr>
          <w:p>
            <w:pPr>
              <w:pStyle w:val="12"/>
            </w:pPr>
            <w:r>
              <w:t>因征迁工作需要补偿的居民户数</w:t>
            </w:r>
          </w:p>
        </w:tc>
        <w:tc>
          <w:tcPr>
            <w:tcW w:w="2268" w:type="dxa"/>
            <w:vAlign w:val="center"/>
          </w:tcPr>
          <w:p>
            <w:pPr>
              <w:pStyle w:val="12"/>
            </w:pPr>
            <w:r>
              <w:t>2村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补偿金额</w:t>
            </w:r>
          </w:p>
        </w:tc>
        <w:tc>
          <w:tcPr>
            <w:tcW w:w="5386" w:type="dxa"/>
            <w:vAlign w:val="center"/>
          </w:tcPr>
          <w:p>
            <w:pPr>
              <w:pStyle w:val="12"/>
            </w:pPr>
            <w:r>
              <w:t>补偿金标准及征地补偿金</w:t>
            </w:r>
          </w:p>
        </w:tc>
        <w:tc>
          <w:tcPr>
            <w:tcW w:w="2268" w:type="dxa"/>
            <w:vAlign w:val="center"/>
          </w:tcPr>
          <w:p>
            <w:pPr>
              <w:pStyle w:val="12"/>
            </w:pPr>
            <w:r>
              <w:t>≤113.5万元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19、西城区拆迁过渡安置费绩效目标表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13032126P000109100192</w:t>
            </w:r>
          </w:p>
        </w:tc>
        <w:tc>
          <w:tcPr>
            <w:tcW w:w="2835" w:type="dxa"/>
            <w:vAlign w:val="center"/>
          </w:tcPr>
          <w:p>
            <w:pPr>
              <w:pStyle w:val="10"/>
            </w:pPr>
            <w:r>
              <w:t>项目名称</w:t>
            </w:r>
          </w:p>
        </w:tc>
        <w:tc>
          <w:tcPr>
            <w:tcW w:w="6095" w:type="dxa"/>
            <w:gridSpan w:val="3"/>
            <w:vAlign w:val="center"/>
          </w:tcPr>
          <w:p>
            <w:pPr>
              <w:pStyle w:val="12"/>
            </w:pPr>
            <w:r>
              <w:t>西城区拆迁过渡安置费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预算数40万元，其中财政资金40万元，主要用于安置补偿支出。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1.确保过渡期安置补偿及时拨付到位。</w:t>
            </w:r>
          </w:p>
          <w:p>
            <w:pPr>
              <w:pStyle w:val="12"/>
            </w:pPr>
            <w:r>
              <w:t>2.通过过渡期安置补偿拨付，解决信访隐患问题。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补偿户数</w:t>
            </w:r>
          </w:p>
        </w:tc>
        <w:tc>
          <w:tcPr>
            <w:tcW w:w="5386" w:type="dxa"/>
            <w:vAlign w:val="center"/>
          </w:tcPr>
          <w:p>
            <w:pPr>
              <w:pStyle w:val="12"/>
            </w:pPr>
            <w:r>
              <w:t>因征迁工作需要补偿的居民户数</w:t>
            </w:r>
          </w:p>
        </w:tc>
        <w:tc>
          <w:tcPr>
            <w:tcW w:w="2268" w:type="dxa"/>
            <w:vAlign w:val="center"/>
          </w:tcPr>
          <w:p>
            <w:pPr>
              <w:pStyle w:val="12"/>
            </w:pPr>
            <w:r>
              <w:t>2户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安置补偿标准</w:t>
            </w:r>
          </w:p>
        </w:tc>
        <w:tc>
          <w:tcPr>
            <w:tcW w:w="5386" w:type="dxa"/>
            <w:vAlign w:val="center"/>
          </w:tcPr>
          <w:p>
            <w:pPr>
              <w:pStyle w:val="12"/>
            </w:pPr>
            <w:r>
              <w:t>过渡期安置补偿金标准</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安置补偿金额</w:t>
            </w:r>
          </w:p>
        </w:tc>
        <w:tc>
          <w:tcPr>
            <w:tcW w:w="5386" w:type="dxa"/>
            <w:vAlign w:val="center"/>
          </w:tcPr>
          <w:p>
            <w:pPr>
              <w:pStyle w:val="12"/>
            </w:pPr>
            <w:r>
              <w:t>过渡期安置补偿金额</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增加经济收入</w:t>
            </w:r>
          </w:p>
        </w:tc>
        <w:tc>
          <w:tcPr>
            <w:tcW w:w="5386" w:type="dxa"/>
            <w:vAlign w:val="center"/>
          </w:tcPr>
          <w:p>
            <w:pPr>
              <w:pStyle w:val="12"/>
            </w:pPr>
            <w:r>
              <w:t>通过对拆迁户补偿资金的拨付,增加经济收入</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13032126P000115101188</w:t>
            </w:r>
          </w:p>
        </w:tc>
        <w:tc>
          <w:tcPr>
            <w:tcW w:w="2835" w:type="dxa"/>
            <w:vAlign w:val="center"/>
          </w:tcPr>
          <w:p>
            <w:pPr>
              <w:pStyle w:val="10"/>
            </w:pPr>
            <w:r>
              <w:t>项目名称</w:t>
            </w:r>
          </w:p>
        </w:tc>
        <w:tc>
          <w:tcPr>
            <w:tcW w:w="6095" w:type="dxa"/>
            <w:gridSpan w:val="3"/>
            <w:vAlign w:val="center"/>
          </w:tcPr>
          <w:p>
            <w:pPr>
              <w:pStyle w:val="12"/>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w:t>
            </w:r>
          </w:p>
        </w:tc>
        <w:tc>
          <w:tcPr>
            <w:tcW w:w="2835" w:type="dxa"/>
            <w:vAlign w:val="center"/>
          </w:tcPr>
          <w:p>
            <w:pPr>
              <w:pStyle w:val="10"/>
            </w:pPr>
            <w:r>
              <w:t>其中：财政    资金</w:t>
            </w:r>
          </w:p>
        </w:tc>
        <w:tc>
          <w:tcPr>
            <w:tcW w:w="2551" w:type="dxa"/>
            <w:vAlign w:val="center"/>
          </w:tcPr>
          <w:p>
            <w:pPr>
              <w:pStyle w:val="12"/>
            </w:pPr>
            <w:r>
              <w:t>2.30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预算数2.3万元，其中财政资金2.3万元，主要用于矽肺病工伤救助支出。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1.通过县工信局文件精神，确保矽肺病人补助资金及时足额拨付到位，维护社会稳定。</w:t>
            </w:r>
          </w:p>
          <w:p>
            <w:pPr>
              <w:pStyle w:val="12"/>
            </w:pPr>
            <w:r>
              <w:t>2.通过对矽肺病人员救助赔偿金的及时足额发放，消除信访隐患.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二级残疾发放标准</w:t>
            </w:r>
          </w:p>
        </w:tc>
        <w:tc>
          <w:tcPr>
            <w:tcW w:w="2268" w:type="dxa"/>
            <w:vAlign w:val="center"/>
          </w:tcPr>
          <w:p>
            <w:pPr>
              <w:pStyle w:val="12"/>
            </w:pPr>
            <w:r>
              <w:t>2.3万元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及时发放资金，保障社会安定，杜决上访事件发生。</w:t>
            </w:r>
          </w:p>
        </w:tc>
        <w:tc>
          <w:tcPr>
            <w:tcW w:w="2268" w:type="dxa"/>
            <w:vAlign w:val="center"/>
          </w:tcPr>
          <w:p>
            <w:pPr>
              <w:pStyle w:val="12"/>
            </w:pPr>
            <w:r>
              <w:t>上访率为0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13032126P00011510119U</w:t>
            </w:r>
          </w:p>
        </w:tc>
        <w:tc>
          <w:tcPr>
            <w:tcW w:w="2835" w:type="dxa"/>
            <w:vAlign w:val="center"/>
          </w:tcPr>
          <w:p>
            <w:pPr>
              <w:pStyle w:val="10"/>
            </w:pPr>
            <w:r>
              <w:t>项目名称</w:t>
            </w:r>
          </w:p>
        </w:tc>
        <w:tc>
          <w:tcPr>
            <w:tcW w:w="6095" w:type="dxa"/>
            <w:gridSpan w:val="3"/>
            <w:vAlign w:val="center"/>
          </w:tcPr>
          <w:p>
            <w:pPr>
              <w:pStyle w:val="12"/>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3.02</w:t>
            </w:r>
          </w:p>
        </w:tc>
        <w:tc>
          <w:tcPr>
            <w:tcW w:w="2835" w:type="dxa"/>
            <w:vAlign w:val="center"/>
          </w:tcPr>
          <w:p>
            <w:pPr>
              <w:pStyle w:val="10"/>
            </w:pPr>
            <w:r>
              <w:t>其中：财政    资金</w:t>
            </w:r>
          </w:p>
        </w:tc>
        <w:tc>
          <w:tcPr>
            <w:tcW w:w="2551" w:type="dxa"/>
            <w:vAlign w:val="center"/>
          </w:tcPr>
          <w:p>
            <w:pPr>
              <w:pStyle w:val="12"/>
            </w:pPr>
            <w:r>
              <w:t>3.02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预算数3.024万元，其中财政资金3.024万元，主要用于矽肺病困难生活补助支出。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1."通过对矽肺病人发放生活补助，保障病人基本生活。</w:t>
            </w:r>
            <w:r>
              <w:tab/>
            </w:r>
            <w:r>
              <w:t>"</w:t>
            </w:r>
            <w:r>
              <w:tab/>
            </w:r>
            <w:r>
              <w:tab/>
            </w:r>
          </w:p>
          <w:p>
            <w:pPr>
              <w:pStyle w:val="12"/>
            </w:pPr>
            <w:r>
              <w:t>2.稳控不稳定群体，确保基层社会稳定。</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享受生活困难补助的矽肺病人数</w:t>
            </w:r>
          </w:p>
        </w:tc>
        <w:tc>
          <w:tcPr>
            <w:tcW w:w="2268" w:type="dxa"/>
            <w:vAlign w:val="center"/>
          </w:tcPr>
          <w:p>
            <w:pPr>
              <w:pStyle w:val="12"/>
            </w:pPr>
            <w:r>
              <w:t>7人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每人每月发放标准</w:t>
            </w:r>
          </w:p>
        </w:tc>
        <w:tc>
          <w:tcPr>
            <w:tcW w:w="2268" w:type="dxa"/>
            <w:vAlign w:val="center"/>
          </w:tcPr>
          <w:p>
            <w:pPr>
              <w:pStyle w:val="12"/>
            </w:pPr>
            <w:r>
              <w:t>≤360元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每人每年发放标准</w:t>
            </w:r>
          </w:p>
        </w:tc>
        <w:tc>
          <w:tcPr>
            <w:tcW w:w="2268" w:type="dxa"/>
            <w:vAlign w:val="center"/>
          </w:tcPr>
          <w:p>
            <w:pPr>
              <w:pStyle w:val="12"/>
            </w:pPr>
            <w:r>
              <w:t>≤4320元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及时发放资金，保障社会安定，杜决上访事件发生。</w:t>
            </w:r>
          </w:p>
        </w:tc>
        <w:tc>
          <w:tcPr>
            <w:tcW w:w="2268" w:type="dxa"/>
            <w:vAlign w:val="center"/>
          </w:tcPr>
          <w:p>
            <w:pPr>
              <w:pStyle w:val="12"/>
            </w:pPr>
            <w:r>
              <w:t>上访率为0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22、乡村振兴工作经费绩效目标表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13032126P00328310171W</w:t>
            </w:r>
          </w:p>
        </w:tc>
        <w:tc>
          <w:tcPr>
            <w:tcW w:w="2835" w:type="dxa"/>
            <w:vAlign w:val="center"/>
          </w:tcPr>
          <w:p>
            <w:pPr>
              <w:pStyle w:val="10"/>
            </w:pPr>
            <w:r>
              <w:t>项目名称</w:t>
            </w:r>
          </w:p>
        </w:tc>
        <w:tc>
          <w:tcPr>
            <w:tcW w:w="6095" w:type="dxa"/>
            <w:gridSpan w:val="3"/>
            <w:vAlign w:val="center"/>
          </w:tcPr>
          <w:p>
            <w:pPr>
              <w:pStyle w:val="12"/>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预算数1万元，其中财政资金1万元，主要用于乡村振兴办公费支出。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1.通过有效保障扶贫日常工作有序开展，为完成脱贫攻坚任务提供有力保障。</w:t>
            </w:r>
            <w:r>
              <w:tab/>
            </w:r>
            <w:r>
              <w:tab/>
            </w:r>
            <w:r>
              <w:tab/>
            </w:r>
          </w:p>
          <w:p>
            <w:pPr>
              <w:pStyle w:val="12"/>
            </w:pPr>
          </w:p>
          <w:p>
            <w:pPr>
              <w:pStyle w:val="12"/>
            </w:pPr>
            <w:r>
              <w:t>2.通过下乡深入基层开展扶贫工作，保障扶贫工作政策有效落实完成。</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下乡次数</w:t>
            </w:r>
          </w:p>
        </w:tc>
        <w:tc>
          <w:tcPr>
            <w:tcW w:w="5386" w:type="dxa"/>
            <w:vAlign w:val="center"/>
          </w:tcPr>
          <w:p>
            <w:pPr>
              <w:pStyle w:val="12"/>
            </w:pPr>
            <w:r>
              <w:t>反映下乡次数</w:t>
            </w:r>
          </w:p>
        </w:tc>
        <w:tc>
          <w:tcPr>
            <w:tcW w:w="2268" w:type="dxa"/>
            <w:vAlign w:val="center"/>
          </w:tcPr>
          <w:p>
            <w:pPr>
              <w:pStyle w:val="12"/>
            </w:pPr>
            <w:r>
              <w:t>≤300次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购买办公用品</w:t>
            </w:r>
          </w:p>
        </w:tc>
        <w:tc>
          <w:tcPr>
            <w:tcW w:w="5386" w:type="dxa"/>
            <w:vAlign w:val="center"/>
          </w:tcPr>
          <w:p>
            <w:pPr>
              <w:pStyle w:val="12"/>
            </w:pPr>
            <w:r>
              <w:t>反映下乡期间产生的办公用品的数量</w:t>
            </w:r>
          </w:p>
        </w:tc>
        <w:tc>
          <w:tcPr>
            <w:tcW w:w="2268" w:type="dxa"/>
            <w:vAlign w:val="center"/>
          </w:tcPr>
          <w:p>
            <w:pPr>
              <w:pStyle w:val="12"/>
            </w:pPr>
            <w:r>
              <w:t>≤5000张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反映下乡调研入户的贫困户占贫困户总数的比例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反映各项工作按年度计划完成情况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用于下乡扶贫的办公经费支出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反映下乡次数及费用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保障脱贫工作的正常运行</w:t>
            </w:r>
          </w:p>
        </w:tc>
        <w:tc>
          <w:tcPr>
            <w:tcW w:w="5386" w:type="dxa"/>
            <w:vAlign w:val="center"/>
          </w:tcPr>
          <w:p>
            <w:pPr>
              <w:pStyle w:val="12"/>
            </w:pPr>
            <w:r>
              <w:t>保障脱贫工作的正常运行，反映脱贫村数量</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改善贫困户生活环境</w:t>
            </w:r>
          </w:p>
        </w:tc>
        <w:tc>
          <w:tcPr>
            <w:tcW w:w="5386" w:type="dxa"/>
            <w:vAlign w:val="center"/>
          </w:tcPr>
          <w:p>
            <w:pPr>
              <w:pStyle w:val="12"/>
            </w:pPr>
            <w:r>
              <w:t>反映贫困户生活环境得到改善。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13032126P003337100664</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w:t>
            </w:r>
          </w:p>
        </w:tc>
        <w:tc>
          <w:tcPr>
            <w:tcW w:w="2835" w:type="dxa"/>
            <w:vAlign w:val="center"/>
          </w:tcPr>
          <w:p>
            <w:pPr>
              <w:pStyle w:val="10"/>
            </w:pPr>
            <w:r>
              <w:t>其中：财政    资金</w:t>
            </w:r>
          </w:p>
        </w:tc>
        <w:tc>
          <w:tcPr>
            <w:tcW w:w="2551" w:type="dxa"/>
            <w:vAlign w:val="center"/>
          </w:tcPr>
          <w:p>
            <w:pPr>
              <w:pStyle w:val="12"/>
            </w:pPr>
            <w:r>
              <w:t>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预算数8.5万元，其中财政资金8.5万元，主要用于信访差旅费等支出。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1.通过加强法制宣传教育，提高公民的法律意识和素质，教育群众知法、懂法和守法。</w:t>
            </w:r>
            <w:r>
              <w:tab/>
            </w:r>
            <w:r>
              <w:tab/>
            </w:r>
            <w:r>
              <w:tab/>
            </w:r>
          </w:p>
          <w:p>
            <w:pPr>
              <w:pStyle w:val="12"/>
            </w:pPr>
          </w:p>
          <w:p>
            <w:pPr>
              <w:pStyle w:val="12"/>
            </w:pPr>
            <w:r>
              <w:t>2.通过妥善处理突发性、群体性事件，搞好村级治安工作，深化农村平安创建工作。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w:t>
            </w:r>
          </w:p>
        </w:tc>
        <w:tc>
          <w:tcPr>
            <w:tcW w:w="5386" w:type="dxa"/>
            <w:vAlign w:val="center"/>
          </w:tcPr>
          <w:p>
            <w:pPr>
              <w:pStyle w:val="12"/>
            </w:pPr>
            <w:r>
              <w:t>反映去京、秦市、下乡出差费用</w:t>
            </w:r>
          </w:p>
        </w:tc>
        <w:tc>
          <w:tcPr>
            <w:tcW w:w="2268" w:type="dxa"/>
            <w:vAlign w:val="center"/>
          </w:tcPr>
          <w:p>
            <w:pPr>
              <w:pStyle w:val="12"/>
            </w:pPr>
            <w:r>
              <w:t>≤4.5万元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全镇各项工作得到有效落实,保持社会稳定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安全隐患下降率</w:t>
            </w:r>
          </w:p>
        </w:tc>
        <w:tc>
          <w:tcPr>
            <w:tcW w:w="5386" w:type="dxa"/>
            <w:vAlign w:val="center"/>
          </w:tcPr>
          <w:p>
            <w:pPr>
              <w:pStyle w:val="12"/>
            </w:pPr>
            <w:r>
              <w:t>减少维稳隐患，遏制重特大信访发生，确保全镇信访维稳形势稳定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13032126P000006100391</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2.36</w:t>
            </w:r>
          </w:p>
        </w:tc>
        <w:tc>
          <w:tcPr>
            <w:tcW w:w="2835" w:type="dxa"/>
            <w:vAlign w:val="center"/>
          </w:tcPr>
          <w:p>
            <w:pPr>
              <w:pStyle w:val="10"/>
            </w:pPr>
            <w:r>
              <w:t>其中：财政    资金</w:t>
            </w:r>
          </w:p>
        </w:tc>
        <w:tc>
          <w:tcPr>
            <w:tcW w:w="2551" w:type="dxa"/>
            <w:vAlign w:val="center"/>
          </w:tcPr>
          <w:p>
            <w:pPr>
              <w:pStyle w:val="12"/>
            </w:pPr>
            <w:r>
              <w:t>2.36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预算数2.36万元，其中财政资金2.36万元，主要用于精神病患者监护人责任险支出，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1.通过开展精神障碍患者责任险，实现辖区公共安全防范工作。</w:t>
            </w:r>
          </w:p>
          <w:p>
            <w:pPr>
              <w:pStyle w:val="12"/>
            </w:pPr>
            <w:r>
              <w:t>2.通过开展精神障碍患者责任险，确保监护人、当事人社会保障，化解事后风险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严重精神障碍患者保险人数</w:t>
            </w:r>
          </w:p>
        </w:tc>
        <w:tc>
          <w:tcPr>
            <w:tcW w:w="5386" w:type="dxa"/>
            <w:vAlign w:val="center"/>
          </w:tcPr>
          <w:p>
            <w:pPr>
              <w:pStyle w:val="12"/>
            </w:pPr>
            <w:r>
              <w:t>享受严重精神障碍患者监护人责任险的人数</w:t>
            </w:r>
          </w:p>
        </w:tc>
        <w:tc>
          <w:tcPr>
            <w:tcW w:w="2268" w:type="dxa"/>
            <w:vAlign w:val="center"/>
          </w:tcPr>
          <w:p>
            <w:pPr>
              <w:pStyle w:val="12"/>
            </w:pPr>
            <w:r>
              <w:t>≥230人</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严重精神障碍患者参保率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患者责任险办结率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保险费发放及时率</w:t>
            </w:r>
          </w:p>
        </w:tc>
        <w:tc>
          <w:tcPr>
            <w:tcW w:w="5386" w:type="dxa"/>
            <w:vAlign w:val="center"/>
          </w:tcPr>
          <w:p>
            <w:pPr>
              <w:pStyle w:val="12"/>
            </w:pPr>
            <w:r>
              <w:t>反映及时足额发放保险</w:t>
            </w:r>
          </w:p>
        </w:tc>
        <w:tc>
          <w:tcPr>
            <w:tcW w:w="2268" w:type="dxa"/>
            <w:vAlign w:val="center"/>
          </w:tcPr>
          <w:p>
            <w:pPr>
              <w:pStyle w:val="12"/>
            </w:pPr>
            <w:r>
              <w:t>2026年底完成</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保险理赔事项办理及时率</w:t>
            </w:r>
          </w:p>
        </w:tc>
        <w:tc>
          <w:tcPr>
            <w:tcW w:w="5386" w:type="dxa"/>
            <w:vAlign w:val="center"/>
          </w:tcPr>
          <w:p>
            <w:pPr>
              <w:pStyle w:val="12"/>
            </w:pPr>
            <w:r>
              <w:t>严重精神障碍患者出现需理赔事项办理的及时程度</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≤2.36万元</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≥1年</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通过开展信息宣传工作，创造良好的舆论氛围，使我厅工作得到广大受众的充分认可。</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203.00</w:t>
            </w:r>
          </w:p>
        </w:tc>
        <w:tc>
          <w:tcPr>
            <w:tcW w:w="964" w:type="dxa"/>
            <w:vAlign w:val="center"/>
          </w:tcPr>
          <w:p>
            <w:pPr>
              <w:pStyle w:val="15"/>
            </w:pPr>
            <w:r>
              <w:t>203.00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青龙满族自治县青龙镇人民政府本级小计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203.00</w:t>
            </w:r>
          </w:p>
        </w:tc>
        <w:tc>
          <w:tcPr>
            <w:tcW w:w="964" w:type="dxa"/>
            <w:vAlign w:val="center"/>
          </w:tcPr>
          <w:p>
            <w:pPr>
              <w:pStyle w:val="15"/>
            </w:pPr>
            <w:r>
              <w:t>203.00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102.23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关于提前下达2026年革命老区转移支付预算的通知-青龙镇西双山村道路改造项目（冀财预[2025]35号）</w:t>
            </w:r>
          </w:p>
        </w:tc>
        <w:tc>
          <w:tcPr>
            <w:tcW w:w="964" w:type="dxa"/>
            <w:vAlign w:val="center"/>
          </w:tcPr>
          <w:p>
            <w:pPr>
              <w:pStyle w:val="11"/>
            </w:pPr>
            <w:r>
              <w:t>200.00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青龙满族自治县青龙镇人民政府本级上年末固定资产金额为20.00万元（详见下表）。本年度拟购置固定资产总额为0.00万元，已按要求列入政府采购预算，详见政府采购预算表。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2464.83</w:t>
            </w:r>
          </w:p>
        </w:tc>
        <w:tc>
          <w:tcPr>
            <w:tcW w:w="2835" w:type="dxa"/>
            <w:vAlign w:val="center"/>
          </w:tcPr>
          <w:p>
            <w:pPr>
              <w:pStyle w:val="11"/>
            </w:pPr>
            <w:r>
              <w:t>525.33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1132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TotalTime>0</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2026-02-03T18:18:00Z</dcterms:created>
  <dc:creator>Administrator</dc:creator>
  <cp:lastModifiedBy>Administrator</cp:lastModifiedBy>
  <dcterms:modified xsi:type="dcterms:W3CDTF">2026-02-03T10:38:31Z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E0FF44AEC4F0489D8E5E46A4144CC7FD</vt:lpwstr>
  </property>
</Properties>
</file>