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126</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127</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127</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128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303青龙满族自治县发展和改革局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2473.65</w:t>
            </w:r>
          </w:p>
        </w:tc>
        <w:tc>
          <w:tcPr>
            <w:tcW w:w="4535" w:type="dxa"/>
            <w:vAlign w:val="center"/>
          </w:tcPr>
          <w:p>
            <w:pPr>
              <w:pStyle w:val="13"/>
            </w:pPr>
            <w:r>
              <w:t>一、一般公共服务支出</w:t>
            </w:r>
          </w:p>
        </w:tc>
        <w:tc>
          <w:tcPr>
            <w:tcW w:w="2126" w:type="dxa"/>
            <w:vAlign w:val="center"/>
          </w:tcPr>
          <w:p>
            <w:pPr>
              <w:pStyle w:val="12"/>
            </w:pPr>
            <w:r>
              <w:t>448.30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156.90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r>
              <w:t>295.36</w:t>
            </w: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1946.21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77.20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374.02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r>
              <w:t>576.74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2925.91</w:t>
            </w:r>
          </w:p>
        </w:tc>
        <w:tc>
          <w:tcPr>
            <w:tcW w:w="4535" w:type="dxa"/>
            <w:vAlign w:val="center"/>
          </w:tcPr>
          <w:p>
            <w:pPr>
              <w:pStyle w:val="15"/>
            </w:pPr>
            <w:r>
              <w:t>本年支出合计</w:t>
            </w:r>
          </w:p>
        </w:tc>
        <w:tc>
          <w:tcPr>
            <w:tcW w:w="2126" w:type="dxa"/>
            <w:vAlign w:val="center"/>
          </w:tcPr>
          <w:p>
            <w:pPr>
              <w:pStyle w:val="16"/>
            </w:pPr>
            <w:r>
              <w:t>3841.14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915.23</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3841.14</w:t>
            </w:r>
          </w:p>
        </w:tc>
        <w:tc>
          <w:tcPr>
            <w:tcW w:w="4535" w:type="dxa"/>
            <w:vAlign w:val="center"/>
          </w:tcPr>
          <w:p>
            <w:pPr>
              <w:pStyle w:val="15"/>
            </w:pPr>
            <w:r>
              <w:t>支出总计</w:t>
            </w:r>
          </w:p>
        </w:tc>
        <w:tc>
          <w:tcPr>
            <w:tcW w:w="2126" w:type="dxa"/>
            <w:vAlign w:val="center"/>
          </w:tcPr>
          <w:p>
            <w:pPr>
              <w:pStyle w:val="16"/>
            </w:pPr>
            <w:r>
              <w:t>3841.14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303青龙满族自治县发展和改革局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3841.14</w:t>
            </w:r>
          </w:p>
        </w:tc>
        <w:tc>
          <w:tcPr>
            <w:tcW w:w="1134" w:type="dxa"/>
            <w:vAlign w:val="center"/>
          </w:tcPr>
          <w:p>
            <w:pPr>
              <w:pStyle w:val="16"/>
            </w:pPr>
            <w:r>
              <w:t>2925.91</w:t>
            </w:r>
          </w:p>
        </w:tc>
        <w:tc>
          <w:tcPr>
            <w:tcW w:w="1134" w:type="dxa"/>
            <w:vAlign w:val="center"/>
          </w:tcPr>
          <w:p>
            <w:pPr>
              <w:pStyle w:val="16"/>
            </w:pPr>
            <w:r>
              <w:t>2630.55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295.36</w:t>
            </w:r>
          </w:p>
        </w:tc>
        <w:tc>
          <w:tcPr>
            <w:tcW w:w="1134" w:type="dxa"/>
            <w:vAlign w:val="center"/>
          </w:tcPr>
          <w:p>
            <w:pPr>
              <w:pStyle w:val="16"/>
            </w:pPr>
            <w:r>
              <w:t>915.23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448.30</w:t>
            </w:r>
          </w:p>
        </w:tc>
        <w:tc>
          <w:tcPr>
            <w:tcW w:w="1134" w:type="dxa"/>
            <w:vAlign w:val="center"/>
          </w:tcPr>
          <w:p>
            <w:pPr>
              <w:pStyle w:val="12"/>
            </w:pPr>
            <w:r>
              <w:t>434.71</w:t>
            </w:r>
          </w:p>
        </w:tc>
        <w:tc>
          <w:tcPr>
            <w:tcW w:w="1134" w:type="dxa"/>
            <w:vAlign w:val="center"/>
          </w:tcPr>
          <w:p>
            <w:pPr>
              <w:pStyle w:val="12"/>
            </w:pPr>
            <w:r>
              <w:t>256.40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178.32</w:t>
            </w:r>
          </w:p>
        </w:tc>
        <w:tc>
          <w:tcPr>
            <w:tcW w:w="1134" w:type="dxa"/>
            <w:vAlign w:val="center"/>
          </w:tcPr>
          <w:p>
            <w:pPr>
              <w:pStyle w:val="12"/>
            </w:pPr>
            <w:r>
              <w:t>13.58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20104</w:t>
            </w:r>
          </w:p>
        </w:tc>
        <w:tc>
          <w:tcPr>
            <w:tcW w:w="1559" w:type="dxa"/>
            <w:vAlign w:val="center"/>
          </w:tcPr>
          <w:p>
            <w:pPr>
              <w:pStyle w:val="13"/>
            </w:pPr>
            <w:r>
              <w:t>发展与改革事务</w:t>
            </w:r>
          </w:p>
        </w:tc>
        <w:tc>
          <w:tcPr>
            <w:tcW w:w="1134" w:type="dxa"/>
            <w:vAlign w:val="center"/>
          </w:tcPr>
          <w:p>
            <w:pPr>
              <w:pStyle w:val="12"/>
            </w:pPr>
            <w:r>
              <w:t>67.05</w:t>
            </w:r>
          </w:p>
        </w:tc>
        <w:tc>
          <w:tcPr>
            <w:tcW w:w="1134" w:type="dxa"/>
            <w:vAlign w:val="center"/>
          </w:tcPr>
          <w:p>
            <w:pPr>
              <w:pStyle w:val="12"/>
            </w:pPr>
            <w:r>
              <w:t>57.84</w:t>
            </w:r>
          </w:p>
        </w:tc>
        <w:tc>
          <w:tcPr>
            <w:tcW w:w="1134" w:type="dxa"/>
            <w:vAlign w:val="center"/>
          </w:tcPr>
          <w:p>
            <w:pPr>
              <w:pStyle w:val="12"/>
            </w:pPr>
            <w:r>
              <w:t>57.84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2010402</w:t>
            </w:r>
          </w:p>
        </w:tc>
        <w:tc>
          <w:tcPr>
            <w:tcW w:w="1559" w:type="dxa"/>
            <w:vAlign w:val="center"/>
          </w:tcPr>
          <w:p>
            <w:pPr>
              <w:pStyle w:val="13"/>
            </w:pPr>
            <w:r>
              <w:t>一般行政管理事务</w:t>
            </w:r>
          </w:p>
        </w:tc>
        <w:tc>
          <w:tcPr>
            <w:tcW w:w="1134" w:type="dxa"/>
            <w:vAlign w:val="center"/>
          </w:tcPr>
          <w:p>
            <w:pPr>
              <w:pStyle w:val="12"/>
            </w:pPr>
            <w:r>
              <w:t>55.65</w:t>
            </w:r>
          </w:p>
        </w:tc>
        <w:tc>
          <w:tcPr>
            <w:tcW w:w="1134" w:type="dxa"/>
            <w:vAlign w:val="center"/>
          </w:tcPr>
          <w:p>
            <w:pPr>
              <w:pStyle w:val="12"/>
            </w:pPr>
            <w:r>
              <w:t>50.60</w:t>
            </w:r>
          </w:p>
        </w:tc>
        <w:tc>
          <w:tcPr>
            <w:tcW w:w="1134" w:type="dxa"/>
            <w:vAlign w:val="center"/>
          </w:tcPr>
          <w:p>
            <w:pPr>
              <w:pStyle w:val="12"/>
            </w:pPr>
            <w:r>
              <w:t>50.60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2010408</w:t>
            </w:r>
          </w:p>
        </w:tc>
        <w:tc>
          <w:tcPr>
            <w:tcW w:w="1559" w:type="dxa"/>
            <w:vAlign w:val="center"/>
          </w:tcPr>
          <w:p>
            <w:pPr>
              <w:pStyle w:val="13"/>
            </w:pPr>
            <w:r>
              <w:t>物价管理</w:t>
            </w:r>
          </w:p>
        </w:tc>
        <w:tc>
          <w:tcPr>
            <w:tcW w:w="1134" w:type="dxa"/>
            <w:vAlign w:val="center"/>
          </w:tcPr>
          <w:p>
            <w:pPr>
              <w:pStyle w:val="12"/>
            </w:pPr>
            <w:r>
              <w:t>10.23</w:t>
            </w:r>
          </w:p>
        </w:tc>
        <w:tc>
          <w:tcPr>
            <w:tcW w:w="1134" w:type="dxa"/>
            <w:vAlign w:val="center"/>
          </w:tcPr>
          <w:p>
            <w:pPr>
              <w:pStyle w:val="12"/>
            </w:pPr>
            <w:r>
              <w:t>7.24</w:t>
            </w:r>
          </w:p>
        </w:tc>
        <w:tc>
          <w:tcPr>
            <w:tcW w:w="1134" w:type="dxa"/>
            <w:vAlign w:val="center"/>
          </w:tcPr>
          <w:p>
            <w:pPr>
              <w:pStyle w:val="12"/>
            </w:pPr>
            <w:r>
              <w:t>7.24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2010499</w:t>
            </w:r>
          </w:p>
        </w:tc>
        <w:tc>
          <w:tcPr>
            <w:tcW w:w="1559" w:type="dxa"/>
            <w:vAlign w:val="center"/>
          </w:tcPr>
          <w:p>
            <w:pPr>
              <w:pStyle w:val="13"/>
            </w:pPr>
            <w:r>
              <w:t>其他发展与改革事务支出</w:t>
            </w:r>
          </w:p>
        </w:tc>
        <w:tc>
          <w:tcPr>
            <w:tcW w:w="1134" w:type="dxa"/>
            <w:vAlign w:val="center"/>
          </w:tcPr>
          <w:p>
            <w:pPr>
              <w:pStyle w:val="12"/>
            </w:pPr>
            <w:r>
              <w:t>1.18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20113</w:t>
            </w:r>
          </w:p>
        </w:tc>
        <w:tc>
          <w:tcPr>
            <w:tcW w:w="1559" w:type="dxa"/>
            <w:vAlign w:val="center"/>
          </w:tcPr>
          <w:p>
            <w:pPr>
              <w:pStyle w:val="13"/>
            </w:pPr>
            <w:r>
              <w:t>商贸事务</w:t>
            </w:r>
          </w:p>
        </w:tc>
        <w:tc>
          <w:tcPr>
            <w:tcW w:w="1134" w:type="dxa"/>
            <w:vAlign w:val="center"/>
          </w:tcPr>
          <w:p>
            <w:pPr>
              <w:pStyle w:val="12"/>
            </w:pPr>
            <w:r>
              <w:t>149.63</w:t>
            </w:r>
          </w:p>
        </w:tc>
        <w:tc>
          <w:tcPr>
            <w:tcW w:w="1134" w:type="dxa"/>
            <w:vAlign w:val="center"/>
          </w:tcPr>
          <w:p>
            <w:pPr>
              <w:pStyle w:val="12"/>
            </w:pPr>
            <w:r>
              <w:t>145.76</w:t>
            </w:r>
          </w:p>
        </w:tc>
        <w:tc>
          <w:tcPr>
            <w:tcW w:w="1134" w:type="dxa"/>
            <w:vAlign w:val="center"/>
          </w:tcPr>
          <w:p>
            <w:pPr>
              <w:pStyle w:val="12"/>
            </w:pPr>
            <w:r>
              <w:t>145.76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2011308</w:t>
            </w:r>
          </w:p>
        </w:tc>
        <w:tc>
          <w:tcPr>
            <w:tcW w:w="1559" w:type="dxa"/>
            <w:vAlign w:val="center"/>
          </w:tcPr>
          <w:p>
            <w:pPr>
              <w:pStyle w:val="13"/>
            </w:pPr>
            <w:r>
              <w:t>招商引资</w:t>
            </w:r>
          </w:p>
        </w:tc>
        <w:tc>
          <w:tcPr>
            <w:tcW w:w="1134" w:type="dxa"/>
            <w:vAlign w:val="center"/>
          </w:tcPr>
          <w:p>
            <w:pPr>
              <w:pStyle w:val="12"/>
            </w:pPr>
            <w:r>
              <w:t>31.00</w:t>
            </w:r>
          </w:p>
        </w:tc>
        <w:tc>
          <w:tcPr>
            <w:tcW w:w="1134" w:type="dxa"/>
            <w:vAlign w:val="center"/>
          </w:tcPr>
          <w:p>
            <w:pPr>
              <w:pStyle w:val="12"/>
            </w:pPr>
            <w:r>
              <w:t>31.00</w:t>
            </w:r>
          </w:p>
        </w:tc>
        <w:tc>
          <w:tcPr>
            <w:tcW w:w="1134" w:type="dxa"/>
            <w:vAlign w:val="center"/>
          </w:tcPr>
          <w:p>
            <w:pPr>
              <w:pStyle w:val="12"/>
            </w:pPr>
            <w:r>
              <w:t>31.00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2011350</w:t>
            </w:r>
          </w:p>
        </w:tc>
        <w:tc>
          <w:tcPr>
            <w:tcW w:w="1559" w:type="dxa"/>
            <w:vAlign w:val="center"/>
          </w:tcPr>
          <w:p>
            <w:pPr>
              <w:pStyle w:val="13"/>
            </w:pPr>
            <w:r>
              <w:t>事业运行</w:t>
            </w:r>
          </w:p>
        </w:tc>
        <w:tc>
          <w:tcPr>
            <w:tcW w:w="1134" w:type="dxa"/>
            <w:vAlign w:val="center"/>
          </w:tcPr>
          <w:p>
            <w:pPr>
              <w:pStyle w:val="12"/>
            </w:pPr>
            <w:r>
              <w:t>118.63</w:t>
            </w:r>
          </w:p>
        </w:tc>
        <w:tc>
          <w:tcPr>
            <w:tcW w:w="1134" w:type="dxa"/>
            <w:vAlign w:val="center"/>
          </w:tcPr>
          <w:p>
            <w:pPr>
              <w:pStyle w:val="12"/>
            </w:pPr>
            <w:r>
              <w:t>114.76</w:t>
            </w:r>
          </w:p>
        </w:tc>
        <w:tc>
          <w:tcPr>
            <w:tcW w:w="1134" w:type="dxa"/>
            <w:vAlign w:val="center"/>
          </w:tcPr>
          <w:p>
            <w:pPr>
              <w:pStyle w:val="12"/>
            </w:pPr>
            <w:r>
              <w:t>114.76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20138</w:t>
            </w:r>
          </w:p>
        </w:tc>
        <w:tc>
          <w:tcPr>
            <w:tcW w:w="1559" w:type="dxa"/>
            <w:vAlign w:val="center"/>
          </w:tcPr>
          <w:p>
            <w:pPr>
              <w:pStyle w:val="13"/>
            </w:pPr>
            <w:r>
              <w:t>市场监督管理事务</w:t>
            </w:r>
          </w:p>
        </w:tc>
        <w:tc>
          <w:tcPr>
            <w:tcW w:w="1134" w:type="dxa"/>
            <w:vAlign w:val="center"/>
          </w:tcPr>
          <w:p>
            <w:pPr>
              <w:pStyle w:val="12"/>
            </w:pPr>
            <w:r>
              <w:t>230.32</w:t>
            </w:r>
          </w:p>
        </w:tc>
        <w:tc>
          <w:tcPr>
            <w:tcW w:w="1134" w:type="dxa"/>
            <w:vAlign w:val="center"/>
          </w:tcPr>
          <w:p>
            <w:pPr>
              <w:pStyle w:val="12"/>
            </w:pPr>
            <w:r>
              <w:t>230.32</w:t>
            </w:r>
          </w:p>
        </w:tc>
        <w:tc>
          <w:tcPr>
            <w:tcW w:w="1134" w:type="dxa"/>
            <w:vAlign w:val="center"/>
          </w:tcPr>
          <w:p>
            <w:pPr>
              <w:pStyle w:val="12"/>
            </w:pPr>
            <w:r>
              <w:t>52.00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178.32</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2013850</w:t>
            </w:r>
          </w:p>
        </w:tc>
        <w:tc>
          <w:tcPr>
            <w:tcW w:w="1559" w:type="dxa"/>
            <w:vAlign w:val="center"/>
          </w:tcPr>
          <w:p>
            <w:pPr>
              <w:pStyle w:val="13"/>
            </w:pPr>
            <w:r>
              <w:t>事业运行</w:t>
            </w:r>
          </w:p>
        </w:tc>
        <w:tc>
          <w:tcPr>
            <w:tcW w:w="1134" w:type="dxa"/>
            <w:vAlign w:val="center"/>
          </w:tcPr>
          <w:p>
            <w:pPr>
              <w:pStyle w:val="12"/>
            </w:pPr>
            <w:r>
              <w:t>230.32</w:t>
            </w:r>
          </w:p>
        </w:tc>
        <w:tc>
          <w:tcPr>
            <w:tcW w:w="1134" w:type="dxa"/>
            <w:vAlign w:val="center"/>
          </w:tcPr>
          <w:p>
            <w:pPr>
              <w:pStyle w:val="12"/>
            </w:pPr>
            <w:r>
              <w:t>230.32</w:t>
            </w:r>
          </w:p>
        </w:tc>
        <w:tc>
          <w:tcPr>
            <w:tcW w:w="1134" w:type="dxa"/>
            <w:vAlign w:val="center"/>
          </w:tcPr>
          <w:p>
            <w:pPr>
              <w:pStyle w:val="12"/>
            </w:pPr>
            <w:r>
              <w:t>52.00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178.32</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1.30</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1.30</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1946.21</w:t>
            </w:r>
          </w:p>
        </w:tc>
        <w:tc>
          <w:tcPr>
            <w:tcW w:w="1134" w:type="dxa"/>
            <w:vAlign w:val="center"/>
          </w:tcPr>
          <w:p>
            <w:pPr>
              <w:pStyle w:val="12"/>
            </w:pPr>
            <w:r>
              <w:t>1533.18</w:t>
            </w:r>
          </w:p>
        </w:tc>
        <w:tc>
          <w:tcPr>
            <w:tcW w:w="1134" w:type="dxa"/>
            <w:vAlign w:val="center"/>
          </w:tcPr>
          <w:p>
            <w:pPr>
              <w:pStyle w:val="12"/>
            </w:pPr>
            <w:r>
              <w:t>1533.18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20601</w:t>
            </w:r>
          </w:p>
        </w:tc>
        <w:tc>
          <w:tcPr>
            <w:tcW w:w="1559" w:type="dxa"/>
            <w:vAlign w:val="center"/>
          </w:tcPr>
          <w:p>
            <w:pPr>
              <w:pStyle w:val="13"/>
            </w:pPr>
            <w:r>
              <w:t>科学技术管理事务</w:t>
            </w:r>
          </w:p>
        </w:tc>
        <w:tc>
          <w:tcPr>
            <w:tcW w:w="1134" w:type="dxa"/>
            <w:vAlign w:val="center"/>
          </w:tcPr>
          <w:p>
            <w:pPr>
              <w:pStyle w:val="12"/>
            </w:pPr>
            <w:r>
              <w:t>1946.21</w:t>
            </w:r>
          </w:p>
        </w:tc>
        <w:tc>
          <w:tcPr>
            <w:tcW w:w="1134" w:type="dxa"/>
            <w:vAlign w:val="center"/>
          </w:tcPr>
          <w:p>
            <w:pPr>
              <w:pStyle w:val="12"/>
            </w:pPr>
            <w:r>
              <w:t>1533.18</w:t>
            </w:r>
          </w:p>
        </w:tc>
        <w:tc>
          <w:tcPr>
            <w:tcW w:w="1134" w:type="dxa"/>
            <w:vAlign w:val="center"/>
          </w:tcPr>
          <w:p>
            <w:pPr>
              <w:pStyle w:val="12"/>
            </w:pPr>
            <w:r>
              <w:t>1533.18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2060101</w:t>
            </w:r>
          </w:p>
        </w:tc>
        <w:tc>
          <w:tcPr>
            <w:tcW w:w="1559" w:type="dxa"/>
            <w:vAlign w:val="center"/>
          </w:tcPr>
          <w:p>
            <w:pPr>
              <w:pStyle w:val="13"/>
            </w:pPr>
            <w:r>
              <w:t>行政运行</w:t>
            </w:r>
          </w:p>
        </w:tc>
        <w:tc>
          <w:tcPr>
            <w:tcW w:w="1134" w:type="dxa"/>
            <w:vAlign w:val="center"/>
          </w:tcPr>
          <w:p>
            <w:pPr>
              <w:pStyle w:val="12"/>
            </w:pPr>
            <w:r>
              <w:t>699.96</w:t>
            </w:r>
          </w:p>
        </w:tc>
        <w:tc>
          <w:tcPr>
            <w:tcW w:w="1134" w:type="dxa"/>
            <w:vAlign w:val="center"/>
          </w:tcPr>
          <w:p>
            <w:pPr>
              <w:pStyle w:val="12"/>
            </w:pPr>
            <w:r>
              <w:t>683.61</w:t>
            </w:r>
          </w:p>
        </w:tc>
        <w:tc>
          <w:tcPr>
            <w:tcW w:w="1134" w:type="dxa"/>
            <w:vAlign w:val="center"/>
          </w:tcPr>
          <w:p>
            <w:pPr>
              <w:pStyle w:val="12"/>
            </w:pPr>
            <w:r>
              <w:t>683.61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2060102</w:t>
            </w:r>
          </w:p>
        </w:tc>
        <w:tc>
          <w:tcPr>
            <w:tcW w:w="1559" w:type="dxa"/>
            <w:vAlign w:val="center"/>
          </w:tcPr>
          <w:p>
            <w:pPr>
              <w:pStyle w:val="13"/>
            </w:pPr>
            <w:r>
              <w:t>一般行政管理事务</w:t>
            </w:r>
          </w:p>
        </w:tc>
        <w:tc>
          <w:tcPr>
            <w:tcW w:w="1134" w:type="dxa"/>
            <w:vAlign w:val="center"/>
          </w:tcPr>
          <w:p>
            <w:pPr>
              <w:pStyle w:val="12"/>
            </w:pPr>
            <w:r>
              <w:t>48.60</w:t>
            </w:r>
          </w:p>
        </w:tc>
        <w:tc>
          <w:tcPr>
            <w:tcW w:w="1134" w:type="dxa"/>
            <w:vAlign w:val="center"/>
          </w:tcPr>
          <w:p>
            <w:pPr>
              <w:pStyle w:val="12"/>
            </w:pPr>
            <w:r>
              <w:t>46.60</w:t>
            </w:r>
          </w:p>
        </w:tc>
        <w:tc>
          <w:tcPr>
            <w:tcW w:w="1134" w:type="dxa"/>
            <w:vAlign w:val="center"/>
          </w:tcPr>
          <w:p>
            <w:pPr>
              <w:pStyle w:val="12"/>
            </w:pPr>
            <w:r>
              <w:t>46.60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2060199</w:t>
            </w:r>
          </w:p>
        </w:tc>
        <w:tc>
          <w:tcPr>
            <w:tcW w:w="1559" w:type="dxa"/>
            <w:vAlign w:val="center"/>
          </w:tcPr>
          <w:p>
            <w:pPr>
              <w:pStyle w:val="13"/>
            </w:pPr>
            <w:r>
              <w:t>其他科学技术管理事务支出</w:t>
            </w:r>
          </w:p>
        </w:tc>
        <w:tc>
          <w:tcPr>
            <w:tcW w:w="1134" w:type="dxa"/>
            <w:vAlign w:val="center"/>
          </w:tcPr>
          <w:p>
            <w:pPr>
              <w:pStyle w:val="12"/>
            </w:pPr>
            <w:r>
              <w:t>1197.65</w:t>
            </w:r>
          </w:p>
        </w:tc>
        <w:tc>
          <w:tcPr>
            <w:tcW w:w="1134" w:type="dxa"/>
            <w:vAlign w:val="center"/>
          </w:tcPr>
          <w:p>
            <w:pPr>
              <w:pStyle w:val="12"/>
            </w:pPr>
            <w:r>
              <w:t>802.97</w:t>
            </w:r>
          </w:p>
        </w:tc>
        <w:tc>
          <w:tcPr>
            <w:tcW w:w="1134" w:type="dxa"/>
            <w:vAlign w:val="center"/>
          </w:tcPr>
          <w:p>
            <w:pPr>
              <w:pStyle w:val="12"/>
            </w:pPr>
            <w:r>
              <w:t>802.97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394.68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274.00</w:t>
            </w:r>
          </w:p>
        </w:tc>
        <w:tc>
          <w:tcPr>
            <w:tcW w:w="1134" w:type="dxa"/>
            <w:vAlign w:val="center"/>
          </w:tcPr>
          <w:p>
            <w:pPr>
              <w:pStyle w:val="12"/>
            </w:pPr>
            <w:r>
              <w:t>270.69</w:t>
            </w:r>
          </w:p>
        </w:tc>
        <w:tc>
          <w:tcPr>
            <w:tcW w:w="1134" w:type="dxa"/>
            <w:vAlign w:val="center"/>
          </w:tcPr>
          <w:p>
            <w:pPr>
              <w:pStyle w:val="12"/>
            </w:pPr>
            <w:r>
              <w:t>195.73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74.96</w:t>
            </w:r>
          </w:p>
        </w:tc>
        <w:tc>
          <w:tcPr>
            <w:tcW w:w="1134" w:type="dxa"/>
            <w:vAlign w:val="center"/>
          </w:tcPr>
          <w:p>
            <w:pPr>
              <w:pStyle w:val="12"/>
            </w:pPr>
            <w:r>
              <w:t>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246.50</w:t>
            </w:r>
          </w:p>
        </w:tc>
        <w:tc>
          <w:tcPr>
            <w:tcW w:w="1134" w:type="dxa"/>
            <w:vAlign w:val="center"/>
          </w:tcPr>
          <w:p>
            <w:pPr>
              <w:pStyle w:val="12"/>
            </w:pPr>
            <w:r>
              <w:t>246.50</w:t>
            </w:r>
          </w:p>
        </w:tc>
        <w:tc>
          <w:tcPr>
            <w:tcW w:w="1134" w:type="dxa"/>
            <w:vAlign w:val="center"/>
          </w:tcPr>
          <w:p>
            <w:pPr>
              <w:pStyle w:val="12"/>
            </w:pPr>
            <w:r>
              <w:t>176.26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70.24</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121.82</w:t>
            </w:r>
          </w:p>
        </w:tc>
        <w:tc>
          <w:tcPr>
            <w:tcW w:w="1134" w:type="dxa"/>
            <w:vAlign w:val="center"/>
          </w:tcPr>
          <w:p>
            <w:pPr>
              <w:pStyle w:val="12"/>
            </w:pPr>
            <w:r>
              <w:t>121.82</w:t>
            </w:r>
          </w:p>
        </w:tc>
        <w:tc>
          <w:tcPr>
            <w:tcW w:w="1134" w:type="dxa"/>
            <w:vAlign w:val="center"/>
          </w:tcPr>
          <w:p>
            <w:pPr>
              <w:pStyle w:val="12"/>
            </w:pPr>
            <w:r>
              <w:t>121.82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46.26</w:t>
            </w:r>
          </w:p>
        </w:tc>
        <w:tc>
          <w:tcPr>
            <w:tcW w:w="1134" w:type="dxa"/>
            <w:vAlign w:val="center"/>
          </w:tcPr>
          <w:p>
            <w:pPr>
              <w:pStyle w:val="12"/>
            </w:pPr>
            <w:r>
              <w:t>46.26</w:t>
            </w:r>
          </w:p>
        </w:tc>
        <w:tc>
          <w:tcPr>
            <w:tcW w:w="1134" w:type="dxa"/>
            <w:vAlign w:val="center"/>
          </w:tcPr>
          <w:p>
            <w:pPr>
              <w:pStyle w:val="12"/>
            </w:pPr>
            <w:r>
              <w:t>33.62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12.65</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54.25</w:t>
            </w:r>
          </w:p>
        </w:tc>
        <w:tc>
          <w:tcPr>
            <w:tcW w:w="1134" w:type="dxa"/>
            <w:vAlign w:val="center"/>
          </w:tcPr>
          <w:p>
            <w:pPr>
              <w:pStyle w:val="12"/>
            </w:pPr>
            <w:r>
              <w:t>54.25</w:t>
            </w:r>
          </w:p>
        </w:tc>
        <w:tc>
          <w:tcPr>
            <w:tcW w:w="1134" w:type="dxa"/>
            <w:vAlign w:val="center"/>
          </w:tcPr>
          <w:p>
            <w:pPr>
              <w:pStyle w:val="12"/>
            </w:pPr>
            <w:r>
              <w:t>15.86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38.40</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24.16</w:t>
            </w:r>
          </w:p>
        </w:tc>
        <w:tc>
          <w:tcPr>
            <w:tcW w:w="1134" w:type="dxa"/>
            <w:vAlign w:val="center"/>
          </w:tcPr>
          <w:p>
            <w:pPr>
              <w:pStyle w:val="12"/>
            </w:pPr>
            <w:r>
              <w:t>24.16</w:t>
            </w:r>
          </w:p>
        </w:tc>
        <w:tc>
          <w:tcPr>
            <w:tcW w:w="1134" w:type="dxa"/>
            <w:vAlign w:val="center"/>
          </w:tcPr>
          <w:p>
            <w:pPr>
              <w:pStyle w:val="12"/>
            </w:pPr>
            <w:r>
              <w:t>4.96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19.20</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27.50</w:t>
            </w:r>
          </w:p>
        </w:tc>
        <w:tc>
          <w:tcPr>
            <w:tcW w:w="1134" w:type="dxa"/>
            <w:vAlign w:val="center"/>
          </w:tcPr>
          <w:p>
            <w:pPr>
              <w:pStyle w:val="12"/>
            </w:pPr>
            <w:r>
              <w:t>24.19</w:t>
            </w:r>
          </w:p>
        </w:tc>
        <w:tc>
          <w:tcPr>
            <w:tcW w:w="1134" w:type="dxa"/>
            <w:vAlign w:val="center"/>
          </w:tcPr>
          <w:p>
            <w:pPr>
              <w:pStyle w:val="12"/>
            </w:pPr>
            <w:r>
              <w:t>19.47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4.72</w:t>
            </w:r>
          </w:p>
        </w:tc>
        <w:tc>
          <w:tcPr>
            <w:tcW w:w="1134" w:type="dxa"/>
            <w:vAlign w:val="center"/>
          </w:tcPr>
          <w:p>
            <w:pPr>
              <w:pStyle w:val="12"/>
            </w:pPr>
            <w:r>
              <w:t>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2080802</w:t>
            </w:r>
          </w:p>
        </w:tc>
        <w:tc>
          <w:tcPr>
            <w:tcW w:w="1559" w:type="dxa"/>
            <w:vAlign w:val="center"/>
          </w:tcPr>
          <w:p>
            <w:pPr>
              <w:pStyle w:val="13"/>
            </w:pPr>
            <w:r>
              <w:t>伤残抚恤</w:t>
            </w:r>
          </w:p>
        </w:tc>
        <w:tc>
          <w:tcPr>
            <w:tcW w:w="1134" w:type="dxa"/>
            <w:vAlign w:val="center"/>
          </w:tcPr>
          <w:p>
            <w:pPr>
              <w:pStyle w:val="12"/>
            </w:pPr>
            <w:r>
              <w:t>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27.00</w:t>
            </w:r>
          </w:p>
        </w:tc>
        <w:tc>
          <w:tcPr>
            <w:tcW w:w="1134" w:type="dxa"/>
            <w:vAlign w:val="center"/>
          </w:tcPr>
          <w:p>
            <w:pPr>
              <w:pStyle w:val="12"/>
            </w:pPr>
            <w:r>
              <w:t>24.19</w:t>
            </w:r>
          </w:p>
        </w:tc>
        <w:tc>
          <w:tcPr>
            <w:tcW w:w="1134" w:type="dxa"/>
            <w:vAlign w:val="center"/>
          </w:tcPr>
          <w:p>
            <w:pPr>
              <w:pStyle w:val="12"/>
            </w:pPr>
            <w:r>
              <w:t>19.47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4.72</w:t>
            </w:r>
          </w:p>
        </w:tc>
        <w:tc>
          <w:tcPr>
            <w:tcW w:w="1134" w:type="dxa"/>
            <w:vAlign w:val="center"/>
          </w:tcPr>
          <w:p>
            <w:pPr>
              <w:pStyle w:val="12"/>
            </w:pPr>
            <w:r>
              <w:t>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73.73</w:t>
            </w:r>
          </w:p>
        </w:tc>
        <w:tc>
          <w:tcPr>
            <w:tcW w:w="1134" w:type="dxa"/>
            <w:vAlign w:val="center"/>
          </w:tcPr>
          <w:p>
            <w:pPr>
              <w:pStyle w:val="12"/>
            </w:pPr>
            <w:r>
              <w:t>73.73</w:t>
            </w:r>
          </w:p>
        </w:tc>
        <w:tc>
          <w:tcPr>
            <w:tcW w:w="1134" w:type="dxa"/>
            <w:vAlign w:val="center"/>
          </w:tcPr>
          <w:p>
            <w:pPr>
              <w:pStyle w:val="12"/>
            </w:pPr>
            <w:r>
              <w:t>51.11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22.62</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73.73</w:t>
            </w:r>
          </w:p>
        </w:tc>
        <w:tc>
          <w:tcPr>
            <w:tcW w:w="1134" w:type="dxa"/>
            <w:vAlign w:val="center"/>
          </w:tcPr>
          <w:p>
            <w:pPr>
              <w:pStyle w:val="12"/>
            </w:pPr>
            <w:r>
              <w:t>73.73</w:t>
            </w:r>
          </w:p>
        </w:tc>
        <w:tc>
          <w:tcPr>
            <w:tcW w:w="1134" w:type="dxa"/>
            <w:vAlign w:val="center"/>
          </w:tcPr>
          <w:p>
            <w:pPr>
              <w:pStyle w:val="12"/>
            </w:pPr>
            <w:r>
              <w:t>51.11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22.62</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24.90</w:t>
            </w:r>
          </w:p>
        </w:tc>
        <w:tc>
          <w:tcPr>
            <w:tcW w:w="1134" w:type="dxa"/>
            <w:vAlign w:val="center"/>
          </w:tcPr>
          <w:p>
            <w:pPr>
              <w:pStyle w:val="12"/>
            </w:pPr>
            <w:r>
              <w:t>24.90</w:t>
            </w:r>
          </w:p>
        </w:tc>
        <w:tc>
          <w:tcPr>
            <w:tcW w:w="1134" w:type="dxa"/>
            <w:vAlign w:val="center"/>
          </w:tcPr>
          <w:p>
            <w:pPr>
              <w:pStyle w:val="12"/>
            </w:pPr>
            <w:r>
              <w:t>24.90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48.82</w:t>
            </w:r>
          </w:p>
        </w:tc>
        <w:tc>
          <w:tcPr>
            <w:tcW w:w="1134" w:type="dxa"/>
            <w:vAlign w:val="center"/>
          </w:tcPr>
          <w:p>
            <w:pPr>
              <w:pStyle w:val="12"/>
            </w:pPr>
            <w:r>
              <w:t>48.82</w:t>
            </w:r>
          </w:p>
        </w:tc>
        <w:tc>
          <w:tcPr>
            <w:tcW w:w="1134" w:type="dxa"/>
            <w:vAlign w:val="center"/>
          </w:tcPr>
          <w:p>
            <w:pPr>
              <w:pStyle w:val="12"/>
            </w:pPr>
            <w:r>
              <w:t>26.21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22.62</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77.20</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35.80</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35.80</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21199</w:t>
            </w:r>
          </w:p>
        </w:tc>
        <w:tc>
          <w:tcPr>
            <w:tcW w:w="1559" w:type="dxa"/>
            <w:vAlign w:val="center"/>
          </w:tcPr>
          <w:p>
            <w:pPr>
              <w:pStyle w:val="13"/>
            </w:pPr>
            <w:r>
              <w:t>其他节能环保支出</w:t>
            </w:r>
          </w:p>
        </w:tc>
        <w:tc>
          <w:tcPr>
            <w:tcW w:w="1134" w:type="dxa"/>
            <w:vAlign w:val="center"/>
          </w:tcPr>
          <w:p>
            <w:pPr>
              <w:pStyle w:val="12"/>
            </w:pPr>
            <w:r>
              <w:t>41.40</w:t>
            </w:r>
          </w:p>
        </w:tc>
        <w:tc>
          <w:tcPr>
            <w:tcW w:w="1134" w:type="dxa"/>
            <w:vAlign w:val="center"/>
          </w:tcPr>
          <w:p>
            <w:pPr>
              <w:pStyle w:val="12"/>
            </w:pPr>
            <w:r>
              <w:t>1.40</w:t>
            </w:r>
          </w:p>
        </w:tc>
        <w:tc>
          <w:tcPr>
            <w:tcW w:w="1134" w:type="dxa"/>
            <w:vAlign w:val="center"/>
          </w:tcPr>
          <w:p>
            <w:pPr>
              <w:pStyle w:val="12"/>
            </w:pPr>
            <w:r>
              <w:t>1.40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2119999</w:t>
            </w:r>
          </w:p>
        </w:tc>
        <w:tc>
          <w:tcPr>
            <w:tcW w:w="1559" w:type="dxa"/>
            <w:vAlign w:val="center"/>
          </w:tcPr>
          <w:p>
            <w:pPr>
              <w:pStyle w:val="13"/>
            </w:pPr>
            <w:r>
              <w:t>其他节能环保支出</w:t>
            </w:r>
          </w:p>
        </w:tc>
        <w:tc>
          <w:tcPr>
            <w:tcW w:w="1134" w:type="dxa"/>
            <w:vAlign w:val="center"/>
          </w:tcPr>
          <w:p>
            <w:pPr>
              <w:pStyle w:val="12"/>
            </w:pPr>
            <w:r>
              <w:t>41.40</w:t>
            </w:r>
          </w:p>
        </w:tc>
        <w:tc>
          <w:tcPr>
            <w:tcW w:w="1134" w:type="dxa"/>
            <w:vAlign w:val="center"/>
          </w:tcPr>
          <w:p>
            <w:pPr>
              <w:pStyle w:val="12"/>
            </w:pPr>
            <w:r>
              <w:t>1.40</w:t>
            </w:r>
          </w:p>
        </w:tc>
        <w:tc>
          <w:tcPr>
            <w:tcW w:w="1134" w:type="dxa"/>
            <w:vAlign w:val="center"/>
          </w:tcPr>
          <w:p>
            <w:pPr>
              <w:pStyle w:val="12"/>
            </w:pPr>
            <w:r>
              <w:t>1.40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374.02</w:t>
            </w:r>
          </w:p>
        </w:tc>
        <w:tc>
          <w:tcPr>
            <w:tcW w:w="1134" w:type="dxa"/>
            <w:vAlign w:val="center"/>
          </w:tcPr>
          <w:p>
            <w:pPr>
              <w:pStyle w:val="12"/>
            </w:pPr>
            <w:r>
              <w:t>334.40</w:t>
            </w:r>
          </w:p>
        </w:tc>
        <w:tc>
          <w:tcPr>
            <w:tcW w:w="1134" w:type="dxa"/>
            <w:vAlign w:val="center"/>
          </w:tcPr>
          <w:p>
            <w:pPr>
              <w:pStyle w:val="12"/>
            </w:pPr>
            <w:r>
              <w:t>334.40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217.12</w:t>
            </w:r>
          </w:p>
        </w:tc>
        <w:tc>
          <w:tcPr>
            <w:tcW w:w="1134" w:type="dxa"/>
            <w:vAlign w:val="center"/>
          </w:tcPr>
          <w:p>
            <w:pPr>
              <w:pStyle w:val="12"/>
            </w:pPr>
            <w:r>
              <w:t>177.50</w:t>
            </w:r>
          </w:p>
        </w:tc>
        <w:tc>
          <w:tcPr>
            <w:tcW w:w="1134" w:type="dxa"/>
            <w:vAlign w:val="center"/>
          </w:tcPr>
          <w:p>
            <w:pPr>
              <w:pStyle w:val="12"/>
            </w:pPr>
            <w:r>
              <w:t>177.50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2120399</w:t>
            </w:r>
          </w:p>
        </w:tc>
        <w:tc>
          <w:tcPr>
            <w:tcW w:w="1559" w:type="dxa"/>
            <w:vAlign w:val="center"/>
          </w:tcPr>
          <w:p>
            <w:pPr>
              <w:pStyle w:val="13"/>
            </w:pPr>
            <w:r>
              <w:t>其他城乡社区公共设施支出</w:t>
            </w:r>
          </w:p>
        </w:tc>
        <w:tc>
          <w:tcPr>
            <w:tcW w:w="1134" w:type="dxa"/>
            <w:vAlign w:val="center"/>
          </w:tcPr>
          <w:p>
            <w:pPr>
              <w:pStyle w:val="12"/>
            </w:pPr>
            <w:r>
              <w:t>217.12</w:t>
            </w:r>
          </w:p>
        </w:tc>
        <w:tc>
          <w:tcPr>
            <w:tcW w:w="1134" w:type="dxa"/>
            <w:vAlign w:val="center"/>
          </w:tcPr>
          <w:p>
            <w:pPr>
              <w:pStyle w:val="12"/>
            </w:pPr>
            <w:r>
              <w:t>177.50</w:t>
            </w:r>
          </w:p>
        </w:tc>
        <w:tc>
          <w:tcPr>
            <w:tcW w:w="1134" w:type="dxa"/>
            <w:vAlign w:val="center"/>
          </w:tcPr>
          <w:p>
            <w:pPr>
              <w:pStyle w:val="12"/>
            </w:pPr>
            <w:r>
              <w:t>177.50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156.90</w:t>
            </w:r>
          </w:p>
        </w:tc>
        <w:tc>
          <w:tcPr>
            <w:tcW w:w="1134" w:type="dxa"/>
            <w:vAlign w:val="center"/>
          </w:tcPr>
          <w:p>
            <w:pPr>
              <w:pStyle w:val="12"/>
            </w:pPr>
            <w:r>
              <w:t>156.90</w:t>
            </w:r>
          </w:p>
        </w:tc>
        <w:tc>
          <w:tcPr>
            <w:tcW w:w="1134" w:type="dxa"/>
            <w:vAlign w:val="center"/>
          </w:tcPr>
          <w:p>
            <w:pPr>
              <w:pStyle w:val="12"/>
            </w:pPr>
            <w:r>
              <w:t>156.90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2120815</w:t>
            </w:r>
          </w:p>
        </w:tc>
        <w:tc>
          <w:tcPr>
            <w:tcW w:w="1559" w:type="dxa"/>
            <w:vAlign w:val="center"/>
          </w:tcPr>
          <w:p>
            <w:pPr>
              <w:pStyle w:val="13"/>
            </w:pPr>
            <w:r>
              <w:t>农村社会事业支出</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2120899</w:t>
            </w:r>
          </w:p>
        </w:tc>
        <w:tc>
          <w:tcPr>
            <w:tcW w:w="1559" w:type="dxa"/>
            <w:vAlign w:val="center"/>
          </w:tcPr>
          <w:p>
            <w:pPr>
              <w:pStyle w:val="13"/>
            </w:pPr>
            <w:r>
              <w:t>其他国有土地使用权出让收入安排的支出</w:t>
            </w:r>
          </w:p>
        </w:tc>
        <w:tc>
          <w:tcPr>
            <w:tcW w:w="1134" w:type="dxa"/>
            <w:vAlign w:val="center"/>
          </w:tcPr>
          <w:p>
            <w:pPr>
              <w:pStyle w:val="12"/>
            </w:pPr>
            <w:r>
              <w:t>56.90</w:t>
            </w:r>
          </w:p>
        </w:tc>
        <w:tc>
          <w:tcPr>
            <w:tcW w:w="1134" w:type="dxa"/>
            <w:vAlign w:val="center"/>
          </w:tcPr>
          <w:p>
            <w:pPr>
              <w:pStyle w:val="12"/>
            </w:pPr>
            <w:r>
              <w:t>56.90</w:t>
            </w:r>
          </w:p>
        </w:tc>
        <w:tc>
          <w:tcPr>
            <w:tcW w:w="1134" w:type="dxa"/>
            <w:vAlign w:val="center"/>
          </w:tcPr>
          <w:p>
            <w:pPr>
              <w:pStyle w:val="12"/>
            </w:pPr>
            <w:r>
              <w:t>56.90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70.95</w:t>
            </w:r>
          </w:p>
        </w:tc>
        <w:tc>
          <w:tcPr>
            <w:tcW w:w="1134" w:type="dxa"/>
            <w:vAlign w:val="center"/>
          </w:tcPr>
          <w:p>
            <w:pPr>
              <w:pStyle w:val="12"/>
            </w:pPr>
            <w:r>
              <w:t>70.95</w:t>
            </w:r>
          </w:p>
        </w:tc>
        <w:tc>
          <w:tcPr>
            <w:tcW w:w="1134" w:type="dxa"/>
            <w:vAlign w:val="center"/>
          </w:tcPr>
          <w:p>
            <w:pPr>
              <w:pStyle w:val="12"/>
            </w:pPr>
            <w:r>
              <w:t>51.48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19.47</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70.95</w:t>
            </w:r>
          </w:p>
        </w:tc>
        <w:tc>
          <w:tcPr>
            <w:tcW w:w="1134" w:type="dxa"/>
            <w:vAlign w:val="center"/>
          </w:tcPr>
          <w:p>
            <w:pPr>
              <w:pStyle w:val="12"/>
            </w:pPr>
            <w:r>
              <w:t>70.95</w:t>
            </w:r>
          </w:p>
        </w:tc>
        <w:tc>
          <w:tcPr>
            <w:tcW w:w="1134" w:type="dxa"/>
            <w:vAlign w:val="center"/>
          </w:tcPr>
          <w:p>
            <w:pPr>
              <w:pStyle w:val="12"/>
            </w:pPr>
            <w:r>
              <w:t>51.48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19.47</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70.95</w:t>
            </w:r>
          </w:p>
        </w:tc>
        <w:tc>
          <w:tcPr>
            <w:tcW w:w="1134" w:type="dxa"/>
            <w:vAlign w:val="center"/>
          </w:tcPr>
          <w:p>
            <w:pPr>
              <w:pStyle w:val="12"/>
            </w:pPr>
            <w:r>
              <w:t>70.95</w:t>
            </w:r>
          </w:p>
        </w:tc>
        <w:tc>
          <w:tcPr>
            <w:tcW w:w="1134" w:type="dxa"/>
            <w:vAlign w:val="center"/>
          </w:tcPr>
          <w:p>
            <w:pPr>
              <w:pStyle w:val="12"/>
            </w:pPr>
            <w:r>
              <w:t>51.48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19.47</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222</w:t>
            </w:r>
          </w:p>
        </w:tc>
        <w:tc>
          <w:tcPr>
            <w:tcW w:w="1559" w:type="dxa"/>
            <w:vAlign w:val="center"/>
          </w:tcPr>
          <w:p>
            <w:pPr>
              <w:pStyle w:val="13"/>
            </w:pPr>
            <w:r>
              <w:t>粮油物资储备支出</w:t>
            </w:r>
          </w:p>
        </w:tc>
        <w:tc>
          <w:tcPr>
            <w:tcW w:w="1134" w:type="dxa"/>
            <w:vAlign w:val="center"/>
          </w:tcPr>
          <w:p>
            <w:pPr>
              <w:pStyle w:val="12"/>
            </w:pPr>
            <w:r>
              <w:t>576.74</w:t>
            </w:r>
          </w:p>
        </w:tc>
        <w:tc>
          <w:tcPr>
            <w:tcW w:w="1134" w:type="dxa"/>
            <w:vAlign w:val="center"/>
          </w:tcPr>
          <w:p>
            <w:pPr>
              <w:pStyle w:val="12"/>
            </w:pPr>
            <w:r>
              <w:t>206.05</w:t>
            </w:r>
          </w:p>
        </w:tc>
        <w:tc>
          <w:tcPr>
            <w:tcW w:w="1134" w:type="dxa"/>
            <w:vAlign w:val="center"/>
          </w:tcPr>
          <w:p>
            <w:pPr>
              <w:pStyle w:val="12"/>
            </w:pPr>
            <w:r>
              <w:t>206.05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22201</w:t>
            </w:r>
          </w:p>
        </w:tc>
        <w:tc>
          <w:tcPr>
            <w:tcW w:w="1559" w:type="dxa"/>
            <w:vAlign w:val="center"/>
          </w:tcPr>
          <w:p>
            <w:pPr>
              <w:pStyle w:val="13"/>
            </w:pPr>
            <w:r>
              <w:t>粮油物资事务</w:t>
            </w:r>
          </w:p>
        </w:tc>
        <w:tc>
          <w:tcPr>
            <w:tcW w:w="1134" w:type="dxa"/>
            <w:vAlign w:val="center"/>
          </w:tcPr>
          <w:p>
            <w:pPr>
              <w:pStyle w:val="12"/>
            </w:pPr>
            <w:r>
              <w:t>296.53</w:t>
            </w:r>
          </w:p>
        </w:tc>
        <w:tc>
          <w:tcPr>
            <w:tcW w:w="1134" w:type="dxa"/>
            <w:vAlign w:val="center"/>
          </w:tcPr>
          <w:p>
            <w:pPr>
              <w:pStyle w:val="12"/>
            </w:pPr>
            <w:r>
              <w:t>47.65</w:t>
            </w:r>
          </w:p>
        </w:tc>
        <w:tc>
          <w:tcPr>
            <w:tcW w:w="1134" w:type="dxa"/>
            <w:vAlign w:val="center"/>
          </w:tcPr>
          <w:p>
            <w:pPr>
              <w:pStyle w:val="12"/>
            </w:pPr>
            <w:r>
              <w:t>47.65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2220102</w:t>
            </w:r>
          </w:p>
        </w:tc>
        <w:tc>
          <w:tcPr>
            <w:tcW w:w="1559" w:type="dxa"/>
            <w:vAlign w:val="center"/>
          </w:tcPr>
          <w:p>
            <w:pPr>
              <w:pStyle w:val="13"/>
            </w:pPr>
            <w:r>
              <w:t>一般行政管理事务</w:t>
            </w:r>
          </w:p>
        </w:tc>
        <w:tc>
          <w:tcPr>
            <w:tcW w:w="1134" w:type="dxa"/>
            <w:vAlign w:val="center"/>
          </w:tcPr>
          <w:p>
            <w:pPr>
              <w:pStyle w:val="12"/>
            </w:pPr>
            <w:r>
              <w:t>1.30</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2220105</w:t>
            </w:r>
          </w:p>
        </w:tc>
        <w:tc>
          <w:tcPr>
            <w:tcW w:w="1559" w:type="dxa"/>
            <w:vAlign w:val="center"/>
          </w:tcPr>
          <w:p>
            <w:pPr>
              <w:pStyle w:val="13"/>
            </w:pPr>
            <w:r>
              <w:t>信息统计</w:t>
            </w:r>
          </w:p>
        </w:tc>
        <w:tc>
          <w:tcPr>
            <w:tcW w:w="1134" w:type="dxa"/>
            <w:vAlign w:val="center"/>
          </w:tcPr>
          <w:p>
            <w:pPr>
              <w:pStyle w:val="12"/>
            </w:pPr>
            <w:r>
              <w:t>0.98</w:t>
            </w:r>
          </w:p>
        </w:tc>
        <w:tc>
          <w:tcPr>
            <w:tcW w:w="1134" w:type="dxa"/>
            <w:vAlign w:val="center"/>
          </w:tcPr>
          <w:p>
            <w:pPr>
              <w:pStyle w:val="12"/>
            </w:pPr>
            <w:r>
              <w:t>0.60</w:t>
            </w:r>
          </w:p>
        </w:tc>
        <w:tc>
          <w:tcPr>
            <w:tcW w:w="1134" w:type="dxa"/>
            <w:vAlign w:val="center"/>
          </w:tcPr>
          <w:p>
            <w:pPr>
              <w:pStyle w:val="12"/>
            </w:pPr>
            <w:r>
              <w:t>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2220112</w:t>
            </w:r>
          </w:p>
        </w:tc>
        <w:tc>
          <w:tcPr>
            <w:tcW w:w="1559" w:type="dxa"/>
            <w:vAlign w:val="center"/>
          </w:tcPr>
          <w:p>
            <w:pPr>
              <w:pStyle w:val="13"/>
            </w:pPr>
            <w:r>
              <w:t>粮食财务挂账利息补贴</w:t>
            </w:r>
          </w:p>
        </w:tc>
        <w:tc>
          <w:tcPr>
            <w:tcW w:w="1134" w:type="dxa"/>
            <w:vAlign w:val="center"/>
          </w:tcPr>
          <w:p>
            <w:pPr>
              <w:pStyle w:val="12"/>
            </w:pPr>
            <w:r>
              <w:t>46.25</w:t>
            </w:r>
          </w:p>
        </w:tc>
        <w:tc>
          <w:tcPr>
            <w:tcW w:w="1134" w:type="dxa"/>
            <w:vAlign w:val="center"/>
          </w:tcPr>
          <w:p>
            <w:pPr>
              <w:pStyle w:val="12"/>
            </w:pPr>
            <w:r>
              <w:t>46.25</w:t>
            </w:r>
          </w:p>
        </w:tc>
        <w:tc>
          <w:tcPr>
            <w:tcW w:w="1134" w:type="dxa"/>
            <w:vAlign w:val="center"/>
          </w:tcPr>
          <w:p>
            <w:pPr>
              <w:pStyle w:val="12"/>
            </w:pPr>
            <w:r>
              <w:t>46.25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51</w:t>
            </w:r>
          </w:p>
        </w:tc>
        <w:tc>
          <w:tcPr>
            <w:tcW w:w="992" w:type="dxa"/>
            <w:vAlign w:val="center"/>
          </w:tcPr>
          <w:p>
            <w:pPr>
              <w:pStyle w:val="13"/>
            </w:pPr>
            <w:r>
              <w:t>2220119</w:t>
            </w:r>
          </w:p>
        </w:tc>
        <w:tc>
          <w:tcPr>
            <w:tcW w:w="1559" w:type="dxa"/>
            <w:vAlign w:val="center"/>
          </w:tcPr>
          <w:p>
            <w:pPr>
              <w:pStyle w:val="13"/>
            </w:pPr>
            <w:r>
              <w:t>设施建设</w:t>
            </w:r>
          </w:p>
        </w:tc>
        <w:tc>
          <w:tcPr>
            <w:tcW w:w="1134" w:type="dxa"/>
            <w:vAlign w:val="center"/>
          </w:tcPr>
          <w:p>
            <w:pPr>
              <w:pStyle w:val="12"/>
            </w:pPr>
            <w:r>
              <w:t>248.00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52</w:t>
            </w:r>
          </w:p>
        </w:tc>
        <w:tc>
          <w:tcPr>
            <w:tcW w:w="992" w:type="dxa"/>
            <w:vAlign w:val="center"/>
          </w:tcPr>
          <w:p>
            <w:pPr>
              <w:pStyle w:val="13"/>
            </w:pPr>
            <w:r>
              <w:t>22204</w:t>
            </w:r>
          </w:p>
        </w:tc>
        <w:tc>
          <w:tcPr>
            <w:tcW w:w="1559" w:type="dxa"/>
            <w:vAlign w:val="center"/>
          </w:tcPr>
          <w:p>
            <w:pPr>
              <w:pStyle w:val="13"/>
            </w:pPr>
            <w:r>
              <w:t>粮油储备</w:t>
            </w:r>
          </w:p>
        </w:tc>
        <w:tc>
          <w:tcPr>
            <w:tcW w:w="1134" w:type="dxa"/>
            <w:vAlign w:val="center"/>
          </w:tcPr>
          <w:p>
            <w:pPr>
              <w:pStyle w:val="12"/>
            </w:pPr>
            <w:r>
              <w:t>280.21</w:t>
            </w:r>
          </w:p>
        </w:tc>
        <w:tc>
          <w:tcPr>
            <w:tcW w:w="1134" w:type="dxa"/>
            <w:vAlign w:val="center"/>
          </w:tcPr>
          <w:p>
            <w:pPr>
              <w:pStyle w:val="12"/>
            </w:pPr>
            <w:r>
              <w:t>158.40</w:t>
            </w:r>
          </w:p>
        </w:tc>
        <w:tc>
          <w:tcPr>
            <w:tcW w:w="1134" w:type="dxa"/>
            <w:vAlign w:val="center"/>
          </w:tcPr>
          <w:p>
            <w:pPr>
              <w:pStyle w:val="12"/>
            </w:pPr>
            <w:r>
              <w:t>158.40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53</w:t>
            </w:r>
          </w:p>
        </w:tc>
        <w:tc>
          <w:tcPr>
            <w:tcW w:w="992" w:type="dxa"/>
            <w:vAlign w:val="center"/>
          </w:tcPr>
          <w:p>
            <w:pPr>
              <w:pStyle w:val="13"/>
            </w:pPr>
            <w:r>
              <w:t>2220401</w:t>
            </w:r>
          </w:p>
        </w:tc>
        <w:tc>
          <w:tcPr>
            <w:tcW w:w="1559" w:type="dxa"/>
            <w:vAlign w:val="center"/>
          </w:tcPr>
          <w:p>
            <w:pPr>
              <w:pStyle w:val="13"/>
            </w:pPr>
            <w:r>
              <w:t>储备粮油补贴</w:t>
            </w:r>
          </w:p>
        </w:tc>
        <w:tc>
          <w:tcPr>
            <w:tcW w:w="1134" w:type="dxa"/>
            <w:vAlign w:val="center"/>
          </w:tcPr>
          <w:p>
            <w:pPr>
              <w:pStyle w:val="12"/>
            </w:pPr>
            <w:r>
              <w:t>280.21</w:t>
            </w:r>
          </w:p>
        </w:tc>
        <w:tc>
          <w:tcPr>
            <w:tcW w:w="1134" w:type="dxa"/>
            <w:vAlign w:val="center"/>
          </w:tcPr>
          <w:p>
            <w:pPr>
              <w:pStyle w:val="12"/>
            </w:pPr>
            <w:r>
              <w:t>158.40</w:t>
            </w:r>
          </w:p>
        </w:tc>
        <w:tc>
          <w:tcPr>
            <w:tcW w:w="1134" w:type="dxa"/>
            <w:vAlign w:val="center"/>
          </w:tcPr>
          <w:p>
            <w:pPr>
              <w:pStyle w:val="12"/>
            </w:pPr>
            <w:r>
              <w:t>158.40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121.81</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303青龙满族自治县发展和改革局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3841.14</w:t>
            </w:r>
          </w:p>
        </w:tc>
        <w:tc>
          <w:tcPr>
            <w:tcW w:w="1361" w:type="dxa"/>
            <w:vAlign w:val="center"/>
          </w:tcPr>
          <w:p>
            <w:pPr>
              <w:pStyle w:val="16"/>
            </w:pPr>
            <w:r>
              <w:t>1467.08</w:t>
            </w:r>
          </w:p>
        </w:tc>
        <w:tc>
          <w:tcPr>
            <w:tcW w:w="1361" w:type="dxa"/>
            <w:vAlign w:val="center"/>
          </w:tcPr>
          <w:p>
            <w:pPr>
              <w:pStyle w:val="16"/>
            </w:pPr>
            <w:r>
              <w:t>2374.06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448.30</w:t>
            </w:r>
          </w:p>
        </w:tc>
        <w:tc>
          <w:tcPr>
            <w:tcW w:w="1361" w:type="dxa"/>
            <w:vAlign w:val="center"/>
          </w:tcPr>
          <w:p>
            <w:pPr>
              <w:pStyle w:val="12"/>
            </w:pPr>
            <w:r>
              <w:t>348.94</w:t>
            </w:r>
          </w:p>
        </w:tc>
        <w:tc>
          <w:tcPr>
            <w:tcW w:w="1361" w:type="dxa"/>
            <w:vAlign w:val="center"/>
          </w:tcPr>
          <w:p>
            <w:pPr>
              <w:pStyle w:val="12"/>
            </w:pPr>
            <w:r>
              <w:t>99.35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20104</w:t>
            </w:r>
          </w:p>
        </w:tc>
        <w:tc>
          <w:tcPr>
            <w:tcW w:w="4535" w:type="dxa"/>
            <w:vAlign w:val="center"/>
          </w:tcPr>
          <w:p>
            <w:pPr>
              <w:pStyle w:val="13"/>
            </w:pPr>
            <w:r>
              <w:t>发展与改革事务</w:t>
            </w:r>
          </w:p>
        </w:tc>
        <w:tc>
          <w:tcPr>
            <w:tcW w:w="1361" w:type="dxa"/>
            <w:vAlign w:val="center"/>
          </w:tcPr>
          <w:p>
            <w:pPr>
              <w:pStyle w:val="12"/>
            </w:pPr>
            <w:r>
              <w:t>67.05</w:t>
            </w:r>
          </w:p>
        </w:tc>
        <w:tc>
          <w:tcPr>
            <w:tcW w:w="1361" w:type="dxa"/>
            <w:vAlign w:val="center"/>
          </w:tcPr>
          <w:p>
            <w:pPr>
              <w:pStyle w:val="12"/>
            </w:pPr>
          </w:p>
        </w:tc>
        <w:tc>
          <w:tcPr>
            <w:tcW w:w="1361" w:type="dxa"/>
            <w:vAlign w:val="center"/>
          </w:tcPr>
          <w:p>
            <w:pPr>
              <w:pStyle w:val="12"/>
            </w:pPr>
            <w:r>
              <w:t>67.05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2010402</w:t>
            </w:r>
          </w:p>
        </w:tc>
        <w:tc>
          <w:tcPr>
            <w:tcW w:w="4535" w:type="dxa"/>
            <w:vAlign w:val="center"/>
          </w:tcPr>
          <w:p>
            <w:pPr>
              <w:pStyle w:val="13"/>
            </w:pPr>
            <w:r>
              <w:t>一般行政管理事务</w:t>
            </w:r>
          </w:p>
        </w:tc>
        <w:tc>
          <w:tcPr>
            <w:tcW w:w="1361" w:type="dxa"/>
            <w:vAlign w:val="center"/>
          </w:tcPr>
          <w:p>
            <w:pPr>
              <w:pStyle w:val="12"/>
            </w:pPr>
            <w:r>
              <w:t>55.65</w:t>
            </w:r>
          </w:p>
        </w:tc>
        <w:tc>
          <w:tcPr>
            <w:tcW w:w="1361" w:type="dxa"/>
            <w:vAlign w:val="center"/>
          </w:tcPr>
          <w:p>
            <w:pPr>
              <w:pStyle w:val="12"/>
            </w:pPr>
          </w:p>
        </w:tc>
        <w:tc>
          <w:tcPr>
            <w:tcW w:w="1361" w:type="dxa"/>
            <w:vAlign w:val="center"/>
          </w:tcPr>
          <w:p>
            <w:pPr>
              <w:pStyle w:val="12"/>
            </w:pPr>
            <w:r>
              <w:t>55.65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2010408</w:t>
            </w:r>
          </w:p>
        </w:tc>
        <w:tc>
          <w:tcPr>
            <w:tcW w:w="4535" w:type="dxa"/>
            <w:vAlign w:val="center"/>
          </w:tcPr>
          <w:p>
            <w:pPr>
              <w:pStyle w:val="13"/>
            </w:pPr>
            <w:r>
              <w:t>物价管理</w:t>
            </w:r>
          </w:p>
        </w:tc>
        <w:tc>
          <w:tcPr>
            <w:tcW w:w="1361" w:type="dxa"/>
            <w:vAlign w:val="center"/>
          </w:tcPr>
          <w:p>
            <w:pPr>
              <w:pStyle w:val="12"/>
            </w:pPr>
            <w:r>
              <w:t>10.23</w:t>
            </w:r>
          </w:p>
        </w:tc>
        <w:tc>
          <w:tcPr>
            <w:tcW w:w="1361" w:type="dxa"/>
            <w:vAlign w:val="center"/>
          </w:tcPr>
          <w:p>
            <w:pPr>
              <w:pStyle w:val="12"/>
            </w:pPr>
          </w:p>
        </w:tc>
        <w:tc>
          <w:tcPr>
            <w:tcW w:w="1361" w:type="dxa"/>
            <w:vAlign w:val="center"/>
          </w:tcPr>
          <w:p>
            <w:pPr>
              <w:pStyle w:val="12"/>
            </w:pPr>
            <w:r>
              <w:t>10.23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2010499</w:t>
            </w:r>
          </w:p>
        </w:tc>
        <w:tc>
          <w:tcPr>
            <w:tcW w:w="4535" w:type="dxa"/>
            <w:vAlign w:val="center"/>
          </w:tcPr>
          <w:p>
            <w:pPr>
              <w:pStyle w:val="13"/>
            </w:pPr>
            <w:r>
              <w:t>其他发展与改革事务支出</w:t>
            </w:r>
          </w:p>
        </w:tc>
        <w:tc>
          <w:tcPr>
            <w:tcW w:w="1361" w:type="dxa"/>
            <w:vAlign w:val="center"/>
          </w:tcPr>
          <w:p>
            <w:pPr>
              <w:pStyle w:val="12"/>
            </w:pPr>
            <w:r>
              <w:t>1.18</w:t>
            </w:r>
          </w:p>
        </w:tc>
        <w:tc>
          <w:tcPr>
            <w:tcW w:w="1361" w:type="dxa"/>
            <w:vAlign w:val="center"/>
          </w:tcPr>
          <w:p>
            <w:pPr>
              <w:pStyle w:val="12"/>
            </w:pPr>
          </w:p>
        </w:tc>
        <w:tc>
          <w:tcPr>
            <w:tcW w:w="1361" w:type="dxa"/>
            <w:vAlign w:val="center"/>
          </w:tcPr>
          <w:p>
            <w:pPr>
              <w:pStyle w:val="12"/>
            </w:pPr>
            <w:r>
              <w:t>1.18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20113</w:t>
            </w:r>
          </w:p>
        </w:tc>
        <w:tc>
          <w:tcPr>
            <w:tcW w:w="4535" w:type="dxa"/>
            <w:vAlign w:val="center"/>
          </w:tcPr>
          <w:p>
            <w:pPr>
              <w:pStyle w:val="13"/>
            </w:pPr>
            <w:r>
              <w:t>商贸事务</w:t>
            </w:r>
          </w:p>
        </w:tc>
        <w:tc>
          <w:tcPr>
            <w:tcW w:w="1361" w:type="dxa"/>
            <w:vAlign w:val="center"/>
          </w:tcPr>
          <w:p>
            <w:pPr>
              <w:pStyle w:val="12"/>
            </w:pPr>
            <w:r>
              <w:t>149.63</w:t>
            </w:r>
          </w:p>
        </w:tc>
        <w:tc>
          <w:tcPr>
            <w:tcW w:w="1361" w:type="dxa"/>
            <w:vAlign w:val="center"/>
          </w:tcPr>
          <w:p>
            <w:pPr>
              <w:pStyle w:val="12"/>
            </w:pPr>
            <w:r>
              <w:t>118.63</w:t>
            </w: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2011308</w:t>
            </w:r>
          </w:p>
        </w:tc>
        <w:tc>
          <w:tcPr>
            <w:tcW w:w="4535" w:type="dxa"/>
            <w:vAlign w:val="center"/>
          </w:tcPr>
          <w:p>
            <w:pPr>
              <w:pStyle w:val="13"/>
            </w:pPr>
            <w:r>
              <w:t>招商引资</w:t>
            </w: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2011350</w:t>
            </w:r>
          </w:p>
        </w:tc>
        <w:tc>
          <w:tcPr>
            <w:tcW w:w="4535" w:type="dxa"/>
            <w:vAlign w:val="center"/>
          </w:tcPr>
          <w:p>
            <w:pPr>
              <w:pStyle w:val="13"/>
            </w:pPr>
            <w:r>
              <w:t>事业运行</w:t>
            </w:r>
          </w:p>
        </w:tc>
        <w:tc>
          <w:tcPr>
            <w:tcW w:w="1361" w:type="dxa"/>
            <w:vAlign w:val="center"/>
          </w:tcPr>
          <w:p>
            <w:pPr>
              <w:pStyle w:val="12"/>
            </w:pPr>
            <w:r>
              <w:t>118.63</w:t>
            </w:r>
          </w:p>
        </w:tc>
        <w:tc>
          <w:tcPr>
            <w:tcW w:w="1361" w:type="dxa"/>
            <w:vAlign w:val="center"/>
          </w:tcPr>
          <w:p>
            <w:pPr>
              <w:pStyle w:val="12"/>
            </w:pPr>
            <w:r>
              <w:t>118.63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20138</w:t>
            </w:r>
          </w:p>
        </w:tc>
        <w:tc>
          <w:tcPr>
            <w:tcW w:w="4535" w:type="dxa"/>
            <w:vAlign w:val="center"/>
          </w:tcPr>
          <w:p>
            <w:pPr>
              <w:pStyle w:val="13"/>
            </w:pPr>
            <w:r>
              <w:t>市场监督管理事务</w:t>
            </w:r>
          </w:p>
        </w:tc>
        <w:tc>
          <w:tcPr>
            <w:tcW w:w="1361" w:type="dxa"/>
            <w:vAlign w:val="center"/>
          </w:tcPr>
          <w:p>
            <w:pPr>
              <w:pStyle w:val="12"/>
            </w:pPr>
            <w:r>
              <w:t>230.32</w:t>
            </w:r>
          </w:p>
        </w:tc>
        <w:tc>
          <w:tcPr>
            <w:tcW w:w="1361" w:type="dxa"/>
            <w:vAlign w:val="center"/>
          </w:tcPr>
          <w:p>
            <w:pPr>
              <w:pStyle w:val="12"/>
            </w:pPr>
            <w:r>
              <w:t>230.32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2013850</w:t>
            </w:r>
          </w:p>
        </w:tc>
        <w:tc>
          <w:tcPr>
            <w:tcW w:w="4535" w:type="dxa"/>
            <w:vAlign w:val="center"/>
          </w:tcPr>
          <w:p>
            <w:pPr>
              <w:pStyle w:val="13"/>
            </w:pPr>
            <w:r>
              <w:t>事业运行</w:t>
            </w:r>
          </w:p>
        </w:tc>
        <w:tc>
          <w:tcPr>
            <w:tcW w:w="1361" w:type="dxa"/>
            <w:vAlign w:val="center"/>
          </w:tcPr>
          <w:p>
            <w:pPr>
              <w:pStyle w:val="12"/>
            </w:pPr>
            <w:r>
              <w:t>230.32</w:t>
            </w:r>
          </w:p>
        </w:tc>
        <w:tc>
          <w:tcPr>
            <w:tcW w:w="1361" w:type="dxa"/>
            <w:vAlign w:val="center"/>
          </w:tcPr>
          <w:p>
            <w:pPr>
              <w:pStyle w:val="12"/>
            </w:pPr>
            <w:r>
              <w:t>230.32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1.30</w:t>
            </w:r>
          </w:p>
        </w:tc>
        <w:tc>
          <w:tcPr>
            <w:tcW w:w="1361" w:type="dxa"/>
            <w:vAlign w:val="center"/>
          </w:tcPr>
          <w:p>
            <w:pPr>
              <w:pStyle w:val="12"/>
            </w:pPr>
          </w:p>
        </w:tc>
        <w:tc>
          <w:tcPr>
            <w:tcW w:w="1361" w:type="dxa"/>
            <w:vAlign w:val="center"/>
          </w:tcPr>
          <w:p>
            <w:pPr>
              <w:pStyle w:val="12"/>
            </w:pPr>
            <w:r>
              <w:t>1.30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1.30</w:t>
            </w:r>
          </w:p>
        </w:tc>
        <w:tc>
          <w:tcPr>
            <w:tcW w:w="1361" w:type="dxa"/>
            <w:vAlign w:val="center"/>
          </w:tcPr>
          <w:p>
            <w:pPr>
              <w:pStyle w:val="12"/>
            </w:pPr>
          </w:p>
        </w:tc>
        <w:tc>
          <w:tcPr>
            <w:tcW w:w="1361" w:type="dxa"/>
            <w:vAlign w:val="center"/>
          </w:tcPr>
          <w:p>
            <w:pPr>
              <w:pStyle w:val="12"/>
            </w:pPr>
            <w:r>
              <w:t>1.30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1946.21</w:t>
            </w:r>
          </w:p>
        </w:tc>
        <w:tc>
          <w:tcPr>
            <w:tcW w:w="1361" w:type="dxa"/>
            <w:vAlign w:val="center"/>
          </w:tcPr>
          <w:p>
            <w:pPr>
              <w:pStyle w:val="12"/>
            </w:pPr>
            <w:r>
              <w:t>699.96</w:t>
            </w:r>
          </w:p>
        </w:tc>
        <w:tc>
          <w:tcPr>
            <w:tcW w:w="1361" w:type="dxa"/>
            <w:vAlign w:val="center"/>
          </w:tcPr>
          <w:p>
            <w:pPr>
              <w:pStyle w:val="12"/>
            </w:pPr>
            <w:r>
              <w:t>1246.25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20601</w:t>
            </w:r>
          </w:p>
        </w:tc>
        <w:tc>
          <w:tcPr>
            <w:tcW w:w="4535" w:type="dxa"/>
            <w:vAlign w:val="center"/>
          </w:tcPr>
          <w:p>
            <w:pPr>
              <w:pStyle w:val="13"/>
            </w:pPr>
            <w:r>
              <w:t>科学技术管理事务</w:t>
            </w:r>
          </w:p>
        </w:tc>
        <w:tc>
          <w:tcPr>
            <w:tcW w:w="1361" w:type="dxa"/>
            <w:vAlign w:val="center"/>
          </w:tcPr>
          <w:p>
            <w:pPr>
              <w:pStyle w:val="12"/>
            </w:pPr>
            <w:r>
              <w:t>1946.21</w:t>
            </w:r>
          </w:p>
        </w:tc>
        <w:tc>
          <w:tcPr>
            <w:tcW w:w="1361" w:type="dxa"/>
            <w:vAlign w:val="center"/>
          </w:tcPr>
          <w:p>
            <w:pPr>
              <w:pStyle w:val="12"/>
            </w:pPr>
            <w:r>
              <w:t>699.96</w:t>
            </w:r>
          </w:p>
        </w:tc>
        <w:tc>
          <w:tcPr>
            <w:tcW w:w="1361" w:type="dxa"/>
            <w:vAlign w:val="center"/>
          </w:tcPr>
          <w:p>
            <w:pPr>
              <w:pStyle w:val="12"/>
            </w:pPr>
            <w:r>
              <w:t>1246.25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2060101</w:t>
            </w:r>
          </w:p>
        </w:tc>
        <w:tc>
          <w:tcPr>
            <w:tcW w:w="4535" w:type="dxa"/>
            <w:vAlign w:val="center"/>
          </w:tcPr>
          <w:p>
            <w:pPr>
              <w:pStyle w:val="13"/>
            </w:pPr>
            <w:r>
              <w:t>行政运行</w:t>
            </w:r>
          </w:p>
        </w:tc>
        <w:tc>
          <w:tcPr>
            <w:tcW w:w="1361" w:type="dxa"/>
            <w:vAlign w:val="center"/>
          </w:tcPr>
          <w:p>
            <w:pPr>
              <w:pStyle w:val="12"/>
            </w:pPr>
            <w:r>
              <w:t>699.96</w:t>
            </w:r>
          </w:p>
        </w:tc>
        <w:tc>
          <w:tcPr>
            <w:tcW w:w="1361" w:type="dxa"/>
            <w:vAlign w:val="center"/>
          </w:tcPr>
          <w:p>
            <w:pPr>
              <w:pStyle w:val="12"/>
            </w:pPr>
            <w:r>
              <w:t>699.96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2060102</w:t>
            </w:r>
          </w:p>
        </w:tc>
        <w:tc>
          <w:tcPr>
            <w:tcW w:w="4535" w:type="dxa"/>
            <w:vAlign w:val="center"/>
          </w:tcPr>
          <w:p>
            <w:pPr>
              <w:pStyle w:val="13"/>
            </w:pPr>
            <w:r>
              <w:t>一般行政管理事务</w:t>
            </w:r>
          </w:p>
        </w:tc>
        <w:tc>
          <w:tcPr>
            <w:tcW w:w="1361" w:type="dxa"/>
            <w:vAlign w:val="center"/>
          </w:tcPr>
          <w:p>
            <w:pPr>
              <w:pStyle w:val="12"/>
            </w:pPr>
            <w:r>
              <w:t>48.60</w:t>
            </w:r>
          </w:p>
        </w:tc>
        <w:tc>
          <w:tcPr>
            <w:tcW w:w="1361" w:type="dxa"/>
            <w:vAlign w:val="center"/>
          </w:tcPr>
          <w:p>
            <w:pPr>
              <w:pStyle w:val="12"/>
            </w:pPr>
          </w:p>
        </w:tc>
        <w:tc>
          <w:tcPr>
            <w:tcW w:w="1361" w:type="dxa"/>
            <w:vAlign w:val="center"/>
          </w:tcPr>
          <w:p>
            <w:pPr>
              <w:pStyle w:val="12"/>
            </w:pPr>
            <w:r>
              <w:t>48.60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2060199</w:t>
            </w:r>
          </w:p>
        </w:tc>
        <w:tc>
          <w:tcPr>
            <w:tcW w:w="4535" w:type="dxa"/>
            <w:vAlign w:val="center"/>
          </w:tcPr>
          <w:p>
            <w:pPr>
              <w:pStyle w:val="13"/>
            </w:pPr>
            <w:r>
              <w:t>其他科学技术管理事务支出</w:t>
            </w:r>
          </w:p>
        </w:tc>
        <w:tc>
          <w:tcPr>
            <w:tcW w:w="1361" w:type="dxa"/>
            <w:vAlign w:val="center"/>
          </w:tcPr>
          <w:p>
            <w:pPr>
              <w:pStyle w:val="12"/>
            </w:pPr>
            <w:r>
              <w:t>1197.65</w:t>
            </w:r>
          </w:p>
        </w:tc>
        <w:tc>
          <w:tcPr>
            <w:tcW w:w="1361" w:type="dxa"/>
            <w:vAlign w:val="center"/>
          </w:tcPr>
          <w:p>
            <w:pPr>
              <w:pStyle w:val="12"/>
            </w:pPr>
          </w:p>
        </w:tc>
        <w:tc>
          <w:tcPr>
            <w:tcW w:w="1361" w:type="dxa"/>
            <w:vAlign w:val="center"/>
          </w:tcPr>
          <w:p>
            <w:pPr>
              <w:pStyle w:val="12"/>
            </w:pPr>
            <w:r>
              <w:t>1197.65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274.00</w:t>
            </w:r>
          </w:p>
        </w:tc>
        <w:tc>
          <w:tcPr>
            <w:tcW w:w="1361" w:type="dxa"/>
            <w:vAlign w:val="center"/>
          </w:tcPr>
          <w:p>
            <w:pPr>
              <w:pStyle w:val="12"/>
            </w:pPr>
            <w:r>
              <w:t>273.50</w:t>
            </w: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246.50</w:t>
            </w:r>
          </w:p>
        </w:tc>
        <w:tc>
          <w:tcPr>
            <w:tcW w:w="1361" w:type="dxa"/>
            <w:vAlign w:val="center"/>
          </w:tcPr>
          <w:p>
            <w:pPr>
              <w:pStyle w:val="12"/>
            </w:pPr>
            <w:r>
              <w:t>246.50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121.82</w:t>
            </w:r>
          </w:p>
        </w:tc>
        <w:tc>
          <w:tcPr>
            <w:tcW w:w="1361" w:type="dxa"/>
            <w:vAlign w:val="center"/>
          </w:tcPr>
          <w:p>
            <w:pPr>
              <w:pStyle w:val="12"/>
            </w:pPr>
            <w:r>
              <w:t>121.82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46.26</w:t>
            </w:r>
          </w:p>
        </w:tc>
        <w:tc>
          <w:tcPr>
            <w:tcW w:w="1361" w:type="dxa"/>
            <w:vAlign w:val="center"/>
          </w:tcPr>
          <w:p>
            <w:pPr>
              <w:pStyle w:val="12"/>
            </w:pPr>
            <w:r>
              <w:t>46.26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54.25</w:t>
            </w:r>
          </w:p>
        </w:tc>
        <w:tc>
          <w:tcPr>
            <w:tcW w:w="1361" w:type="dxa"/>
            <w:vAlign w:val="center"/>
          </w:tcPr>
          <w:p>
            <w:pPr>
              <w:pStyle w:val="12"/>
            </w:pPr>
            <w:r>
              <w:t>54.25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24.16</w:t>
            </w:r>
          </w:p>
        </w:tc>
        <w:tc>
          <w:tcPr>
            <w:tcW w:w="1361" w:type="dxa"/>
            <w:vAlign w:val="center"/>
          </w:tcPr>
          <w:p>
            <w:pPr>
              <w:pStyle w:val="12"/>
            </w:pPr>
            <w:r>
              <w:t>24.16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27.50</w:t>
            </w:r>
          </w:p>
        </w:tc>
        <w:tc>
          <w:tcPr>
            <w:tcW w:w="1361" w:type="dxa"/>
            <w:vAlign w:val="center"/>
          </w:tcPr>
          <w:p>
            <w:pPr>
              <w:pStyle w:val="12"/>
            </w:pPr>
            <w:r>
              <w:t>27.00</w:t>
            </w: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2080802</w:t>
            </w:r>
          </w:p>
        </w:tc>
        <w:tc>
          <w:tcPr>
            <w:tcW w:w="4535" w:type="dxa"/>
            <w:vAlign w:val="center"/>
          </w:tcPr>
          <w:p>
            <w:pPr>
              <w:pStyle w:val="13"/>
            </w:pPr>
            <w:r>
              <w:t>伤残抚恤</w:t>
            </w: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27.00</w:t>
            </w:r>
          </w:p>
        </w:tc>
        <w:tc>
          <w:tcPr>
            <w:tcW w:w="1361" w:type="dxa"/>
            <w:vAlign w:val="center"/>
          </w:tcPr>
          <w:p>
            <w:pPr>
              <w:pStyle w:val="12"/>
            </w:pPr>
            <w:r>
              <w:t>27.00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73.73</w:t>
            </w:r>
          </w:p>
        </w:tc>
        <w:tc>
          <w:tcPr>
            <w:tcW w:w="1361" w:type="dxa"/>
            <w:vAlign w:val="center"/>
          </w:tcPr>
          <w:p>
            <w:pPr>
              <w:pStyle w:val="12"/>
            </w:pPr>
            <w:r>
              <w:t>73.73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73.73</w:t>
            </w:r>
          </w:p>
        </w:tc>
        <w:tc>
          <w:tcPr>
            <w:tcW w:w="1361" w:type="dxa"/>
            <w:vAlign w:val="center"/>
          </w:tcPr>
          <w:p>
            <w:pPr>
              <w:pStyle w:val="12"/>
            </w:pPr>
            <w:r>
              <w:t>73.73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24.90</w:t>
            </w:r>
          </w:p>
        </w:tc>
        <w:tc>
          <w:tcPr>
            <w:tcW w:w="1361" w:type="dxa"/>
            <w:vAlign w:val="center"/>
          </w:tcPr>
          <w:p>
            <w:pPr>
              <w:pStyle w:val="12"/>
            </w:pPr>
            <w:r>
              <w:t>24.90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48.82</w:t>
            </w:r>
          </w:p>
        </w:tc>
        <w:tc>
          <w:tcPr>
            <w:tcW w:w="1361" w:type="dxa"/>
            <w:vAlign w:val="center"/>
          </w:tcPr>
          <w:p>
            <w:pPr>
              <w:pStyle w:val="12"/>
            </w:pPr>
            <w:r>
              <w:t>48.82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77.20</w:t>
            </w:r>
          </w:p>
        </w:tc>
        <w:tc>
          <w:tcPr>
            <w:tcW w:w="1361" w:type="dxa"/>
            <w:vAlign w:val="center"/>
          </w:tcPr>
          <w:p>
            <w:pPr>
              <w:pStyle w:val="12"/>
            </w:pPr>
          </w:p>
        </w:tc>
        <w:tc>
          <w:tcPr>
            <w:tcW w:w="1361" w:type="dxa"/>
            <w:vAlign w:val="center"/>
          </w:tcPr>
          <w:p>
            <w:pPr>
              <w:pStyle w:val="12"/>
            </w:pPr>
            <w:r>
              <w:t>77.20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35.80</w:t>
            </w:r>
          </w:p>
        </w:tc>
        <w:tc>
          <w:tcPr>
            <w:tcW w:w="1361" w:type="dxa"/>
            <w:vAlign w:val="center"/>
          </w:tcPr>
          <w:p>
            <w:pPr>
              <w:pStyle w:val="12"/>
            </w:pPr>
          </w:p>
        </w:tc>
        <w:tc>
          <w:tcPr>
            <w:tcW w:w="1361" w:type="dxa"/>
            <w:vAlign w:val="center"/>
          </w:tcPr>
          <w:p>
            <w:pPr>
              <w:pStyle w:val="12"/>
            </w:pPr>
            <w:r>
              <w:t>35.80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35.80</w:t>
            </w:r>
          </w:p>
        </w:tc>
        <w:tc>
          <w:tcPr>
            <w:tcW w:w="1361" w:type="dxa"/>
            <w:vAlign w:val="center"/>
          </w:tcPr>
          <w:p>
            <w:pPr>
              <w:pStyle w:val="12"/>
            </w:pPr>
          </w:p>
        </w:tc>
        <w:tc>
          <w:tcPr>
            <w:tcW w:w="1361" w:type="dxa"/>
            <w:vAlign w:val="center"/>
          </w:tcPr>
          <w:p>
            <w:pPr>
              <w:pStyle w:val="12"/>
            </w:pPr>
            <w:r>
              <w:t>35.80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21199</w:t>
            </w:r>
          </w:p>
        </w:tc>
        <w:tc>
          <w:tcPr>
            <w:tcW w:w="4535" w:type="dxa"/>
            <w:vAlign w:val="center"/>
          </w:tcPr>
          <w:p>
            <w:pPr>
              <w:pStyle w:val="13"/>
            </w:pPr>
            <w:r>
              <w:t>其他节能环保支出</w:t>
            </w:r>
          </w:p>
        </w:tc>
        <w:tc>
          <w:tcPr>
            <w:tcW w:w="1361" w:type="dxa"/>
            <w:vAlign w:val="center"/>
          </w:tcPr>
          <w:p>
            <w:pPr>
              <w:pStyle w:val="12"/>
            </w:pPr>
            <w:r>
              <w:t>41.40</w:t>
            </w:r>
          </w:p>
        </w:tc>
        <w:tc>
          <w:tcPr>
            <w:tcW w:w="1361" w:type="dxa"/>
            <w:vAlign w:val="center"/>
          </w:tcPr>
          <w:p>
            <w:pPr>
              <w:pStyle w:val="12"/>
            </w:pPr>
          </w:p>
        </w:tc>
        <w:tc>
          <w:tcPr>
            <w:tcW w:w="1361" w:type="dxa"/>
            <w:vAlign w:val="center"/>
          </w:tcPr>
          <w:p>
            <w:pPr>
              <w:pStyle w:val="12"/>
            </w:pPr>
            <w:r>
              <w:t>41.40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2119999</w:t>
            </w:r>
          </w:p>
        </w:tc>
        <w:tc>
          <w:tcPr>
            <w:tcW w:w="4535" w:type="dxa"/>
            <w:vAlign w:val="center"/>
          </w:tcPr>
          <w:p>
            <w:pPr>
              <w:pStyle w:val="13"/>
            </w:pPr>
            <w:r>
              <w:t>其他节能环保支出</w:t>
            </w:r>
          </w:p>
        </w:tc>
        <w:tc>
          <w:tcPr>
            <w:tcW w:w="1361" w:type="dxa"/>
            <w:vAlign w:val="center"/>
          </w:tcPr>
          <w:p>
            <w:pPr>
              <w:pStyle w:val="12"/>
            </w:pPr>
            <w:r>
              <w:t>41.40</w:t>
            </w:r>
          </w:p>
        </w:tc>
        <w:tc>
          <w:tcPr>
            <w:tcW w:w="1361" w:type="dxa"/>
            <w:vAlign w:val="center"/>
          </w:tcPr>
          <w:p>
            <w:pPr>
              <w:pStyle w:val="12"/>
            </w:pPr>
          </w:p>
        </w:tc>
        <w:tc>
          <w:tcPr>
            <w:tcW w:w="1361" w:type="dxa"/>
            <w:vAlign w:val="center"/>
          </w:tcPr>
          <w:p>
            <w:pPr>
              <w:pStyle w:val="12"/>
            </w:pPr>
            <w:r>
              <w:t>41.40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374.02</w:t>
            </w:r>
          </w:p>
        </w:tc>
        <w:tc>
          <w:tcPr>
            <w:tcW w:w="1361" w:type="dxa"/>
            <w:vAlign w:val="center"/>
          </w:tcPr>
          <w:p>
            <w:pPr>
              <w:pStyle w:val="12"/>
            </w:pPr>
          </w:p>
        </w:tc>
        <w:tc>
          <w:tcPr>
            <w:tcW w:w="1361" w:type="dxa"/>
            <w:vAlign w:val="center"/>
          </w:tcPr>
          <w:p>
            <w:pPr>
              <w:pStyle w:val="12"/>
            </w:pPr>
            <w:r>
              <w:t>374.02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217.12</w:t>
            </w:r>
          </w:p>
        </w:tc>
        <w:tc>
          <w:tcPr>
            <w:tcW w:w="1361" w:type="dxa"/>
            <w:vAlign w:val="center"/>
          </w:tcPr>
          <w:p>
            <w:pPr>
              <w:pStyle w:val="12"/>
            </w:pPr>
          </w:p>
        </w:tc>
        <w:tc>
          <w:tcPr>
            <w:tcW w:w="1361" w:type="dxa"/>
            <w:vAlign w:val="center"/>
          </w:tcPr>
          <w:p>
            <w:pPr>
              <w:pStyle w:val="12"/>
            </w:pPr>
            <w:r>
              <w:t>217.12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2120399</w:t>
            </w:r>
          </w:p>
        </w:tc>
        <w:tc>
          <w:tcPr>
            <w:tcW w:w="4535" w:type="dxa"/>
            <w:vAlign w:val="center"/>
          </w:tcPr>
          <w:p>
            <w:pPr>
              <w:pStyle w:val="13"/>
            </w:pPr>
            <w:r>
              <w:t>其他城乡社区公共设施支出</w:t>
            </w:r>
          </w:p>
        </w:tc>
        <w:tc>
          <w:tcPr>
            <w:tcW w:w="1361" w:type="dxa"/>
            <w:vAlign w:val="center"/>
          </w:tcPr>
          <w:p>
            <w:pPr>
              <w:pStyle w:val="12"/>
            </w:pPr>
            <w:r>
              <w:t>217.12</w:t>
            </w:r>
          </w:p>
        </w:tc>
        <w:tc>
          <w:tcPr>
            <w:tcW w:w="1361" w:type="dxa"/>
            <w:vAlign w:val="center"/>
          </w:tcPr>
          <w:p>
            <w:pPr>
              <w:pStyle w:val="12"/>
            </w:pPr>
          </w:p>
        </w:tc>
        <w:tc>
          <w:tcPr>
            <w:tcW w:w="1361" w:type="dxa"/>
            <w:vAlign w:val="center"/>
          </w:tcPr>
          <w:p>
            <w:pPr>
              <w:pStyle w:val="12"/>
            </w:pPr>
            <w:r>
              <w:t>217.12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156.90</w:t>
            </w:r>
          </w:p>
        </w:tc>
        <w:tc>
          <w:tcPr>
            <w:tcW w:w="1361" w:type="dxa"/>
            <w:vAlign w:val="center"/>
          </w:tcPr>
          <w:p>
            <w:pPr>
              <w:pStyle w:val="12"/>
            </w:pPr>
          </w:p>
        </w:tc>
        <w:tc>
          <w:tcPr>
            <w:tcW w:w="1361" w:type="dxa"/>
            <w:vAlign w:val="center"/>
          </w:tcPr>
          <w:p>
            <w:pPr>
              <w:pStyle w:val="12"/>
            </w:pPr>
            <w:r>
              <w:t>156.90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2120815</w:t>
            </w:r>
          </w:p>
        </w:tc>
        <w:tc>
          <w:tcPr>
            <w:tcW w:w="4535" w:type="dxa"/>
            <w:vAlign w:val="center"/>
          </w:tcPr>
          <w:p>
            <w:pPr>
              <w:pStyle w:val="13"/>
            </w:pPr>
            <w:r>
              <w:t>农村社会事业支出</w:t>
            </w: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2120899</w:t>
            </w:r>
          </w:p>
        </w:tc>
        <w:tc>
          <w:tcPr>
            <w:tcW w:w="4535" w:type="dxa"/>
            <w:vAlign w:val="center"/>
          </w:tcPr>
          <w:p>
            <w:pPr>
              <w:pStyle w:val="13"/>
            </w:pPr>
            <w:r>
              <w:t>其他国有土地使用权出让收入安排的支出</w:t>
            </w:r>
          </w:p>
        </w:tc>
        <w:tc>
          <w:tcPr>
            <w:tcW w:w="1361" w:type="dxa"/>
            <w:vAlign w:val="center"/>
          </w:tcPr>
          <w:p>
            <w:pPr>
              <w:pStyle w:val="12"/>
            </w:pPr>
            <w:r>
              <w:t>56.90</w:t>
            </w:r>
          </w:p>
        </w:tc>
        <w:tc>
          <w:tcPr>
            <w:tcW w:w="1361" w:type="dxa"/>
            <w:vAlign w:val="center"/>
          </w:tcPr>
          <w:p>
            <w:pPr>
              <w:pStyle w:val="12"/>
            </w:pPr>
          </w:p>
        </w:tc>
        <w:tc>
          <w:tcPr>
            <w:tcW w:w="1361" w:type="dxa"/>
            <w:vAlign w:val="center"/>
          </w:tcPr>
          <w:p>
            <w:pPr>
              <w:pStyle w:val="12"/>
            </w:pPr>
            <w:r>
              <w:t>56.90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70.95</w:t>
            </w:r>
          </w:p>
        </w:tc>
        <w:tc>
          <w:tcPr>
            <w:tcW w:w="1361" w:type="dxa"/>
            <w:vAlign w:val="center"/>
          </w:tcPr>
          <w:p>
            <w:pPr>
              <w:pStyle w:val="12"/>
            </w:pPr>
            <w:r>
              <w:t>70.95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70.95</w:t>
            </w:r>
          </w:p>
        </w:tc>
        <w:tc>
          <w:tcPr>
            <w:tcW w:w="1361" w:type="dxa"/>
            <w:vAlign w:val="center"/>
          </w:tcPr>
          <w:p>
            <w:pPr>
              <w:pStyle w:val="12"/>
            </w:pPr>
            <w:r>
              <w:t>70.95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70.95</w:t>
            </w:r>
          </w:p>
        </w:tc>
        <w:tc>
          <w:tcPr>
            <w:tcW w:w="1361" w:type="dxa"/>
            <w:vAlign w:val="center"/>
          </w:tcPr>
          <w:p>
            <w:pPr>
              <w:pStyle w:val="12"/>
            </w:pPr>
            <w:r>
              <w:t>70.95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222</w:t>
            </w:r>
          </w:p>
        </w:tc>
        <w:tc>
          <w:tcPr>
            <w:tcW w:w="4535" w:type="dxa"/>
            <w:vAlign w:val="center"/>
          </w:tcPr>
          <w:p>
            <w:pPr>
              <w:pStyle w:val="13"/>
            </w:pPr>
            <w:r>
              <w:t>粮油物资储备支出</w:t>
            </w:r>
          </w:p>
        </w:tc>
        <w:tc>
          <w:tcPr>
            <w:tcW w:w="1361" w:type="dxa"/>
            <w:vAlign w:val="center"/>
          </w:tcPr>
          <w:p>
            <w:pPr>
              <w:pStyle w:val="12"/>
            </w:pPr>
            <w:r>
              <w:t>576.74</w:t>
            </w:r>
          </w:p>
        </w:tc>
        <w:tc>
          <w:tcPr>
            <w:tcW w:w="1361" w:type="dxa"/>
            <w:vAlign w:val="center"/>
          </w:tcPr>
          <w:p>
            <w:pPr>
              <w:pStyle w:val="12"/>
            </w:pPr>
          </w:p>
        </w:tc>
        <w:tc>
          <w:tcPr>
            <w:tcW w:w="1361" w:type="dxa"/>
            <w:vAlign w:val="center"/>
          </w:tcPr>
          <w:p>
            <w:pPr>
              <w:pStyle w:val="12"/>
            </w:pPr>
            <w:r>
              <w:t>576.74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22201</w:t>
            </w:r>
          </w:p>
        </w:tc>
        <w:tc>
          <w:tcPr>
            <w:tcW w:w="4535" w:type="dxa"/>
            <w:vAlign w:val="center"/>
          </w:tcPr>
          <w:p>
            <w:pPr>
              <w:pStyle w:val="13"/>
            </w:pPr>
            <w:r>
              <w:t>粮油物资事务</w:t>
            </w:r>
          </w:p>
        </w:tc>
        <w:tc>
          <w:tcPr>
            <w:tcW w:w="1361" w:type="dxa"/>
            <w:vAlign w:val="center"/>
          </w:tcPr>
          <w:p>
            <w:pPr>
              <w:pStyle w:val="12"/>
            </w:pPr>
            <w:r>
              <w:t>296.53</w:t>
            </w:r>
          </w:p>
        </w:tc>
        <w:tc>
          <w:tcPr>
            <w:tcW w:w="1361" w:type="dxa"/>
            <w:vAlign w:val="center"/>
          </w:tcPr>
          <w:p>
            <w:pPr>
              <w:pStyle w:val="12"/>
            </w:pPr>
          </w:p>
        </w:tc>
        <w:tc>
          <w:tcPr>
            <w:tcW w:w="1361" w:type="dxa"/>
            <w:vAlign w:val="center"/>
          </w:tcPr>
          <w:p>
            <w:pPr>
              <w:pStyle w:val="12"/>
            </w:pPr>
            <w:r>
              <w:t>296.53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2220102</w:t>
            </w:r>
          </w:p>
        </w:tc>
        <w:tc>
          <w:tcPr>
            <w:tcW w:w="4535" w:type="dxa"/>
            <w:vAlign w:val="center"/>
          </w:tcPr>
          <w:p>
            <w:pPr>
              <w:pStyle w:val="13"/>
            </w:pPr>
            <w:r>
              <w:t>一般行政管理事务</w:t>
            </w:r>
          </w:p>
        </w:tc>
        <w:tc>
          <w:tcPr>
            <w:tcW w:w="1361" w:type="dxa"/>
            <w:vAlign w:val="center"/>
          </w:tcPr>
          <w:p>
            <w:pPr>
              <w:pStyle w:val="12"/>
            </w:pPr>
            <w:r>
              <w:t>1.30</w:t>
            </w:r>
          </w:p>
        </w:tc>
        <w:tc>
          <w:tcPr>
            <w:tcW w:w="1361" w:type="dxa"/>
            <w:vAlign w:val="center"/>
          </w:tcPr>
          <w:p>
            <w:pPr>
              <w:pStyle w:val="12"/>
            </w:pPr>
          </w:p>
        </w:tc>
        <w:tc>
          <w:tcPr>
            <w:tcW w:w="1361" w:type="dxa"/>
            <w:vAlign w:val="center"/>
          </w:tcPr>
          <w:p>
            <w:pPr>
              <w:pStyle w:val="12"/>
            </w:pPr>
            <w:r>
              <w:t>1.30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2220105</w:t>
            </w:r>
          </w:p>
        </w:tc>
        <w:tc>
          <w:tcPr>
            <w:tcW w:w="4535" w:type="dxa"/>
            <w:vAlign w:val="center"/>
          </w:tcPr>
          <w:p>
            <w:pPr>
              <w:pStyle w:val="13"/>
            </w:pPr>
            <w:r>
              <w:t>信息统计</w:t>
            </w:r>
          </w:p>
        </w:tc>
        <w:tc>
          <w:tcPr>
            <w:tcW w:w="1361" w:type="dxa"/>
            <w:vAlign w:val="center"/>
          </w:tcPr>
          <w:p>
            <w:pPr>
              <w:pStyle w:val="12"/>
            </w:pPr>
            <w:r>
              <w:t>0.98</w:t>
            </w:r>
          </w:p>
        </w:tc>
        <w:tc>
          <w:tcPr>
            <w:tcW w:w="1361" w:type="dxa"/>
            <w:vAlign w:val="center"/>
          </w:tcPr>
          <w:p>
            <w:pPr>
              <w:pStyle w:val="12"/>
            </w:pPr>
          </w:p>
        </w:tc>
        <w:tc>
          <w:tcPr>
            <w:tcW w:w="1361" w:type="dxa"/>
            <w:vAlign w:val="center"/>
          </w:tcPr>
          <w:p>
            <w:pPr>
              <w:pStyle w:val="12"/>
            </w:pPr>
            <w:r>
              <w:t>0.98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2220112</w:t>
            </w:r>
          </w:p>
        </w:tc>
        <w:tc>
          <w:tcPr>
            <w:tcW w:w="4535" w:type="dxa"/>
            <w:vAlign w:val="center"/>
          </w:tcPr>
          <w:p>
            <w:pPr>
              <w:pStyle w:val="13"/>
            </w:pPr>
            <w:r>
              <w:t>粮食财务挂账利息补贴</w:t>
            </w:r>
          </w:p>
        </w:tc>
        <w:tc>
          <w:tcPr>
            <w:tcW w:w="1361" w:type="dxa"/>
            <w:vAlign w:val="center"/>
          </w:tcPr>
          <w:p>
            <w:pPr>
              <w:pStyle w:val="12"/>
            </w:pPr>
            <w:r>
              <w:t>46.25</w:t>
            </w:r>
          </w:p>
        </w:tc>
        <w:tc>
          <w:tcPr>
            <w:tcW w:w="1361" w:type="dxa"/>
            <w:vAlign w:val="center"/>
          </w:tcPr>
          <w:p>
            <w:pPr>
              <w:pStyle w:val="12"/>
            </w:pPr>
          </w:p>
        </w:tc>
        <w:tc>
          <w:tcPr>
            <w:tcW w:w="1361" w:type="dxa"/>
            <w:vAlign w:val="center"/>
          </w:tcPr>
          <w:p>
            <w:pPr>
              <w:pStyle w:val="12"/>
            </w:pPr>
            <w:r>
              <w:t>46.25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992" w:type="dxa"/>
            <w:vAlign w:val="center"/>
          </w:tcPr>
          <w:p>
            <w:pPr>
              <w:pStyle w:val="13"/>
            </w:pPr>
            <w:r>
              <w:t>2220119</w:t>
            </w:r>
          </w:p>
        </w:tc>
        <w:tc>
          <w:tcPr>
            <w:tcW w:w="4535" w:type="dxa"/>
            <w:vAlign w:val="center"/>
          </w:tcPr>
          <w:p>
            <w:pPr>
              <w:pStyle w:val="13"/>
            </w:pPr>
            <w:r>
              <w:t>设施建设</w:t>
            </w:r>
          </w:p>
        </w:tc>
        <w:tc>
          <w:tcPr>
            <w:tcW w:w="1361" w:type="dxa"/>
            <w:vAlign w:val="center"/>
          </w:tcPr>
          <w:p>
            <w:pPr>
              <w:pStyle w:val="12"/>
            </w:pPr>
            <w:r>
              <w:t>248.00</w:t>
            </w:r>
          </w:p>
        </w:tc>
        <w:tc>
          <w:tcPr>
            <w:tcW w:w="1361" w:type="dxa"/>
            <w:vAlign w:val="center"/>
          </w:tcPr>
          <w:p>
            <w:pPr>
              <w:pStyle w:val="12"/>
            </w:pPr>
          </w:p>
        </w:tc>
        <w:tc>
          <w:tcPr>
            <w:tcW w:w="1361" w:type="dxa"/>
            <w:vAlign w:val="center"/>
          </w:tcPr>
          <w:p>
            <w:pPr>
              <w:pStyle w:val="12"/>
            </w:pPr>
            <w:r>
              <w:t>248.00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992" w:type="dxa"/>
            <w:vAlign w:val="center"/>
          </w:tcPr>
          <w:p>
            <w:pPr>
              <w:pStyle w:val="13"/>
            </w:pPr>
            <w:r>
              <w:t>22204</w:t>
            </w:r>
          </w:p>
        </w:tc>
        <w:tc>
          <w:tcPr>
            <w:tcW w:w="4535" w:type="dxa"/>
            <w:vAlign w:val="center"/>
          </w:tcPr>
          <w:p>
            <w:pPr>
              <w:pStyle w:val="13"/>
            </w:pPr>
            <w:r>
              <w:t>粮油储备</w:t>
            </w:r>
          </w:p>
        </w:tc>
        <w:tc>
          <w:tcPr>
            <w:tcW w:w="1361" w:type="dxa"/>
            <w:vAlign w:val="center"/>
          </w:tcPr>
          <w:p>
            <w:pPr>
              <w:pStyle w:val="12"/>
            </w:pPr>
            <w:r>
              <w:t>280.21</w:t>
            </w:r>
          </w:p>
        </w:tc>
        <w:tc>
          <w:tcPr>
            <w:tcW w:w="1361" w:type="dxa"/>
            <w:vAlign w:val="center"/>
          </w:tcPr>
          <w:p>
            <w:pPr>
              <w:pStyle w:val="12"/>
            </w:pPr>
          </w:p>
        </w:tc>
        <w:tc>
          <w:tcPr>
            <w:tcW w:w="1361" w:type="dxa"/>
            <w:vAlign w:val="center"/>
          </w:tcPr>
          <w:p>
            <w:pPr>
              <w:pStyle w:val="12"/>
            </w:pPr>
            <w:r>
              <w:t>280.21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53</w:t>
            </w:r>
          </w:p>
        </w:tc>
        <w:tc>
          <w:tcPr>
            <w:tcW w:w="992" w:type="dxa"/>
            <w:vAlign w:val="center"/>
          </w:tcPr>
          <w:p>
            <w:pPr>
              <w:pStyle w:val="13"/>
            </w:pPr>
            <w:r>
              <w:t>2220401</w:t>
            </w:r>
          </w:p>
        </w:tc>
        <w:tc>
          <w:tcPr>
            <w:tcW w:w="4535" w:type="dxa"/>
            <w:vAlign w:val="center"/>
          </w:tcPr>
          <w:p>
            <w:pPr>
              <w:pStyle w:val="13"/>
            </w:pPr>
            <w:r>
              <w:t>储备粮油补贴</w:t>
            </w:r>
          </w:p>
        </w:tc>
        <w:tc>
          <w:tcPr>
            <w:tcW w:w="1361" w:type="dxa"/>
            <w:vAlign w:val="center"/>
          </w:tcPr>
          <w:p>
            <w:pPr>
              <w:pStyle w:val="12"/>
            </w:pPr>
            <w:r>
              <w:t>280.21</w:t>
            </w:r>
          </w:p>
        </w:tc>
        <w:tc>
          <w:tcPr>
            <w:tcW w:w="1361" w:type="dxa"/>
            <w:vAlign w:val="center"/>
          </w:tcPr>
          <w:p>
            <w:pPr>
              <w:pStyle w:val="12"/>
            </w:pPr>
          </w:p>
        </w:tc>
        <w:tc>
          <w:tcPr>
            <w:tcW w:w="1361" w:type="dxa"/>
            <w:vAlign w:val="center"/>
          </w:tcPr>
          <w:p>
            <w:pPr>
              <w:pStyle w:val="12"/>
            </w:pPr>
            <w:r>
              <w:t>280.21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303青龙满族自治县发展和改革局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2473.65</w:t>
            </w:r>
          </w:p>
        </w:tc>
        <w:tc>
          <w:tcPr>
            <w:tcW w:w="3402" w:type="dxa"/>
            <w:vAlign w:val="center"/>
          </w:tcPr>
          <w:p>
            <w:pPr>
              <w:pStyle w:val="13"/>
            </w:pPr>
            <w:r>
              <w:t>一、一般公共服务支出</w:t>
            </w:r>
          </w:p>
        </w:tc>
        <w:tc>
          <w:tcPr>
            <w:tcW w:w="1474" w:type="dxa"/>
            <w:vAlign w:val="center"/>
          </w:tcPr>
          <w:p>
            <w:pPr>
              <w:pStyle w:val="12"/>
            </w:pPr>
            <w:r>
              <w:t>269.98</w:t>
            </w:r>
          </w:p>
        </w:tc>
        <w:tc>
          <w:tcPr>
            <w:tcW w:w="1474" w:type="dxa"/>
            <w:vAlign w:val="center"/>
          </w:tcPr>
          <w:p>
            <w:pPr>
              <w:pStyle w:val="12"/>
            </w:pPr>
            <w:r>
              <w:t>269.98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156.90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1946.21</w:t>
            </w:r>
          </w:p>
        </w:tc>
        <w:tc>
          <w:tcPr>
            <w:tcW w:w="1474" w:type="dxa"/>
            <w:vAlign w:val="center"/>
          </w:tcPr>
          <w:p>
            <w:pPr>
              <w:pStyle w:val="12"/>
            </w:pPr>
            <w:r>
              <w:t>1946.21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199.04</w:t>
            </w:r>
          </w:p>
        </w:tc>
        <w:tc>
          <w:tcPr>
            <w:tcW w:w="1474" w:type="dxa"/>
            <w:vAlign w:val="center"/>
          </w:tcPr>
          <w:p>
            <w:pPr>
              <w:pStyle w:val="12"/>
            </w:pPr>
            <w:r>
              <w:t>199.04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51.11</w:t>
            </w:r>
          </w:p>
        </w:tc>
        <w:tc>
          <w:tcPr>
            <w:tcW w:w="1474" w:type="dxa"/>
            <w:vAlign w:val="center"/>
          </w:tcPr>
          <w:p>
            <w:pPr>
              <w:pStyle w:val="12"/>
            </w:pPr>
            <w:r>
              <w:t>51.11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77.20</w:t>
            </w:r>
          </w:p>
        </w:tc>
        <w:tc>
          <w:tcPr>
            <w:tcW w:w="1474" w:type="dxa"/>
            <w:vAlign w:val="center"/>
          </w:tcPr>
          <w:p>
            <w:pPr>
              <w:pStyle w:val="12"/>
            </w:pPr>
            <w:r>
              <w:t>77.20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374.02</w:t>
            </w:r>
          </w:p>
        </w:tc>
        <w:tc>
          <w:tcPr>
            <w:tcW w:w="1474" w:type="dxa"/>
            <w:vAlign w:val="center"/>
          </w:tcPr>
          <w:p>
            <w:pPr>
              <w:pStyle w:val="12"/>
            </w:pPr>
            <w:r>
              <w:t>217.12</w:t>
            </w:r>
          </w:p>
        </w:tc>
        <w:tc>
          <w:tcPr>
            <w:tcW w:w="1474" w:type="dxa"/>
            <w:vAlign w:val="center"/>
          </w:tcPr>
          <w:p>
            <w:pPr>
              <w:pStyle w:val="12"/>
            </w:pPr>
            <w:r>
              <w:t>156.90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51.48</w:t>
            </w:r>
          </w:p>
        </w:tc>
        <w:tc>
          <w:tcPr>
            <w:tcW w:w="1474" w:type="dxa"/>
            <w:vAlign w:val="center"/>
          </w:tcPr>
          <w:p>
            <w:pPr>
              <w:pStyle w:val="12"/>
            </w:pPr>
            <w:r>
              <w:t>51.48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r>
              <w:t>576.74</w:t>
            </w:r>
          </w:p>
        </w:tc>
        <w:tc>
          <w:tcPr>
            <w:tcW w:w="1474" w:type="dxa"/>
            <w:vAlign w:val="center"/>
          </w:tcPr>
          <w:p>
            <w:pPr>
              <w:pStyle w:val="12"/>
            </w:pPr>
            <w:r>
              <w:t>576.74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2630.55</w:t>
            </w:r>
          </w:p>
        </w:tc>
        <w:tc>
          <w:tcPr>
            <w:tcW w:w="3402" w:type="dxa"/>
            <w:vAlign w:val="center"/>
          </w:tcPr>
          <w:p>
            <w:pPr>
              <w:pStyle w:val="15"/>
            </w:pPr>
            <w:r>
              <w:t>本年支出合计</w:t>
            </w:r>
          </w:p>
        </w:tc>
        <w:tc>
          <w:tcPr>
            <w:tcW w:w="1474" w:type="dxa"/>
            <w:vAlign w:val="center"/>
          </w:tcPr>
          <w:p>
            <w:pPr>
              <w:pStyle w:val="16"/>
            </w:pPr>
            <w:r>
              <w:t>3545.78</w:t>
            </w:r>
          </w:p>
        </w:tc>
        <w:tc>
          <w:tcPr>
            <w:tcW w:w="1474" w:type="dxa"/>
            <w:vAlign w:val="center"/>
          </w:tcPr>
          <w:p>
            <w:pPr>
              <w:pStyle w:val="16"/>
            </w:pPr>
            <w:r>
              <w:t>3388.88</w:t>
            </w:r>
          </w:p>
        </w:tc>
        <w:tc>
          <w:tcPr>
            <w:tcW w:w="1474" w:type="dxa"/>
            <w:vAlign w:val="center"/>
          </w:tcPr>
          <w:p>
            <w:pPr>
              <w:pStyle w:val="16"/>
            </w:pPr>
            <w:r>
              <w:t>156.90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915.23</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915.23</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3545.78</w:t>
            </w:r>
          </w:p>
        </w:tc>
        <w:tc>
          <w:tcPr>
            <w:tcW w:w="3402" w:type="dxa"/>
            <w:vAlign w:val="center"/>
          </w:tcPr>
          <w:p>
            <w:pPr>
              <w:pStyle w:val="15"/>
            </w:pPr>
            <w:r>
              <w:t>支出总计</w:t>
            </w:r>
          </w:p>
        </w:tc>
        <w:tc>
          <w:tcPr>
            <w:tcW w:w="1474" w:type="dxa"/>
            <w:vAlign w:val="center"/>
          </w:tcPr>
          <w:p>
            <w:pPr>
              <w:pStyle w:val="16"/>
            </w:pPr>
            <w:r>
              <w:t>3545.78</w:t>
            </w:r>
          </w:p>
        </w:tc>
        <w:tc>
          <w:tcPr>
            <w:tcW w:w="1474" w:type="dxa"/>
            <w:vAlign w:val="center"/>
          </w:tcPr>
          <w:p>
            <w:pPr>
              <w:pStyle w:val="16"/>
            </w:pPr>
            <w:r>
              <w:t>3388.88</w:t>
            </w:r>
          </w:p>
        </w:tc>
        <w:tc>
          <w:tcPr>
            <w:tcW w:w="1474" w:type="dxa"/>
            <w:vAlign w:val="center"/>
          </w:tcPr>
          <w:p>
            <w:pPr>
              <w:pStyle w:val="16"/>
            </w:pPr>
            <w:r>
              <w:t>156.90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303青龙满族自治县发展和改革局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3388.88</w:t>
            </w:r>
          </w:p>
        </w:tc>
        <w:tc>
          <w:tcPr>
            <w:tcW w:w="2551" w:type="dxa"/>
            <w:vAlign w:val="center"/>
          </w:tcPr>
          <w:p>
            <w:pPr>
              <w:pStyle w:val="16"/>
            </w:pPr>
            <w:r>
              <w:t>1171.72</w:t>
            </w:r>
          </w:p>
        </w:tc>
        <w:tc>
          <w:tcPr>
            <w:tcW w:w="2551" w:type="dxa"/>
            <w:vAlign w:val="center"/>
          </w:tcPr>
          <w:p>
            <w:pPr>
              <w:pStyle w:val="16"/>
            </w:pPr>
            <w:r>
              <w:t>2217.16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269.98</w:t>
            </w:r>
          </w:p>
        </w:tc>
        <w:tc>
          <w:tcPr>
            <w:tcW w:w="2551" w:type="dxa"/>
            <w:vAlign w:val="center"/>
          </w:tcPr>
          <w:p>
            <w:pPr>
              <w:pStyle w:val="12"/>
            </w:pPr>
            <w:r>
              <w:t>170.63</w:t>
            </w:r>
          </w:p>
        </w:tc>
        <w:tc>
          <w:tcPr>
            <w:tcW w:w="2551" w:type="dxa"/>
            <w:vAlign w:val="center"/>
          </w:tcPr>
          <w:p>
            <w:pPr>
              <w:pStyle w:val="12"/>
            </w:pPr>
            <w:r>
              <w:t>99.35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20104</w:t>
            </w:r>
          </w:p>
        </w:tc>
        <w:tc>
          <w:tcPr>
            <w:tcW w:w="4535" w:type="dxa"/>
            <w:vAlign w:val="center"/>
          </w:tcPr>
          <w:p>
            <w:pPr>
              <w:pStyle w:val="13"/>
            </w:pPr>
            <w:r>
              <w:t>发展与改革事务</w:t>
            </w:r>
          </w:p>
        </w:tc>
        <w:tc>
          <w:tcPr>
            <w:tcW w:w="2551" w:type="dxa"/>
            <w:vAlign w:val="center"/>
          </w:tcPr>
          <w:p>
            <w:pPr>
              <w:pStyle w:val="12"/>
            </w:pPr>
            <w:r>
              <w:t>67.05</w:t>
            </w:r>
          </w:p>
        </w:tc>
        <w:tc>
          <w:tcPr>
            <w:tcW w:w="2551" w:type="dxa"/>
            <w:vAlign w:val="center"/>
          </w:tcPr>
          <w:p>
            <w:pPr>
              <w:pStyle w:val="12"/>
            </w:pPr>
          </w:p>
        </w:tc>
        <w:tc>
          <w:tcPr>
            <w:tcW w:w="2551" w:type="dxa"/>
            <w:vAlign w:val="center"/>
          </w:tcPr>
          <w:p>
            <w:pPr>
              <w:pStyle w:val="12"/>
            </w:pPr>
            <w:r>
              <w:t>67.05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2010402</w:t>
            </w:r>
          </w:p>
        </w:tc>
        <w:tc>
          <w:tcPr>
            <w:tcW w:w="4535" w:type="dxa"/>
            <w:vAlign w:val="center"/>
          </w:tcPr>
          <w:p>
            <w:pPr>
              <w:pStyle w:val="13"/>
            </w:pPr>
            <w:r>
              <w:t>一般行政管理事务</w:t>
            </w:r>
          </w:p>
        </w:tc>
        <w:tc>
          <w:tcPr>
            <w:tcW w:w="2551" w:type="dxa"/>
            <w:vAlign w:val="center"/>
          </w:tcPr>
          <w:p>
            <w:pPr>
              <w:pStyle w:val="12"/>
            </w:pPr>
            <w:r>
              <w:t>55.65</w:t>
            </w:r>
          </w:p>
        </w:tc>
        <w:tc>
          <w:tcPr>
            <w:tcW w:w="2551" w:type="dxa"/>
            <w:vAlign w:val="center"/>
          </w:tcPr>
          <w:p>
            <w:pPr>
              <w:pStyle w:val="12"/>
            </w:pPr>
          </w:p>
        </w:tc>
        <w:tc>
          <w:tcPr>
            <w:tcW w:w="2551" w:type="dxa"/>
            <w:vAlign w:val="center"/>
          </w:tcPr>
          <w:p>
            <w:pPr>
              <w:pStyle w:val="12"/>
            </w:pPr>
            <w:r>
              <w:t>55.65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2010408</w:t>
            </w:r>
          </w:p>
        </w:tc>
        <w:tc>
          <w:tcPr>
            <w:tcW w:w="4535" w:type="dxa"/>
            <w:vAlign w:val="center"/>
          </w:tcPr>
          <w:p>
            <w:pPr>
              <w:pStyle w:val="13"/>
            </w:pPr>
            <w:r>
              <w:t>物价管理</w:t>
            </w:r>
          </w:p>
        </w:tc>
        <w:tc>
          <w:tcPr>
            <w:tcW w:w="2551" w:type="dxa"/>
            <w:vAlign w:val="center"/>
          </w:tcPr>
          <w:p>
            <w:pPr>
              <w:pStyle w:val="12"/>
            </w:pPr>
            <w:r>
              <w:t>10.23</w:t>
            </w:r>
          </w:p>
        </w:tc>
        <w:tc>
          <w:tcPr>
            <w:tcW w:w="2551" w:type="dxa"/>
            <w:vAlign w:val="center"/>
          </w:tcPr>
          <w:p>
            <w:pPr>
              <w:pStyle w:val="12"/>
            </w:pPr>
          </w:p>
        </w:tc>
        <w:tc>
          <w:tcPr>
            <w:tcW w:w="2551" w:type="dxa"/>
            <w:vAlign w:val="center"/>
          </w:tcPr>
          <w:p>
            <w:pPr>
              <w:pStyle w:val="12"/>
            </w:pPr>
            <w:r>
              <w:t>10.23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2010499</w:t>
            </w:r>
          </w:p>
        </w:tc>
        <w:tc>
          <w:tcPr>
            <w:tcW w:w="4535" w:type="dxa"/>
            <w:vAlign w:val="center"/>
          </w:tcPr>
          <w:p>
            <w:pPr>
              <w:pStyle w:val="13"/>
            </w:pPr>
            <w:r>
              <w:t>其他发展与改革事务支出</w:t>
            </w:r>
          </w:p>
        </w:tc>
        <w:tc>
          <w:tcPr>
            <w:tcW w:w="2551" w:type="dxa"/>
            <w:vAlign w:val="center"/>
          </w:tcPr>
          <w:p>
            <w:pPr>
              <w:pStyle w:val="12"/>
            </w:pPr>
            <w:r>
              <w:t>1.18</w:t>
            </w:r>
          </w:p>
        </w:tc>
        <w:tc>
          <w:tcPr>
            <w:tcW w:w="2551" w:type="dxa"/>
            <w:vAlign w:val="center"/>
          </w:tcPr>
          <w:p>
            <w:pPr>
              <w:pStyle w:val="12"/>
            </w:pPr>
          </w:p>
        </w:tc>
        <w:tc>
          <w:tcPr>
            <w:tcW w:w="2551" w:type="dxa"/>
            <w:vAlign w:val="center"/>
          </w:tcPr>
          <w:p>
            <w:pPr>
              <w:pStyle w:val="12"/>
            </w:pPr>
            <w:r>
              <w:t>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20113</w:t>
            </w:r>
          </w:p>
        </w:tc>
        <w:tc>
          <w:tcPr>
            <w:tcW w:w="4535" w:type="dxa"/>
            <w:vAlign w:val="center"/>
          </w:tcPr>
          <w:p>
            <w:pPr>
              <w:pStyle w:val="13"/>
            </w:pPr>
            <w:r>
              <w:t>商贸事务</w:t>
            </w:r>
          </w:p>
        </w:tc>
        <w:tc>
          <w:tcPr>
            <w:tcW w:w="2551" w:type="dxa"/>
            <w:vAlign w:val="center"/>
          </w:tcPr>
          <w:p>
            <w:pPr>
              <w:pStyle w:val="12"/>
            </w:pPr>
            <w:r>
              <w:t>149.63</w:t>
            </w:r>
          </w:p>
        </w:tc>
        <w:tc>
          <w:tcPr>
            <w:tcW w:w="2551" w:type="dxa"/>
            <w:vAlign w:val="center"/>
          </w:tcPr>
          <w:p>
            <w:pPr>
              <w:pStyle w:val="12"/>
            </w:pPr>
            <w:r>
              <w:t>118.63</w:t>
            </w:r>
          </w:p>
        </w:tc>
        <w:tc>
          <w:tcPr>
            <w:tcW w:w="2551"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2011308</w:t>
            </w:r>
          </w:p>
        </w:tc>
        <w:tc>
          <w:tcPr>
            <w:tcW w:w="4535" w:type="dxa"/>
            <w:vAlign w:val="center"/>
          </w:tcPr>
          <w:p>
            <w:pPr>
              <w:pStyle w:val="13"/>
            </w:pPr>
            <w:r>
              <w:t>招商引资</w:t>
            </w:r>
          </w:p>
        </w:tc>
        <w:tc>
          <w:tcPr>
            <w:tcW w:w="2551" w:type="dxa"/>
            <w:vAlign w:val="center"/>
          </w:tcPr>
          <w:p>
            <w:pPr>
              <w:pStyle w:val="12"/>
            </w:pPr>
            <w:r>
              <w:t>31.00</w:t>
            </w:r>
          </w:p>
        </w:tc>
        <w:tc>
          <w:tcPr>
            <w:tcW w:w="2551" w:type="dxa"/>
            <w:vAlign w:val="center"/>
          </w:tcPr>
          <w:p>
            <w:pPr>
              <w:pStyle w:val="12"/>
            </w:pPr>
          </w:p>
        </w:tc>
        <w:tc>
          <w:tcPr>
            <w:tcW w:w="2551"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2011350</w:t>
            </w:r>
          </w:p>
        </w:tc>
        <w:tc>
          <w:tcPr>
            <w:tcW w:w="4535" w:type="dxa"/>
            <w:vAlign w:val="center"/>
          </w:tcPr>
          <w:p>
            <w:pPr>
              <w:pStyle w:val="13"/>
            </w:pPr>
            <w:r>
              <w:t>事业运行</w:t>
            </w:r>
          </w:p>
        </w:tc>
        <w:tc>
          <w:tcPr>
            <w:tcW w:w="2551" w:type="dxa"/>
            <w:vAlign w:val="center"/>
          </w:tcPr>
          <w:p>
            <w:pPr>
              <w:pStyle w:val="12"/>
            </w:pPr>
            <w:r>
              <w:t>118.63</w:t>
            </w:r>
          </w:p>
        </w:tc>
        <w:tc>
          <w:tcPr>
            <w:tcW w:w="2551" w:type="dxa"/>
            <w:vAlign w:val="center"/>
          </w:tcPr>
          <w:p>
            <w:pPr>
              <w:pStyle w:val="12"/>
            </w:pPr>
            <w:r>
              <w:t>118.63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20138</w:t>
            </w:r>
          </w:p>
        </w:tc>
        <w:tc>
          <w:tcPr>
            <w:tcW w:w="4535" w:type="dxa"/>
            <w:vAlign w:val="center"/>
          </w:tcPr>
          <w:p>
            <w:pPr>
              <w:pStyle w:val="13"/>
            </w:pPr>
            <w:r>
              <w:t>市场监督管理事务</w:t>
            </w:r>
          </w:p>
        </w:tc>
        <w:tc>
          <w:tcPr>
            <w:tcW w:w="2551" w:type="dxa"/>
            <w:vAlign w:val="center"/>
          </w:tcPr>
          <w:p>
            <w:pPr>
              <w:pStyle w:val="12"/>
            </w:pPr>
            <w:r>
              <w:t>52.00</w:t>
            </w:r>
          </w:p>
        </w:tc>
        <w:tc>
          <w:tcPr>
            <w:tcW w:w="2551" w:type="dxa"/>
            <w:vAlign w:val="center"/>
          </w:tcPr>
          <w:p>
            <w:pPr>
              <w:pStyle w:val="12"/>
            </w:pPr>
            <w:r>
              <w:t>52.00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2013850</w:t>
            </w:r>
          </w:p>
        </w:tc>
        <w:tc>
          <w:tcPr>
            <w:tcW w:w="4535" w:type="dxa"/>
            <w:vAlign w:val="center"/>
          </w:tcPr>
          <w:p>
            <w:pPr>
              <w:pStyle w:val="13"/>
            </w:pPr>
            <w:r>
              <w:t>事业运行</w:t>
            </w:r>
          </w:p>
        </w:tc>
        <w:tc>
          <w:tcPr>
            <w:tcW w:w="2551" w:type="dxa"/>
            <w:vAlign w:val="center"/>
          </w:tcPr>
          <w:p>
            <w:pPr>
              <w:pStyle w:val="12"/>
            </w:pPr>
            <w:r>
              <w:t>52.00</w:t>
            </w:r>
          </w:p>
        </w:tc>
        <w:tc>
          <w:tcPr>
            <w:tcW w:w="2551" w:type="dxa"/>
            <w:vAlign w:val="center"/>
          </w:tcPr>
          <w:p>
            <w:pPr>
              <w:pStyle w:val="12"/>
            </w:pPr>
            <w:r>
              <w:t>52.00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1.30</w:t>
            </w:r>
          </w:p>
        </w:tc>
        <w:tc>
          <w:tcPr>
            <w:tcW w:w="2551" w:type="dxa"/>
            <w:vAlign w:val="center"/>
          </w:tcPr>
          <w:p>
            <w:pPr>
              <w:pStyle w:val="12"/>
            </w:pPr>
          </w:p>
        </w:tc>
        <w:tc>
          <w:tcPr>
            <w:tcW w:w="2551" w:type="dxa"/>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1.30</w:t>
            </w:r>
          </w:p>
        </w:tc>
        <w:tc>
          <w:tcPr>
            <w:tcW w:w="2551" w:type="dxa"/>
            <w:vAlign w:val="center"/>
          </w:tcPr>
          <w:p>
            <w:pPr>
              <w:pStyle w:val="12"/>
            </w:pPr>
          </w:p>
        </w:tc>
        <w:tc>
          <w:tcPr>
            <w:tcW w:w="2551" w:type="dxa"/>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1946.21</w:t>
            </w:r>
          </w:p>
        </w:tc>
        <w:tc>
          <w:tcPr>
            <w:tcW w:w="2551" w:type="dxa"/>
            <w:vAlign w:val="center"/>
          </w:tcPr>
          <w:p>
            <w:pPr>
              <w:pStyle w:val="12"/>
            </w:pPr>
            <w:r>
              <w:t>699.96</w:t>
            </w:r>
          </w:p>
        </w:tc>
        <w:tc>
          <w:tcPr>
            <w:tcW w:w="2551" w:type="dxa"/>
            <w:vAlign w:val="center"/>
          </w:tcPr>
          <w:p>
            <w:pPr>
              <w:pStyle w:val="12"/>
            </w:pPr>
            <w:r>
              <w:t>1246.25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20601</w:t>
            </w:r>
          </w:p>
        </w:tc>
        <w:tc>
          <w:tcPr>
            <w:tcW w:w="4535" w:type="dxa"/>
            <w:vAlign w:val="center"/>
          </w:tcPr>
          <w:p>
            <w:pPr>
              <w:pStyle w:val="13"/>
            </w:pPr>
            <w:r>
              <w:t>科学技术管理事务</w:t>
            </w:r>
          </w:p>
        </w:tc>
        <w:tc>
          <w:tcPr>
            <w:tcW w:w="2551" w:type="dxa"/>
            <w:vAlign w:val="center"/>
          </w:tcPr>
          <w:p>
            <w:pPr>
              <w:pStyle w:val="12"/>
            </w:pPr>
            <w:r>
              <w:t>1946.21</w:t>
            </w:r>
          </w:p>
        </w:tc>
        <w:tc>
          <w:tcPr>
            <w:tcW w:w="2551" w:type="dxa"/>
            <w:vAlign w:val="center"/>
          </w:tcPr>
          <w:p>
            <w:pPr>
              <w:pStyle w:val="12"/>
            </w:pPr>
            <w:r>
              <w:t>699.96</w:t>
            </w:r>
          </w:p>
        </w:tc>
        <w:tc>
          <w:tcPr>
            <w:tcW w:w="2551" w:type="dxa"/>
            <w:vAlign w:val="center"/>
          </w:tcPr>
          <w:p>
            <w:pPr>
              <w:pStyle w:val="12"/>
            </w:pPr>
            <w:r>
              <w:t>1246.25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2060101</w:t>
            </w:r>
          </w:p>
        </w:tc>
        <w:tc>
          <w:tcPr>
            <w:tcW w:w="4535" w:type="dxa"/>
            <w:vAlign w:val="center"/>
          </w:tcPr>
          <w:p>
            <w:pPr>
              <w:pStyle w:val="13"/>
            </w:pPr>
            <w:r>
              <w:t>行政运行</w:t>
            </w:r>
          </w:p>
        </w:tc>
        <w:tc>
          <w:tcPr>
            <w:tcW w:w="2551" w:type="dxa"/>
            <w:vAlign w:val="center"/>
          </w:tcPr>
          <w:p>
            <w:pPr>
              <w:pStyle w:val="12"/>
            </w:pPr>
            <w:r>
              <w:t>699.96</w:t>
            </w:r>
          </w:p>
        </w:tc>
        <w:tc>
          <w:tcPr>
            <w:tcW w:w="2551" w:type="dxa"/>
            <w:vAlign w:val="center"/>
          </w:tcPr>
          <w:p>
            <w:pPr>
              <w:pStyle w:val="12"/>
            </w:pPr>
            <w:r>
              <w:t>699.96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2060102</w:t>
            </w:r>
          </w:p>
        </w:tc>
        <w:tc>
          <w:tcPr>
            <w:tcW w:w="4535" w:type="dxa"/>
            <w:vAlign w:val="center"/>
          </w:tcPr>
          <w:p>
            <w:pPr>
              <w:pStyle w:val="13"/>
            </w:pPr>
            <w:r>
              <w:t>一般行政管理事务</w:t>
            </w:r>
          </w:p>
        </w:tc>
        <w:tc>
          <w:tcPr>
            <w:tcW w:w="2551" w:type="dxa"/>
            <w:vAlign w:val="center"/>
          </w:tcPr>
          <w:p>
            <w:pPr>
              <w:pStyle w:val="12"/>
            </w:pPr>
            <w:r>
              <w:t>48.60</w:t>
            </w:r>
          </w:p>
        </w:tc>
        <w:tc>
          <w:tcPr>
            <w:tcW w:w="2551" w:type="dxa"/>
            <w:vAlign w:val="center"/>
          </w:tcPr>
          <w:p>
            <w:pPr>
              <w:pStyle w:val="12"/>
            </w:pPr>
          </w:p>
        </w:tc>
        <w:tc>
          <w:tcPr>
            <w:tcW w:w="2551" w:type="dxa"/>
            <w:vAlign w:val="center"/>
          </w:tcPr>
          <w:p>
            <w:pPr>
              <w:pStyle w:val="12"/>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2060199</w:t>
            </w:r>
          </w:p>
        </w:tc>
        <w:tc>
          <w:tcPr>
            <w:tcW w:w="4535" w:type="dxa"/>
            <w:vAlign w:val="center"/>
          </w:tcPr>
          <w:p>
            <w:pPr>
              <w:pStyle w:val="13"/>
            </w:pPr>
            <w:r>
              <w:t>其他科学技术管理事务支出</w:t>
            </w:r>
          </w:p>
        </w:tc>
        <w:tc>
          <w:tcPr>
            <w:tcW w:w="2551" w:type="dxa"/>
            <w:vAlign w:val="center"/>
          </w:tcPr>
          <w:p>
            <w:pPr>
              <w:pStyle w:val="12"/>
            </w:pPr>
            <w:r>
              <w:t>1197.65</w:t>
            </w:r>
          </w:p>
        </w:tc>
        <w:tc>
          <w:tcPr>
            <w:tcW w:w="2551" w:type="dxa"/>
            <w:vAlign w:val="center"/>
          </w:tcPr>
          <w:p>
            <w:pPr>
              <w:pStyle w:val="12"/>
            </w:pPr>
          </w:p>
        </w:tc>
        <w:tc>
          <w:tcPr>
            <w:tcW w:w="2551" w:type="dxa"/>
            <w:vAlign w:val="center"/>
          </w:tcPr>
          <w:p>
            <w:pPr>
              <w:pStyle w:val="12"/>
            </w:pPr>
            <w:r>
              <w:t>1197.65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199.04</w:t>
            </w:r>
          </w:p>
        </w:tc>
        <w:tc>
          <w:tcPr>
            <w:tcW w:w="2551" w:type="dxa"/>
            <w:vAlign w:val="center"/>
          </w:tcPr>
          <w:p>
            <w:pPr>
              <w:pStyle w:val="12"/>
            </w:pPr>
            <w:r>
              <w:t>198.54</w:t>
            </w: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176.26</w:t>
            </w:r>
          </w:p>
        </w:tc>
        <w:tc>
          <w:tcPr>
            <w:tcW w:w="2551" w:type="dxa"/>
            <w:vAlign w:val="center"/>
          </w:tcPr>
          <w:p>
            <w:pPr>
              <w:pStyle w:val="12"/>
            </w:pPr>
            <w:r>
              <w:t>176.26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121.82</w:t>
            </w:r>
          </w:p>
        </w:tc>
        <w:tc>
          <w:tcPr>
            <w:tcW w:w="2551" w:type="dxa"/>
            <w:vAlign w:val="center"/>
          </w:tcPr>
          <w:p>
            <w:pPr>
              <w:pStyle w:val="12"/>
            </w:pPr>
            <w:r>
              <w:t>121.82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33.62</w:t>
            </w:r>
          </w:p>
        </w:tc>
        <w:tc>
          <w:tcPr>
            <w:tcW w:w="2551" w:type="dxa"/>
            <w:vAlign w:val="center"/>
          </w:tcPr>
          <w:p>
            <w:pPr>
              <w:pStyle w:val="12"/>
            </w:pPr>
            <w:r>
              <w:t>33.62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15.86</w:t>
            </w:r>
          </w:p>
        </w:tc>
        <w:tc>
          <w:tcPr>
            <w:tcW w:w="2551" w:type="dxa"/>
            <w:vAlign w:val="center"/>
          </w:tcPr>
          <w:p>
            <w:pPr>
              <w:pStyle w:val="12"/>
            </w:pPr>
            <w:r>
              <w:t>15.86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4.96</w:t>
            </w:r>
          </w:p>
        </w:tc>
        <w:tc>
          <w:tcPr>
            <w:tcW w:w="2551" w:type="dxa"/>
            <w:vAlign w:val="center"/>
          </w:tcPr>
          <w:p>
            <w:pPr>
              <w:pStyle w:val="12"/>
            </w:pPr>
            <w:r>
              <w:t>4.96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22.78</w:t>
            </w:r>
          </w:p>
        </w:tc>
        <w:tc>
          <w:tcPr>
            <w:tcW w:w="2551" w:type="dxa"/>
            <w:vAlign w:val="center"/>
          </w:tcPr>
          <w:p>
            <w:pPr>
              <w:pStyle w:val="12"/>
            </w:pPr>
            <w:r>
              <w:t>22.28</w:t>
            </w: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2080802</w:t>
            </w:r>
          </w:p>
        </w:tc>
        <w:tc>
          <w:tcPr>
            <w:tcW w:w="4535" w:type="dxa"/>
            <w:vAlign w:val="center"/>
          </w:tcPr>
          <w:p>
            <w:pPr>
              <w:pStyle w:val="13"/>
            </w:pPr>
            <w:r>
              <w:t>伤残抚恤</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22.28</w:t>
            </w:r>
          </w:p>
        </w:tc>
        <w:tc>
          <w:tcPr>
            <w:tcW w:w="2551" w:type="dxa"/>
            <w:vAlign w:val="center"/>
          </w:tcPr>
          <w:p>
            <w:pPr>
              <w:pStyle w:val="12"/>
            </w:pPr>
            <w:r>
              <w:t>22.28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51.11</w:t>
            </w:r>
          </w:p>
        </w:tc>
        <w:tc>
          <w:tcPr>
            <w:tcW w:w="2551" w:type="dxa"/>
            <w:vAlign w:val="center"/>
          </w:tcPr>
          <w:p>
            <w:pPr>
              <w:pStyle w:val="12"/>
            </w:pPr>
            <w:r>
              <w:t>51.11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51.11</w:t>
            </w:r>
          </w:p>
        </w:tc>
        <w:tc>
          <w:tcPr>
            <w:tcW w:w="2551" w:type="dxa"/>
            <w:vAlign w:val="center"/>
          </w:tcPr>
          <w:p>
            <w:pPr>
              <w:pStyle w:val="12"/>
            </w:pPr>
            <w:r>
              <w:t>51.11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24.90</w:t>
            </w:r>
          </w:p>
        </w:tc>
        <w:tc>
          <w:tcPr>
            <w:tcW w:w="2551" w:type="dxa"/>
            <w:vAlign w:val="center"/>
          </w:tcPr>
          <w:p>
            <w:pPr>
              <w:pStyle w:val="12"/>
            </w:pPr>
            <w:r>
              <w:t>24.90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26.21</w:t>
            </w:r>
          </w:p>
        </w:tc>
        <w:tc>
          <w:tcPr>
            <w:tcW w:w="2551" w:type="dxa"/>
            <w:vAlign w:val="center"/>
          </w:tcPr>
          <w:p>
            <w:pPr>
              <w:pStyle w:val="12"/>
            </w:pPr>
            <w:r>
              <w:t>26.21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77.20</w:t>
            </w:r>
          </w:p>
        </w:tc>
        <w:tc>
          <w:tcPr>
            <w:tcW w:w="2551" w:type="dxa"/>
            <w:vAlign w:val="center"/>
          </w:tcPr>
          <w:p>
            <w:pPr>
              <w:pStyle w:val="12"/>
            </w:pPr>
          </w:p>
        </w:tc>
        <w:tc>
          <w:tcPr>
            <w:tcW w:w="2551" w:type="dxa"/>
            <w:vAlign w:val="center"/>
          </w:tcPr>
          <w:p>
            <w:pPr>
              <w:pStyle w:val="12"/>
            </w:pPr>
            <w:r>
              <w:t>77.20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35.80</w:t>
            </w:r>
          </w:p>
        </w:tc>
        <w:tc>
          <w:tcPr>
            <w:tcW w:w="2551" w:type="dxa"/>
            <w:vAlign w:val="center"/>
          </w:tcPr>
          <w:p>
            <w:pPr>
              <w:pStyle w:val="12"/>
            </w:pPr>
          </w:p>
        </w:tc>
        <w:tc>
          <w:tcPr>
            <w:tcW w:w="2551" w:type="dxa"/>
            <w:vAlign w:val="center"/>
          </w:tcPr>
          <w:p>
            <w:pPr>
              <w:pStyle w:val="12"/>
            </w:pPr>
            <w:r>
              <w:t>35.80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35.80</w:t>
            </w:r>
          </w:p>
        </w:tc>
        <w:tc>
          <w:tcPr>
            <w:tcW w:w="2551" w:type="dxa"/>
            <w:vAlign w:val="center"/>
          </w:tcPr>
          <w:p>
            <w:pPr>
              <w:pStyle w:val="12"/>
            </w:pPr>
          </w:p>
        </w:tc>
        <w:tc>
          <w:tcPr>
            <w:tcW w:w="2551" w:type="dxa"/>
            <w:vAlign w:val="center"/>
          </w:tcPr>
          <w:p>
            <w:pPr>
              <w:pStyle w:val="12"/>
            </w:pPr>
            <w:r>
              <w:t>35.80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21199</w:t>
            </w:r>
          </w:p>
        </w:tc>
        <w:tc>
          <w:tcPr>
            <w:tcW w:w="4535" w:type="dxa"/>
            <w:vAlign w:val="center"/>
          </w:tcPr>
          <w:p>
            <w:pPr>
              <w:pStyle w:val="13"/>
            </w:pPr>
            <w:r>
              <w:t>其他节能环保支出</w:t>
            </w:r>
          </w:p>
        </w:tc>
        <w:tc>
          <w:tcPr>
            <w:tcW w:w="2551" w:type="dxa"/>
            <w:vAlign w:val="center"/>
          </w:tcPr>
          <w:p>
            <w:pPr>
              <w:pStyle w:val="12"/>
            </w:pPr>
            <w:r>
              <w:t>41.40</w:t>
            </w:r>
          </w:p>
        </w:tc>
        <w:tc>
          <w:tcPr>
            <w:tcW w:w="2551" w:type="dxa"/>
            <w:vAlign w:val="center"/>
          </w:tcPr>
          <w:p>
            <w:pPr>
              <w:pStyle w:val="12"/>
            </w:pPr>
          </w:p>
        </w:tc>
        <w:tc>
          <w:tcPr>
            <w:tcW w:w="2551" w:type="dxa"/>
            <w:vAlign w:val="center"/>
          </w:tcPr>
          <w:p>
            <w:pPr>
              <w:pStyle w:val="12"/>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2119999</w:t>
            </w:r>
          </w:p>
        </w:tc>
        <w:tc>
          <w:tcPr>
            <w:tcW w:w="4535" w:type="dxa"/>
            <w:vAlign w:val="center"/>
          </w:tcPr>
          <w:p>
            <w:pPr>
              <w:pStyle w:val="13"/>
            </w:pPr>
            <w:r>
              <w:t>其他节能环保支出</w:t>
            </w:r>
          </w:p>
        </w:tc>
        <w:tc>
          <w:tcPr>
            <w:tcW w:w="2551" w:type="dxa"/>
            <w:vAlign w:val="center"/>
          </w:tcPr>
          <w:p>
            <w:pPr>
              <w:pStyle w:val="12"/>
            </w:pPr>
            <w:r>
              <w:t>41.40</w:t>
            </w:r>
          </w:p>
        </w:tc>
        <w:tc>
          <w:tcPr>
            <w:tcW w:w="2551" w:type="dxa"/>
            <w:vAlign w:val="center"/>
          </w:tcPr>
          <w:p>
            <w:pPr>
              <w:pStyle w:val="12"/>
            </w:pPr>
          </w:p>
        </w:tc>
        <w:tc>
          <w:tcPr>
            <w:tcW w:w="2551" w:type="dxa"/>
            <w:vAlign w:val="center"/>
          </w:tcPr>
          <w:p>
            <w:pPr>
              <w:pStyle w:val="12"/>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217.12</w:t>
            </w:r>
          </w:p>
        </w:tc>
        <w:tc>
          <w:tcPr>
            <w:tcW w:w="2551" w:type="dxa"/>
            <w:vAlign w:val="center"/>
          </w:tcPr>
          <w:p>
            <w:pPr>
              <w:pStyle w:val="12"/>
            </w:pPr>
          </w:p>
        </w:tc>
        <w:tc>
          <w:tcPr>
            <w:tcW w:w="2551" w:type="dxa"/>
            <w:vAlign w:val="center"/>
          </w:tcPr>
          <w:p>
            <w:pPr>
              <w:pStyle w:val="12"/>
            </w:pPr>
            <w:r>
              <w:t>217.12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217.12</w:t>
            </w:r>
          </w:p>
        </w:tc>
        <w:tc>
          <w:tcPr>
            <w:tcW w:w="2551" w:type="dxa"/>
            <w:vAlign w:val="center"/>
          </w:tcPr>
          <w:p>
            <w:pPr>
              <w:pStyle w:val="12"/>
            </w:pPr>
          </w:p>
        </w:tc>
        <w:tc>
          <w:tcPr>
            <w:tcW w:w="2551" w:type="dxa"/>
            <w:vAlign w:val="center"/>
          </w:tcPr>
          <w:p>
            <w:pPr>
              <w:pStyle w:val="12"/>
            </w:pPr>
            <w:r>
              <w:t>217.12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2120399</w:t>
            </w:r>
          </w:p>
        </w:tc>
        <w:tc>
          <w:tcPr>
            <w:tcW w:w="4535" w:type="dxa"/>
            <w:vAlign w:val="center"/>
          </w:tcPr>
          <w:p>
            <w:pPr>
              <w:pStyle w:val="13"/>
            </w:pPr>
            <w:r>
              <w:t>其他城乡社区公共设施支出</w:t>
            </w:r>
          </w:p>
        </w:tc>
        <w:tc>
          <w:tcPr>
            <w:tcW w:w="2551" w:type="dxa"/>
            <w:vAlign w:val="center"/>
          </w:tcPr>
          <w:p>
            <w:pPr>
              <w:pStyle w:val="12"/>
            </w:pPr>
            <w:r>
              <w:t>217.12</w:t>
            </w:r>
          </w:p>
        </w:tc>
        <w:tc>
          <w:tcPr>
            <w:tcW w:w="2551" w:type="dxa"/>
            <w:vAlign w:val="center"/>
          </w:tcPr>
          <w:p>
            <w:pPr>
              <w:pStyle w:val="12"/>
            </w:pPr>
          </w:p>
        </w:tc>
        <w:tc>
          <w:tcPr>
            <w:tcW w:w="2551" w:type="dxa"/>
            <w:vAlign w:val="center"/>
          </w:tcPr>
          <w:p>
            <w:pPr>
              <w:pStyle w:val="12"/>
            </w:pPr>
            <w:r>
              <w:t>217.12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51.48</w:t>
            </w:r>
          </w:p>
        </w:tc>
        <w:tc>
          <w:tcPr>
            <w:tcW w:w="2551" w:type="dxa"/>
            <w:vAlign w:val="center"/>
          </w:tcPr>
          <w:p>
            <w:pPr>
              <w:pStyle w:val="12"/>
            </w:pPr>
            <w:r>
              <w:t>51.48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51.48</w:t>
            </w:r>
          </w:p>
        </w:tc>
        <w:tc>
          <w:tcPr>
            <w:tcW w:w="2551" w:type="dxa"/>
            <w:vAlign w:val="center"/>
          </w:tcPr>
          <w:p>
            <w:pPr>
              <w:pStyle w:val="12"/>
            </w:pPr>
            <w:r>
              <w:t>51.48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51.48</w:t>
            </w:r>
          </w:p>
        </w:tc>
        <w:tc>
          <w:tcPr>
            <w:tcW w:w="2551" w:type="dxa"/>
            <w:vAlign w:val="center"/>
          </w:tcPr>
          <w:p>
            <w:pPr>
              <w:pStyle w:val="12"/>
            </w:pPr>
            <w:r>
              <w:t>51.48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222</w:t>
            </w:r>
          </w:p>
        </w:tc>
        <w:tc>
          <w:tcPr>
            <w:tcW w:w="4535" w:type="dxa"/>
            <w:vAlign w:val="center"/>
          </w:tcPr>
          <w:p>
            <w:pPr>
              <w:pStyle w:val="13"/>
            </w:pPr>
            <w:r>
              <w:t>粮油物资储备支出</w:t>
            </w:r>
          </w:p>
        </w:tc>
        <w:tc>
          <w:tcPr>
            <w:tcW w:w="2551" w:type="dxa"/>
            <w:vAlign w:val="center"/>
          </w:tcPr>
          <w:p>
            <w:pPr>
              <w:pStyle w:val="12"/>
            </w:pPr>
            <w:r>
              <w:t>576.74</w:t>
            </w:r>
          </w:p>
        </w:tc>
        <w:tc>
          <w:tcPr>
            <w:tcW w:w="2551" w:type="dxa"/>
            <w:vAlign w:val="center"/>
          </w:tcPr>
          <w:p>
            <w:pPr>
              <w:pStyle w:val="12"/>
            </w:pPr>
          </w:p>
        </w:tc>
        <w:tc>
          <w:tcPr>
            <w:tcW w:w="2551" w:type="dxa"/>
            <w:vAlign w:val="center"/>
          </w:tcPr>
          <w:p>
            <w:pPr>
              <w:pStyle w:val="12"/>
            </w:pPr>
            <w:r>
              <w:t>576.74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22201</w:t>
            </w:r>
          </w:p>
        </w:tc>
        <w:tc>
          <w:tcPr>
            <w:tcW w:w="4535" w:type="dxa"/>
            <w:vAlign w:val="center"/>
          </w:tcPr>
          <w:p>
            <w:pPr>
              <w:pStyle w:val="13"/>
            </w:pPr>
            <w:r>
              <w:t>粮油物资事务</w:t>
            </w:r>
          </w:p>
        </w:tc>
        <w:tc>
          <w:tcPr>
            <w:tcW w:w="2551" w:type="dxa"/>
            <w:vAlign w:val="center"/>
          </w:tcPr>
          <w:p>
            <w:pPr>
              <w:pStyle w:val="12"/>
            </w:pPr>
            <w:r>
              <w:t>296.53</w:t>
            </w:r>
          </w:p>
        </w:tc>
        <w:tc>
          <w:tcPr>
            <w:tcW w:w="2551" w:type="dxa"/>
            <w:vAlign w:val="center"/>
          </w:tcPr>
          <w:p>
            <w:pPr>
              <w:pStyle w:val="12"/>
            </w:pPr>
          </w:p>
        </w:tc>
        <w:tc>
          <w:tcPr>
            <w:tcW w:w="2551" w:type="dxa"/>
            <w:vAlign w:val="center"/>
          </w:tcPr>
          <w:p>
            <w:pPr>
              <w:pStyle w:val="12"/>
            </w:pPr>
            <w:r>
              <w:t>296.53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2220102</w:t>
            </w:r>
          </w:p>
        </w:tc>
        <w:tc>
          <w:tcPr>
            <w:tcW w:w="4535" w:type="dxa"/>
            <w:vAlign w:val="center"/>
          </w:tcPr>
          <w:p>
            <w:pPr>
              <w:pStyle w:val="13"/>
            </w:pPr>
            <w:r>
              <w:t>一般行政管理事务</w:t>
            </w:r>
          </w:p>
        </w:tc>
        <w:tc>
          <w:tcPr>
            <w:tcW w:w="2551" w:type="dxa"/>
            <w:vAlign w:val="center"/>
          </w:tcPr>
          <w:p>
            <w:pPr>
              <w:pStyle w:val="12"/>
            </w:pPr>
            <w:r>
              <w:t>1.30</w:t>
            </w:r>
          </w:p>
        </w:tc>
        <w:tc>
          <w:tcPr>
            <w:tcW w:w="2551" w:type="dxa"/>
            <w:vAlign w:val="center"/>
          </w:tcPr>
          <w:p>
            <w:pPr>
              <w:pStyle w:val="12"/>
            </w:pPr>
          </w:p>
        </w:tc>
        <w:tc>
          <w:tcPr>
            <w:tcW w:w="2551" w:type="dxa"/>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2220105</w:t>
            </w:r>
          </w:p>
        </w:tc>
        <w:tc>
          <w:tcPr>
            <w:tcW w:w="4535" w:type="dxa"/>
            <w:vAlign w:val="center"/>
          </w:tcPr>
          <w:p>
            <w:pPr>
              <w:pStyle w:val="13"/>
            </w:pPr>
            <w:r>
              <w:t>信息统计</w:t>
            </w:r>
          </w:p>
        </w:tc>
        <w:tc>
          <w:tcPr>
            <w:tcW w:w="2551" w:type="dxa"/>
            <w:vAlign w:val="center"/>
          </w:tcPr>
          <w:p>
            <w:pPr>
              <w:pStyle w:val="12"/>
            </w:pPr>
            <w:r>
              <w:t>0.98</w:t>
            </w:r>
          </w:p>
        </w:tc>
        <w:tc>
          <w:tcPr>
            <w:tcW w:w="2551" w:type="dxa"/>
            <w:vAlign w:val="center"/>
          </w:tcPr>
          <w:p>
            <w:pPr>
              <w:pStyle w:val="12"/>
            </w:pPr>
          </w:p>
        </w:tc>
        <w:tc>
          <w:tcPr>
            <w:tcW w:w="2551" w:type="dxa"/>
            <w:vAlign w:val="center"/>
          </w:tcPr>
          <w:p>
            <w:pPr>
              <w:pStyle w:val="12"/>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2220112</w:t>
            </w:r>
          </w:p>
        </w:tc>
        <w:tc>
          <w:tcPr>
            <w:tcW w:w="4535" w:type="dxa"/>
            <w:vAlign w:val="center"/>
          </w:tcPr>
          <w:p>
            <w:pPr>
              <w:pStyle w:val="13"/>
            </w:pPr>
            <w:r>
              <w:t>粮食财务挂账利息补贴</w:t>
            </w:r>
          </w:p>
        </w:tc>
        <w:tc>
          <w:tcPr>
            <w:tcW w:w="2551" w:type="dxa"/>
            <w:vAlign w:val="center"/>
          </w:tcPr>
          <w:p>
            <w:pPr>
              <w:pStyle w:val="12"/>
            </w:pPr>
            <w:r>
              <w:t>46.25</w:t>
            </w:r>
          </w:p>
        </w:tc>
        <w:tc>
          <w:tcPr>
            <w:tcW w:w="2551" w:type="dxa"/>
            <w:vAlign w:val="center"/>
          </w:tcPr>
          <w:p>
            <w:pPr>
              <w:pStyle w:val="12"/>
            </w:pPr>
          </w:p>
        </w:tc>
        <w:tc>
          <w:tcPr>
            <w:tcW w:w="2551" w:type="dxa"/>
            <w:vAlign w:val="center"/>
          </w:tcPr>
          <w:p>
            <w:pPr>
              <w:pStyle w:val="12"/>
            </w:pPr>
            <w:r>
              <w:t>46.25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2220119</w:t>
            </w:r>
          </w:p>
        </w:tc>
        <w:tc>
          <w:tcPr>
            <w:tcW w:w="4535" w:type="dxa"/>
            <w:vAlign w:val="center"/>
          </w:tcPr>
          <w:p>
            <w:pPr>
              <w:pStyle w:val="13"/>
            </w:pPr>
            <w:r>
              <w:t>设施建设</w:t>
            </w:r>
          </w:p>
        </w:tc>
        <w:tc>
          <w:tcPr>
            <w:tcW w:w="2551" w:type="dxa"/>
            <w:vAlign w:val="center"/>
          </w:tcPr>
          <w:p>
            <w:pPr>
              <w:pStyle w:val="12"/>
            </w:pPr>
            <w:r>
              <w:t>248.00</w:t>
            </w:r>
          </w:p>
        </w:tc>
        <w:tc>
          <w:tcPr>
            <w:tcW w:w="2551" w:type="dxa"/>
            <w:vAlign w:val="center"/>
          </w:tcPr>
          <w:p>
            <w:pPr>
              <w:pStyle w:val="12"/>
            </w:pPr>
          </w:p>
        </w:tc>
        <w:tc>
          <w:tcPr>
            <w:tcW w:w="2551" w:type="dxa"/>
            <w:vAlign w:val="center"/>
          </w:tcPr>
          <w:p>
            <w:pPr>
              <w:pStyle w:val="12"/>
            </w:pPr>
            <w:r>
              <w:t>248.00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22204</w:t>
            </w:r>
          </w:p>
        </w:tc>
        <w:tc>
          <w:tcPr>
            <w:tcW w:w="4535" w:type="dxa"/>
            <w:vAlign w:val="center"/>
          </w:tcPr>
          <w:p>
            <w:pPr>
              <w:pStyle w:val="13"/>
            </w:pPr>
            <w:r>
              <w:t>粮油储备</w:t>
            </w:r>
          </w:p>
        </w:tc>
        <w:tc>
          <w:tcPr>
            <w:tcW w:w="2551" w:type="dxa"/>
            <w:vAlign w:val="center"/>
          </w:tcPr>
          <w:p>
            <w:pPr>
              <w:pStyle w:val="12"/>
            </w:pPr>
            <w:r>
              <w:t>280.21</w:t>
            </w:r>
          </w:p>
        </w:tc>
        <w:tc>
          <w:tcPr>
            <w:tcW w:w="2551" w:type="dxa"/>
            <w:vAlign w:val="center"/>
          </w:tcPr>
          <w:p>
            <w:pPr>
              <w:pStyle w:val="12"/>
            </w:pPr>
          </w:p>
        </w:tc>
        <w:tc>
          <w:tcPr>
            <w:tcW w:w="2551" w:type="dxa"/>
            <w:vAlign w:val="center"/>
          </w:tcPr>
          <w:p>
            <w:pPr>
              <w:pStyle w:val="12"/>
            </w:pPr>
            <w:r>
              <w:t>280.21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1191" w:type="dxa"/>
            <w:vAlign w:val="center"/>
          </w:tcPr>
          <w:p>
            <w:pPr>
              <w:pStyle w:val="13"/>
            </w:pPr>
            <w:r>
              <w:t>2220401</w:t>
            </w:r>
          </w:p>
        </w:tc>
        <w:tc>
          <w:tcPr>
            <w:tcW w:w="4535" w:type="dxa"/>
            <w:vAlign w:val="center"/>
          </w:tcPr>
          <w:p>
            <w:pPr>
              <w:pStyle w:val="13"/>
            </w:pPr>
            <w:r>
              <w:t>储备粮油补贴</w:t>
            </w:r>
          </w:p>
        </w:tc>
        <w:tc>
          <w:tcPr>
            <w:tcW w:w="2551" w:type="dxa"/>
            <w:vAlign w:val="center"/>
          </w:tcPr>
          <w:p>
            <w:pPr>
              <w:pStyle w:val="12"/>
            </w:pPr>
            <w:r>
              <w:t>280.21</w:t>
            </w:r>
          </w:p>
        </w:tc>
        <w:tc>
          <w:tcPr>
            <w:tcW w:w="2551" w:type="dxa"/>
            <w:vAlign w:val="center"/>
          </w:tcPr>
          <w:p>
            <w:pPr>
              <w:pStyle w:val="12"/>
            </w:pPr>
          </w:p>
        </w:tc>
        <w:tc>
          <w:tcPr>
            <w:tcW w:w="2551" w:type="dxa"/>
            <w:vAlign w:val="center"/>
          </w:tcPr>
          <w:p>
            <w:pPr>
              <w:pStyle w:val="12"/>
            </w:pPr>
            <w:r>
              <w:t>280.21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303青龙满族自治县发展和改革局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1171.72</w:t>
            </w:r>
          </w:p>
        </w:tc>
        <w:tc>
          <w:tcPr>
            <w:tcW w:w="2551" w:type="dxa"/>
            <w:vAlign w:val="center"/>
          </w:tcPr>
          <w:p>
            <w:pPr>
              <w:pStyle w:val="16"/>
            </w:pPr>
            <w:r>
              <w:t>1092.89</w:t>
            </w:r>
          </w:p>
        </w:tc>
        <w:tc>
          <w:tcPr>
            <w:tcW w:w="2551" w:type="dxa"/>
            <w:vAlign w:val="center"/>
          </w:tcPr>
          <w:p>
            <w:pPr>
              <w:pStyle w:val="16"/>
            </w:pPr>
            <w:r>
              <w:t>78.83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915.17</w:t>
            </w:r>
          </w:p>
        </w:tc>
        <w:tc>
          <w:tcPr>
            <w:tcW w:w="2551" w:type="dxa"/>
            <w:vAlign w:val="center"/>
          </w:tcPr>
          <w:p>
            <w:pPr>
              <w:pStyle w:val="12"/>
            </w:pPr>
            <w:r>
              <w:t>915.17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451.18</w:t>
            </w:r>
          </w:p>
        </w:tc>
        <w:tc>
          <w:tcPr>
            <w:tcW w:w="2551" w:type="dxa"/>
            <w:vAlign w:val="center"/>
          </w:tcPr>
          <w:p>
            <w:pPr>
              <w:pStyle w:val="12"/>
            </w:pPr>
            <w:r>
              <w:t>451.18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102.54</w:t>
            </w:r>
          </w:p>
        </w:tc>
        <w:tc>
          <w:tcPr>
            <w:tcW w:w="2551" w:type="dxa"/>
            <w:vAlign w:val="center"/>
          </w:tcPr>
          <w:p>
            <w:pPr>
              <w:pStyle w:val="12"/>
            </w:pPr>
            <w:r>
              <w:t>102.54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42.45</w:t>
            </w:r>
          </w:p>
        </w:tc>
        <w:tc>
          <w:tcPr>
            <w:tcW w:w="2551" w:type="dxa"/>
            <w:vAlign w:val="center"/>
          </w:tcPr>
          <w:p>
            <w:pPr>
              <w:pStyle w:val="12"/>
            </w:pPr>
            <w:r>
              <w:t>42.45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107.98</w:t>
            </w:r>
          </w:p>
        </w:tc>
        <w:tc>
          <w:tcPr>
            <w:tcW w:w="2551" w:type="dxa"/>
            <w:vAlign w:val="center"/>
          </w:tcPr>
          <w:p>
            <w:pPr>
              <w:pStyle w:val="12"/>
            </w:pPr>
            <w:r>
              <w:t>107.98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100.33</w:t>
            </w:r>
          </w:p>
        </w:tc>
        <w:tc>
          <w:tcPr>
            <w:tcW w:w="2551" w:type="dxa"/>
            <w:vAlign w:val="center"/>
          </w:tcPr>
          <w:p>
            <w:pPr>
              <w:pStyle w:val="12"/>
            </w:pPr>
            <w:r>
              <w:t>100.33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4.96</w:t>
            </w:r>
          </w:p>
        </w:tc>
        <w:tc>
          <w:tcPr>
            <w:tcW w:w="2551" w:type="dxa"/>
            <w:vAlign w:val="center"/>
          </w:tcPr>
          <w:p>
            <w:pPr>
              <w:pStyle w:val="12"/>
            </w:pPr>
            <w:r>
              <w:t>4.96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51.11</w:t>
            </w:r>
          </w:p>
        </w:tc>
        <w:tc>
          <w:tcPr>
            <w:tcW w:w="2551" w:type="dxa"/>
            <w:vAlign w:val="center"/>
          </w:tcPr>
          <w:p>
            <w:pPr>
              <w:pStyle w:val="12"/>
            </w:pPr>
            <w:r>
              <w:t>51.11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3.14</w:t>
            </w:r>
          </w:p>
        </w:tc>
        <w:tc>
          <w:tcPr>
            <w:tcW w:w="2551" w:type="dxa"/>
            <w:vAlign w:val="center"/>
          </w:tcPr>
          <w:p>
            <w:pPr>
              <w:pStyle w:val="12"/>
            </w:pPr>
            <w:r>
              <w:t>3.14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51.48</w:t>
            </w:r>
          </w:p>
        </w:tc>
        <w:tc>
          <w:tcPr>
            <w:tcW w:w="2551" w:type="dxa"/>
            <w:vAlign w:val="center"/>
          </w:tcPr>
          <w:p>
            <w:pPr>
              <w:pStyle w:val="12"/>
            </w:pPr>
            <w:r>
              <w:t>51.48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78.83</w:t>
            </w:r>
          </w:p>
        </w:tc>
        <w:tc>
          <w:tcPr>
            <w:tcW w:w="2551" w:type="dxa"/>
            <w:vAlign w:val="center"/>
          </w:tcPr>
          <w:p>
            <w:pPr>
              <w:pStyle w:val="12"/>
            </w:pPr>
          </w:p>
        </w:tc>
        <w:tc>
          <w:tcPr>
            <w:tcW w:w="2551" w:type="dxa"/>
            <w:vAlign w:val="center"/>
          </w:tcPr>
          <w:p>
            <w:pPr>
              <w:pStyle w:val="12"/>
            </w:pPr>
            <w:r>
              <w:t>78.83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5.57</w:t>
            </w:r>
          </w:p>
        </w:tc>
        <w:tc>
          <w:tcPr>
            <w:tcW w:w="2551" w:type="dxa"/>
            <w:vAlign w:val="center"/>
          </w:tcPr>
          <w:p>
            <w:pPr>
              <w:pStyle w:val="12"/>
            </w:pPr>
          </w:p>
        </w:tc>
        <w:tc>
          <w:tcPr>
            <w:tcW w:w="2551" w:type="dxa"/>
            <w:vAlign w:val="center"/>
          </w:tcPr>
          <w:p>
            <w:pPr>
              <w:pStyle w:val="12"/>
            </w:pPr>
            <w:r>
              <w:t>5.57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2.75</w:t>
            </w:r>
          </w:p>
        </w:tc>
        <w:tc>
          <w:tcPr>
            <w:tcW w:w="2551" w:type="dxa"/>
            <w:vAlign w:val="center"/>
          </w:tcPr>
          <w:p>
            <w:pPr>
              <w:pStyle w:val="12"/>
            </w:pPr>
          </w:p>
        </w:tc>
        <w:tc>
          <w:tcPr>
            <w:tcW w:w="2551" w:type="dxa"/>
            <w:vAlign w:val="center"/>
          </w:tcPr>
          <w:p>
            <w:pPr>
              <w:pStyle w:val="12"/>
            </w:pPr>
            <w:r>
              <w:t>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5.03</w:t>
            </w:r>
          </w:p>
        </w:tc>
        <w:tc>
          <w:tcPr>
            <w:tcW w:w="2551" w:type="dxa"/>
            <w:vAlign w:val="center"/>
          </w:tcPr>
          <w:p>
            <w:pPr>
              <w:pStyle w:val="12"/>
            </w:pPr>
          </w:p>
        </w:tc>
        <w:tc>
          <w:tcPr>
            <w:tcW w:w="2551" w:type="dxa"/>
            <w:vAlign w:val="center"/>
          </w:tcPr>
          <w:p>
            <w:pPr>
              <w:pStyle w:val="12"/>
            </w:pPr>
            <w:r>
              <w:t>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12.60</w:t>
            </w:r>
          </w:p>
        </w:tc>
        <w:tc>
          <w:tcPr>
            <w:tcW w:w="2551" w:type="dxa"/>
            <w:vAlign w:val="center"/>
          </w:tcPr>
          <w:p>
            <w:pPr>
              <w:pStyle w:val="12"/>
            </w:pPr>
          </w:p>
        </w:tc>
        <w:tc>
          <w:tcPr>
            <w:tcW w:w="2551" w:type="dxa"/>
            <w:vAlign w:val="center"/>
          </w:tcPr>
          <w:p>
            <w:pPr>
              <w:pStyle w:val="12"/>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49.66</w:t>
            </w:r>
          </w:p>
        </w:tc>
        <w:tc>
          <w:tcPr>
            <w:tcW w:w="2551" w:type="dxa"/>
            <w:vAlign w:val="center"/>
          </w:tcPr>
          <w:p>
            <w:pPr>
              <w:pStyle w:val="12"/>
            </w:pPr>
          </w:p>
        </w:tc>
        <w:tc>
          <w:tcPr>
            <w:tcW w:w="2551" w:type="dxa"/>
            <w:vAlign w:val="center"/>
          </w:tcPr>
          <w:p>
            <w:pPr>
              <w:pStyle w:val="12"/>
            </w:pPr>
            <w:r>
              <w:t>49.66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0.21</w:t>
            </w:r>
          </w:p>
        </w:tc>
        <w:tc>
          <w:tcPr>
            <w:tcW w:w="2551" w:type="dxa"/>
            <w:vAlign w:val="center"/>
          </w:tcPr>
          <w:p>
            <w:pPr>
              <w:pStyle w:val="12"/>
            </w:pPr>
          </w:p>
        </w:tc>
        <w:tc>
          <w:tcPr>
            <w:tcW w:w="2551" w:type="dxa"/>
            <w:vAlign w:val="center"/>
          </w:tcPr>
          <w:p>
            <w:pPr>
              <w:pStyle w:val="12"/>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177.72</w:t>
            </w:r>
          </w:p>
        </w:tc>
        <w:tc>
          <w:tcPr>
            <w:tcW w:w="2551" w:type="dxa"/>
            <w:vAlign w:val="center"/>
          </w:tcPr>
          <w:p>
            <w:pPr>
              <w:pStyle w:val="12"/>
            </w:pPr>
            <w:r>
              <w:t>177.72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28.08</w:t>
            </w:r>
          </w:p>
        </w:tc>
        <w:tc>
          <w:tcPr>
            <w:tcW w:w="2551" w:type="dxa"/>
            <w:vAlign w:val="center"/>
          </w:tcPr>
          <w:p>
            <w:pPr>
              <w:pStyle w:val="12"/>
            </w:pPr>
            <w:r>
              <w:t>28.08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127.36</w:t>
            </w:r>
          </w:p>
        </w:tc>
        <w:tc>
          <w:tcPr>
            <w:tcW w:w="2551" w:type="dxa"/>
            <w:vAlign w:val="center"/>
          </w:tcPr>
          <w:p>
            <w:pPr>
              <w:pStyle w:val="12"/>
            </w:pPr>
            <w:r>
              <w:t>127.36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22.28</w:t>
            </w:r>
          </w:p>
        </w:tc>
        <w:tc>
          <w:tcPr>
            <w:tcW w:w="2551" w:type="dxa"/>
            <w:vAlign w:val="center"/>
          </w:tcPr>
          <w:p>
            <w:pPr>
              <w:pStyle w:val="12"/>
            </w:pPr>
            <w:r>
              <w:t>22.28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303青龙满族自治县发展和改革局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156.90</w:t>
            </w:r>
          </w:p>
        </w:tc>
        <w:tc>
          <w:tcPr>
            <w:tcW w:w="2551" w:type="dxa"/>
            <w:vAlign w:val="center"/>
          </w:tcPr>
          <w:p>
            <w:pPr>
              <w:pStyle w:val="16"/>
            </w:pPr>
          </w:p>
        </w:tc>
        <w:tc>
          <w:tcPr>
            <w:tcW w:w="2551" w:type="dxa"/>
            <w:vAlign w:val="center"/>
          </w:tcPr>
          <w:p>
            <w:pPr>
              <w:pStyle w:val="16"/>
            </w:pPr>
            <w:r>
              <w:t>156.90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156.90</w:t>
            </w:r>
          </w:p>
        </w:tc>
        <w:tc>
          <w:tcPr>
            <w:tcW w:w="2551" w:type="dxa"/>
            <w:vAlign w:val="center"/>
          </w:tcPr>
          <w:p>
            <w:pPr>
              <w:pStyle w:val="12"/>
            </w:pPr>
          </w:p>
        </w:tc>
        <w:tc>
          <w:tcPr>
            <w:tcW w:w="2551" w:type="dxa"/>
            <w:vAlign w:val="center"/>
          </w:tcPr>
          <w:p>
            <w:pPr>
              <w:pStyle w:val="12"/>
            </w:pPr>
            <w:r>
              <w:t>156.90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156.90</w:t>
            </w:r>
          </w:p>
        </w:tc>
        <w:tc>
          <w:tcPr>
            <w:tcW w:w="2551" w:type="dxa"/>
            <w:vAlign w:val="center"/>
          </w:tcPr>
          <w:p>
            <w:pPr>
              <w:pStyle w:val="12"/>
            </w:pPr>
          </w:p>
        </w:tc>
        <w:tc>
          <w:tcPr>
            <w:tcW w:w="2551" w:type="dxa"/>
            <w:vAlign w:val="center"/>
          </w:tcPr>
          <w:p>
            <w:pPr>
              <w:pStyle w:val="12"/>
            </w:pPr>
            <w:r>
              <w:t>156.90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2120815</w:t>
            </w:r>
          </w:p>
        </w:tc>
        <w:tc>
          <w:tcPr>
            <w:tcW w:w="4535" w:type="dxa"/>
            <w:vAlign w:val="center"/>
          </w:tcPr>
          <w:p>
            <w:pPr>
              <w:pStyle w:val="13"/>
            </w:pPr>
            <w:r>
              <w:t>农村社会事业支出</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2120899</w:t>
            </w:r>
          </w:p>
        </w:tc>
        <w:tc>
          <w:tcPr>
            <w:tcW w:w="4535" w:type="dxa"/>
            <w:vAlign w:val="center"/>
          </w:tcPr>
          <w:p>
            <w:pPr>
              <w:pStyle w:val="13"/>
            </w:pPr>
            <w:r>
              <w:t>其他国有土地使用权出让收入安排的支出</w:t>
            </w:r>
          </w:p>
        </w:tc>
        <w:tc>
          <w:tcPr>
            <w:tcW w:w="2551" w:type="dxa"/>
            <w:vAlign w:val="center"/>
          </w:tcPr>
          <w:p>
            <w:pPr>
              <w:pStyle w:val="12"/>
            </w:pPr>
            <w:r>
              <w:t>56.90</w:t>
            </w:r>
          </w:p>
        </w:tc>
        <w:tc>
          <w:tcPr>
            <w:tcW w:w="2551" w:type="dxa"/>
            <w:vAlign w:val="center"/>
          </w:tcPr>
          <w:p>
            <w:pPr>
              <w:pStyle w:val="12"/>
            </w:pPr>
          </w:p>
        </w:tc>
        <w:tc>
          <w:tcPr>
            <w:tcW w:w="2551" w:type="dxa"/>
            <w:vAlign w:val="center"/>
          </w:tcPr>
          <w:p>
            <w:pPr>
              <w:pStyle w:val="12"/>
            </w:pPr>
            <w:r>
              <w:t>56.90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303青龙满族自治县发展和改革局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303青龙满族自治县发展和改革局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14.1</w:t>
            </w:r>
          </w:p>
        </w:tc>
        <w:tc>
          <w:tcPr>
            <w:tcW w:w="2381" w:type="dxa"/>
            <w:vAlign w:val="center"/>
          </w:tcPr>
          <w:p>
            <w:pPr>
              <w:pStyle w:val="16"/>
              <w:rPr>
                <w:rFonts w:hint="default" w:eastAsia="方正书宋_GBK"/>
                <w:lang w:val="en-US" w:eastAsia="zh-CN"/>
              </w:rPr>
            </w:pPr>
            <w:r>
              <w:rPr>
                <w:rFonts w:hint="eastAsia"/>
                <w:lang w:val="en-US" w:eastAsia="zh-CN"/>
              </w:rPr>
              <w:t>14.1</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rPr>
                <w:rFonts w:hint="default" w:eastAsia="方正书宋_GBK"/>
                <w:lang w:val="en-US" w:eastAsia="zh-CN"/>
              </w:rPr>
            </w:pPr>
            <w:r>
              <w:rPr>
                <w:rFonts w:hint="eastAsia"/>
                <w:lang w:val="en-US" w:eastAsia="zh-CN"/>
              </w:rPr>
              <w:t>14.1</w:t>
            </w:r>
          </w:p>
        </w:tc>
        <w:tc>
          <w:tcPr>
            <w:tcW w:w="2381" w:type="dxa"/>
            <w:vAlign w:val="center"/>
          </w:tcPr>
          <w:p>
            <w:pPr>
              <w:pStyle w:val="12"/>
              <w:rPr>
                <w:rFonts w:hint="default" w:eastAsia="方正书宋_GBK"/>
                <w:lang w:val="en-US" w:eastAsia="zh-CN"/>
              </w:rPr>
            </w:pPr>
            <w:r>
              <w:rPr>
                <w:rFonts w:hint="eastAsia"/>
                <w:lang w:val="en-US" w:eastAsia="zh-CN"/>
              </w:rPr>
              <w:t>14.1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12.60</w:t>
            </w:r>
          </w:p>
        </w:tc>
        <w:tc>
          <w:tcPr>
            <w:tcW w:w="2381" w:type="dxa"/>
            <w:vAlign w:val="center"/>
          </w:tcPr>
          <w:p>
            <w:pPr>
              <w:pStyle w:val="12"/>
            </w:pPr>
            <w:r>
              <w:t>12.60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12.60</w:t>
            </w:r>
          </w:p>
        </w:tc>
        <w:tc>
          <w:tcPr>
            <w:tcW w:w="2381" w:type="dxa"/>
            <w:vAlign w:val="center"/>
          </w:tcPr>
          <w:p>
            <w:pPr>
              <w:pStyle w:val="12"/>
            </w:pPr>
            <w:r>
              <w:t>12.60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rPr>
                <w:rFonts w:hint="default" w:eastAsia="方正书宋_GBK"/>
                <w:lang w:val="en-US" w:eastAsia="zh-CN"/>
              </w:rPr>
            </w:pPr>
            <w:r>
              <w:rPr>
                <w:rFonts w:hint="eastAsia"/>
                <w:lang w:val="en-US" w:eastAsia="zh-CN"/>
              </w:rPr>
              <w:t>1.5</w:t>
            </w:r>
          </w:p>
        </w:tc>
        <w:tc>
          <w:tcPr>
            <w:tcW w:w="2381" w:type="dxa"/>
            <w:vAlign w:val="center"/>
          </w:tcPr>
          <w:p>
            <w:pPr>
              <w:pStyle w:val="12"/>
              <w:rPr>
                <w:rFonts w:hint="default" w:eastAsia="方正书宋_GBK"/>
                <w:lang w:val="en-US" w:eastAsia="zh-CN"/>
              </w:rPr>
            </w:pPr>
            <w:r>
              <w:rPr>
                <w:rFonts w:hint="eastAsia"/>
                <w:lang w:val="en-US" w:eastAsia="zh-CN"/>
              </w:rPr>
              <w:t>1.5</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青龙满族自治县发展和改革局2026年部门预算信息公开情况说明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青龙满族自治县发展和改革局2026年部门预算信息公开情况说明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按照《中华人民共和国预算法》、《地方预决算公开操作规程》和《关于进一步推进预算公开工作的实施意见》规定，现将青龙满族自治县发展和改革局2026年部门预算公开如下：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根据《发展和改革局职能配置、内设机构和人员编制规定》，发展和改革局的主要职责是：</w:t>
      </w:r>
    </w:p>
    <w:p>
      <w:pPr>
        <w:pStyle w:val="18"/>
      </w:pPr>
      <w:r>
        <w:t>1、机关日常管理负责各科室综合协调、文秘文电、机要通讯、档案管理、会务安排、公车管理、人事管理、信息上报，以及工青妇和离退休老干部工作。负责局党委系统党建及机关支部日常工作。保障机关正常高效运转。</w:t>
      </w:r>
    </w:p>
    <w:p>
      <w:pPr>
        <w:pStyle w:val="18"/>
      </w:pPr>
      <w:r>
        <w:t>2、加快投资建设拟订全社会固定资产投资规模和投资结构的调控目标、政策措施。安排国家、省、市、县拨款或承担贷款责任的建设项目。进一步优化投资结构。</w:t>
      </w:r>
    </w:p>
    <w:p>
      <w:pPr>
        <w:pStyle w:val="18"/>
      </w:pPr>
      <w:r>
        <w:t>3、推动农村经济发展拟订全县农业和农村经济发展战略，实施并组织工代赈工程和异地扶贫搬迁工程。加快农村经济发展步伐。</w:t>
      </w:r>
    </w:p>
    <w:p>
      <w:pPr>
        <w:pStyle w:val="18"/>
      </w:pPr>
      <w:r>
        <w:t>4、开展农业区划相关工作编制农业资源规划，搞好农业区划调研成果转化、应用、推广，对辖区农业资源进行动态监测。推动山区农业资源可持续开发利用。</w:t>
      </w:r>
    </w:p>
    <w:p>
      <w:pPr>
        <w:pStyle w:val="18"/>
      </w:pPr>
      <w:r>
        <w:t>5、搞好经济体制改革制订经济体制方案，指导推进和综合协调经济体制改革。围绕发展与改革的重要问题进行调研，提出相关建议。</w:t>
      </w:r>
    </w:p>
    <w:p>
      <w:pPr>
        <w:pStyle w:val="18"/>
      </w:pPr>
      <w:r>
        <w:t>6、搞好项目审批管理负责固定资产投资项目的审批、核准、备案工作提供优质高效便捷服务，优化投资环境。</w:t>
      </w:r>
    </w:p>
    <w:p>
      <w:pPr>
        <w:pStyle w:val="18"/>
      </w:pPr>
      <w:r>
        <w:t>7、制定发展计划规划拟订并组织实施经济发展战略、中长期规划和年度发展计划。代县政府做国民经济和社会发展计划报告。承担国民经济动员办公室职责优化县域生产力布局。</w:t>
      </w:r>
    </w:p>
    <w:p>
      <w:pPr>
        <w:pStyle w:val="18"/>
      </w:pPr>
      <w:r>
        <w:t>8、加强节能降碳工作组织拟订发展循环经济、节能综合利用规划及政策措施，协调督导落实。加快推进资源节约型、环境友好型社会建设。</w:t>
      </w:r>
    </w:p>
    <w:p>
      <w:pPr>
        <w:pStyle w:val="18"/>
      </w:pPr>
      <w:r>
        <w:t>9、推动社会事业发展组织拟订社会事业发展战略、总体规划和年度计划，推进社会事业建设。研究就业、收入分配、社会保障等政策建议。督导、协调向上争取项目、资金、政策。促进社会各项事业协调发展。</w:t>
      </w:r>
    </w:p>
    <w:p>
      <w:pPr>
        <w:pStyle w:val="18"/>
      </w:pPr>
      <w:r>
        <w:t>10、搞好项目建设管理组织实施综合性产业政策，推进落实重大项目建设优化生产力布局，促进产业结构升级。</w:t>
      </w:r>
    </w:p>
    <w:p>
      <w:pPr>
        <w:pStyle w:val="18"/>
      </w:pPr>
      <w:r>
        <w:t>11、扩大对外对内开放参加各类经济技术交流活动，促进区域经济技术合作。承接京津产业转移，引进一批战略投资者，推动青龙经济快速发展。</w:t>
      </w:r>
    </w:p>
    <w:p>
      <w:pPr>
        <w:pStyle w:val="18"/>
      </w:pPr>
      <w:r>
        <w:t>二、招商和投资促进中心主要职责是：</w:t>
      </w:r>
    </w:p>
    <w:p>
      <w:pPr>
        <w:pStyle w:val="18"/>
      </w:pPr>
      <w:r>
        <w:t>1、负责上级以及县委、县政府招商引资、投资促进政策落实的协调服务工作;参与制定全县招商引资政策，做好招商 引资活动的组织协调、宣传推介和驻外招商人员的指导管理工作。 2、负责组织县内外重大招商活动，参与重点招商引资项目洽谈、协议起草、合同签约。 3、负责联系与境内外各种商会协会组织、重点企业、科研机构、高校院所，做好信息收集汇总、分析推送工作;负责 来青投资企业以及投资项目建设的协调服务工作。 4、负责落实全县招商引资信息化平台的建设管理、运行维护、信息发布工作。</w:t>
      </w:r>
    </w:p>
    <w:p>
      <w:pPr>
        <w:pStyle w:val="18"/>
      </w:pPr>
      <w:r>
        <w:t>5、参与制定全县项目建设年度计划，参与重点项目的前期谋划、筛选储备、督导考核工作。 6、参与充实完善项目库，以及全县重点项目协调调度、综合分析和省市重点项目申报工作 7、做好重点项目建设全程系列服务，围绕开工、建设、竣工、投产等关键环节全力做好帮办和服务。 8、协助做好全县电商物流产业的发展规划、顶层设计和项目建设;积极对接各电子商务公共服务平台，帮助县内示范 企业与产品原产地和各大电商平台的有效对接。 9、协助建设农产品研发体验中心，搞好县域特色产品品牌研发与培育，建立特色农产品营销机制，开展全县农村电 子商务孵化业务。</w:t>
      </w:r>
    </w:p>
    <w:p>
      <w:pPr>
        <w:pStyle w:val="18"/>
      </w:pPr>
      <w:r>
        <w:t>10、负责组织电子商务培训，为全县乡村电商服务站建设提供指导服务。 11、完成县委、县政府及县发展和改革局交办的其他任务。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青龙满族自治县发展和改革局本级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青龙满族自治县招商和投资促进中心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青龙满族自治县市场建设服务中心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其他</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按照预算管理有关规定，目前部门预算的编制实行综合预算管理，即全部收入和支出都反映在预算中。青龙满族自治县发展和改革局机关及所属事业单位的收支包含在部门预算中。</w:t>
      </w:r>
    </w:p>
    <w:p>
      <w:pPr>
        <w:pStyle w:val="19"/>
      </w:pPr>
      <w:r>
        <w:t>1、收入说明</w:t>
      </w:r>
    </w:p>
    <w:p>
      <w:pPr>
        <w:pStyle w:val="19"/>
      </w:pPr>
      <w:r>
        <w:t>反映本部门当年全部收入。2026年预算收入3841.14万元，其中：一般公共预算收入2473.65万元，基金预算收入156.90万元，国有资本经营预算收入0.00万元，财政专户核拨收入0.00万元，单位资金收入295.36万元，上年结转结余915.23万元。</w:t>
      </w:r>
    </w:p>
    <w:p>
      <w:pPr>
        <w:pStyle w:val="19"/>
      </w:pPr>
      <w:r>
        <w:t>2、支出说明</w:t>
      </w:r>
    </w:p>
    <w:p>
      <w:pPr>
        <w:pStyle w:val="19"/>
      </w:pPr>
      <w:r>
        <w:t>收支预算总表支出栏、基本支出表、项目支出表按经济分类和支出功能分类科目编制，反映青龙满族自治县发展和改革局年度部门预算中支出预算的总体情况。2026年支出预算3841.14万元，其中基本支出1467.08万元，包括人员经费1291.22万元和日常公用经费175.86万元；项目支出2374.06万元，主要为本年度相关企业欠款录入债务系统，不再做2026年预算，主要包含洁净煤往年欠款，易地搬迁欠款。；预计下年使用的单位资金结余0.00万元。委托业务费共计安排27.72万元，主要用于因技术原因确需对外委托的辅助性工作和确有必要对外委托开展咨询、评审、规划等工作。</w:t>
      </w:r>
    </w:p>
    <w:p>
      <w:pPr>
        <w:pStyle w:val="19"/>
      </w:pPr>
      <w:r>
        <w:t>3、比上年增减情况</w:t>
      </w:r>
    </w:p>
    <w:p>
      <w:pPr>
        <w:pStyle w:val="19"/>
      </w:pPr>
      <w:r>
        <w:t>2026年预算收支安排3841.14万元，较2025年预算减少765.20万元，其中：基本支出增加469.84万元，主要为2026年度本单位调入8人，新招录4人，人员基本支出增加。项目支出减少1235.04万元，主要为本年度相关企业欠款录入债务系统，不再做2026年预算，主要包含洁净煤往年欠款，易地搬迁欠款。。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2026年，我部门机关运行经费共计安排175.86万元，主要用于日常维修、办公用房水电费、办公用房取暖费、办公用房物业管理费等日常运行支出。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w:t>
      </w:r>
      <w:r>
        <w:rPr>
          <w:rFonts w:hint="eastAsia"/>
          <w:lang w:val="en-US" w:eastAsia="zh-CN"/>
        </w:rPr>
        <w:t>14.2</w:t>
      </w:r>
      <w:r>
        <w:t>万元，其中因公出国（境）费0.00万元；公务用车购置及运维费12.60万元（其中：公务用车购置费为0.00万元，公务用车运维费12.60万元)；公务接待费</w:t>
      </w:r>
      <w:r>
        <w:rPr>
          <w:rFonts w:hint="eastAsia"/>
          <w:lang w:val="en-US" w:eastAsia="zh-CN"/>
        </w:rPr>
        <w:t>1.5</w:t>
      </w:r>
      <w:r>
        <w:t>万元。与2025年相比</w:t>
      </w:r>
      <w:r>
        <w:rPr>
          <w:rFonts w:hint="eastAsia"/>
          <w:lang w:eastAsia="zh-CN"/>
        </w:rPr>
        <w:t>减少</w:t>
      </w:r>
      <w:r>
        <w:rPr>
          <w:rFonts w:hint="eastAsia"/>
          <w:lang w:val="en-US" w:eastAsia="zh-CN"/>
        </w:rPr>
        <w:t>5.9</w:t>
      </w:r>
      <w:r>
        <w:t>万元，增减变化的主要原因是厉行节约，节流开支。</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发展改革局坚持以习近平新时代中国特色社会主义思想为指导，深入贯彻落实习近平总书记重要指示批示和党中央决策部署以及省委省政府工作要求，系统谋划推进中国式现代化的河北场景，积极推动全县经济社会高质量发展，着力推动重大国家战略深入实施，以更高质量推进京津冀协同发展，以更大力度支持服务雄安新区建设，以更优服务推动后奥运经济发展落地见效；力促经济平稳运行，加强经济运行监测；深化供给侧结构性改革，巩固提升传统优势产业，发展壮大战略性新兴产业，加快发展现代服务业；扭住扩大内需战略基点，抓紧抓实投资和重点项目建设；协调推进绿色发展，统筹有序推进碳达峰碳中和，持续抓好节能削煤，支持清洁能源发展，积极推进生态文明建设；深化改革扩大开放，深化经济体制改革，促进沿海经济高质量发展；加快推进城乡区域协调发展，加快新型城镇化和城乡融合发展，加快县域经济高质量发展；维护大局安全稳定，着力抓好粮食和能源安全；切实保障改善民生，促进就业保持物价总体稳定，着力发展社会事业，大力实施惠民工程。</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1.观大局、谋大势，在当好参谋助手上有新提升</w:t>
      </w:r>
    </w:p>
    <w:p>
      <w:pPr>
        <w:pStyle w:val="23"/>
      </w:pPr>
      <w:r>
        <w:t>绩效目标：及时把握宏观经济走势，分析研判精准有效，为省委、省政府科学调控经济运行提供重要参考。围绕经济社会发展重点、难点和热点问题，开展重大课题研究，为决策提供支持，政策引导更加有力。坚持社会主义市场经济改革方向，把实施扩大内需战略同深化供给侧结构性改革有机结合起来，持续发挥改革作为“关键一招”作用，推动各项改革向广度和深度拓展。</w:t>
      </w:r>
    </w:p>
    <w:p>
      <w:pPr>
        <w:pStyle w:val="23"/>
      </w:pPr>
      <w:r>
        <w:t>绩效指标：完成分析报告经济形势3份，提出有针对性、操作性的工作建议20条，推进4项重点领域和关键环节经济改革任务，积极培育一流企业。</w:t>
      </w:r>
    </w:p>
    <w:p>
      <w:pPr>
        <w:pStyle w:val="23"/>
      </w:pPr>
      <w:r>
        <w:t>2.优供给、重创新，在推动高质量发展上有新提升</w:t>
      </w:r>
    </w:p>
    <w:p>
      <w:pPr>
        <w:pStyle w:val="23"/>
      </w:pPr>
      <w:r>
        <w:t>绩效目标：以推动高质量发展为主题，以深化供给侧结构性改革为主线，以推进新型工业化为方向，把发展经济的着力点放在实体经济上，深入实施制造强省战略，巩固优势产业领先地位，全力打造省级战略性新兴产业集群，推动现代服务业同先进制造业、现代农业深度融合，着力构建优质高效的服务业新体系。</w:t>
      </w:r>
    </w:p>
    <w:p>
      <w:pPr>
        <w:pStyle w:val="23"/>
      </w:pPr>
      <w:r>
        <w:t>绩效指标：创建县级以上技术创新示范企业3家。</w:t>
      </w:r>
    </w:p>
    <w:p>
      <w:pPr>
        <w:pStyle w:val="23"/>
      </w:pPr>
      <w:r>
        <w:t>3.建机制、打基础，在推动绿色发展上有新提升</w:t>
      </w:r>
    </w:p>
    <w:p>
      <w:pPr>
        <w:pStyle w:val="23"/>
      </w:pPr>
      <w:r>
        <w:t>绩效目标：完善能耗双控制度，持续加强节能降耗，不折不扣落实煤炭等（减）量替代政策，重点用能单位节能管理持续改进、节能技术持续进步、能效持续提升。积极发展循环经济，加强环境基础设施建设，推动污染治理和生态修复。能源结构不断优化，清洁能源持续快速发展，清洁取暖成效显著。完善氢能产业链布局，氢能产业高质量发展。</w:t>
      </w:r>
    </w:p>
    <w:p>
      <w:pPr>
        <w:pStyle w:val="23"/>
      </w:pPr>
      <w:r>
        <w:t>绩效指标：全省新增抽水蓄能装机，新增可再生能源并网装机。全省县单位GDP能耗同比下降2.0%。</w:t>
      </w:r>
    </w:p>
    <w:p>
      <w:pPr>
        <w:pStyle w:val="23"/>
      </w:pPr>
      <w:r>
        <w:t>4.补短板、兜底线，在保障和改善民生上有新提升。</w:t>
      </w:r>
    </w:p>
    <w:p>
      <w:pPr>
        <w:pStyle w:val="23"/>
      </w:pPr>
      <w:r>
        <w:t xml:space="preserve">绩效目标：加强价格监测与调控，进一步完善价格机制，加强重要民生商品价格调控，强化公共服务价格监管，着力清费减负降本，确保价格总水平在合理区间运行。强化就业优先政策，健全就业公共服务体系，加大对重点人群就业创业支持力度，破除制约我县居民增收的体制机制障碍，促进居民增收创富。进一步聚焦关键领域和突出重点，加快补齐公共服务短板，持续推进基本公共服务均等化，不断满足人民群众多层次、多样化服务需求，社会事业发展稳步推进。  </w:t>
      </w:r>
    </w:p>
    <w:p>
      <w:pPr>
        <w:pStyle w:val="23"/>
      </w:pPr>
      <w:r>
        <w:t>绩效指标：居民消费价格涨幅达到政府工作报告要求。</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将事前评估、目标管理、运行监控、绩效评价、结果应用等各项改革措施，有效融入预算管理的全过程，建立健全发展改革领域预算绩效管理的路径和制度体系。发挥预算绩效管理工作领导小组作用，统筹协调、分工协作、密切配合、合理推进的工作机制，围绕年度总体绩效目标和分类绩效目标，明确责任主体，实施进度要求，确保如期完成。研究完善各项规章制度，为全年预算绩效目标的实现奠定制度基础。</w:t>
      </w:r>
    </w:p>
    <w:p>
      <w:pPr>
        <w:pStyle w:val="24"/>
      </w:pPr>
      <w:r>
        <w:t>2.加强支出管理。强化财政预算执行的刚性需求，编细编实年度预算，对预算的事前、事中、事后进行全过程控制，提高预算资金使用效率。优化经费支出结构，通过加快履行政府采购手续、尽快启动项目、及时支付资金、6月底前细化代编预算、按规定及时下达资金等多种措施，确保按照时间节点完成支出任务。</w:t>
      </w:r>
    </w:p>
    <w:p>
      <w:pPr>
        <w:pStyle w:val="24"/>
      </w:pPr>
      <w:r>
        <w:t>3.加强绩效运行监控。按要求开展绩效运行监控，依据确定的绩效目标，采取项目跟踪、数据核查和汇总分析等的方式，动态地了解和掌握项目绩效目标实现程度、资金支出进度和项目实施进度，发现问题及时采取措施，确保绩效目标如期保质实现。</w:t>
      </w:r>
    </w:p>
    <w:p>
      <w:pPr>
        <w:pStyle w:val="24"/>
      </w:pPr>
      <w:r>
        <w:t>4.做好绩效自评。按要求组织相关业务处室（单位）开展上年度部门预算绩效自评和重点评价工作， 充分调动业务处室（单位）的积极性和主动性，由业务处室（单位）负责科学制定分管项目和内容的中期、终期绩效目标和评价指标，动态收集评估数据信息，开展预算绩效中期评估、终期评价，落实整改措施等。对评价中发现的问题及时整改，调整优化支出结构，提高财政资金使用效益。</w:t>
      </w:r>
    </w:p>
    <w:p>
      <w:pPr>
        <w:pStyle w:val="24"/>
      </w:pPr>
      <w:r>
        <w:t>5.规范财务资产管理。建立财务支出约束机制，完善内部控制管理制度，加强资金和资产管理，科学配置单位资源，严格审批程序，加强固定资产登记、使用和报废处置管理，做到支出合理，物尽其用。坚持按项目、按进度支出，不准随意变更预算项目、超预算安排支出，因特殊情况需调整预算或追加支出的，应按照规定的程序进行报批。</w:t>
      </w:r>
    </w:p>
    <w:p>
      <w:pPr>
        <w:pStyle w:val="24"/>
      </w:pPr>
      <w:r>
        <w:t>6.加强内部监督。加强内部监督制度建设，对绩效运行情况、重大支出决策、对外投资、资产处置及其他重要经济业务事项的决策和执行进行督导，推行公开财务，增加资金使用透明度，自觉接受群众监督，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加强预算绩效管理专业知识培训，提高预算绩效管理工作人员的业务素质，不断优化财务人员知识结构，促进财务人员严格履行职责，当好领导参谋；加强调研，提出优化财政资金配置、提高资金使用效益的意见；加大宣传力度，强化预算绩效管理意识，培育绩效管理文化，为预算绩效管理创造良好的思想基础和舆论环境，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0" w:after="0"/>
        <w:ind w:firstLine="1400" w:firstLineChars="500"/>
        <w:jc w:val="left"/>
        <w:outlineLvl w:val="9"/>
        <w:rPr>
          <w:rFonts w:hint="eastAsia" w:ascii="方正仿宋_GBK" w:hAnsi="方正仿宋_GBK" w:eastAsia="方正仿宋_GBK" w:cs="方正仿宋_GBK"/>
          <w:color w:val="000000"/>
          <w:sz w:val="28"/>
          <w:lang w:eastAsia="zh-CN"/>
        </w:rPr>
      </w:pPr>
      <w:bookmarkStart w:id="20" w:name="_GoBack"/>
      <w:r>
        <w:rPr>
          <w:rFonts w:hint="eastAsia" w:ascii="方正仿宋_GBK" w:hAnsi="方正仿宋_GBK" w:eastAsia="方正仿宋_GBK" w:cs="方正仿宋_GBK"/>
          <w:color w:val="000000"/>
          <w:sz w:val="28"/>
          <w:lang w:eastAsia="zh-CN"/>
        </w:rPr>
        <w:t>无部门主管专项资金</w:t>
      </w:r>
    </w:p>
    <w:bookmarkEnd w:id="20"/>
    <w:p>
      <w:pPr>
        <w:spacing w:before="0" w:after="0"/>
        <w:ind w:firstLine="560"/>
        <w:jc w:val="left"/>
        <w:outlineLvl w:val="9"/>
        <w:rPr>
          <w:rFonts w:hint="eastAsia" w:ascii="方正仿宋_GBK" w:hAnsi="方正仿宋_GBK" w:eastAsia="方正仿宋_GBK" w:cs="方正仿宋_GBK"/>
          <w:color w:val="000000"/>
          <w:sz w:val="28"/>
          <w:lang w:eastAsia="zh-CN"/>
        </w:rPr>
      </w:pPr>
    </w:p>
    <w:p>
      <w:pPr>
        <w:spacing w:before="0" w:after="0"/>
        <w:ind w:firstLine="560"/>
        <w:jc w:val="left"/>
        <w:outlineLvl w:val="9"/>
        <w:rPr>
          <w:rFonts w:hint="eastAsia" w:ascii="方正仿宋_GBK" w:hAnsi="方正仿宋_GBK" w:eastAsia="方正仿宋_GBK" w:cs="方正仿宋_GBK"/>
          <w:color w:val="000000"/>
          <w:sz w:val="28"/>
          <w:lang w:eastAsia="zh-CN"/>
        </w:rPr>
        <w:sectPr>
          <w:pgSz w:w="16840" w:h="11900" w:orient="landscape"/>
          <w:pgMar w:top="1361" w:right="1020" w:bottom="1134"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1、光伏、易地搬迁、科技扶贫、消费扶贫后续工作经费绩效目标表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13032125P00334910357U</w:t>
            </w:r>
          </w:p>
        </w:tc>
        <w:tc>
          <w:tcPr>
            <w:tcW w:w="2835" w:type="dxa"/>
            <w:vAlign w:val="center"/>
          </w:tcPr>
          <w:p>
            <w:pPr>
              <w:pStyle w:val="11"/>
            </w:pPr>
            <w:r>
              <w:t>项目名称</w:t>
            </w:r>
          </w:p>
        </w:tc>
        <w:tc>
          <w:tcPr>
            <w:tcW w:w="6095" w:type="dxa"/>
            <w:gridSpan w:val="3"/>
            <w:vAlign w:val="center"/>
          </w:tcPr>
          <w:p>
            <w:pPr>
              <w:pStyle w:val="13"/>
            </w:pPr>
            <w:r>
              <w:t>光伏、易地搬迁、科技扶贫、消费扶贫后续工作经费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预算安排2万元，，其中财政资金2万元，主要用于光伏、易地搬迁、科技扶贫、消费扶贫后续工作经费。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1.通过对全县光伏、易地搬迁、科技扶贫、消费扶贫项目进行督导检查，促进项目目标有效达成。</w:t>
            </w:r>
            <w:r>
              <w:tab/>
            </w:r>
            <w:r>
              <w:tab/>
            </w:r>
            <w:r>
              <w:tab/>
            </w:r>
            <w:r>
              <w:tab/>
            </w:r>
            <w:r>
              <w:tab/>
            </w:r>
            <w:r>
              <w:tab/>
            </w:r>
          </w:p>
          <w:p>
            <w:pPr>
              <w:pStyle w:val="13"/>
            </w:pPr>
          </w:p>
          <w:p>
            <w:pPr>
              <w:pStyle w:val="13"/>
            </w:pPr>
            <w:r>
              <w:t>2.通过加强资金管理和规范，促进项目实施进程。</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组织易地搬迁下乡考察</w:t>
            </w:r>
          </w:p>
        </w:tc>
        <w:tc>
          <w:tcPr>
            <w:tcW w:w="5386" w:type="dxa"/>
            <w:vAlign w:val="center"/>
          </w:tcPr>
          <w:p>
            <w:pPr>
              <w:pStyle w:val="13"/>
            </w:pPr>
            <w:r>
              <w:t>反映易地搬迁下乡考察的次数</w:t>
            </w:r>
          </w:p>
        </w:tc>
        <w:tc>
          <w:tcPr>
            <w:tcW w:w="2268" w:type="dxa"/>
            <w:vAlign w:val="center"/>
          </w:tcPr>
          <w:p>
            <w:pPr>
              <w:pStyle w:val="13"/>
            </w:pPr>
            <w:r>
              <w:t>≥15次</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参加企业的数量</w:t>
            </w:r>
          </w:p>
        </w:tc>
        <w:tc>
          <w:tcPr>
            <w:tcW w:w="5386" w:type="dxa"/>
            <w:vAlign w:val="center"/>
          </w:tcPr>
          <w:p>
            <w:pPr>
              <w:pStyle w:val="13"/>
            </w:pPr>
            <w:r>
              <w:t>反映每次组织产品对接会和产品推广会参加企业的数量</w:t>
            </w:r>
          </w:p>
        </w:tc>
        <w:tc>
          <w:tcPr>
            <w:tcW w:w="2268" w:type="dxa"/>
            <w:vAlign w:val="center"/>
          </w:tcPr>
          <w:p>
            <w:pPr>
              <w:pStyle w:val="13"/>
            </w:pPr>
            <w:r>
              <w:t>≥10个</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组织产品对接会和产品推广会次数</w:t>
            </w:r>
          </w:p>
        </w:tc>
        <w:tc>
          <w:tcPr>
            <w:tcW w:w="5386" w:type="dxa"/>
            <w:vAlign w:val="center"/>
          </w:tcPr>
          <w:p>
            <w:pPr>
              <w:pStyle w:val="13"/>
            </w:pPr>
            <w:r>
              <w:t>反映组织产品对接会和产品推广会次数</w:t>
            </w:r>
          </w:p>
        </w:tc>
        <w:tc>
          <w:tcPr>
            <w:tcW w:w="2268" w:type="dxa"/>
            <w:vAlign w:val="center"/>
          </w:tcPr>
          <w:p>
            <w:pPr>
              <w:pStyle w:val="13"/>
            </w:pPr>
            <w:r>
              <w:t>≥4次</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组织光伏下乡考察的次数</w:t>
            </w:r>
          </w:p>
        </w:tc>
        <w:tc>
          <w:tcPr>
            <w:tcW w:w="5386" w:type="dxa"/>
            <w:vAlign w:val="center"/>
          </w:tcPr>
          <w:p>
            <w:pPr>
              <w:pStyle w:val="13"/>
            </w:pPr>
            <w:r>
              <w:t>反映组织光伏下乡考察的次数</w:t>
            </w:r>
          </w:p>
        </w:tc>
        <w:tc>
          <w:tcPr>
            <w:tcW w:w="2268" w:type="dxa"/>
            <w:vAlign w:val="center"/>
          </w:tcPr>
          <w:p>
            <w:pPr>
              <w:pStyle w:val="13"/>
            </w:pPr>
            <w:r>
              <w:t>≥10次</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组织开展培训会的次数</w:t>
            </w:r>
          </w:p>
        </w:tc>
        <w:tc>
          <w:tcPr>
            <w:tcW w:w="5386" w:type="dxa"/>
            <w:vAlign w:val="center"/>
          </w:tcPr>
          <w:p>
            <w:pPr>
              <w:pStyle w:val="13"/>
            </w:pPr>
            <w:r>
              <w:t>反映组织开展培训会的次数</w:t>
            </w:r>
          </w:p>
        </w:tc>
        <w:tc>
          <w:tcPr>
            <w:tcW w:w="2268" w:type="dxa"/>
            <w:vAlign w:val="center"/>
          </w:tcPr>
          <w:p>
            <w:pPr>
              <w:pStyle w:val="13"/>
            </w:pPr>
            <w:r>
              <w:t>≥30次</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参加培训会的人数</w:t>
            </w:r>
          </w:p>
        </w:tc>
        <w:tc>
          <w:tcPr>
            <w:tcW w:w="5386" w:type="dxa"/>
            <w:vAlign w:val="center"/>
          </w:tcPr>
          <w:p>
            <w:pPr>
              <w:pStyle w:val="13"/>
            </w:pPr>
            <w:r>
              <w:t>反映每次参加培训会的人数</w:t>
            </w:r>
          </w:p>
        </w:tc>
        <w:tc>
          <w:tcPr>
            <w:tcW w:w="2268" w:type="dxa"/>
            <w:vAlign w:val="center"/>
          </w:tcPr>
          <w:p>
            <w:pPr>
              <w:pStyle w:val="13"/>
            </w:pPr>
            <w:r>
              <w:t>≥30人</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正常运转电网数（个）</w:t>
            </w:r>
          </w:p>
        </w:tc>
        <w:tc>
          <w:tcPr>
            <w:tcW w:w="5386" w:type="dxa"/>
            <w:vAlign w:val="center"/>
          </w:tcPr>
          <w:p>
            <w:pPr>
              <w:pStyle w:val="13"/>
            </w:pPr>
            <w:r>
              <w:t>正常运转电网数（个）</w:t>
            </w:r>
          </w:p>
        </w:tc>
        <w:tc>
          <w:tcPr>
            <w:tcW w:w="2268" w:type="dxa"/>
            <w:vAlign w:val="center"/>
          </w:tcPr>
          <w:p>
            <w:pPr>
              <w:pStyle w:val="13"/>
            </w:pPr>
            <w:r>
              <w:t>≥20个</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各项活动完成率</w:t>
            </w:r>
          </w:p>
        </w:tc>
        <w:tc>
          <w:tcPr>
            <w:tcW w:w="5386" w:type="dxa"/>
            <w:vAlign w:val="center"/>
          </w:tcPr>
          <w:p>
            <w:pPr>
              <w:pStyle w:val="13"/>
            </w:pPr>
            <w:r>
              <w:t>反映组织各项活动完成率</w:t>
            </w:r>
          </w:p>
        </w:tc>
        <w:tc>
          <w:tcPr>
            <w:tcW w:w="2268" w:type="dxa"/>
            <w:vAlign w:val="center"/>
          </w:tcPr>
          <w:p>
            <w:pPr>
              <w:pStyle w:val="13"/>
            </w:pPr>
            <w:r>
              <w:t>≥90%</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对接会达成合作意向金额</w:t>
            </w:r>
          </w:p>
        </w:tc>
        <w:tc>
          <w:tcPr>
            <w:tcW w:w="5386" w:type="dxa"/>
            <w:vAlign w:val="center"/>
          </w:tcPr>
          <w:p>
            <w:pPr>
              <w:pStyle w:val="13"/>
            </w:pPr>
            <w:r>
              <w:t>反映组织产品对接会和产品推广会次数达成合作意向情况</w:t>
            </w:r>
          </w:p>
        </w:tc>
        <w:tc>
          <w:tcPr>
            <w:tcW w:w="2268" w:type="dxa"/>
            <w:vAlign w:val="center"/>
          </w:tcPr>
          <w:p>
            <w:pPr>
              <w:pStyle w:val="13"/>
            </w:pPr>
            <w:r>
              <w:t>≥10万元</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组织推进消费扶贫和产销对接会</w:t>
            </w:r>
          </w:p>
        </w:tc>
        <w:tc>
          <w:tcPr>
            <w:tcW w:w="5386" w:type="dxa"/>
            <w:vAlign w:val="center"/>
          </w:tcPr>
          <w:p>
            <w:pPr>
              <w:pStyle w:val="13"/>
            </w:pPr>
            <w:r>
              <w:t>反映组织产品对接会和产品推广会次数成交情况</w:t>
            </w:r>
          </w:p>
        </w:tc>
        <w:tc>
          <w:tcPr>
            <w:tcW w:w="2268" w:type="dxa"/>
            <w:vAlign w:val="center"/>
          </w:tcPr>
          <w:p>
            <w:pPr>
              <w:pStyle w:val="13"/>
            </w:pPr>
            <w:r>
              <w:t>≥5万元</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自动监测站点良好运行率</w:t>
            </w:r>
          </w:p>
        </w:tc>
        <w:tc>
          <w:tcPr>
            <w:tcW w:w="5386" w:type="dxa"/>
            <w:vAlign w:val="center"/>
          </w:tcPr>
          <w:p>
            <w:pPr>
              <w:pStyle w:val="13"/>
            </w:pPr>
            <w:r>
              <w:t>保证辐射环境自动监测站点的良好运行时间占自动监测站点的全年运行时间的比率</w:t>
            </w:r>
          </w:p>
        </w:tc>
        <w:tc>
          <w:tcPr>
            <w:tcW w:w="2268" w:type="dxa"/>
            <w:vAlign w:val="center"/>
          </w:tcPr>
          <w:p>
            <w:pPr>
              <w:pStyle w:val="13"/>
            </w:pPr>
            <w:r>
              <w:t>≥95%</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及时支持奖励项目情况</w:t>
            </w:r>
          </w:p>
        </w:tc>
        <w:tc>
          <w:tcPr>
            <w:tcW w:w="5386" w:type="dxa"/>
            <w:vAlign w:val="center"/>
          </w:tcPr>
          <w:p>
            <w:pPr>
              <w:pStyle w:val="13"/>
            </w:pPr>
            <w:r>
              <w:t>反映及时支付扶持项目情况</w:t>
            </w:r>
          </w:p>
        </w:tc>
        <w:tc>
          <w:tcPr>
            <w:tcW w:w="2268" w:type="dxa"/>
            <w:vAlign w:val="center"/>
          </w:tcPr>
          <w:p>
            <w:pPr>
              <w:pStyle w:val="13"/>
            </w:pPr>
            <w:r>
              <w:t>2025年</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各项活动完成时间</w:t>
            </w:r>
          </w:p>
        </w:tc>
        <w:tc>
          <w:tcPr>
            <w:tcW w:w="5386" w:type="dxa"/>
            <w:vAlign w:val="center"/>
          </w:tcPr>
          <w:p>
            <w:pPr>
              <w:pStyle w:val="13"/>
            </w:pPr>
            <w:r>
              <w:t>反映各项活动完成时间</w:t>
            </w:r>
          </w:p>
        </w:tc>
        <w:tc>
          <w:tcPr>
            <w:tcW w:w="2268" w:type="dxa"/>
            <w:vAlign w:val="center"/>
          </w:tcPr>
          <w:p>
            <w:pPr>
              <w:pStyle w:val="13"/>
            </w:pPr>
            <w:r>
              <w:t>2025年底前</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按照年度工作计划及时检查</w:t>
            </w:r>
          </w:p>
        </w:tc>
        <w:tc>
          <w:tcPr>
            <w:tcW w:w="5386" w:type="dxa"/>
            <w:vAlign w:val="center"/>
          </w:tcPr>
          <w:p>
            <w:pPr>
              <w:pStyle w:val="13"/>
            </w:pPr>
            <w:r>
              <w:t>反映检查工作的及时性</w:t>
            </w:r>
          </w:p>
        </w:tc>
        <w:tc>
          <w:tcPr>
            <w:tcW w:w="2268" w:type="dxa"/>
            <w:vAlign w:val="center"/>
          </w:tcPr>
          <w:p>
            <w:pPr>
              <w:pStyle w:val="13"/>
            </w:pPr>
            <w:r>
              <w:t>≥90%</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反映办公费成本控制情况</w:t>
            </w:r>
          </w:p>
        </w:tc>
        <w:tc>
          <w:tcPr>
            <w:tcW w:w="2268" w:type="dxa"/>
            <w:vAlign w:val="center"/>
          </w:tcPr>
          <w:p>
            <w:pPr>
              <w:pStyle w:val="13"/>
            </w:pPr>
            <w:r>
              <w:t>≤2万元</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促进农村贫困户脱贫效果明显</w:t>
            </w:r>
          </w:p>
        </w:tc>
        <w:tc>
          <w:tcPr>
            <w:tcW w:w="5386" w:type="dxa"/>
            <w:vAlign w:val="center"/>
          </w:tcPr>
          <w:p>
            <w:pPr>
              <w:pStyle w:val="13"/>
            </w:pPr>
            <w:r>
              <w:t>反映贫困户脱贫情况</w:t>
            </w:r>
          </w:p>
        </w:tc>
        <w:tc>
          <w:tcPr>
            <w:tcW w:w="2268" w:type="dxa"/>
            <w:vAlign w:val="center"/>
          </w:tcPr>
          <w:p>
            <w:pPr>
              <w:pStyle w:val="13"/>
            </w:pPr>
            <w:r>
              <w:t>≥100元</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通过消费脱贫工作促进农</w:t>
            </w:r>
          </w:p>
        </w:tc>
        <w:tc>
          <w:tcPr>
            <w:tcW w:w="5386" w:type="dxa"/>
            <w:vAlign w:val="center"/>
          </w:tcPr>
          <w:p>
            <w:pPr>
              <w:pStyle w:val="13"/>
            </w:pPr>
            <w:r>
              <w:t>消费脱贫工作促进农民脱贫效果情况</w:t>
            </w:r>
          </w:p>
        </w:tc>
        <w:tc>
          <w:tcPr>
            <w:tcW w:w="2268" w:type="dxa"/>
            <w:vAlign w:val="center"/>
          </w:tcPr>
          <w:p>
            <w:pPr>
              <w:pStyle w:val="13"/>
            </w:pPr>
            <w:r>
              <w:t>≥5%</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2、光伏、易地搬迁、科技扶贫、消费扶贫后续工作经费绩效目标表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13032126P003349103501</w:t>
            </w:r>
          </w:p>
        </w:tc>
        <w:tc>
          <w:tcPr>
            <w:tcW w:w="2835" w:type="dxa"/>
            <w:vAlign w:val="center"/>
          </w:tcPr>
          <w:p>
            <w:pPr>
              <w:pStyle w:val="11"/>
            </w:pPr>
            <w:r>
              <w:t>项目名称</w:t>
            </w:r>
          </w:p>
        </w:tc>
        <w:tc>
          <w:tcPr>
            <w:tcW w:w="6095" w:type="dxa"/>
            <w:gridSpan w:val="3"/>
            <w:vAlign w:val="center"/>
          </w:tcPr>
          <w:p>
            <w:pPr>
              <w:pStyle w:val="13"/>
            </w:pPr>
            <w:r>
              <w:t>光伏、易地搬迁、科技扶贫、消费扶贫后续工作经费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w:t>
            </w:r>
          </w:p>
        </w:tc>
        <w:tc>
          <w:tcPr>
            <w:tcW w:w="2835" w:type="dxa"/>
            <w:vAlign w:val="center"/>
          </w:tcPr>
          <w:p>
            <w:pPr>
              <w:pStyle w:val="11"/>
            </w:pPr>
            <w:r>
              <w:t>其中：财政    资金</w:t>
            </w:r>
          </w:p>
        </w:tc>
        <w:tc>
          <w:tcPr>
            <w:tcW w:w="2551" w:type="dxa"/>
            <w:vAlign w:val="center"/>
          </w:tcPr>
          <w:p>
            <w:pPr>
              <w:pStyle w:val="13"/>
            </w:pPr>
            <w:r>
              <w:t>3.20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预算安排3.2万元，其中财政资金3.2万元，主要用于支付相光伏，易地搬迁，科技扶贫等费用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1.通过加强资金管理和规范，促进项目实施进程。</w:t>
            </w:r>
            <w:r>
              <w:tab/>
            </w:r>
            <w:r>
              <w:tab/>
            </w:r>
            <w:r>
              <w:tab/>
            </w:r>
          </w:p>
          <w:p>
            <w:pPr>
              <w:pStyle w:val="13"/>
            </w:pPr>
          </w:p>
          <w:p>
            <w:pPr>
              <w:pStyle w:val="13"/>
            </w:pPr>
            <w:r>
              <w:t>2.通过对全县光伏、易地搬迁、科技扶贫、消费扶贫项目进行督导检查，促进项目目标有效达成。</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组织易地搬迁下乡考察</w:t>
            </w:r>
          </w:p>
        </w:tc>
        <w:tc>
          <w:tcPr>
            <w:tcW w:w="5386" w:type="dxa"/>
            <w:vAlign w:val="center"/>
          </w:tcPr>
          <w:p>
            <w:pPr>
              <w:pStyle w:val="13"/>
            </w:pPr>
            <w:r>
              <w:t>反映易地搬迁下乡考察的次数</w:t>
            </w:r>
          </w:p>
        </w:tc>
        <w:tc>
          <w:tcPr>
            <w:tcW w:w="2268" w:type="dxa"/>
            <w:vAlign w:val="center"/>
          </w:tcPr>
          <w:p>
            <w:pPr>
              <w:pStyle w:val="13"/>
            </w:pPr>
            <w:r>
              <w:t>≥3次</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参加企业的数量</w:t>
            </w:r>
          </w:p>
        </w:tc>
        <w:tc>
          <w:tcPr>
            <w:tcW w:w="5386" w:type="dxa"/>
            <w:vAlign w:val="center"/>
          </w:tcPr>
          <w:p>
            <w:pPr>
              <w:pStyle w:val="13"/>
            </w:pPr>
            <w:r>
              <w:t>反映每次组织产品对接会和产品推广会参加企业的数量</w:t>
            </w:r>
          </w:p>
        </w:tc>
        <w:tc>
          <w:tcPr>
            <w:tcW w:w="2268" w:type="dxa"/>
            <w:vAlign w:val="center"/>
          </w:tcPr>
          <w:p>
            <w:pPr>
              <w:pStyle w:val="13"/>
            </w:pPr>
            <w:r>
              <w:t>≥3个</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组织产品对接会和产品推广会次数</w:t>
            </w:r>
          </w:p>
        </w:tc>
        <w:tc>
          <w:tcPr>
            <w:tcW w:w="5386" w:type="dxa"/>
            <w:vAlign w:val="center"/>
          </w:tcPr>
          <w:p>
            <w:pPr>
              <w:pStyle w:val="13"/>
            </w:pPr>
            <w:r>
              <w:t>反映组织产品对接会和产品推广会次数</w:t>
            </w:r>
          </w:p>
        </w:tc>
        <w:tc>
          <w:tcPr>
            <w:tcW w:w="2268" w:type="dxa"/>
            <w:vAlign w:val="center"/>
          </w:tcPr>
          <w:p>
            <w:pPr>
              <w:pStyle w:val="13"/>
            </w:pPr>
            <w:r>
              <w:t>≥1次</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组织光伏下乡考察的次数</w:t>
            </w:r>
          </w:p>
        </w:tc>
        <w:tc>
          <w:tcPr>
            <w:tcW w:w="5386" w:type="dxa"/>
            <w:vAlign w:val="center"/>
          </w:tcPr>
          <w:p>
            <w:pPr>
              <w:pStyle w:val="13"/>
            </w:pPr>
            <w:r>
              <w:t>反映组织光伏下乡考察的次数</w:t>
            </w:r>
          </w:p>
        </w:tc>
        <w:tc>
          <w:tcPr>
            <w:tcW w:w="2268" w:type="dxa"/>
            <w:vAlign w:val="center"/>
          </w:tcPr>
          <w:p>
            <w:pPr>
              <w:pStyle w:val="13"/>
            </w:pPr>
            <w:r>
              <w:t>≥5次</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组织开展培训会的次数</w:t>
            </w:r>
          </w:p>
        </w:tc>
        <w:tc>
          <w:tcPr>
            <w:tcW w:w="5386" w:type="dxa"/>
            <w:vAlign w:val="center"/>
          </w:tcPr>
          <w:p>
            <w:pPr>
              <w:pStyle w:val="13"/>
            </w:pPr>
            <w:r>
              <w:t>反映组织开展培训会的次数</w:t>
            </w:r>
          </w:p>
        </w:tc>
        <w:tc>
          <w:tcPr>
            <w:tcW w:w="2268" w:type="dxa"/>
            <w:vAlign w:val="center"/>
          </w:tcPr>
          <w:p>
            <w:pPr>
              <w:pStyle w:val="13"/>
            </w:pPr>
            <w:r>
              <w:t>≥2次</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参加培训会的人数</w:t>
            </w:r>
          </w:p>
        </w:tc>
        <w:tc>
          <w:tcPr>
            <w:tcW w:w="5386" w:type="dxa"/>
            <w:vAlign w:val="center"/>
          </w:tcPr>
          <w:p>
            <w:pPr>
              <w:pStyle w:val="13"/>
            </w:pPr>
            <w:r>
              <w:t>反映每次参加培训会的人数</w:t>
            </w:r>
          </w:p>
        </w:tc>
        <w:tc>
          <w:tcPr>
            <w:tcW w:w="2268" w:type="dxa"/>
            <w:vAlign w:val="center"/>
          </w:tcPr>
          <w:p>
            <w:pPr>
              <w:pStyle w:val="13"/>
            </w:pPr>
            <w:r>
              <w:t>≥10人</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正常运转电网数（个）</w:t>
            </w:r>
          </w:p>
        </w:tc>
        <w:tc>
          <w:tcPr>
            <w:tcW w:w="5386" w:type="dxa"/>
            <w:vAlign w:val="center"/>
          </w:tcPr>
          <w:p>
            <w:pPr>
              <w:pStyle w:val="13"/>
            </w:pPr>
            <w:r>
              <w:t>正常运转电网数（个）</w:t>
            </w:r>
          </w:p>
        </w:tc>
        <w:tc>
          <w:tcPr>
            <w:tcW w:w="2268" w:type="dxa"/>
            <w:vAlign w:val="center"/>
          </w:tcPr>
          <w:p>
            <w:pPr>
              <w:pStyle w:val="13"/>
            </w:pPr>
            <w:r>
              <w:t>≥20个</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各项活动完成率</w:t>
            </w:r>
          </w:p>
        </w:tc>
        <w:tc>
          <w:tcPr>
            <w:tcW w:w="5386" w:type="dxa"/>
            <w:vAlign w:val="center"/>
          </w:tcPr>
          <w:p>
            <w:pPr>
              <w:pStyle w:val="13"/>
            </w:pPr>
            <w:r>
              <w:t>反映组织各项活动完成率</w:t>
            </w:r>
          </w:p>
        </w:tc>
        <w:tc>
          <w:tcPr>
            <w:tcW w:w="2268" w:type="dxa"/>
            <w:vAlign w:val="center"/>
          </w:tcPr>
          <w:p>
            <w:pPr>
              <w:pStyle w:val="13"/>
            </w:pPr>
            <w:r>
              <w:t>≥90%</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对接会达成合作意向金额</w:t>
            </w:r>
          </w:p>
        </w:tc>
        <w:tc>
          <w:tcPr>
            <w:tcW w:w="5386" w:type="dxa"/>
            <w:vAlign w:val="center"/>
          </w:tcPr>
          <w:p>
            <w:pPr>
              <w:pStyle w:val="13"/>
            </w:pPr>
            <w:r>
              <w:t>反映组织产品对接会和产品推广会次数达成合作意向情况</w:t>
            </w:r>
          </w:p>
        </w:tc>
        <w:tc>
          <w:tcPr>
            <w:tcW w:w="2268" w:type="dxa"/>
            <w:vAlign w:val="center"/>
          </w:tcPr>
          <w:p>
            <w:pPr>
              <w:pStyle w:val="13"/>
            </w:pPr>
            <w:r>
              <w:t>≥10万元</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组织推进消费扶贫和产销对接会</w:t>
            </w:r>
          </w:p>
        </w:tc>
        <w:tc>
          <w:tcPr>
            <w:tcW w:w="5386" w:type="dxa"/>
            <w:vAlign w:val="center"/>
          </w:tcPr>
          <w:p>
            <w:pPr>
              <w:pStyle w:val="13"/>
            </w:pPr>
            <w:r>
              <w:t>反映组织产品对接会和产品推广会次数成交情况</w:t>
            </w:r>
          </w:p>
        </w:tc>
        <w:tc>
          <w:tcPr>
            <w:tcW w:w="2268" w:type="dxa"/>
            <w:vAlign w:val="center"/>
          </w:tcPr>
          <w:p>
            <w:pPr>
              <w:pStyle w:val="13"/>
            </w:pPr>
            <w:r>
              <w:t>≥5万元</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自动监测站点良好运行率</w:t>
            </w:r>
          </w:p>
        </w:tc>
        <w:tc>
          <w:tcPr>
            <w:tcW w:w="5386" w:type="dxa"/>
            <w:vAlign w:val="center"/>
          </w:tcPr>
          <w:p>
            <w:pPr>
              <w:pStyle w:val="13"/>
            </w:pPr>
            <w:r>
              <w:t>保证辐射环境自动监测站点的良好运行时间占自动监测站点的全年运行时间的比率</w:t>
            </w:r>
          </w:p>
        </w:tc>
        <w:tc>
          <w:tcPr>
            <w:tcW w:w="2268" w:type="dxa"/>
            <w:vAlign w:val="center"/>
          </w:tcPr>
          <w:p>
            <w:pPr>
              <w:pStyle w:val="13"/>
            </w:pPr>
            <w:r>
              <w:t>≥95%</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及时支持奖励项目情况</w:t>
            </w:r>
          </w:p>
        </w:tc>
        <w:tc>
          <w:tcPr>
            <w:tcW w:w="5386" w:type="dxa"/>
            <w:vAlign w:val="center"/>
          </w:tcPr>
          <w:p>
            <w:pPr>
              <w:pStyle w:val="13"/>
            </w:pPr>
            <w:r>
              <w:t>反映及时支付扶持项目情况</w:t>
            </w:r>
          </w:p>
        </w:tc>
        <w:tc>
          <w:tcPr>
            <w:tcW w:w="2268" w:type="dxa"/>
            <w:vAlign w:val="center"/>
          </w:tcPr>
          <w:p>
            <w:pPr>
              <w:pStyle w:val="13"/>
            </w:pPr>
            <w:r>
              <w:t>2026年</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各项活动完成时间</w:t>
            </w:r>
          </w:p>
        </w:tc>
        <w:tc>
          <w:tcPr>
            <w:tcW w:w="5386" w:type="dxa"/>
            <w:vAlign w:val="center"/>
          </w:tcPr>
          <w:p>
            <w:pPr>
              <w:pStyle w:val="13"/>
            </w:pPr>
            <w:r>
              <w:t>反映各项活动完成时间</w:t>
            </w:r>
          </w:p>
        </w:tc>
        <w:tc>
          <w:tcPr>
            <w:tcW w:w="2268" w:type="dxa"/>
            <w:vAlign w:val="center"/>
          </w:tcPr>
          <w:p>
            <w:pPr>
              <w:pStyle w:val="13"/>
            </w:pPr>
            <w:r>
              <w:t>2026年底前</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按照年度工作计划及时检查</w:t>
            </w:r>
          </w:p>
        </w:tc>
        <w:tc>
          <w:tcPr>
            <w:tcW w:w="5386" w:type="dxa"/>
            <w:vAlign w:val="center"/>
          </w:tcPr>
          <w:p>
            <w:pPr>
              <w:pStyle w:val="13"/>
            </w:pPr>
            <w:r>
              <w:t>反映检查工作的及时性</w:t>
            </w:r>
          </w:p>
        </w:tc>
        <w:tc>
          <w:tcPr>
            <w:tcW w:w="2268" w:type="dxa"/>
            <w:vAlign w:val="center"/>
          </w:tcPr>
          <w:p>
            <w:pPr>
              <w:pStyle w:val="13"/>
            </w:pPr>
            <w:r>
              <w:t>≥90%</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反映办公费成本控制情况</w:t>
            </w:r>
          </w:p>
        </w:tc>
        <w:tc>
          <w:tcPr>
            <w:tcW w:w="2268" w:type="dxa"/>
            <w:vAlign w:val="center"/>
          </w:tcPr>
          <w:p>
            <w:pPr>
              <w:pStyle w:val="13"/>
            </w:pPr>
            <w:r>
              <w:t>≤3.2万元</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促进农村贫困户脱贫效果明显</w:t>
            </w:r>
          </w:p>
        </w:tc>
        <w:tc>
          <w:tcPr>
            <w:tcW w:w="5386" w:type="dxa"/>
            <w:vAlign w:val="center"/>
          </w:tcPr>
          <w:p>
            <w:pPr>
              <w:pStyle w:val="13"/>
            </w:pPr>
            <w:r>
              <w:t>反映贫困户脱贫情况</w:t>
            </w:r>
          </w:p>
        </w:tc>
        <w:tc>
          <w:tcPr>
            <w:tcW w:w="2268" w:type="dxa"/>
            <w:vAlign w:val="center"/>
          </w:tcPr>
          <w:p>
            <w:pPr>
              <w:pStyle w:val="13"/>
            </w:pPr>
            <w:r>
              <w:t>≥100元</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通过消费脱贫工作促进农</w:t>
            </w:r>
          </w:p>
        </w:tc>
        <w:tc>
          <w:tcPr>
            <w:tcW w:w="5386" w:type="dxa"/>
            <w:vAlign w:val="center"/>
          </w:tcPr>
          <w:p>
            <w:pPr>
              <w:pStyle w:val="13"/>
            </w:pPr>
            <w:r>
              <w:t>消费脱贫工作促进农民脱贫效果情况</w:t>
            </w:r>
          </w:p>
        </w:tc>
        <w:tc>
          <w:tcPr>
            <w:tcW w:w="2268" w:type="dxa"/>
            <w:vAlign w:val="center"/>
          </w:tcPr>
          <w:p>
            <w:pPr>
              <w:pStyle w:val="13"/>
            </w:pPr>
            <w:r>
              <w:t>≥5%</w:t>
            </w:r>
          </w:p>
        </w:tc>
        <w:tc>
          <w:tcPr>
            <w:tcW w:w="1276" w:type="dxa"/>
            <w:vAlign w:val="center"/>
          </w:tcPr>
          <w:p>
            <w:pPr>
              <w:pStyle w:val="13"/>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3、价格认定费绩效目标表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13032125P003AD5100023</w:t>
            </w:r>
          </w:p>
        </w:tc>
        <w:tc>
          <w:tcPr>
            <w:tcW w:w="2835" w:type="dxa"/>
            <w:vAlign w:val="center"/>
          </w:tcPr>
          <w:p>
            <w:pPr>
              <w:pStyle w:val="11"/>
            </w:pPr>
            <w:r>
              <w:t>项目名称</w:t>
            </w:r>
          </w:p>
        </w:tc>
        <w:tc>
          <w:tcPr>
            <w:tcW w:w="6095" w:type="dxa"/>
            <w:gridSpan w:val="3"/>
            <w:vAlign w:val="center"/>
          </w:tcPr>
          <w:p>
            <w:pPr>
              <w:pStyle w:val="13"/>
            </w:pPr>
            <w:r>
              <w:t>价格认定费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0.89</w:t>
            </w:r>
          </w:p>
        </w:tc>
        <w:tc>
          <w:tcPr>
            <w:tcW w:w="2835" w:type="dxa"/>
            <w:vAlign w:val="center"/>
          </w:tcPr>
          <w:p>
            <w:pPr>
              <w:pStyle w:val="11"/>
            </w:pPr>
            <w:r>
              <w:t>其中：财政    资金</w:t>
            </w:r>
          </w:p>
        </w:tc>
        <w:tc>
          <w:tcPr>
            <w:tcW w:w="2551" w:type="dxa"/>
            <w:vAlign w:val="center"/>
          </w:tcPr>
          <w:p>
            <w:pPr>
              <w:pStyle w:val="13"/>
            </w:pPr>
            <w:r>
              <w:t>0.89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预算安排0.8899万元，其中财政资金0.8899万元，主要用于询价工作经费。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1.通过作出准确、可靠的价格认定结论，为司法机关、纪检监察机关、行政机关办理相关案件提供依据，促进工作顺利进行</w:t>
            </w:r>
            <w:r>
              <w:tab/>
            </w:r>
            <w:r>
              <w:tab/>
            </w:r>
            <w:r>
              <w:tab/>
            </w:r>
            <w:r>
              <w:tab/>
            </w:r>
            <w:r>
              <w:tab/>
            </w:r>
            <w:r>
              <w:tab/>
            </w:r>
          </w:p>
          <w:p>
            <w:pPr>
              <w:pStyle w:val="13"/>
            </w:pPr>
          </w:p>
          <w:p>
            <w:pPr>
              <w:pStyle w:val="13"/>
            </w:pPr>
            <w:r>
              <w:t>2.通过接受司法机关、纪检监察机关、行政机关提出的价格认定事项，完成价格订定工作，促进价格管理规范化。</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价格认定件数</w:t>
            </w:r>
          </w:p>
        </w:tc>
        <w:tc>
          <w:tcPr>
            <w:tcW w:w="5386" w:type="dxa"/>
            <w:vAlign w:val="center"/>
          </w:tcPr>
          <w:p>
            <w:pPr>
              <w:pStyle w:val="13"/>
            </w:pPr>
            <w:r>
              <w:t>全年完成的价格认定件数</w:t>
            </w:r>
          </w:p>
        </w:tc>
        <w:tc>
          <w:tcPr>
            <w:tcW w:w="2268" w:type="dxa"/>
            <w:vAlign w:val="center"/>
          </w:tcPr>
          <w:p>
            <w:pPr>
              <w:pStyle w:val="13"/>
            </w:pPr>
            <w:r>
              <w:t>≥60件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保障价格认定的部门数</w:t>
            </w:r>
          </w:p>
        </w:tc>
        <w:tc>
          <w:tcPr>
            <w:tcW w:w="5386" w:type="dxa"/>
            <w:vAlign w:val="center"/>
          </w:tcPr>
          <w:p>
            <w:pPr>
              <w:pStyle w:val="13"/>
            </w:pPr>
            <w:r>
              <w:t>全年需要配合需求价格认定的部门数，以保障其进行正常的工作</w:t>
            </w:r>
          </w:p>
        </w:tc>
        <w:tc>
          <w:tcPr>
            <w:tcW w:w="2268" w:type="dxa"/>
            <w:vAlign w:val="center"/>
          </w:tcPr>
          <w:p>
            <w:pPr>
              <w:pStyle w:val="13"/>
            </w:pPr>
            <w:r>
              <w:t>≥5个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价格认定准确率</w:t>
            </w:r>
          </w:p>
        </w:tc>
        <w:tc>
          <w:tcPr>
            <w:tcW w:w="5386" w:type="dxa"/>
            <w:vAlign w:val="center"/>
          </w:tcPr>
          <w:p>
            <w:pPr>
              <w:pStyle w:val="13"/>
            </w:pPr>
            <w:r>
              <w:t>维持价格认定的件数除以价格认定的总数</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价格认定的完成率</w:t>
            </w:r>
          </w:p>
        </w:tc>
        <w:tc>
          <w:tcPr>
            <w:tcW w:w="5386" w:type="dxa"/>
            <w:vAlign w:val="center"/>
          </w:tcPr>
          <w:p>
            <w:pPr>
              <w:pStyle w:val="13"/>
            </w:pPr>
            <w:r>
              <w:t>被委托价格认定数除以已完成价格认定数</w:t>
            </w:r>
          </w:p>
        </w:tc>
        <w:tc>
          <w:tcPr>
            <w:tcW w:w="2268" w:type="dxa"/>
            <w:vAlign w:val="center"/>
          </w:tcPr>
          <w:p>
            <w:pPr>
              <w:pStyle w:val="13"/>
            </w:pPr>
            <w:r>
              <w:t>≥98%</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价格认定办结率</w:t>
            </w:r>
          </w:p>
        </w:tc>
        <w:tc>
          <w:tcPr>
            <w:tcW w:w="5386" w:type="dxa"/>
            <w:vAlign w:val="center"/>
          </w:tcPr>
          <w:p>
            <w:pPr>
              <w:pStyle w:val="13"/>
            </w:pPr>
            <w:r>
              <w:t>在规定时限内出具认定结论的份数占总数的比例</w:t>
            </w:r>
          </w:p>
        </w:tc>
        <w:tc>
          <w:tcPr>
            <w:tcW w:w="2268" w:type="dxa"/>
            <w:vAlign w:val="center"/>
          </w:tcPr>
          <w:p>
            <w:pPr>
              <w:pStyle w:val="13"/>
            </w:pPr>
            <w:r>
              <w:t>≥99%</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费用控制</w:t>
            </w:r>
          </w:p>
        </w:tc>
        <w:tc>
          <w:tcPr>
            <w:tcW w:w="5386" w:type="dxa"/>
            <w:vAlign w:val="center"/>
          </w:tcPr>
          <w:p>
            <w:pPr>
              <w:pStyle w:val="13"/>
            </w:pPr>
            <w:r>
              <w:t>严格进行差旅费成本控制，不超过预算数</w:t>
            </w:r>
          </w:p>
        </w:tc>
        <w:tc>
          <w:tcPr>
            <w:tcW w:w="2268" w:type="dxa"/>
            <w:vAlign w:val="center"/>
          </w:tcPr>
          <w:p>
            <w:pPr>
              <w:pStyle w:val="13"/>
            </w:pPr>
            <w:r>
              <w:t>≤0.89万元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通过价格认定，提高公共服务质量，促进社会和谐和稳定</w:t>
            </w:r>
          </w:p>
        </w:tc>
        <w:tc>
          <w:tcPr>
            <w:tcW w:w="2268" w:type="dxa"/>
            <w:vAlign w:val="center"/>
          </w:tcPr>
          <w:p>
            <w:pPr>
              <w:pStyle w:val="13"/>
            </w:pPr>
            <w:r>
              <w:t>≥1%</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保障价格的公平公正，维护市场经济秩序</w:t>
            </w:r>
          </w:p>
        </w:tc>
        <w:tc>
          <w:tcPr>
            <w:tcW w:w="2268" w:type="dxa"/>
            <w:vAlign w:val="center"/>
          </w:tcPr>
          <w:p>
            <w:pPr>
              <w:pStyle w:val="13"/>
            </w:pPr>
            <w:r>
              <w:t>≥1年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司法机构满意度</w:t>
            </w:r>
          </w:p>
        </w:tc>
        <w:tc>
          <w:tcPr>
            <w:tcW w:w="5386" w:type="dxa"/>
            <w:vAlign w:val="center"/>
          </w:tcPr>
          <w:p>
            <w:pPr>
              <w:pStyle w:val="13"/>
            </w:pPr>
            <w:r>
              <w:t>司法机构对价格认定工作的满意程度</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4、价格认定费绩效目标表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13032126P00334910387X</w:t>
            </w:r>
          </w:p>
        </w:tc>
        <w:tc>
          <w:tcPr>
            <w:tcW w:w="2835" w:type="dxa"/>
            <w:vAlign w:val="center"/>
          </w:tcPr>
          <w:p>
            <w:pPr>
              <w:pStyle w:val="11"/>
            </w:pPr>
            <w:r>
              <w:t>项目名称</w:t>
            </w:r>
          </w:p>
        </w:tc>
        <w:tc>
          <w:tcPr>
            <w:tcW w:w="6095" w:type="dxa"/>
            <w:gridSpan w:val="3"/>
            <w:vAlign w:val="center"/>
          </w:tcPr>
          <w:p>
            <w:pPr>
              <w:pStyle w:val="13"/>
            </w:pPr>
            <w:r>
              <w:t>价格认定费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0.80</w:t>
            </w:r>
          </w:p>
        </w:tc>
        <w:tc>
          <w:tcPr>
            <w:tcW w:w="2835" w:type="dxa"/>
            <w:vAlign w:val="center"/>
          </w:tcPr>
          <w:p>
            <w:pPr>
              <w:pStyle w:val="11"/>
            </w:pPr>
            <w:r>
              <w:t>其中：财政    资金</w:t>
            </w:r>
          </w:p>
        </w:tc>
        <w:tc>
          <w:tcPr>
            <w:tcW w:w="2551" w:type="dxa"/>
            <w:vAlign w:val="center"/>
          </w:tcPr>
          <w:p>
            <w:pPr>
              <w:pStyle w:val="13"/>
            </w:pPr>
            <w:r>
              <w:t>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预算安排0.8万元，其中财政资金0.8万元，主要用于支付价格认定相关费用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1.通过接受司法机关、纪检监察机关、行政机关提出的价格认定事项，完成价格订定工作，促进价格管理规范化。</w:t>
            </w:r>
            <w:r>
              <w:tab/>
            </w:r>
            <w:r>
              <w:tab/>
            </w:r>
            <w:r>
              <w:tab/>
            </w:r>
          </w:p>
          <w:p>
            <w:pPr>
              <w:pStyle w:val="13"/>
            </w:pPr>
          </w:p>
          <w:p>
            <w:pPr>
              <w:pStyle w:val="13"/>
            </w:pPr>
            <w:r>
              <w:t>2.通过作出准确、可靠的价格认定结论，为司法机关、纪检监察机关、行政机关办理相关案件提供依据，促进工作顺利进行</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价格认定件数</w:t>
            </w:r>
          </w:p>
        </w:tc>
        <w:tc>
          <w:tcPr>
            <w:tcW w:w="5386" w:type="dxa"/>
            <w:vAlign w:val="center"/>
          </w:tcPr>
          <w:p>
            <w:pPr>
              <w:pStyle w:val="13"/>
            </w:pPr>
            <w:r>
              <w:t>全年完成的价格认定件数</w:t>
            </w:r>
          </w:p>
        </w:tc>
        <w:tc>
          <w:tcPr>
            <w:tcW w:w="2268" w:type="dxa"/>
            <w:vAlign w:val="center"/>
          </w:tcPr>
          <w:p>
            <w:pPr>
              <w:pStyle w:val="13"/>
            </w:pPr>
            <w:r>
              <w:t>≥60件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保障价格认定的部门数</w:t>
            </w:r>
          </w:p>
        </w:tc>
        <w:tc>
          <w:tcPr>
            <w:tcW w:w="5386" w:type="dxa"/>
            <w:vAlign w:val="center"/>
          </w:tcPr>
          <w:p>
            <w:pPr>
              <w:pStyle w:val="13"/>
            </w:pPr>
            <w:r>
              <w:t>全年需要配合需求价格认定的部门数，以保障其进行正常的工作</w:t>
            </w:r>
          </w:p>
        </w:tc>
        <w:tc>
          <w:tcPr>
            <w:tcW w:w="2268" w:type="dxa"/>
            <w:vAlign w:val="center"/>
          </w:tcPr>
          <w:p>
            <w:pPr>
              <w:pStyle w:val="13"/>
            </w:pPr>
            <w:r>
              <w:t>≥5个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价格认定准确率</w:t>
            </w:r>
          </w:p>
        </w:tc>
        <w:tc>
          <w:tcPr>
            <w:tcW w:w="5386" w:type="dxa"/>
            <w:vAlign w:val="center"/>
          </w:tcPr>
          <w:p>
            <w:pPr>
              <w:pStyle w:val="13"/>
            </w:pPr>
            <w:r>
              <w:t>维持价格认定的件数除以价格认定的总数</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价格认定的完成率</w:t>
            </w:r>
          </w:p>
        </w:tc>
        <w:tc>
          <w:tcPr>
            <w:tcW w:w="5386" w:type="dxa"/>
            <w:vAlign w:val="center"/>
          </w:tcPr>
          <w:p>
            <w:pPr>
              <w:pStyle w:val="13"/>
            </w:pPr>
            <w:r>
              <w:t>被委托价格认定数除以已完成价格认定数</w:t>
            </w:r>
          </w:p>
        </w:tc>
        <w:tc>
          <w:tcPr>
            <w:tcW w:w="2268" w:type="dxa"/>
            <w:vAlign w:val="center"/>
          </w:tcPr>
          <w:p>
            <w:pPr>
              <w:pStyle w:val="13"/>
            </w:pPr>
            <w:r>
              <w:t>≥98%</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价格认定办结率</w:t>
            </w:r>
          </w:p>
        </w:tc>
        <w:tc>
          <w:tcPr>
            <w:tcW w:w="5386" w:type="dxa"/>
            <w:vAlign w:val="center"/>
          </w:tcPr>
          <w:p>
            <w:pPr>
              <w:pStyle w:val="13"/>
            </w:pPr>
            <w:r>
              <w:t>在规定时限内出具认定结论的份数占总数的比例</w:t>
            </w:r>
          </w:p>
        </w:tc>
        <w:tc>
          <w:tcPr>
            <w:tcW w:w="2268" w:type="dxa"/>
            <w:vAlign w:val="center"/>
          </w:tcPr>
          <w:p>
            <w:pPr>
              <w:pStyle w:val="13"/>
            </w:pPr>
            <w:r>
              <w:t>≥99%</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费用控制</w:t>
            </w:r>
          </w:p>
        </w:tc>
        <w:tc>
          <w:tcPr>
            <w:tcW w:w="5386" w:type="dxa"/>
            <w:vAlign w:val="center"/>
          </w:tcPr>
          <w:p>
            <w:pPr>
              <w:pStyle w:val="13"/>
            </w:pPr>
            <w:r>
              <w:t>严格进行差旅费成本控制，不超过预算数</w:t>
            </w:r>
          </w:p>
        </w:tc>
        <w:tc>
          <w:tcPr>
            <w:tcW w:w="2268" w:type="dxa"/>
            <w:vAlign w:val="center"/>
          </w:tcPr>
          <w:p>
            <w:pPr>
              <w:pStyle w:val="13"/>
            </w:pPr>
            <w:r>
              <w:t>≤0.8万元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通过价格认定，提高公共服务质量，促进社会和谐和稳定</w:t>
            </w:r>
          </w:p>
        </w:tc>
        <w:tc>
          <w:tcPr>
            <w:tcW w:w="2268" w:type="dxa"/>
            <w:vAlign w:val="center"/>
          </w:tcPr>
          <w:p>
            <w:pPr>
              <w:pStyle w:val="13"/>
            </w:pPr>
            <w:r>
              <w:t>≥1%</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保障价格的公平公正，维护市场经济秩序</w:t>
            </w:r>
          </w:p>
        </w:tc>
        <w:tc>
          <w:tcPr>
            <w:tcW w:w="2268" w:type="dxa"/>
            <w:vAlign w:val="center"/>
          </w:tcPr>
          <w:p>
            <w:pPr>
              <w:pStyle w:val="13"/>
            </w:pPr>
            <w:r>
              <w:t>≥1年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司法机构满意度</w:t>
            </w:r>
          </w:p>
        </w:tc>
        <w:tc>
          <w:tcPr>
            <w:tcW w:w="5386" w:type="dxa"/>
            <w:vAlign w:val="center"/>
          </w:tcPr>
          <w:p>
            <w:pPr>
              <w:pStyle w:val="13"/>
            </w:pPr>
            <w:r>
              <w:t>司法机构对价格认定工作的满意程度</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5、节能执法监察经费绩效目标表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13032126P00334910378M</w:t>
            </w:r>
          </w:p>
        </w:tc>
        <w:tc>
          <w:tcPr>
            <w:tcW w:w="2835" w:type="dxa"/>
            <w:vAlign w:val="center"/>
          </w:tcPr>
          <w:p>
            <w:pPr>
              <w:pStyle w:val="11"/>
            </w:pPr>
            <w:r>
              <w:t>项目名称</w:t>
            </w:r>
          </w:p>
        </w:tc>
        <w:tc>
          <w:tcPr>
            <w:tcW w:w="6095" w:type="dxa"/>
            <w:gridSpan w:val="3"/>
            <w:vAlign w:val="center"/>
          </w:tcPr>
          <w:p>
            <w:pPr>
              <w:pStyle w:val="13"/>
            </w:pPr>
            <w:r>
              <w:t>节能执法监察经费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w:t>
            </w:r>
          </w:p>
        </w:tc>
        <w:tc>
          <w:tcPr>
            <w:tcW w:w="2835" w:type="dxa"/>
            <w:vAlign w:val="center"/>
          </w:tcPr>
          <w:p>
            <w:pPr>
              <w:pStyle w:val="11"/>
            </w:pPr>
            <w:r>
              <w:t>其中：财政    资金</w:t>
            </w:r>
          </w:p>
        </w:tc>
        <w:tc>
          <w:tcPr>
            <w:tcW w:w="2551" w:type="dxa"/>
            <w:vAlign w:val="center"/>
          </w:tcPr>
          <w:p>
            <w:pPr>
              <w:pStyle w:val="13"/>
            </w:pPr>
            <w:r>
              <w:t>1.40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预算安排1.4万元，其中财政资金1.4万元，主要用于支付节能执法监察相关费用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1.通过引导行业健康发展，提高全县产业和行业竞争力。</w:t>
            </w:r>
            <w:r>
              <w:tab/>
            </w:r>
            <w:r>
              <w:tab/>
            </w:r>
            <w:r>
              <w:tab/>
            </w:r>
          </w:p>
          <w:p>
            <w:pPr>
              <w:pStyle w:val="13"/>
            </w:pPr>
          </w:p>
          <w:p>
            <w:pPr>
              <w:pStyle w:val="13"/>
            </w:pPr>
            <w:r>
              <w:t>2.通过编制循环经济、节能等规划，促进全县节能工作有效提升。</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编制循环经济节能等规划计划个数</w:t>
            </w:r>
          </w:p>
        </w:tc>
        <w:tc>
          <w:tcPr>
            <w:tcW w:w="5386" w:type="dxa"/>
            <w:vAlign w:val="center"/>
          </w:tcPr>
          <w:p>
            <w:pPr>
              <w:pStyle w:val="13"/>
            </w:pPr>
            <w:r>
              <w:t>反映编制循环经济节能等规划计划个数情况</w:t>
            </w:r>
          </w:p>
        </w:tc>
        <w:tc>
          <w:tcPr>
            <w:tcW w:w="2268" w:type="dxa"/>
            <w:vAlign w:val="center"/>
          </w:tcPr>
          <w:p>
            <w:pPr>
              <w:pStyle w:val="13"/>
            </w:pPr>
            <w:r>
              <w:t>≥5个</w:t>
            </w:r>
          </w:p>
        </w:tc>
        <w:tc>
          <w:tcPr>
            <w:tcW w:w="1276" w:type="dxa"/>
            <w:vAlign w:val="center"/>
          </w:tcPr>
          <w:p>
            <w:pPr>
              <w:pStyle w:val="13"/>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开展节能评估审查项目个数</w:t>
            </w:r>
          </w:p>
        </w:tc>
        <w:tc>
          <w:tcPr>
            <w:tcW w:w="5386" w:type="dxa"/>
            <w:vAlign w:val="center"/>
          </w:tcPr>
          <w:p>
            <w:pPr>
              <w:pStyle w:val="13"/>
            </w:pPr>
            <w:r>
              <w:t>反映开展节能评估审查项目个数</w:t>
            </w:r>
          </w:p>
        </w:tc>
        <w:tc>
          <w:tcPr>
            <w:tcW w:w="2268" w:type="dxa"/>
            <w:vAlign w:val="center"/>
          </w:tcPr>
          <w:p>
            <w:pPr>
              <w:pStyle w:val="13"/>
            </w:pPr>
            <w:r>
              <w:t>≥8个</w:t>
            </w:r>
          </w:p>
        </w:tc>
        <w:tc>
          <w:tcPr>
            <w:tcW w:w="1276" w:type="dxa"/>
            <w:vAlign w:val="center"/>
          </w:tcPr>
          <w:p>
            <w:pPr>
              <w:pStyle w:val="13"/>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检查指导资数</w:t>
            </w:r>
          </w:p>
        </w:tc>
        <w:tc>
          <w:tcPr>
            <w:tcW w:w="5386" w:type="dxa"/>
            <w:vAlign w:val="center"/>
          </w:tcPr>
          <w:p>
            <w:pPr>
              <w:pStyle w:val="13"/>
            </w:pPr>
            <w:r>
              <w:t>反映到乡镇和企业检查指导工作次</w:t>
            </w:r>
          </w:p>
        </w:tc>
        <w:tc>
          <w:tcPr>
            <w:tcW w:w="2268" w:type="dxa"/>
            <w:vAlign w:val="center"/>
          </w:tcPr>
          <w:p>
            <w:pPr>
              <w:pStyle w:val="13"/>
            </w:pPr>
            <w:r>
              <w:t>≥100次</w:t>
            </w:r>
          </w:p>
        </w:tc>
        <w:tc>
          <w:tcPr>
            <w:tcW w:w="1276" w:type="dxa"/>
            <w:vAlign w:val="center"/>
          </w:tcPr>
          <w:p>
            <w:pPr>
              <w:pStyle w:val="13"/>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开展监察工作次数</w:t>
            </w:r>
          </w:p>
        </w:tc>
        <w:tc>
          <w:tcPr>
            <w:tcW w:w="5386" w:type="dxa"/>
            <w:vAlign w:val="center"/>
          </w:tcPr>
          <w:p>
            <w:pPr>
              <w:pStyle w:val="13"/>
            </w:pPr>
            <w:r>
              <w:t>反映开展监察工作次数</w:t>
            </w:r>
          </w:p>
        </w:tc>
        <w:tc>
          <w:tcPr>
            <w:tcW w:w="2268" w:type="dxa"/>
            <w:vAlign w:val="center"/>
          </w:tcPr>
          <w:p>
            <w:pPr>
              <w:pStyle w:val="13"/>
            </w:pPr>
            <w:r>
              <w:t>≥10次</w:t>
            </w:r>
          </w:p>
        </w:tc>
        <w:tc>
          <w:tcPr>
            <w:tcW w:w="1276" w:type="dxa"/>
            <w:vAlign w:val="center"/>
          </w:tcPr>
          <w:p>
            <w:pPr>
              <w:pStyle w:val="13"/>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邀请相关专家指导人次</w:t>
            </w:r>
          </w:p>
        </w:tc>
        <w:tc>
          <w:tcPr>
            <w:tcW w:w="5386" w:type="dxa"/>
            <w:vAlign w:val="center"/>
          </w:tcPr>
          <w:p>
            <w:pPr>
              <w:pStyle w:val="13"/>
            </w:pPr>
            <w:r>
              <w:t>反映邀请相关专家指导人次</w:t>
            </w:r>
          </w:p>
        </w:tc>
        <w:tc>
          <w:tcPr>
            <w:tcW w:w="2268" w:type="dxa"/>
            <w:vAlign w:val="center"/>
          </w:tcPr>
          <w:p>
            <w:pPr>
              <w:pStyle w:val="13"/>
            </w:pPr>
            <w:r>
              <w:t>≥5人/次</w:t>
            </w:r>
          </w:p>
        </w:tc>
        <w:tc>
          <w:tcPr>
            <w:tcW w:w="1276" w:type="dxa"/>
            <w:vAlign w:val="center"/>
          </w:tcPr>
          <w:p>
            <w:pPr>
              <w:pStyle w:val="13"/>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完成市县节能指标任务</w:t>
            </w:r>
          </w:p>
        </w:tc>
        <w:tc>
          <w:tcPr>
            <w:tcW w:w="5386" w:type="dxa"/>
            <w:vAlign w:val="center"/>
          </w:tcPr>
          <w:p>
            <w:pPr>
              <w:pStyle w:val="13"/>
            </w:pPr>
            <w:r>
              <w:t>反映完成市县节能指标任务情况</w:t>
            </w:r>
          </w:p>
        </w:tc>
        <w:tc>
          <w:tcPr>
            <w:tcW w:w="2268" w:type="dxa"/>
            <w:vAlign w:val="center"/>
          </w:tcPr>
          <w:p>
            <w:pPr>
              <w:pStyle w:val="13"/>
            </w:pPr>
            <w:r>
              <w:t>≥90%</w:t>
            </w:r>
          </w:p>
        </w:tc>
        <w:tc>
          <w:tcPr>
            <w:tcW w:w="1276" w:type="dxa"/>
            <w:vAlign w:val="center"/>
          </w:tcPr>
          <w:p>
            <w:pPr>
              <w:pStyle w:val="13"/>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完成执法监察计划及时性</w:t>
            </w:r>
          </w:p>
        </w:tc>
        <w:tc>
          <w:tcPr>
            <w:tcW w:w="5386" w:type="dxa"/>
            <w:vAlign w:val="center"/>
          </w:tcPr>
          <w:p>
            <w:pPr>
              <w:pStyle w:val="13"/>
            </w:pPr>
            <w:r>
              <w:t>反映完成执法监察计划及时性</w:t>
            </w:r>
          </w:p>
        </w:tc>
        <w:tc>
          <w:tcPr>
            <w:tcW w:w="2268" w:type="dxa"/>
            <w:vAlign w:val="center"/>
          </w:tcPr>
          <w:p>
            <w:pPr>
              <w:pStyle w:val="13"/>
            </w:pPr>
            <w:r>
              <w:t>2026年</w:t>
            </w:r>
          </w:p>
        </w:tc>
        <w:tc>
          <w:tcPr>
            <w:tcW w:w="1276" w:type="dxa"/>
            <w:vAlign w:val="center"/>
          </w:tcPr>
          <w:p>
            <w:pPr>
              <w:pStyle w:val="13"/>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反映办公费成本控制情况</w:t>
            </w:r>
          </w:p>
        </w:tc>
        <w:tc>
          <w:tcPr>
            <w:tcW w:w="2268" w:type="dxa"/>
            <w:vAlign w:val="center"/>
          </w:tcPr>
          <w:p>
            <w:pPr>
              <w:pStyle w:val="13"/>
            </w:pPr>
            <w:r>
              <w:t>≤1.4万元</w:t>
            </w:r>
          </w:p>
        </w:tc>
        <w:tc>
          <w:tcPr>
            <w:tcW w:w="1276" w:type="dxa"/>
            <w:vAlign w:val="center"/>
          </w:tcPr>
          <w:p>
            <w:pPr>
              <w:pStyle w:val="13"/>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促进节能降耗</w:t>
            </w:r>
          </w:p>
        </w:tc>
        <w:tc>
          <w:tcPr>
            <w:tcW w:w="5386" w:type="dxa"/>
            <w:vAlign w:val="center"/>
          </w:tcPr>
          <w:p>
            <w:pPr>
              <w:pStyle w:val="13"/>
            </w:pPr>
            <w:r>
              <w:t>反映促进节能降耗煤炭消耗控制情况</w:t>
            </w:r>
          </w:p>
        </w:tc>
        <w:tc>
          <w:tcPr>
            <w:tcW w:w="2268" w:type="dxa"/>
            <w:vAlign w:val="center"/>
          </w:tcPr>
          <w:p>
            <w:pPr>
              <w:pStyle w:val="13"/>
            </w:pPr>
            <w:r>
              <w:t>≥5%</w:t>
            </w:r>
          </w:p>
        </w:tc>
        <w:tc>
          <w:tcPr>
            <w:tcW w:w="1276" w:type="dxa"/>
            <w:vAlign w:val="center"/>
          </w:tcPr>
          <w:p>
            <w:pPr>
              <w:pStyle w:val="13"/>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预算控制数</w:t>
            </w:r>
          </w:p>
        </w:tc>
        <w:tc>
          <w:tcPr>
            <w:tcW w:w="5386" w:type="dxa"/>
            <w:vAlign w:val="center"/>
          </w:tcPr>
          <w:p>
            <w:pPr>
              <w:pStyle w:val="13"/>
            </w:pPr>
            <w:r>
              <w:t>反映办公费成本控制情况</w:t>
            </w:r>
          </w:p>
        </w:tc>
        <w:tc>
          <w:tcPr>
            <w:tcW w:w="2268" w:type="dxa"/>
            <w:vAlign w:val="center"/>
          </w:tcPr>
          <w:p>
            <w:pPr>
              <w:pStyle w:val="13"/>
            </w:pPr>
            <w:r>
              <w:t>1.4万元</w:t>
            </w:r>
          </w:p>
        </w:tc>
        <w:tc>
          <w:tcPr>
            <w:tcW w:w="1276" w:type="dxa"/>
            <w:vAlign w:val="center"/>
          </w:tcPr>
          <w:p>
            <w:pPr>
              <w:pStyle w:val="13"/>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6、洁净型煤推广项目经费绩效目标表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13032126P00334910351L</w:t>
            </w:r>
          </w:p>
        </w:tc>
        <w:tc>
          <w:tcPr>
            <w:tcW w:w="2835" w:type="dxa"/>
            <w:vAlign w:val="center"/>
          </w:tcPr>
          <w:p>
            <w:pPr>
              <w:pStyle w:val="11"/>
            </w:pPr>
            <w:r>
              <w:t>项目名称</w:t>
            </w:r>
          </w:p>
        </w:tc>
        <w:tc>
          <w:tcPr>
            <w:tcW w:w="6095" w:type="dxa"/>
            <w:gridSpan w:val="3"/>
            <w:vAlign w:val="center"/>
          </w:tcPr>
          <w:p>
            <w:pPr>
              <w:pStyle w:val="13"/>
            </w:pPr>
            <w:r>
              <w:t>洁净型煤推广项目经费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0.80</w:t>
            </w:r>
          </w:p>
        </w:tc>
        <w:tc>
          <w:tcPr>
            <w:tcW w:w="2835" w:type="dxa"/>
            <w:vAlign w:val="center"/>
          </w:tcPr>
          <w:p>
            <w:pPr>
              <w:pStyle w:val="11"/>
            </w:pPr>
            <w:r>
              <w:t>其中：财政    资金</w:t>
            </w:r>
          </w:p>
        </w:tc>
        <w:tc>
          <w:tcPr>
            <w:tcW w:w="2551" w:type="dxa"/>
            <w:vAlign w:val="center"/>
          </w:tcPr>
          <w:p>
            <w:pPr>
              <w:pStyle w:val="13"/>
            </w:pPr>
            <w:r>
              <w:t>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预算安排08万元，其中财政资金08万元，主要用于支付洁净型煤推广项目相关</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1.通过开展洁净煤取暖工，实现群众温暖过冬的美好愿景。</w:t>
            </w:r>
            <w:r>
              <w:tab/>
            </w:r>
            <w:r>
              <w:tab/>
            </w:r>
            <w:r>
              <w:tab/>
            </w:r>
          </w:p>
          <w:p>
            <w:pPr>
              <w:pStyle w:val="13"/>
            </w:pPr>
          </w:p>
          <w:p>
            <w:pPr>
              <w:pStyle w:val="13"/>
            </w:pPr>
            <w:r>
              <w:t>2.通过工作有效开展，提高洁净型煤资金使用效益。</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印制宣传册数</w:t>
            </w:r>
          </w:p>
        </w:tc>
        <w:tc>
          <w:tcPr>
            <w:tcW w:w="5386" w:type="dxa"/>
            <w:vAlign w:val="center"/>
          </w:tcPr>
          <w:p>
            <w:pPr>
              <w:pStyle w:val="13"/>
            </w:pPr>
            <w:r>
              <w:t>印制的宣传、推广册数</w:t>
            </w:r>
          </w:p>
        </w:tc>
        <w:tc>
          <w:tcPr>
            <w:tcW w:w="2268" w:type="dxa"/>
            <w:vAlign w:val="center"/>
          </w:tcPr>
          <w:p>
            <w:pPr>
              <w:pStyle w:val="13"/>
            </w:pPr>
            <w:r>
              <w:t>≥0.5万册</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下乡督导、检查次数</w:t>
            </w:r>
          </w:p>
        </w:tc>
        <w:tc>
          <w:tcPr>
            <w:tcW w:w="5386" w:type="dxa"/>
            <w:vAlign w:val="center"/>
          </w:tcPr>
          <w:p>
            <w:pPr>
              <w:pStyle w:val="13"/>
            </w:pPr>
            <w:r>
              <w:t>下乡督导、检查次数</w:t>
            </w:r>
          </w:p>
        </w:tc>
        <w:tc>
          <w:tcPr>
            <w:tcW w:w="2268" w:type="dxa"/>
            <w:vAlign w:val="center"/>
          </w:tcPr>
          <w:p>
            <w:pPr>
              <w:pStyle w:val="13"/>
            </w:pPr>
            <w:r>
              <w:t>≥15次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督导、检查的户数</w:t>
            </w:r>
          </w:p>
        </w:tc>
        <w:tc>
          <w:tcPr>
            <w:tcW w:w="5386" w:type="dxa"/>
            <w:vAlign w:val="center"/>
          </w:tcPr>
          <w:p>
            <w:pPr>
              <w:pStyle w:val="13"/>
            </w:pPr>
            <w:r>
              <w:t>下乡督导、检查的采暖用户数</w:t>
            </w:r>
          </w:p>
        </w:tc>
        <w:tc>
          <w:tcPr>
            <w:tcW w:w="2268" w:type="dxa"/>
            <w:vAlign w:val="center"/>
          </w:tcPr>
          <w:p>
            <w:pPr>
              <w:pStyle w:val="13"/>
            </w:pPr>
            <w:r>
              <w:t>≥1500户</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宣传合格率</w:t>
            </w:r>
          </w:p>
        </w:tc>
        <w:tc>
          <w:tcPr>
            <w:tcW w:w="5386" w:type="dxa"/>
            <w:vAlign w:val="center"/>
          </w:tcPr>
          <w:p>
            <w:pPr>
              <w:pStyle w:val="13"/>
            </w:pPr>
            <w:r>
              <w:t>印刷产品、多媒体手段等宣传材料制作的合格率</w:t>
            </w:r>
          </w:p>
        </w:tc>
        <w:tc>
          <w:tcPr>
            <w:tcW w:w="2268" w:type="dxa"/>
            <w:vAlign w:val="center"/>
          </w:tcPr>
          <w:p>
            <w:pPr>
              <w:pStyle w:val="13"/>
            </w:pPr>
            <w:r>
              <w:t>≥25%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督导、检查的完成率</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按照年度工作计划及时组织宣传</w:t>
            </w:r>
          </w:p>
        </w:tc>
        <w:tc>
          <w:tcPr>
            <w:tcW w:w="2268" w:type="dxa"/>
            <w:vAlign w:val="center"/>
          </w:tcPr>
          <w:p>
            <w:pPr>
              <w:pStyle w:val="13"/>
            </w:pPr>
            <w:r>
              <w:t>2026年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宣传册单位成本</w:t>
            </w:r>
          </w:p>
        </w:tc>
        <w:tc>
          <w:tcPr>
            <w:tcW w:w="5386" w:type="dxa"/>
            <w:vAlign w:val="center"/>
          </w:tcPr>
          <w:p>
            <w:pPr>
              <w:pStyle w:val="13"/>
            </w:pPr>
            <w:r>
              <w:t>宣传册的单位成本</w:t>
            </w:r>
          </w:p>
        </w:tc>
        <w:tc>
          <w:tcPr>
            <w:tcW w:w="2268" w:type="dxa"/>
            <w:vAlign w:val="center"/>
          </w:tcPr>
          <w:p>
            <w:pPr>
              <w:pStyle w:val="13"/>
            </w:pPr>
            <w:r>
              <w:t>≤1元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检查、督导的单位成本</w:t>
            </w:r>
          </w:p>
        </w:tc>
        <w:tc>
          <w:tcPr>
            <w:tcW w:w="5386" w:type="dxa"/>
            <w:vAlign w:val="center"/>
          </w:tcPr>
          <w:p>
            <w:pPr>
              <w:pStyle w:val="13"/>
            </w:pPr>
            <w:r>
              <w:t>-次检查、督导的单位成本</w:t>
            </w:r>
          </w:p>
        </w:tc>
        <w:tc>
          <w:tcPr>
            <w:tcW w:w="2268" w:type="dxa"/>
            <w:vAlign w:val="center"/>
          </w:tcPr>
          <w:p>
            <w:pPr>
              <w:pStyle w:val="13"/>
            </w:pPr>
            <w:r>
              <w:t>≤200元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污染物排放降低率（%）</w:t>
            </w:r>
          </w:p>
        </w:tc>
        <w:tc>
          <w:tcPr>
            <w:tcW w:w="5386" w:type="dxa"/>
            <w:vAlign w:val="center"/>
          </w:tcPr>
          <w:p>
            <w:pPr>
              <w:pStyle w:val="13"/>
            </w:pPr>
            <w:r>
              <w:t>污染物排放总量同期下降的比率</w:t>
            </w:r>
          </w:p>
        </w:tc>
        <w:tc>
          <w:tcPr>
            <w:tcW w:w="2268" w:type="dxa"/>
            <w:vAlign w:val="center"/>
          </w:tcPr>
          <w:p>
            <w:pPr>
              <w:pStyle w:val="13"/>
            </w:pPr>
            <w:r>
              <w:t>≤20%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单位GDP能耗下降率（%）</w:t>
            </w:r>
          </w:p>
        </w:tc>
        <w:tc>
          <w:tcPr>
            <w:tcW w:w="5386" w:type="dxa"/>
            <w:vAlign w:val="center"/>
          </w:tcPr>
          <w:p>
            <w:pPr>
              <w:pStyle w:val="13"/>
            </w:pPr>
            <w:r>
              <w:t>单位GDP能耗的同期下降比率</w:t>
            </w:r>
          </w:p>
        </w:tc>
        <w:tc>
          <w:tcPr>
            <w:tcW w:w="2268" w:type="dxa"/>
            <w:vAlign w:val="center"/>
          </w:tcPr>
          <w:p>
            <w:pPr>
              <w:pStyle w:val="13"/>
            </w:pPr>
            <w:r>
              <w:t>≥25%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7、科技创新支撑和科技管理经费绩效目标表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13032125P00XP8X10002Y</w:t>
            </w:r>
          </w:p>
        </w:tc>
        <w:tc>
          <w:tcPr>
            <w:tcW w:w="2835" w:type="dxa"/>
            <w:vAlign w:val="center"/>
          </w:tcPr>
          <w:p>
            <w:pPr>
              <w:pStyle w:val="11"/>
            </w:pPr>
            <w:r>
              <w:t>项目名称</w:t>
            </w:r>
          </w:p>
        </w:tc>
        <w:tc>
          <w:tcPr>
            <w:tcW w:w="6095" w:type="dxa"/>
            <w:gridSpan w:val="3"/>
            <w:vAlign w:val="center"/>
          </w:tcPr>
          <w:p>
            <w:pPr>
              <w:pStyle w:val="13"/>
            </w:pPr>
            <w:r>
              <w:t>科技创新支撑和科技管理经费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1.63</w:t>
            </w:r>
          </w:p>
        </w:tc>
        <w:tc>
          <w:tcPr>
            <w:tcW w:w="2835" w:type="dxa"/>
            <w:vAlign w:val="center"/>
          </w:tcPr>
          <w:p>
            <w:pPr>
              <w:pStyle w:val="11"/>
            </w:pPr>
            <w:r>
              <w:t>其中：财政    资金</w:t>
            </w:r>
          </w:p>
        </w:tc>
        <w:tc>
          <w:tcPr>
            <w:tcW w:w="2551" w:type="dxa"/>
            <w:vAlign w:val="center"/>
          </w:tcPr>
          <w:p>
            <w:pPr>
              <w:pStyle w:val="13"/>
            </w:pPr>
            <w:r>
              <w:t>1.63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预算安排1.625万元，其中财政安排1.625万元，主要用于科技创新支撑和科技管理经费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1.通过培育发展众创空间、科技型中小企业、高新技术企业，提高全县科技型企业竞争能力。</w:t>
            </w:r>
            <w:r>
              <w:tab/>
            </w:r>
            <w:r>
              <w:tab/>
            </w:r>
            <w:r>
              <w:tab/>
            </w:r>
            <w:r>
              <w:tab/>
            </w:r>
            <w:r>
              <w:tab/>
            </w:r>
            <w:r>
              <w:tab/>
            </w:r>
          </w:p>
          <w:p>
            <w:pPr>
              <w:pStyle w:val="13"/>
            </w:pPr>
          </w:p>
          <w:p>
            <w:pPr>
              <w:pStyle w:val="13"/>
            </w:pPr>
            <w:r>
              <w:t>2.通过开展市级科技示范园区、工程技术研究中心建设工作，促进全县科技创新有序发展。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科技创新平台数量</w:t>
            </w:r>
          </w:p>
        </w:tc>
        <w:tc>
          <w:tcPr>
            <w:tcW w:w="5386" w:type="dxa"/>
            <w:vAlign w:val="center"/>
          </w:tcPr>
          <w:p>
            <w:pPr>
              <w:pStyle w:val="13"/>
            </w:pPr>
            <w:r>
              <w:t>重点实验室、工程技术研究中心、产业技术研究院数量之和</w:t>
            </w:r>
          </w:p>
        </w:tc>
        <w:tc>
          <w:tcPr>
            <w:tcW w:w="2268" w:type="dxa"/>
            <w:vAlign w:val="center"/>
          </w:tcPr>
          <w:p>
            <w:pPr>
              <w:pStyle w:val="13"/>
            </w:pPr>
            <w:r>
              <w:t>≥2个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科技企业孵化器孵化企业数量</w:t>
            </w:r>
          </w:p>
        </w:tc>
        <w:tc>
          <w:tcPr>
            <w:tcW w:w="5386" w:type="dxa"/>
            <w:vAlign w:val="center"/>
          </w:tcPr>
          <w:p>
            <w:pPr>
              <w:pStyle w:val="13"/>
            </w:pPr>
            <w:r>
              <w:t>科技企业孵化器年度在孵科技企业数量</w:t>
            </w:r>
          </w:p>
        </w:tc>
        <w:tc>
          <w:tcPr>
            <w:tcW w:w="2268" w:type="dxa"/>
            <w:vAlign w:val="center"/>
          </w:tcPr>
          <w:p>
            <w:pPr>
              <w:pStyle w:val="13"/>
            </w:pPr>
            <w:r>
              <w:t>≥1个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组织项目申报、中期检查</w:t>
            </w:r>
          </w:p>
        </w:tc>
        <w:tc>
          <w:tcPr>
            <w:tcW w:w="5386" w:type="dxa"/>
            <w:vAlign w:val="center"/>
          </w:tcPr>
          <w:p>
            <w:pPr>
              <w:pStyle w:val="13"/>
            </w:pPr>
            <w:r>
              <w:t>组织项目年度申报、检查项目数量</w:t>
            </w:r>
          </w:p>
        </w:tc>
        <w:tc>
          <w:tcPr>
            <w:tcW w:w="2268" w:type="dxa"/>
            <w:vAlign w:val="center"/>
          </w:tcPr>
          <w:p>
            <w:pPr>
              <w:pStyle w:val="13"/>
            </w:pPr>
            <w:r>
              <w:t>≥3个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发布科技信息新闻数量</w:t>
            </w:r>
          </w:p>
        </w:tc>
        <w:tc>
          <w:tcPr>
            <w:tcW w:w="5386" w:type="dxa"/>
            <w:vAlign w:val="center"/>
          </w:tcPr>
          <w:p>
            <w:pPr>
              <w:pStyle w:val="13"/>
            </w:pPr>
            <w:r>
              <w:t>年内在县级以上新闻媒体发布的科技信息及新闻数量</w:t>
            </w:r>
          </w:p>
        </w:tc>
        <w:tc>
          <w:tcPr>
            <w:tcW w:w="2268" w:type="dxa"/>
            <w:vAlign w:val="center"/>
          </w:tcPr>
          <w:p>
            <w:pPr>
              <w:pStyle w:val="13"/>
            </w:pPr>
            <w:r>
              <w:t>≥50条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深入企业、园区调研指导</w:t>
            </w:r>
          </w:p>
        </w:tc>
        <w:tc>
          <w:tcPr>
            <w:tcW w:w="5386" w:type="dxa"/>
            <w:vAlign w:val="center"/>
          </w:tcPr>
          <w:p>
            <w:pPr>
              <w:pStyle w:val="13"/>
            </w:pPr>
            <w:r>
              <w:t>到企业、园区开展宣传、调研、指导服务数量</w:t>
            </w:r>
          </w:p>
        </w:tc>
        <w:tc>
          <w:tcPr>
            <w:tcW w:w="2268" w:type="dxa"/>
            <w:vAlign w:val="center"/>
          </w:tcPr>
          <w:p>
            <w:pPr>
              <w:pStyle w:val="13"/>
            </w:pPr>
            <w:r>
              <w:t>≥30次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科技调研报告</w:t>
            </w:r>
          </w:p>
        </w:tc>
        <w:tc>
          <w:tcPr>
            <w:tcW w:w="5386" w:type="dxa"/>
            <w:vAlign w:val="center"/>
          </w:tcPr>
          <w:p>
            <w:pPr>
              <w:pStyle w:val="13"/>
            </w:pPr>
            <w:r>
              <w:t>完成年度内科技专项调研报告的数量</w:t>
            </w:r>
          </w:p>
        </w:tc>
        <w:tc>
          <w:tcPr>
            <w:tcW w:w="2268" w:type="dxa"/>
            <w:vAlign w:val="center"/>
          </w:tcPr>
          <w:p>
            <w:pPr>
              <w:pStyle w:val="13"/>
            </w:pPr>
            <w:r>
              <w:t>≥1个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发展高新技术企业</w:t>
            </w:r>
          </w:p>
        </w:tc>
        <w:tc>
          <w:tcPr>
            <w:tcW w:w="5386" w:type="dxa"/>
            <w:vAlign w:val="center"/>
          </w:tcPr>
          <w:p>
            <w:pPr>
              <w:pStyle w:val="13"/>
            </w:pPr>
            <w:r>
              <w:t>高新技术企业增加数量</w:t>
            </w:r>
          </w:p>
        </w:tc>
        <w:tc>
          <w:tcPr>
            <w:tcW w:w="2268" w:type="dxa"/>
            <w:vAlign w:val="center"/>
          </w:tcPr>
          <w:p>
            <w:pPr>
              <w:pStyle w:val="13"/>
            </w:pPr>
            <w:r>
              <w:t>≥1个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发展省级科技型中小企业</w:t>
            </w:r>
          </w:p>
        </w:tc>
        <w:tc>
          <w:tcPr>
            <w:tcW w:w="5386" w:type="dxa"/>
            <w:vAlign w:val="center"/>
          </w:tcPr>
          <w:p>
            <w:pPr>
              <w:pStyle w:val="13"/>
            </w:pPr>
            <w:r>
              <w:t>省级科技型中小企业增加数量</w:t>
            </w:r>
          </w:p>
        </w:tc>
        <w:tc>
          <w:tcPr>
            <w:tcW w:w="2268" w:type="dxa"/>
            <w:vAlign w:val="center"/>
          </w:tcPr>
          <w:p>
            <w:pPr>
              <w:pStyle w:val="13"/>
            </w:pPr>
            <w:r>
              <w:t>≥10个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推广普及率</w:t>
            </w:r>
          </w:p>
        </w:tc>
        <w:tc>
          <w:tcPr>
            <w:tcW w:w="5386" w:type="dxa"/>
            <w:vAlign w:val="center"/>
          </w:tcPr>
          <w:p>
            <w:pPr>
              <w:pStyle w:val="13"/>
            </w:pPr>
            <w:r>
              <w:t>重点企业对科技创新政策知晓率</w:t>
            </w:r>
          </w:p>
        </w:tc>
        <w:tc>
          <w:tcPr>
            <w:tcW w:w="2268" w:type="dxa"/>
            <w:vAlign w:val="center"/>
          </w:tcPr>
          <w:p>
            <w:pPr>
              <w:pStyle w:val="13"/>
            </w:pPr>
            <w:r>
              <w:t>≥80%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按计划时限组织完成各项工作</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费用控制数</w:t>
            </w:r>
          </w:p>
        </w:tc>
        <w:tc>
          <w:tcPr>
            <w:tcW w:w="5386" w:type="dxa"/>
            <w:vAlign w:val="center"/>
          </w:tcPr>
          <w:p>
            <w:pPr>
              <w:pStyle w:val="13"/>
            </w:pPr>
            <w:r>
              <w:t>办公费用控制在预算内</w:t>
            </w:r>
          </w:p>
        </w:tc>
        <w:tc>
          <w:tcPr>
            <w:tcW w:w="2268" w:type="dxa"/>
            <w:vAlign w:val="center"/>
          </w:tcPr>
          <w:p>
            <w:pPr>
              <w:pStyle w:val="13"/>
            </w:pPr>
            <w:r>
              <w:t>≤5万元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县域研发创新能力</w:t>
            </w:r>
          </w:p>
        </w:tc>
        <w:tc>
          <w:tcPr>
            <w:tcW w:w="5386" w:type="dxa"/>
            <w:vAlign w:val="center"/>
          </w:tcPr>
          <w:p>
            <w:pPr>
              <w:pStyle w:val="13"/>
            </w:pPr>
            <w:r>
              <w:t>全社会研发支出占GDP比重</w:t>
            </w:r>
          </w:p>
        </w:tc>
        <w:tc>
          <w:tcPr>
            <w:tcW w:w="2268" w:type="dxa"/>
            <w:vAlign w:val="center"/>
          </w:tcPr>
          <w:p>
            <w:pPr>
              <w:pStyle w:val="13"/>
            </w:pPr>
            <w:r>
              <w:t>≥1%</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费用控制数</w:t>
            </w:r>
          </w:p>
        </w:tc>
        <w:tc>
          <w:tcPr>
            <w:tcW w:w="5386" w:type="dxa"/>
            <w:vAlign w:val="center"/>
          </w:tcPr>
          <w:p>
            <w:pPr>
              <w:pStyle w:val="13"/>
            </w:pPr>
            <w:r>
              <w:t>印刷费用控制在预算内</w:t>
            </w:r>
          </w:p>
        </w:tc>
        <w:tc>
          <w:tcPr>
            <w:tcW w:w="2268" w:type="dxa"/>
            <w:vAlign w:val="center"/>
          </w:tcPr>
          <w:p>
            <w:pPr>
              <w:pStyle w:val="13"/>
            </w:pPr>
            <w:r>
              <w:t>3.5万元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≥85%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8、科技创新支撑和科技管理经费绩效目标表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13032126P003349103818</w:t>
            </w:r>
          </w:p>
        </w:tc>
        <w:tc>
          <w:tcPr>
            <w:tcW w:w="2835" w:type="dxa"/>
            <w:vAlign w:val="center"/>
          </w:tcPr>
          <w:p>
            <w:pPr>
              <w:pStyle w:val="11"/>
            </w:pPr>
            <w:r>
              <w:t>项目名称</w:t>
            </w:r>
          </w:p>
        </w:tc>
        <w:tc>
          <w:tcPr>
            <w:tcW w:w="6095" w:type="dxa"/>
            <w:gridSpan w:val="3"/>
            <w:vAlign w:val="center"/>
          </w:tcPr>
          <w:p>
            <w:pPr>
              <w:pStyle w:val="13"/>
            </w:pPr>
            <w:r>
              <w:t>科技创新支撑和科技管理经费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4.20</w:t>
            </w:r>
          </w:p>
        </w:tc>
        <w:tc>
          <w:tcPr>
            <w:tcW w:w="2835" w:type="dxa"/>
            <w:vAlign w:val="center"/>
          </w:tcPr>
          <w:p>
            <w:pPr>
              <w:pStyle w:val="11"/>
            </w:pPr>
            <w:r>
              <w:t>其中：财政    资金</w:t>
            </w:r>
          </w:p>
        </w:tc>
        <w:tc>
          <w:tcPr>
            <w:tcW w:w="2551" w:type="dxa"/>
            <w:vAlign w:val="center"/>
          </w:tcPr>
          <w:p>
            <w:pPr>
              <w:pStyle w:val="13"/>
            </w:pPr>
            <w:r>
              <w:t>4.20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预算安排4.2万元，其中财政资金4.2万元，主要用于支付科技创新支撑和科技管理相关费用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1.通过开展市级科技示范园区、工程技术研究中心建设工作，促进全县科技创新有序发展。</w:t>
            </w:r>
            <w:r>
              <w:tab/>
            </w:r>
            <w:r>
              <w:tab/>
            </w:r>
            <w:r>
              <w:tab/>
            </w:r>
          </w:p>
          <w:p>
            <w:pPr>
              <w:pStyle w:val="13"/>
            </w:pPr>
          </w:p>
          <w:p>
            <w:pPr>
              <w:pStyle w:val="13"/>
            </w:pPr>
            <w:r>
              <w:t>2.通过培育发展众创空间、科技型中小企业、高新技术企业，提高全县科技型企业竞争能力。</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科技创新平台数量</w:t>
            </w:r>
          </w:p>
        </w:tc>
        <w:tc>
          <w:tcPr>
            <w:tcW w:w="5386" w:type="dxa"/>
            <w:vAlign w:val="center"/>
          </w:tcPr>
          <w:p>
            <w:pPr>
              <w:pStyle w:val="13"/>
            </w:pPr>
            <w:r>
              <w:t>重点实验室、工程技术研究中心、产业技术研究院数量之和</w:t>
            </w:r>
          </w:p>
        </w:tc>
        <w:tc>
          <w:tcPr>
            <w:tcW w:w="2268" w:type="dxa"/>
            <w:vAlign w:val="center"/>
          </w:tcPr>
          <w:p>
            <w:pPr>
              <w:pStyle w:val="13"/>
            </w:pPr>
            <w:r>
              <w:t>≥2个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组织项目申报、中期检查</w:t>
            </w:r>
          </w:p>
        </w:tc>
        <w:tc>
          <w:tcPr>
            <w:tcW w:w="5386" w:type="dxa"/>
            <w:vAlign w:val="center"/>
          </w:tcPr>
          <w:p>
            <w:pPr>
              <w:pStyle w:val="13"/>
            </w:pPr>
            <w:r>
              <w:t>组织项目年度申报、检查项目数量</w:t>
            </w:r>
          </w:p>
        </w:tc>
        <w:tc>
          <w:tcPr>
            <w:tcW w:w="2268" w:type="dxa"/>
            <w:vAlign w:val="center"/>
          </w:tcPr>
          <w:p>
            <w:pPr>
              <w:pStyle w:val="13"/>
            </w:pPr>
            <w:r>
              <w:t>≥3个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发布科技信息新闻数量</w:t>
            </w:r>
          </w:p>
        </w:tc>
        <w:tc>
          <w:tcPr>
            <w:tcW w:w="5386" w:type="dxa"/>
            <w:vAlign w:val="center"/>
          </w:tcPr>
          <w:p>
            <w:pPr>
              <w:pStyle w:val="13"/>
            </w:pPr>
            <w:r>
              <w:t>年内在县级以上新闻媒体发布的科技信息及新闻数量</w:t>
            </w:r>
          </w:p>
        </w:tc>
        <w:tc>
          <w:tcPr>
            <w:tcW w:w="2268" w:type="dxa"/>
            <w:vAlign w:val="center"/>
          </w:tcPr>
          <w:p>
            <w:pPr>
              <w:pStyle w:val="13"/>
            </w:pPr>
            <w:r>
              <w:t>≥25条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深入企业、园区调研指导</w:t>
            </w:r>
          </w:p>
        </w:tc>
        <w:tc>
          <w:tcPr>
            <w:tcW w:w="5386" w:type="dxa"/>
            <w:vAlign w:val="center"/>
          </w:tcPr>
          <w:p>
            <w:pPr>
              <w:pStyle w:val="13"/>
            </w:pPr>
            <w:r>
              <w:t>到企业、园区开展宣传、调研、指导服务数量</w:t>
            </w:r>
          </w:p>
        </w:tc>
        <w:tc>
          <w:tcPr>
            <w:tcW w:w="2268" w:type="dxa"/>
            <w:vAlign w:val="center"/>
          </w:tcPr>
          <w:p>
            <w:pPr>
              <w:pStyle w:val="13"/>
            </w:pPr>
            <w:r>
              <w:t>≥30次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科技调研报告</w:t>
            </w:r>
          </w:p>
        </w:tc>
        <w:tc>
          <w:tcPr>
            <w:tcW w:w="5386" w:type="dxa"/>
            <w:vAlign w:val="center"/>
          </w:tcPr>
          <w:p>
            <w:pPr>
              <w:pStyle w:val="13"/>
            </w:pPr>
            <w:r>
              <w:t>完成年度内科技专项调研报告的数量</w:t>
            </w:r>
          </w:p>
        </w:tc>
        <w:tc>
          <w:tcPr>
            <w:tcW w:w="2268" w:type="dxa"/>
            <w:vAlign w:val="center"/>
          </w:tcPr>
          <w:p>
            <w:pPr>
              <w:pStyle w:val="13"/>
            </w:pPr>
            <w:r>
              <w:t>≥1个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发展高新技术企业</w:t>
            </w:r>
          </w:p>
        </w:tc>
        <w:tc>
          <w:tcPr>
            <w:tcW w:w="5386" w:type="dxa"/>
            <w:vAlign w:val="center"/>
          </w:tcPr>
          <w:p>
            <w:pPr>
              <w:pStyle w:val="13"/>
            </w:pPr>
            <w:r>
              <w:t>高新技术企业增加数量</w:t>
            </w:r>
          </w:p>
        </w:tc>
        <w:tc>
          <w:tcPr>
            <w:tcW w:w="2268" w:type="dxa"/>
            <w:vAlign w:val="center"/>
          </w:tcPr>
          <w:p>
            <w:pPr>
              <w:pStyle w:val="13"/>
            </w:pPr>
            <w:r>
              <w:t>≥1个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发展省级科技型中小企业</w:t>
            </w:r>
          </w:p>
        </w:tc>
        <w:tc>
          <w:tcPr>
            <w:tcW w:w="5386" w:type="dxa"/>
            <w:vAlign w:val="center"/>
          </w:tcPr>
          <w:p>
            <w:pPr>
              <w:pStyle w:val="13"/>
            </w:pPr>
            <w:r>
              <w:t>省级科技型中小企业增加数量</w:t>
            </w:r>
          </w:p>
        </w:tc>
        <w:tc>
          <w:tcPr>
            <w:tcW w:w="2268" w:type="dxa"/>
            <w:vAlign w:val="center"/>
          </w:tcPr>
          <w:p>
            <w:pPr>
              <w:pStyle w:val="13"/>
            </w:pPr>
            <w:r>
              <w:t>≥10个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推广普及率</w:t>
            </w:r>
          </w:p>
        </w:tc>
        <w:tc>
          <w:tcPr>
            <w:tcW w:w="5386" w:type="dxa"/>
            <w:vAlign w:val="center"/>
          </w:tcPr>
          <w:p>
            <w:pPr>
              <w:pStyle w:val="13"/>
            </w:pPr>
            <w:r>
              <w:t>重点企业对科技创新政策知晓率</w:t>
            </w:r>
          </w:p>
        </w:tc>
        <w:tc>
          <w:tcPr>
            <w:tcW w:w="2268" w:type="dxa"/>
            <w:vAlign w:val="center"/>
          </w:tcPr>
          <w:p>
            <w:pPr>
              <w:pStyle w:val="13"/>
            </w:pPr>
            <w:r>
              <w:t>≥80%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按计划时限组织完成各项工作</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费用控制数</w:t>
            </w:r>
          </w:p>
        </w:tc>
        <w:tc>
          <w:tcPr>
            <w:tcW w:w="5386" w:type="dxa"/>
            <w:vAlign w:val="center"/>
          </w:tcPr>
          <w:p>
            <w:pPr>
              <w:pStyle w:val="13"/>
            </w:pPr>
            <w:r>
              <w:t>办公费用控制在预算内</w:t>
            </w:r>
          </w:p>
        </w:tc>
        <w:tc>
          <w:tcPr>
            <w:tcW w:w="2268" w:type="dxa"/>
            <w:vAlign w:val="center"/>
          </w:tcPr>
          <w:p>
            <w:pPr>
              <w:pStyle w:val="13"/>
            </w:pPr>
            <w:r>
              <w:t>≤5万元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县域研发创新能力</w:t>
            </w:r>
          </w:p>
        </w:tc>
        <w:tc>
          <w:tcPr>
            <w:tcW w:w="5386" w:type="dxa"/>
            <w:vAlign w:val="center"/>
          </w:tcPr>
          <w:p>
            <w:pPr>
              <w:pStyle w:val="13"/>
            </w:pPr>
            <w:r>
              <w:t>全社会研发支出占GDP比重</w:t>
            </w:r>
          </w:p>
        </w:tc>
        <w:tc>
          <w:tcPr>
            <w:tcW w:w="2268" w:type="dxa"/>
            <w:vAlign w:val="center"/>
          </w:tcPr>
          <w:p>
            <w:pPr>
              <w:pStyle w:val="13"/>
            </w:pPr>
            <w:r>
              <w:t>≥1%</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费用控制数</w:t>
            </w:r>
          </w:p>
        </w:tc>
        <w:tc>
          <w:tcPr>
            <w:tcW w:w="5386" w:type="dxa"/>
            <w:vAlign w:val="center"/>
          </w:tcPr>
          <w:p>
            <w:pPr>
              <w:pStyle w:val="13"/>
            </w:pPr>
            <w:r>
              <w:t>印刷费用控制在预算内</w:t>
            </w:r>
          </w:p>
        </w:tc>
        <w:tc>
          <w:tcPr>
            <w:tcW w:w="2268" w:type="dxa"/>
            <w:vAlign w:val="center"/>
          </w:tcPr>
          <w:p>
            <w:pPr>
              <w:pStyle w:val="13"/>
            </w:pPr>
            <w:r>
              <w:t>4.2万元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≥85%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9、粮食流通统计调查经费绩效目标表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13032125P00R84010002Y</w:t>
            </w:r>
          </w:p>
        </w:tc>
        <w:tc>
          <w:tcPr>
            <w:tcW w:w="2835" w:type="dxa"/>
            <w:vAlign w:val="center"/>
          </w:tcPr>
          <w:p>
            <w:pPr>
              <w:pStyle w:val="11"/>
            </w:pPr>
            <w:r>
              <w:t>项目名称</w:t>
            </w:r>
          </w:p>
        </w:tc>
        <w:tc>
          <w:tcPr>
            <w:tcW w:w="6095" w:type="dxa"/>
            <w:gridSpan w:val="3"/>
            <w:vAlign w:val="center"/>
          </w:tcPr>
          <w:p>
            <w:pPr>
              <w:pStyle w:val="13"/>
            </w:pPr>
            <w:r>
              <w:t>粮食流通统计调查经费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0.38</w:t>
            </w:r>
          </w:p>
        </w:tc>
        <w:tc>
          <w:tcPr>
            <w:tcW w:w="2835" w:type="dxa"/>
            <w:vAlign w:val="center"/>
          </w:tcPr>
          <w:p>
            <w:pPr>
              <w:pStyle w:val="11"/>
            </w:pPr>
            <w:r>
              <w:t>其中：财政    资金</w:t>
            </w:r>
          </w:p>
        </w:tc>
        <w:tc>
          <w:tcPr>
            <w:tcW w:w="2551" w:type="dxa"/>
            <w:vAlign w:val="center"/>
          </w:tcPr>
          <w:p>
            <w:pPr>
              <w:pStyle w:val="13"/>
            </w:pPr>
            <w:r>
              <w:t>0.38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预算安排0.375万元，其中财政资金0.375万元，主要用于粮食流通统计调查经费。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1."通过开展粮食产、购、销、存、加等数据统计，促进数据信息全面、完整、正确、及时。</w:t>
            </w:r>
            <w:r>
              <w:tab/>
            </w:r>
            <w:r>
              <w:tab/>
            </w:r>
            <w:r>
              <w:tab/>
            </w:r>
            <w:r>
              <w:t>"</w:t>
            </w:r>
            <w:r>
              <w:tab/>
            </w:r>
            <w:r>
              <w:tab/>
            </w:r>
            <w:r>
              <w:tab/>
            </w:r>
            <w:r>
              <w:tab/>
            </w:r>
            <w:r>
              <w:tab/>
            </w:r>
            <w:r>
              <w:tab/>
            </w:r>
          </w:p>
          <w:p>
            <w:pPr>
              <w:pStyle w:val="13"/>
            </w:pPr>
          </w:p>
          <w:p>
            <w:pPr>
              <w:pStyle w:val="13"/>
            </w:pPr>
            <w:r>
              <w:t>2.通过仓储设施、国有资产、经济效益等宏观信息及时上报、汇总，实现国家粮食流通数据完整。</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粮食流通统计调查次数</w:t>
            </w:r>
          </w:p>
        </w:tc>
        <w:tc>
          <w:tcPr>
            <w:tcW w:w="5386" w:type="dxa"/>
            <w:vAlign w:val="center"/>
          </w:tcPr>
          <w:p>
            <w:pPr>
              <w:pStyle w:val="13"/>
            </w:pPr>
            <w:r>
              <w:t>对全县居民粮食流通、仓储设施、粮油加工、粮食库存进行入户抽样调查</w:t>
            </w:r>
          </w:p>
        </w:tc>
        <w:tc>
          <w:tcPr>
            <w:tcW w:w="2268" w:type="dxa"/>
            <w:vAlign w:val="center"/>
          </w:tcPr>
          <w:p>
            <w:pPr>
              <w:pStyle w:val="13"/>
            </w:pPr>
            <w:r>
              <w:t>≥2次/年/户</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粮食流通统计调查户数</w:t>
            </w:r>
          </w:p>
        </w:tc>
        <w:tc>
          <w:tcPr>
            <w:tcW w:w="5386" w:type="dxa"/>
            <w:vAlign w:val="center"/>
          </w:tcPr>
          <w:p>
            <w:pPr>
              <w:pStyle w:val="13"/>
            </w:pPr>
            <w:r>
              <w:t>对全县居民粮食流通、仓储设施、粮油加工、粮食库存进行入户抽样调查</w:t>
            </w:r>
          </w:p>
        </w:tc>
        <w:tc>
          <w:tcPr>
            <w:tcW w:w="2268" w:type="dxa"/>
            <w:vAlign w:val="center"/>
          </w:tcPr>
          <w:p>
            <w:pPr>
              <w:pStyle w:val="13"/>
            </w:pPr>
            <w:r>
              <w:t>≥96户</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数据全面性</w:t>
            </w:r>
          </w:p>
        </w:tc>
        <w:tc>
          <w:tcPr>
            <w:tcW w:w="5386" w:type="dxa"/>
            <w:vAlign w:val="center"/>
          </w:tcPr>
          <w:p>
            <w:pPr>
              <w:pStyle w:val="13"/>
            </w:pPr>
            <w:r>
              <w:t>数据能够全面反映全县粮食总合供需状况</w:t>
            </w:r>
          </w:p>
        </w:tc>
        <w:tc>
          <w:tcPr>
            <w:tcW w:w="2268" w:type="dxa"/>
            <w:vAlign w:val="center"/>
          </w:tcPr>
          <w:p>
            <w:pPr>
              <w:pStyle w:val="13"/>
            </w:pPr>
            <w:r>
              <w:t>≥90%</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数据准确率</w:t>
            </w:r>
          </w:p>
        </w:tc>
        <w:tc>
          <w:tcPr>
            <w:tcW w:w="5386" w:type="dxa"/>
            <w:vAlign w:val="center"/>
          </w:tcPr>
          <w:p>
            <w:pPr>
              <w:pStyle w:val="13"/>
            </w:pPr>
            <w:r>
              <w:t>全部数据减去差错数据占全部数据总量的比例</w:t>
            </w:r>
          </w:p>
        </w:tc>
        <w:tc>
          <w:tcPr>
            <w:tcW w:w="2268" w:type="dxa"/>
            <w:vAlign w:val="center"/>
          </w:tcPr>
          <w:p>
            <w:pPr>
              <w:pStyle w:val="13"/>
            </w:pPr>
            <w:r>
              <w:t>≥90%</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调查覆盖率</w:t>
            </w:r>
          </w:p>
        </w:tc>
        <w:tc>
          <w:tcPr>
            <w:tcW w:w="5386" w:type="dxa"/>
            <w:vAlign w:val="center"/>
          </w:tcPr>
          <w:p>
            <w:pPr>
              <w:pStyle w:val="13"/>
            </w:pPr>
            <w:r>
              <w:t>全县抽样96户，每年入户两次，4月份进行一次专项调查，12月进行一次全面调查</w:t>
            </w:r>
          </w:p>
        </w:tc>
        <w:tc>
          <w:tcPr>
            <w:tcW w:w="2268" w:type="dxa"/>
            <w:vAlign w:val="center"/>
          </w:tcPr>
          <w:p>
            <w:pPr>
              <w:pStyle w:val="13"/>
            </w:pPr>
            <w:r>
              <w:t>≥95%</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数据完整率</w:t>
            </w:r>
          </w:p>
        </w:tc>
        <w:tc>
          <w:tcPr>
            <w:tcW w:w="5386" w:type="dxa"/>
            <w:vAlign w:val="center"/>
          </w:tcPr>
          <w:p>
            <w:pPr>
              <w:pStyle w:val="13"/>
            </w:pPr>
            <w:r>
              <w:t>年内按时报送粮食产购销存加数据和仓储设施、国有资产、经济效益等报表数据的次数占全年计划报送次数比重</w:t>
            </w:r>
          </w:p>
        </w:tc>
        <w:tc>
          <w:tcPr>
            <w:tcW w:w="2268" w:type="dxa"/>
            <w:vAlign w:val="center"/>
          </w:tcPr>
          <w:p>
            <w:pPr>
              <w:pStyle w:val="13"/>
            </w:pPr>
            <w:r>
              <w:t>≥96%</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统计上报完成及时性</w:t>
            </w:r>
          </w:p>
        </w:tc>
        <w:tc>
          <w:tcPr>
            <w:tcW w:w="5386" w:type="dxa"/>
            <w:vAlign w:val="center"/>
          </w:tcPr>
          <w:p>
            <w:pPr>
              <w:pStyle w:val="13"/>
            </w:pPr>
            <w:r>
              <w:t>按管理规定完成各项工作任务</w:t>
            </w:r>
          </w:p>
        </w:tc>
        <w:tc>
          <w:tcPr>
            <w:tcW w:w="2268" w:type="dxa"/>
            <w:vAlign w:val="center"/>
          </w:tcPr>
          <w:p>
            <w:pPr>
              <w:pStyle w:val="13"/>
            </w:pPr>
            <w:r>
              <w:t>100%</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粮食流通统计调查成本</w:t>
            </w:r>
          </w:p>
        </w:tc>
        <w:tc>
          <w:tcPr>
            <w:tcW w:w="5386" w:type="dxa"/>
            <w:vAlign w:val="center"/>
          </w:tcPr>
          <w:p>
            <w:pPr>
              <w:pStyle w:val="13"/>
            </w:pPr>
            <w:r>
              <w:t>粮食流通统计调查工作过程中的人工费等各项费用</w:t>
            </w:r>
          </w:p>
        </w:tc>
        <w:tc>
          <w:tcPr>
            <w:tcW w:w="2268" w:type="dxa"/>
            <w:vAlign w:val="center"/>
          </w:tcPr>
          <w:p>
            <w:pPr>
              <w:pStyle w:val="13"/>
            </w:pPr>
            <w:r>
              <w:t>≤0.38万元</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数据参考价值</w:t>
            </w:r>
          </w:p>
        </w:tc>
        <w:tc>
          <w:tcPr>
            <w:tcW w:w="5386" w:type="dxa"/>
            <w:vAlign w:val="center"/>
          </w:tcPr>
          <w:p>
            <w:pPr>
              <w:pStyle w:val="13"/>
            </w:pPr>
            <w:r>
              <w:t>及时准确反映粮食市场总体供需状况，为政府制定宏观调控政策提供数字依据</w:t>
            </w:r>
          </w:p>
        </w:tc>
        <w:tc>
          <w:tcPr>
            <w:tcW w:w="2268" w:type="dxa"/>
            <w:vAlign w:val="center"/>
          </w:tcPr>
          <w:p>
            <w:pPr>
              <w:pStyle w:val="13"/>
            </w:pPr>
            <w:r>
              <w:t>≥90%</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粮食流通统计调查成本</w:t>
            </w:r>
          </w:p>
        </w:tc>
        <w:tc>
          <w:tcPr>
            <w:tcW w:w="5386" w:type="dxa"/>
            <w:vAlign w:val="center"/>
          </w:tcPr>
          <w:p>
            <w:pPr>
              <w:pStyle w:val="13"/>
            </w:pPr>
            <w:r>
              <w:t>粮食流通统计调查工作过程中的人工费等各项费用</w:t>
            </w:r>
          </w:p>
        </w:tc>
        <w:tc>
          <w:tcPr>
            <w:tcW w:w="2268" w:type="dxa"/>
            <w:vAlign w:val="center"/>
          </w:tcPr>
          <w:p>
            <w:pPr>
              <w:pStyle w:val="13"/>
            </w:pPr>
            <w:r>
              <w:t>1.5万元</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群众对粮食流通满意数量占总数的比例</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10、粮食流通统计调查经费绩效目标表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13032126P00334910382U</w:t>
            </w:r>
          </w:p>
        </w:tc>
        <w:tc>
          <w:tcPr>
            <w:tcW w:w="2835" w:type="dxa"/>
            <w:vAlign w:val="center"/>
          </w:tcPr>
          <w:p>
            <w:pPr>
              <w:pStyle w:val="11"/>
            </w:pPr>
            <w:r>
              <w:t>项目名称</w:t>
            </w:r>
          </w:p>
        </w:tc>
        <w:tc>
          <w:tcPr>
            <w:tcW w:w="6095" w:type="dxa"/>
            <w:gridSpan w:val="3"/>
            <w:vAlign w:val="center"/>
          </w:tcPr>
          <w:p>
            <w:pPr>
              <w:pStyle w:val="13"/>
            </w:pPr>
            <w:r>
              <w:t>粮食流通统计调查经费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0.60</w:t>
            </w:r>
          </w:p>
        </w:tc>
        <w:tc>
          <w:tcPr>
            <w:tcW w:w="2835" w:type="dxa"/>
            <w:vAlign w:val="center"/>
          </w:tcPr>
          <w:p>
            <w:pPr>
              <w:pStyle w:val="11"/>
            </w:pPr>
            <w:r>
              <w:t>其中：财政    资金</w:t>
            </w:r>
          </w:p>
        </w:tc>
        <w:tc>
          <w:tcPr>
            <w:tcW w:w="2551" w:type="dxa"/>
            <w:vAlign w:val="center"/>
          </w:tcPr>
          <w:p>
            <w:pPr>
              <w:pStyle w:val="13"/>
            </w:pPr>
            <w:r>
              <w:t>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预算安排0.6万元，其中财政资金0.6万元，主要用于支付单位经费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1.通过仓储设施、国有资产、经济效益等宏观信息及时上报、汇总，实现国家粮食流通数据完整。</w:t>
            </w:r>
            <w:r>
              <w:tab/>
            </w:r>
            <w:r>
              <w:tab/>
            </w:r>
            <w:r>
              <w:tab/>
            </w:r>
          </w:p>
          <w:p>
            <w:pPr>
              <w:pStyle w:val="13"/>
            </w:pPr>
          </w:p>
          <w:p>
            <w:pPr>
              <w:pStyle w:val="13"/>
            </w:pPr>
            <w:r>
              <w:t>2."通过开展粮食产、购、销、存、加等数据统计，促进数据信息全面、完整、正确、及时。</w:t>
            </w:r>
            <w:r>
              <w:tab/>
            </w:r>
            <w:r>
              <w:t>"</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粮食流通统计调查次数</w:t>
            </w:r>
          </w:p>
        </w:tc>
        <w:tc>
          <w:tcPr>
            <w:tcW w:w="5386" w:type="dxa"/>
            <w:vAlign w:val="center"/>
          </w:tcPr>
          <w:p>
            <w:pPr>
              <w:pStyle w:val="13"/>
            </w:pPr>
            <w:r>
              <w:t>对全县居民粮食流通、仓储设施、粮油加工、粮食库存进行入户抽样调查</w:t>
            </w:r>
          </w:p>
        </w:tc>
        <w:tc>
          <w:tcPr>
            <w:tcW w:w="2268" w:type="dxa"/>
            <w:vAlign w:val="center"/>
          </w:tcPr>
          <w:p>
            <w:pPr>
              <w:pStyle w:val="13"/>
            </w:pPr>
            <w:r>
              <w:t>≥2次/年/户</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粮食流通统计调查户数</w:t>
            </w:r>
          </w:p>
        </w:tc>
        <w:tc>
          <w:tcPr>
            <w:tcW w:w="5386" w:type="dxa"/>
            <w:vAlign w:val="center"/>
          </w:tcPr>
          <w:p>
            <w:pPr>
              <w:pStyle w:val="13"/>
            </w:pPr>
            <w:r>
              <w:t>对全县居民粮食流通、仓储设施、粮油加工、粮食库存进行入户抽样调查</w:t>
            </w:r>
          </w:p>
        </w:tc>
        <w:tc>
          <w:tcPr>
            <w:tcW w:w="2268" w:type="dxa"/>
            <w:vAlign w:val="center"/>
          </w:tcPr>
          <w:p>
            <w:pPr>
              <w:pStyle w:val="13"/>
            </w:pPr>
            <w:r>
              <w:t>≥96户</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数据全面性</w:t>
            </w:r>
          </w:p>
        </w:tc>
        <w:tc>
          <w:tcPr>
            <w:tcW w:w="5386" w:type="dxa"/>
            <w:vAlign w:val="center"/>
          </w:tcPr>
          <w:p>
            <w:pPr>
              <w:pStyle w:val="13"/>
            </w:pPr>
            <w:r>
              <w:t>数据能够全面反映全县粮食总合供需状况</w:t>
            </w:r>
          </w:p>
        </w:tc>
        <w:tc>
          <w:tcPr>
            <w:tcW w:w="2268" w:type="dxa"/>
            <w:vAlign w:val="center"/>
          </w:tcPr>
          <w:p>
            <w:pPr>
              <w:pStyle w:val="13"/>
            </w:pPr>
            <w:r>
              <w:t>≥90%</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数据准确率</w:t>
            </w:r>
          </w:p>
        </w:tc>
        <w:tc>
          <w:tcPr>
            <w:tcW w:w="5386" w:type="dxa"/>
            <w:vAlign w:val="center"/>
          </w:tcPr>
          <w:p>
            <w:pPr>
              <w:pStyle w:val="13"/>
            </w:pPr>
            <w:r>
              <w:t>全部数据减去差错数据占全部数据总量的比例</w:t>
            </w:r>
          </w:p>
        </w:tc>
        <w:tc>
          <w:tcPr>
            <w:tcW w:w="2268" w:type="dxa"/>
            <w:vAlign w:val="center"/>
          </w:tcPr>
          <w:p>
            <w:pPr>
              <w:pStyle w:val="13"/>
            </w:pPr>
            <w:r>
              <w:t>≥90%</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调查覆盖率</w:t>
            </w:r>
          </w:p>
        </w:tc>
        <w:tc>
          <w:tcPr>
            <w:tcW w:w="5386" w:type="dxa"/>
            <w:vAlign w:val="center"/>
          </w:tcPr>
          <w:p>
            <w:pPr>
              <w:pStyle w:val="13"/>
            </w:pPr>
            <w:r>
              <w:t>全县抽样96户，每年入户两次，4月份进行一次专项调查，12月进行一次全面调查</w:t>
            </w:r>
          </w:p>
        </w:tc>
        <w:tc>
          <w:tcPr>
            <w:tcW w:w="2268" w:type="dxa"/>
            <w:vAlign w:val="center"/>
          </w:tcPr>
          <w:p>
            <w:pPr>
              <w:pStyle w:val="13"/>
            </w:pPr>
            <w:r>
              <w:t>≥95%</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数据完整率</w:t>
            </w:r>
          </w:p>
        </w:tc>
        <w:tc>
          <w:tcPr>
            <w:tcW w:w="5386" w:type="dxa"/>
            <w:vAlign w:val="center"/>
          </w:tcPr>
          <w:p>
            <w:pPr>
              <w:pStyle w:val="13"/>
            </w:pPr>
            <w:r>
              <w:t>年内按时报送粮食产购销存加数据和仓储设施、国有资产、经济效益等报表数据的次数占全年计划报送次数比重</w:t>
            </w:r>
          </w:p>
        </w:tc>
        <w:tc>
          <w:tcPr>
            <w:tcW w:w="2268" w:type="dxa"/>
            <w:vAlign w:val="center"/>
          </w:tcPr>
          <w:p>
            <w:pPr>
              <w:pStyle w:val="13"/>
            </w:pPr>
            <w:r>
              <w:t>≥96%</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统计上报完成及时性</w:t>
            </w:r>
          </w:p>
        </w:tc>
        <w:tc>
          <w:tcPr>
            <w:tcW w:w="5386" w:type="dxa"/>
            <w:vAlign w:val="center"/>
          </w:tcPr>
          <w:p>
            <w:pPr>
              <w:pStyle w:val="13"/>
            </w:pPr>
            <w:r>
              <w:t>按管理规定完成各项工作任务</w:t>
            </w:r>
          </w:p>
        </w:tc>
        <w:tc>
          <w:tcPr>
            <w:tcW w:w="2268" w:type="dxa"/>
            <w:vAlign w:val="center"/>
          </w:tcPr>
          <w:p>
            <w:pPr>
              <w:pStyle w:val="13"/>
            </w:pPr>
            <w:r>
              <w:t>100%</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粮食流通统计调查成本</w:t>
            </w:r>
          </w:p>
        </w:tc>
        <w:tc>
          <w:tcPr>
            <w:tcW w:w="5386" w:type="dxa"/>
            <w:vAlign w:val="center"/>
          </w:tcPr>
          <w:p>
            <w:pPr>
              <w:pStyle w:val="13"/>
            </w:pPr>
            <w:r>
              <w:t>粮食流通统计调查工作过程中的人工费等各项费用</w:t>
            </w:r>
          </w:p>
        </w:tc>
        <w:tc>
          <w:tcPr>
            <w:tcW w:w="2268" w:type="dxa"/>
            <w:vAlign w:val="center"/>
          </w:tcPr>
          <w:p>
            <w:pPr>
              <w:pStyle w:val="13"/>
            </w:pPr>
            <w:r>
              <w:t>≤0.6万元</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数据参考价值</w:t>
            </w:r>
          </w:p>
        </w:tc>
        <w:tc>
          <w:tcPr>
            <w:tcW w:w="5386" w:type="dxa"/>
            <w:vAlign w:val="center"/>
          </w:tcPr>
          <w:p>
            <w:pPr>
              <w:pStyle w:val="13"/>
            </w:pPr>
            <w:r>
              <w:t>及时准确反映粮食市场总体供需状况，为政府制定宏观调控政策提供数字依据</w:t>
            </w:r>
          </w:p>
        </w:tc>
        <w:tc>
          <w:tcPr>
            <w:tcW w:w="2268" w:type="dxa"/>
            <w:vAlign w:val="center"/>
          </w:tcPr>
          <w:p>
            <w:pPr>
              <w:pStyle w:val="13"/>
            </w:pPr>
            <w:r>
              <w:t>≥90%</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粮食流通统计调查成本</w:t>
            </w:r>
          </w:p>
        </w:tc>
        <w:tc>
          <w:tcPr>
            <w:tcW w:w="5386" w:type="dxa"/>
            <w:vAlign w:val="center"/>
          </w:tcPr>
          <w:p>
            <w:pPr>
              <w:pStyle w:val="13"/>
            </w:pPr>
            <w:r>
              <w:t>粮食流通统计调查工作过程中的人工费等各项费用</w:t>
            </w:r>
          </w:p>
        </w:tc>
        <w:tc>
          <w:tcPr>
            <w:tcW w:w="2268" w:type="dxa"/>
            <w:vAlign w:val="center"/>
          </w:tcPr>
          <w:p>
            <w:pPr>
              <w:pStyle w:val="13"/>
            </w:pPr>
            <w:r>
              <w:t>0.6万元</w:t>
            </w:r>
          </w:p>
        </w:tc>
        <w:tc>
          <w:tcPr>
            <w:tcW w:w="1276" w:type="dxa"/>
            <w:vAlign w:val="center"/>
          </w:tcPr>
          <w:p>
            <w:pPr>
              <w:pStyle w:val="13"/>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群众对粮食流通满意数量占总数的比例</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11、粮食市场监测、粮食流通法规建设与监督检查绩效目标表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13032126P00334910383F</w:t>
            </w:r>
          </w:p>
        </w:tc>
        <w:tc>
          <w:tcPr>
            <w:tcW w:w="2835" w:type="dxa"/>
            <w:vAlign w:val="center"/>
          </w:tcPr>
          <w:p>
            <w:pPr>
              <w:pStyle w:val="11"/>
            </w:pPr>
            <w:r>
              <w:t>项目名称</w:t>
            </w:r>
          </w:p>
        </w:tc>
        <w:tc>
          <w:tcPr>
            <w:tcW w:w="6095" w:type="dxa"/>
            <w:gridSpan w:val="3"/>
            <w:vAlign w:val="center"/>
          </w:tcPr>
          <w:p>
            <w:pPr>
              <w:pStyle w:val="13"/>
            </w:pPr>
            <w:r>
              <w:t>粮食市场监测、粮食流通法规建设与监督检查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0.80</w:t>
            </w:r>
          </w:p>
        </w:tc>
        <w:tc>
          <w:tcPr>
            <w:tcW w:w="2835" w:type="dxa"/>
            <w:vAlign w:val="center"/>
          </w:tcPr>
          <w:p>
            <w:pPr>
              <w:pStyle w:val="11"/>
            </w:pPr>
            <w:r>
              <w:t>其中：财政    资金</w:t>
            </w:r>
          </w:p>
        </w:tc>
        <w:tc>
          <w:tcPr>
            <w:tcW w:w="2551" w:type="dxa"/>
            <w:vAlign w:val="center"/>
          </w:tcPr>
          <w:p>
            <w:pPr>
              <w:pStyle w:val="13"/>
            </w:pPr>
            <w:r>
              <w:t>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预算安排0.8万元，其中财政资金0.8万元，主要用于支付相关费用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1.通过开展执法检查常规化，促进粮食流程市场规范运行。</w:t>
            </w:r>
            <w:r>
              <w:tab/>
            </w:r>
            <w:r>
              <w:tab/>
            </w:r>
            <w:r>
              <w:tab/>
            </w:r>
          </w:p>
          <w:p>
            <w:pPr>
              <w:pStyle w:val="13"/>
            </w:pPr>
          </w:p>
          <w:p>
            <w:pPr>
              <w:pStyle w:val="13"/>
            </w:pPr>
            <w:r>
              <w:t>2.通过落实行政执法责任制，规范粮食行政执法行为，提高行政执法水平。</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执法检查粮食购销企业数量</w:t>
            </w:r>
          </w:p>
        </w:tc>
        <w:tc>
          <w:tcPr>
            <w:tcW w:w="5386" w:type="dxa"/>
            <w:vAlign w:val="center"/>
          </w:tcPr>
          <w:p>
            <w:pPr>
              <w:pStyle w:val="13"/>
            </w:pPr>
            <w:r>
              <w:t>对粮食购销企业定期检查</w:t>
            </w:r>
          </w:p>
        </w:tc>
        <w:tc>
          <w:tcPr>
            <w:tcW w:w="2268" w:type="dxa"/>
            <w:vAlign w:val="center"/>
          </w:tcPr>
          <w:p>
            <w:pPr>
              <w:pStyle w:val="13"/>
            </w:pPr>
            <w:r>
              <w:t>≥6家</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粮食行政执法次数</w:t>
            </w:r>
          </w:p>
        </w:tc>
        <w:tc>
          <w:tcPr>
            <w:tcW w:w="5386" w:type="dxa"/>
            <w:vAlign w:val="center"/>
          </w:tcPr>
          <w:p>
            <w:pPr>
              <w:pStyle w:val="13"/>
            </w:pPr>
            <w:r>
              <w:t>秋粮收购期对全县全面巡查进行粮食行政执法次数</w:t>
            </w:r>
          </w:p>
        </w:tc>
        <w:tc>
          <w:tcPr>
            <w:tcW w:w="2268" w:type="dxa"/>
            <w:vAlign w:val="center"/>
          </w:tcPr>
          <w:p>
            <w:pPr>
              <w:pStyle w:val="13"/>
            </w:pPr>
            <w:r>
              <w:t>≥50次</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执法规范率</w:t>
            </w:r>
          </w:p>
        </w:tc>
        <w:tc>
          <w:tcPr>
            <w:tcW w:w="5386" w:type="dxa"/>
            <w:vAlign w:val="center"/>
          </w:tcPr>
          <w:p>
            <w:pPr>
              <w:pStyle w:val="13"/>
            </w:pPr>
            <w:r>
              <w:t>粮食行政执法过程中持证上岗、依法依规检查</w:t>
            </w:r>
          </w:p>
        </w:tc>
        <w:tc>
          <w:tcPr>
            <w:tcW w:w="2268" w:type="dxa"/>
            <w:vAlign w:val="center"/>
          </w:tcPr>
          <w:p>
            <w:pPr>
              <w:pStyle w:val="13"/>
            </w:pPr>
            <w:r>
              <w:t>≥99%</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案件查处办结及时率</w:t>
            </w:r>
          </w:p>
        </w:tc>
        <w:tc>
          <w:tcPr>
            <w:tcW w:w="5386" w:type="dxa"/>
            <w:vAlign w:val="center"/>
          </w:tcPr>
          <w:p>
            <w:pPr>
              <w:pStyle w:val="13"/>
            </w:pPr>
            <w:r>
              <w:t>按规定时限查处案件数占查处案件总数的比率</w:t>
            </w:r>
          </w:p>
        </w:tc>
        <w:tc>
          <w:tcPr>
            <w:tcW w:w="2268" w:type="dxa"/>
            <w:vAlign w:val="center"/>
          </w:tcPr>
          <w:p>
            <w:pPr>
              <w:pStyle w:val="13"/>
            </w:pPr>
            <w:r>
              <w:t>≥95%</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按工作计划完成各项工作任务</w:t>
            </w:r>
          </w:p>
        </w:tc>
        <w:tc>
          <w:tcPr>
            <w:tcW w:w="2268" w:type="dxa"/>
            <w:vAlign w:val="center"/>
          </w:tcPr>
          <w:p>
            <w:pPr>
              <w:pStyle w:val="13"/>
            </w:pPr>
            <w:r>
              <w:t>100%</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秋粮收购办公费</w:t>
            </w:r>
          </w:p>
        </w:tc>
        <w:tc>
          <w:tcPr>
            <w:tcW w:w="5386" w:type="dxa"/>
            <w:vAlign w:val="center"/>
          </w:tcPr>
          <w:p>
            <w:pPr>
              <w:pStyle w:val="13"/>
            </w:pPr>
            <w:r>
              <w:t>秋粮收购其对全县全面巡查过程产生的办公费</w:t>
            </w:r>
          </w:p>
        </w:tc>
        <w:tc>
          <w:tcPr>
            <w:tcW w:w="2268" w:type="dxa"/>
            <w:vAlign w:val="center"/>
          </w:tcPr>
          <w:p>
            <w:pPr>
              <w:pStyle w:val="13"/>
            </w:pPr>
            <w:r>
              <w:t>≤0.8万元</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最低保护价落实率</w:t>
            </w:r>
          </w:p>
        </w:tc>
        <w:tc>
          <w:tcPr>
            <w:tcW w:w="5386" w:type="dxa"/>
            <w:vAlign w:val="center"/>
          </w:tcPr>
          <w:p>
            <w:pPr>
              <w:pStyle w:val="13"/>
            </w:pPr>
            <w:r>
              <w:t>规范粮食收购行为，保证粮农利益</w:t>
            </w:r>
          </w:p>
        </w:tc>
        <w:tc>
          <w:tcPr>
            <w:tcW w:w="2268" w:type="dxa"/>
            <w:vAlign w:val="center"/>
          </w:tcPr>
          <w:p>
            <w:pPr>
              <w:pStyle w:val="13"/>
            </w:pPr>
            <w:r>
              <w:t>100%</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提高农民种粮积极性</w:t>
            </w:r>
          </w:p>
        </w:tc>
        <w:tc>
          <w:tcPr>
            <w:tcW w:w="5386" w:type="dxa"/>
            <w:vAlign w:val="center"/>
          </w:tcPr>
          <w:p>
            <w:pPr>
              <w:pStyle w:val="13"/>
            </w:pPr>
            <w:r>
              <w:t>播种面积/耕地面积</w:t>
            </w:r>
          </w:p>
        </w:tc>
        <w:tc>
          <w:tcPr>
            <w:tcW w:w="2268" w:type="dxa"/>
            <w:vAlign w:val="center"/>
          </w:tcPr>
          <w:p>
            <w:pPr>
              <w:pStyle w:val="13"/>
            </w:pPr>
            <w:r>
              <w:t>≥90%</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12、粮食市场监测、粮食流通法规建设与监督检查经费绩效目标表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13032125P00480D10002M</w:t>
            </w:r>
          </w:p>
        </w:tc>
        <w:tc>
          <w:tcPr>
            <w:tcW w:w="2835" w:type="dxa"/>
            <w:vAlign w:val="center"/>
          </w:tcPr>
          <w:p>
            <w:pPr>
              <w:pStyle w:val="11"/>
            </w:pPr>
            <w:r>
              <w:t>项目名称</w:t>
            </w:r>
          </w:p>
        </w:tc>
        <w:tc>
          <w:tcPr>
            <w:tcW w:w="6095" w:type="dxa"/>
            <w:gridSpan w:val="3"/>
            <w:vAlign w:val="center"/>
          </w:tcPr>
          <w:p>
            <w:pPr>
              <w:pStyle w:val="13"/>
            </w:pPr>
            <w:r>
              <w:t>粮食市场监测、粮食流通法规建设与监督检查经费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预算安排0.5万元，其中财政资金0.5万元，主要用于粮食市场监测、粮食流通法规建设和监督检查经费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1.通过落实行政执法责任制，规范粮食行政执法行为，提高行政执法水平。</w:t>
            </w:r>
            <w:r>
              <w:tab/>
            </w:r>
            <w:r>
              <w:tab/>
            </w:r>
            <w:r>
              <w:tab/>
            </w:r>
            <w:r>
              <w:tab/>
            </w:r>
            <w:r>
              <w:tab/>
            </w:r>
            <w:r>
              <w:tab/>
            </w:r>
          </w:p>
          <w:p>
            <w:pPr>
              <w:pStyle w:val="13"/>
            </w:pPr>
          </w:p>
          <w:p>
            <w:pPr>
              <w:pStyle w:val="13"/>
            </w:pPr>
            <w:r>
              <w:t>2.通过开展执法检查常规化，促进粮食流程市场规范运行。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执法检查粮食购销企业数量</w:t>
            </w:r>
          </w:p>
        </w:tc>
        <w:tc>
          <w:tcPr>
            <w:tcW w:w="5386" w:type="dxa"/>
            <w:vAlign w:val="center"/>
          </w:tcPr>
          <w:p>
            <w:pPr>
              <w:pStyle w:val="13"/>
            </w:pPr>
            <w:r>
              <w:t>对粮食购销企业定期检查</w:t>
            </w:r>
          </w:p>
        </w:tc>
        <w:tc>
          <w:tcPr>
            <w:tcW w:w="2268" w:type="dxa"/>
            <w:vAlign w:val="center"/>
          </w:tcPr>
          <w:p>
            <w:pPr>
              <w:pStyle w:val="13"/>
            </w:pPr>
            <w:r>
              <w:t>≥6家</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粮食行政执法次数</w:t>
            </w:r>
          </w:p>
        </w:tc>
        <w:tc>
          <w:tcPr>
            <w:tcW w:w="5386" w:type="dxa"/>
            <w:vAlign w:val="center"/>
          </w:tcPr>
          <w:p>
            <w:pPr>
              <w:pStyle w:val="13"/>
            </w:pPr>
            <w:r>
              <w:t>秋粮收购期对全县全面巡查进行粮食行政执法次数</w:t>
            </w:r>
          </w:p>
        </w:tc>
        <w:tc>
          <w:tcPr>
            <w:tcW w:w="2268" w:type="dxa"/>
            <w:vAlign w:val="center"/>
          </w:tcPr>
          <w:p>
            <w:pPr>
              <w:pStyle w:val="13"/>
            </w:pPr>
            <w:r>
              <w:t>≥50次</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执法规范率</w:t>
            </w:r>
          </w:p>
        </w:tc>
        <w:tc>
          <w:tcPr>
            <w:tcW w:w="5386" w:type="dxa"/>
            <w:vAlign w:val="center"/>
          </w:tcPr>
          <w:p>
            <w:pPr>
              <w:pStyle w:val="13"/>
            </w:pPr>
            <w:r>
              <w:t>粮食行政执法过程中持证上岗、依法依规检查</w:t>
            </w:r>
          </w:p>
        </w:tc>
        <w:tc>
          <w:tcPr>
            <w:tcW w:w="2268" w:type="dxa"/>
            <w:vAlign w:val="center"/>
          </w:tcPr>
          <w:p>
            <w:pPr>
              <w:pStyle w:val="13"/>
            </w:pPr>
            <w:r>
              <w:t>≥99%</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案件查处办结及时率</w:t>
            </w:r>
          </w:p>
        </w:tc>
        <w:tc>
          <w:tcPr>
            <w:tcW w:w="5386" w:type="dxa"/>
            <w:vAlign w:val="center"/>
          </w:tcPr>
          <w:p>
            <w:pPr>
              <w:pStyle w:val="13"/>
            </w:pPr>
            <w:r>
              <w:t>按规定时限查处案件数占查处案件总数的比率</w:t>
            </w:r>
          </w:p>
        </w:tc>
        <w:tc>
          <w:tcPr>
            <w:tcW w:w="2268" w:type="dxa"/>
            <w:vAlign w:val="center"/>
          </w:tcPr>
          <w:p>
            <w:pPr>
              <w:pStyle w:val="13"/>
            </w:pPr>
            <w:r>
              <w:t>≥95%</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按工作计划完成各项工作任务</w:t>
            </w:r>
          </w:p>
        </w:tc>
        <w:tc>
          <w:tcPr>
            <w:tcW w:w="2268" w:type="dxa"/>
            <w:vAlign w:val="center"/>
          </w:tcPr>
          <w:p>
            <w:pPr>
              <w:pStyle w:val="13"/>
            </w:pPr>
            <w:r>
              <w:t>100%</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秋粮收购办公费</w:t>
            </w:r>
          </w:p>
        </w:tc>
        <w:tc>
          <w:tcPr>
            <w:tcW w:w="5386" w:type="dxa"/>
            <w:vAlign w:val="center"/>
          </w:tcPr>
          <w:p>
            <w:pPr>
              <w:pStyle w:val="13"/>
            </w:pPr>
            <w:r>
              <w:t>秋粮收购其对全县全面巡查过程产生的办公费</w:t>
            </w:r>
          </w:p>
        </w:tc>
        <w:tc>
          <w:tcPr>
            <w:tcW w:w="2268" w:type="dxa"/>
            <w:vAlign w:val="center"/>
          </w:tcPr>
          <w:p>
            <w:pPr>
              <w:pStyle w:val="13"/>
            </w:pPr>
            <w:r>
              <w:t>≤0.5万元</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最低保护价落实率</w:t>
            </w:r>
          </w:p>
        </w:tc>
        <w:tc>
          <w:tcPr>
            <w:tcW w:w="5386" w:type="dxa"/>
            <w:vAlign w:val="center"/>
          </w:tcPr>
          <w:p>
            <w:pPr>
              <w:pStyle w:val="13"/>
            </w:pPr>
            <w:r>
              <w:t>规范粮食收购行为，保证粮农利益</w:t>
            </w:r>
          </w:p>
        </w:tc>
        <w:tc>
          <w:tcPr>
            <w:tcW w:w="2268" w:type="dxa"/>
            <w:vAlign w:val="center"/>
          </w:tcPr>
          <w:p>
            <w:pPr>
              <w:pStyle w:val="13"/>
            </w:pPr>
            <w:r>
              <w:t>100%</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提高农民种粮积极性</w:t>
            </w:r>
          </w:p>
        </w:tc>
        <w:tc>
          <w:tcPr>
            <w:tcW w:w="5386" w:type="dxa"/>
            <w:vAlign w:val="center"/>
          </w:tcPr>
          <w:p>
            <w:pPr>
              <w:pStyle w:val="13"/>
            </w:pPr>
            <w:r>
              <w:t>播种面积/耕地面积</w:t>
            </w:r>
          </w:p>
        </w:tc>
        <w:tc>
          <w:tcPr>
            <w:tcW w:w="2268" w:type="dxa"/>
            <w:vAlign w:val="center"/>
          </w:tcPr>
          <w:p>
            <w:pPr>
              <w:pStyle w:val="13"/>
            </w:pPr>
            <w:r>
              <w:t>≥90%</w:t>
            </w:r>
          </w:p>
        </w:tc>
        <w:tc>
          <w:tcPr>
            <w:tcW w:w="1276" w:type="dxa"/>
            <w:vAlign w:val="center"/>
          </w:tcPr>
          <w:p>
            <w:pPr>
              <w:pStyle w:val="13"/>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13、人民防空办公室经费绩效目标表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13032126P00334910347E</w:t>
            </w:r>
          </w:p>
        </w:tc>
        <w:tc>
          <w:tcPr>
            <w:tcW w:w="2835" w:type="dxa"/>
            <w:vAlign w:val="center"/>
          </w:tcPr>
          <w:p>
            <w:pPr>
              <w:pStyle w:val="11"/>
            </w:pPr>
            <w:r>
              <w:t>项目名称</w:t>
            </w:r>
          </w:p>
        </w:tc>
        <w:tc>
          <w:tcPr>
            <w:tcW w:w="6095" w:type="dxa"/>
            <w:gridSpan w:val="3"/>
            <w:vAlign w:val="center"/>
          </w:tcPr>
          <w:p>
            <w:pPr>
              <w:pStyle w:val="13"/>
            </w:pPr>
            <w:r>
              <w:t>人民防空办公室经费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w:t>
            </w:r>
          </w:p>
        </w:tc>
        <w:tc>
          <w:tcPr>
            <w:tcW w:w="2835" w:type="dxa"/>
            <w:vAlign w:val="center"/>
          </w:tcPr>
          <w:p>
            <w:pPr>
              <w:pStyle w:val="11"/>
            </w:pPr>
            <w:r>
              <w:t>其中：财政    资金</w:t>
            </w:r>
          </w:p>
        </w:tc>
        <w:tc>
          <w:tcPr>
            <w:tcW w:w="2551" w:type="dxa"/>
            <w:vAlign w:val="center"/>
          </w:tcPr>
          <w:p>
            <w:pPr>
              <w:pStyle w:val="13"/>
            </w:pPr>
            <w:r>
              <w:t>1.60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预算安排1.6万元，其中财政资金1.6万元，主要用于支付人民防空办公室相关费用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1.通过购置办公用品，满足人民防空办公室日常工作需要，保证人民防空工作有序进行。</w:t>
            </w:r>
            <w:r>
              <w:tab/>
            </w:r>
            <w:r>
              <w:tab/>
            </w:r>
            <w:r>
              <w:tab/>
            </w:r>
          </w:p>
          <w:p>
            <w:pPr>
              <w:pStyle w:val="13"/>
            </w:pPr>
          </w:p>
          <w:p>
            <w:pPr>
              <w:pStyle w:val="13"/>
            </w:pPr>
            <w:r>
              <w:t>2.通过日常工作有序开展，保证机关工作职能的有效履行。</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集中拉练训练</w:t>
            </w:r>
          </w:p>
        </w:tc>
        <w:tc>
          <w:tcPr>
            <w:tcW w:w="5386" w:type="dxa"/>
            <w:vAlign w:val="center"/>
          </w:tcPr>
          <w:p>
            <w:pPr>
              <w:pStyle w:val="13"/>
            </w:pPr>
            <w:r>
              <w:t>市级组织集中拉练次数</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全国防灾减灾等知识宣传</w:t>
            </w:r>
          </w:p>
        </w:tc>
        <w:tc>
          <w:tcPr>
            <w:tcW w:w="5386" w:type="dxa"/>
            <w:vAlign w:val="center"/>
          </w:tcPr>
          <w:p>
            <w:pPr>
              <w:pStyle w:val="13"/>
            </w:pPr>
            <w:r>
              <w:t>全国防灾减灾等知识宣传次数</w:t>
            </w:r>
          </w:p>
        </w:tc>
        <w:tc>
          <w:tcPr>
            <w:tcW w:w="2268" w:type="dxa"/>
            <w:vAlign w:val="center"/>
          </w:tcPr>
          <w:p>
            <w:pPr>
              <w:pStyle w:val="13"/>
            </w:pPr>
            <w:r>
              <w:t>≥4次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购买办公用品达标率</w:t>
            </w:r>
          </w:p>
        </w:tc>
        <w:tc>
          <w:tcPr>
            <w:tcW w:w="5386" w:type="dxa"/>
            <w:vAlign w:val="center"/>
          </w:tcPr>
          <w:p>
            <w:pPr>
              <w:pStyle w:val="13"/>
            </w:pPr>
            <w:r>
              <w:t>购买办公用品达标率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印刷费用</w:t>
            </w:r>
          </w:p>
        </w:tc>
        <w:tc>
          <w:tcPr>
            <w:tcW w:w="5386" w:type="dxa"/>
            <w:vAlign w:val="center"/>
          </w:tcPr>
          <w:p>
            <w:pPr>
              <w:pStyle w:val="13"/>
            </w:pPr>
            <w:r>
              <w:t>人防办公室印刷各类明白卡、政策宣传品费用</w:t>
            </w:r>
          </w:p>
        </w:tc>
        <w:tc>
          <w:tcPr>
            <w:tcW w:w="2268" w:type="dxa"/>
            <w:vAlign w:val="center"/>
          </w:tcPr>
          <w:p>
            <w:pPr>
              <w:pStyle w:val="13"/>
            </w:pPr>
            <w:r>
              <w:t>≤0.5万元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电脑耗材成本</w:t>
            </w:r>
          </w:p>
        </w:tc>
        <w:tc>
          <w:tcPr>
            <w:tcW w:w="5386" w:type="dxa"/>
            <w:vAlign w:val="center"/>
          </w:tcPr>
          <w:p>
            <w:pPr>
              <w:pStyle w:val="13"/>
            </w:pPr>
            <w:r>
              <w:t>人民防空办公室年度电脑耗材成本</w:t>
            </w:r>
          </w:p>
        </w:tc>
        <w:tc>
          <w:tcPr>
            <w:tcW w:w="2268" w:type="dxa"/>
            <w:vAlign w:val="center"/>
          </w:tcPr>
          <w:p>
            <w:pPr>
              <w:pStyle w:val="13"/>
            </w:pPr>
            <w:r>
              <w:t>≤0.5万元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集中拉练成本</w:t>
            </w:r>
          </w:p>
        </w:tc>
        <w:tc>
          <w:tcPr>
            <w:tcW w:w="5386" w:type="dxa"/>
            <w:vAlign w:val="center"/>
          </w:tcPr>
          <w:p>
            <w:pPr>
              <w:pStyle w:val="13"/>
            </w:pPr>
            <w:r>
              <w:t>年度集中拉练成本</w:t>
            </w:r>
          </w:p>
        </w:tc>
        <w:tc>
          <w:tcPr>
            <w:tcW w:w="2268" w:type="dxa"/>
            <w:vAlign w:val="center"/>
          </w:tcPr>
          <w:p>
            <w:pPr>
              <w:pStyle w:val="13"/>
            </w:pPr>
            <w:r>
              <w:t>≤0.6万元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购买时间</w:t>
            </w:r>
          </w:p>
        </w:tc>
        <w:tc>
          <w:tcPr>
            <w:tcW w:w="5386" w:type="dxa"/>
            <w:vAlign w:val="center"/>
          </w:tcPr>
          <w:p>
            <w:pPr>
              <w:pStyle w:val="13"/>
            </w:pPr>
            <w:r>
              <w:t>购买办公用品到位时间</w:t>
            </w:r>
          </w:p>
        </w:tc>
        <w:tc>
          <w:tcPr>
            <w:tcW w:w="2268" w:type="dxa"/>
            <w:vAlign w:val="center"/>
          </w:tcPr>
          <w:p>
            <w:pPr>
              <w:pStyle w:val="13"/>
            </w:pPr>
            <w:r>
              <w:t>2026年度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做好汛期应急通讯及抢险物资工作</w:t>
            </w:r>
          </w:p>
        </w:tc>
        <w:tc>
          <w:tcPr>
            <w:tcW w:w="5386" w:type="dxa"/>
            <w:vAlign w:val="center"/>
          </w:tcPr>
          <w:p>
            <w:pPr>
              <w:pStyle w:val="13"/>
            </w:pPr>
            <w:r>
              <w:t>保障县内可持续发展</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提高人民群众防震减灾意识</w:t>
            </w:r>
          </w:p>
        </w:tc>
        <w:tc>
          <w:tcPr>
            <w:tcW w:w="5386" w:type="dxa"/>
            <w:vAlign w:val="center"/>
          </w:tcPr>
          <w:p>
            <w:pPr>
              <w:pStyle w:val="13"/>
            </w:pPr>
            <w:r>
              <w:t>通过进行防灾减灾宣传，提高群众安全意识</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通过问卷调查，满意和基本满意的职工占所有调查职工的比例</w:t>
            </w:r>
          </w:p>
        </w:tc>
        <w:tc>
          <w:tcPr>
            <w:tcW w:w="2268" w:type="dxa"/>
            <w:vAlign w:val="center"/>
          </w:tcPr>
          <w:p>
            <w:pPr>
              <w:pStyle w:val="13"/>
            </w:pPr>
            <w:r>
              <w: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14、信访维稳工作经费绩效目标表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13032126P0040B8100029</w:t>
            </w:r>
          </w:p>
        </w:tc>
        <w:tc>
          <w:tcPr>
            <w:tcW w:w="2835" w:type="dxa"/>
            <w:vAlign w:val="center"/>
          </w:tcPr>
          <w:p>
            <w:pPr>
              <w:pStyle w:val="11"/>
            </w:pPr>
            <w:r>
              <w:t>项目名称</w:t>
            </w:r>
          </w:p>
        </w:tc>
        <w:tc>
          <w:tcPr>
            <w:tcW w:w="6095" w:type="dxa"/>
            <w:gridSpan w:val="3"/>
            <w:vAlign w:val="center"/>
          </w:tcPr>
          <w:p>
            <w:pPr>
              <w:pStyle w:val="13"/>
            </w:pPr>
            <w:r>
              <w:t>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0.80</w:t>
            </w:r>
          </w:p>
        </w:tc>
        <w:tc>
          <w:tcPr>
            <w:tcW w:w="2835" w:type="dxa"/>
            <w:vAlign w:val="center"/>
          </w:tcPr>
          <w:p>
            <w:pPr>
              <w:pStyle w:val="11"/>
            </w:pPr>
            <w:r>
              <w:t>其中：财政    资金</w:t>
            </w:r>
          </w:p>
        </w:tc>
        <w:tc>
          <w:tcPr>
            <w:tcW w:w="2551" w:type="dxa"/>
            <w:vAlign w:val="center"/>
          </w:tcPr>
          <w:p>
            <w:pPr>
              <w:pStyle w:val="13"/>
            </w:pPr>
            <w:r>
              <w:t>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预算安排0.8万元，其中财政资金0.8万元，主要用于支付信访相关费用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1.通过加强信访维稳工作有效开展，促进机关正常工作高效运转，减少信访事件。</w:t>
            </w:r>
            <w:r>
              <w:tab/>
            </w:r>
            <w:r>
              <w:tab/>
            </w:r>
            <w:r>
              <w:tab/>
            </w:r>
          </w:p>
          <w:p>
            <w:pPr>
              <w:pStyle w:val="13"/>
            </w:pPr>
          </w:p>
          <w:p>
            <w:pPr>
              <w:pStyle w:val="13"/>
            </w:pPr>
            <w:r>
              <w:t>2.通过及时完成接访任务，实现社会稳定。</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案件数量</w:t>
            </w:r>
          </w:p>
        </w:tc>
        <w:tc>
          <w:tcPr>
            <w:tcW w:w="5386" w:type="dxa"/>
            <w:vAlign w:val="center"/>
          </w:tcPr>
          <w:p>
            <w:pPr>
              <w:pStyle w:val="13"/>
            </w:pPr>
            <w:r>
              <w:t>办结信访案件数量</w:t>
            </w:r>
          </w:p>
        </w:tc>
        <w:tc>
          <w:tcPr>
            <w:tcW w:w="2268" w:type="dxa"/>
            <w:vAlign w:val="center"/>
          </w:tcPr>
          <w:p>
            <w:pPr>
              <w:pStyle w:val="13"/>
            </w:pPr>
            <w:r>
              <w:t>≥10件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案件办结率</w:t>
            </w:r>
          </w:p>
        </w:tc>
        <w:tc>
          <w:tcPr>
            <w:tcW w:w="5386" w:type="dxa"/>
            <w:vAlign w:val="center"/>
          </w:tcPr>
          <w:p>
            <w:pPr>
              <w:pStyle w:val="13"/>
            </w:pPr>
            <w:r>
              <w:t>反映信访案件办结率</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案件受理率</w:t>
            </w:r>
          </w:p>
        </w:tc>
        <w:tc>
          <w:tcPr>
            <w:tcW w:w="5386" w:type="dxa"/>
            <w:vAlign w:val="center"/>
          </w:tcPr>
          <w:p>
            <w:pPr>
              <w:pStyle w:val="13"/>
            </w:pPr>
            <w:r>
              <w:t>反映信访案件受理率</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信访接待率</w:t>
            </w:r>
          </w:p>
        </w:tc>
        <w:tc>
          <w:tcPr>
            <w:tcW w:w="5386" w:type="dxa"/>
            <w:vAlign w:val="center"/>
          </w:tcPr>
          <w:p>
            <w:pPr>
              <w:pStyle w:val="13"/>
            </w:pPr>
            <w:r>
              <w:t>项目信访群众接待人数占信访群众总人数的比重</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接访安全保障率</w:t>
            </w:r>
          </w:p>
        </w:tc>
        <w:tc>
          <w:tcPr>
            <w:tcW w:w="5386" w:type="dxa"/>
            <w:vAlign w:val="center"/>
          </w:tcPr>
          <w:p>
            <w:pPr>
              <w:pStyle w:val="13"/>
            </w:pPr>
            <w:r>
              <w:t>进京进省接访安全保障措施有效执行，保障安全接访的工作完成</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按年初计划完成各项工作任务</w:t>
            </w:r>
          </w:p>
        </w:tc>
        <w:tc>
          <w:tcPr>
            <w:tcW w:w="2268" w:type="dxa"/>
            <w:vAlign w:val="center"/>
          </w:tcPr>
          <w:p>
            <w:pPr>
              <w:pStyle w:val="13"/>
            </w:pPr>
            <w:r>
              <w:t>2026年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信访工作支出</w:t>
            </w:r>
          </w:p>
        </w:tc>
        <w:tc>
          <w:tcPr>
            <w:tcW w:w="5386" w:type="dxa"/>
            <w:vAlign w:val="center"/>
          </w:tcPr>
          <w:p>
            <w:pPr>
              <w:pStyle w:val="13"/>
            </w:pPr>
            <w:r>
              <w:t>项目日常信访工作产生的差旅费等</w:t>
            </w:r>
          </w:p>
        </w:tc>
        <w:tc>
          <w:tcPr>
            <w:tcW w:w="2268" w:type="dxa"/>
            <w:vAlign w:val="center"/>
          </w:tcPr>
          <w:p>
            <w:pPr>
              <w:pStyle w:val="13"/>
            </w:pPr>
            <w:r>
              <w:t>≤0.8万元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无事故发生事件</w:t>
            </w:r>
          </w:p>
        </w:tc>
        <w:tc>
          <w:tcPr>
            <w:tcW w:w="5386" w:type="dxa"/>
            <w:vAlign w:val="center"/>
          </w:tcPr>
          <w:p>
            <w:pPr>
              <w:pStyle w:val="13"/>
            </w:pPr>
            <w:r>
              <w:t>及时化解信访引发的矛盾，解决群众反映强烈的信访问题，降低信访事故发生率</w:t>
            </w:r>
          </w:p>
        </w:tc>
        <w:tc>
          <w:tcPr>
            <w:tcW w:w="2268" w:type="dxa"/>
            <w:vAlign w:val="center"/>
          </w:tcPr>
          <w:p>
            <w:pPr>
              <w:pStyle w:val="13"/>
            </w:pPr>
            <w:r>
              <w:t>≥80%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信访工作支出</w:t>
            </w:r>
          </w:p>
        </w:tc>
        <w:tc>
          <w:tcPr>
            <w:tcW w:w="5386" w:type="dxa"/>
            <w:vAlign w:val="center"/>
          </w:tcPr>
          <w:p>
            <w:pPr>
              <w:pStyle w:val="13"/>
            </w:pPr>
            <w:r>
              <w:t>项目日常信访工作产生的差旅费等</w:t>
            </w:r>
          </w:p>
        </w:tc>
        <w:tc>
          <w:tcPr>
            <w:tcW w:w="2268" w:type="dxa"/>
            <w:vAlign w:val="center"/>
          </w:tcPr>
          <w:p>
            <w:pPr>
              <w:pStyle w:val="13"/>
            </w:pPr>
            <w:r>
              <w:t>≤0.8万元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调查中群众满意的人数占被群众总人数比重</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13032125P0040B810002T</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预算安排0.5万元，，其中财政资金0.5万元，主要用于信访接待工作经费。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1.通过及时完成接访任务，实现社会稳定。</w:t>
            </w:r>
            <w:r>
              <w:tab/>
            </w:r>
            <w:r>
              <w:tab/>
            </w:r>
            <w:r>
              <w:tab/>
            </w:r>
            <w:r>
              <w:tab/>
            </w:r>
            <w:r>
              <w:tab/>
            </w:r>
            <w:r>
              <w:tab/>
            </w:r>
          </w:p>
          <w:p>
            <w:pPr>
              <w:pStyle w:val="13"/>
            </w:pPr>
          </w:p>
          <w:p>
            <w:pPr>
              <w:pStyle w:val="13"/>
            </w:pPr>
            <w:r>
              <w:t>2.通过加强信访维稳工作有效开展，促进机关正常工作高效运转，减少信访事件。</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案件数量</w:t>
            </w:r>
          </w:p>
        </w:tc>
        <w:tc>
          <w:tcPr>
            <w:tcW w:w="5386" w:type="dxa"/>
            <w:vAlign w:val="center"/>
          </w:tcPr>
          <w:p>
            <w:pPr>
              <w:pStyle w:val="13"/>
            </w:pPr>
            <w:r>
              <w:t>办结信访案件数量</w:t>
            </w:r>
          </w:p>
        </w:tc>
        <w:tc>
          <w:tcPr>
            <w:tcW w:w="2268" w:type="dxa"/>
            <w:vAlign w:val="center"/>
          </w:tcPr>
          <w:p>
            <w:pPr>
              <w:pStyle w:val="13"/>
            </w:pPr>
            <w:r>
              <w:t>≥10件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案件办结率</w:t>
            </w:r>
          </w:p>
        </w:tc>
        <w:tc>
          <w:tcPr>
            <w:tcW w:w="5386" w:type="dxa"/>
            <w:vAlign w:val="center"/>
          </w:tcPr>
          <w:p>
            <w:pPr>
              <w:pStyle w:val="13"/>
            </w:pPr>
            <w:r>
              <w:t>反映信访案件办结率</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案件受理率</w:t>
            </w:r>
          </w:p>
        </w:tc>
        <w:tc>
          <w:tcPr>
            <w:tcW w:w="5386" w:type="dxa"/>
            <w:vAlign w:val="center"/>
          </w:tcPr>
          <w:p>
            <w:pPr>
              <w:pStyle w:val="13"/>
            </w:pPr>
            <w:r>
              <w:t>反映信访案件受理率</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信访接待率</w:t>
            </w:r>
          </w:p>
        </w:tc>
        <w:tc>
          <w:tcPr>
            <w:tcW w:w="5386" w:type="dxa"/>
            <w:vAlign w:val="center"/>
          </w:tcPr>
          <w:p>
            <w:pPr>
              <w:pStyle w:val="13"/>
            </w:pPr>
            <w:r>
              <w:t>项目信访群众接待人数占信访群众总人数的比重</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接访安全保障率</w:t>
            </w:r>
          </w:p>
        </w:tc>
        <w:tc>
          <w:tcPr>
            <w:tcW w:w="5386" w:type="dxa"/>
            <w:vAlign w:val="center"/>
          </w:tcPr>
          <w:p>
            <w:pPr>
              <w:pStyle w:val="13"/>
            </w:pPr>
            <w:r>
              <w:t>进京进省接访安全保障措施有效执行，保障安全接访的工作完成</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按年初计划完成各项工作任务</w:t>
            </w:r>
          </w:p>
        </w:tc>
        <w:tc>
          <w:tcPr>
            <w:tcW w:w="2268" w:type="dxa"/>
            <w:vAlign w:val="center"/>
          </w:tcPr>
          <w:p>
            <w:pPr>
              <w:pStyle w:val="13"/>
            </w:pPr>
            <w:r>
              <w:t>2025年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信访工作支出</w:t>
            </w:r>
          </w:p>
        </w:tc>
        <w:tc>
          <w:tcPr>
            <w:tcW w:w="5386" w:type="dxa"/>
            <w:vAlign w:val="center"/>
          </w:tcPr>
          <w:p>
            <w:pPr>
              <w:pStyle w:val="13"/>
            </w:pPr>
            <w:r>
              <w:t>项目日常信访工作产生的差旅费等</w:t>
            </w:r>
          </w:p>
        </w:tc>
        <w:tc>
          <w:tcPr>
            <w:tcW w:w="2268" w:type="dxa"/>
            <w:vAlign w:val="center"/>
          </w:tcPr>
          <w:p>
            <w:pPr>
              <w:pStyle w:val="13"/>
            </w:pPr>
            <w:r>
              <w:t>≤3万元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无事故发生事件</w:t>
            </w:r>
          </w:p>
        </w:tc>
        <w:tc>
          <w:tcPr>
            <w:tcW w:w="5386" w:type="dxa"/>
            <w:vAlign w:val="center"/>
          </w:tcPr>
          <w:p>
            <w:pPr>
              <w:pStyle w:val="13"/>
            </w:pPr>
            <w:r>
              <w:t>及时化解信访引发的矛盾，解决群众反映强烈的信访问题，降低信访事故发生率</w:t>
            </w:r>
          </w:p>
        </w:tc>
        <w:tc>
          <w:tcPr>
            <w:tcW w:w="2268" w:type="dxa"/>
            <w:vAlign w:val="center"/>
          </w:tcPr>
          <w:p>
            <w:pPr>
              <w:pStyle w:val="13"/>
            </w:pPr>
            <w:r>
              <w:t>≥80%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信访工作支出</w:t>
            </w:r>
          </w:p>
        </w:tc>
        <w:tc>
          <w:tcPr>
            <w:tcW w:w="5386" w:type="dxa"/>
            <w:vAlign w:val="center"/>
          </w:tcPr>
          <w:p>
            <w:pPr>
              <w:pStyle w:val="13"/>
            </w:pPr>
            <w:r>
              <w:t>项目日常信访工作产生的差旅费等</w:t>
            </w:r>
          </w:p>
        </w:tc>
        <w:tc>
          <w:tcPr>
            <w:tcW w:w="2268" w:type="dxa"/>
            <w:vAlign w:val="center"/>
          </w:tcPr>
          <w:p>
            <w:pPr>
              <w:pStyle w:val="13"/>
            </w:pPr>
            <w:r>
              <w:t>2万元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调查中群众满意的人数占被群众总人数比重</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16、营商办经费绩效目标表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13032124P00334910278F</w:t>
            </w:r>
          </w:p>
        </w:tc>
        <w:tc>
          <w:tcPr>
            <w:tcW w:w="2835" w:type="dxa"/>
            <w:vAlign w:val="center"/>
          </w:tcPr>
          <w:p>
            <w:pPr>
              <w:pStyle w:val="11"/>
            </w:pPr>
            <w:r>
              <w:t>项目名称</w:t>
            </w:r>
          </w:p>
        </w:tc>
        <w:tc>
          <w:tcPr>
            <w:tcW w:w="6095" w:type="dxa"/>
            <w:gridSpan w:val="3"/>
            <w:vAlign w:val="center"/>
          </w:tcPr>
          <w:p>
            <w:pPr>
              <w:pStyle w:val="13"/>
            </w:pPr>
            <w:r>
              <w:t>营商办经费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0.08</w:t>
            </w:r>
          </w:p>
        </w:tc>
        <w:tc>
          <w:tcPr>
            <w:tcW w:w="2835" w:type="dxa"/>
            <w:vAlign w:val="center"/>
          </w:tcPr>
          <w:p>
            <w:pPr>
              <w:pStyle w:val="11"/>
            </w:pPr>
            <w:r>
              <w:t>其中：财政    资金</w:t>
            </w:r>
          </w:p>
        </w:tc>
        <w:tc>
          <w:tcPr>
            <w:tcW w:w="2551" w:type="dxa"/>
            <w:vAlign w:val="center"/>
          </w:tcPr>
          <w:p>
            <w:pPr>
              <w:pStyle w:val="13"/>
            </w:pPr>
            <w:r>
              <w:t>0.08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预算安排0.0806万元，其中财政资金0.0806万元，主要用于营商办日常公用经费。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1.通过日常工作有序开展，推动营商环境持续优化。</w:t>
            </w:r>
            <w:r>
              <w:tab/>
            </w:r>
            <w:r>
              <w:tab/>
            </w:r>
            <w:r>
              <w:tab/>
            </w:r>
            <w:r>
              <w:tab/>
            </w:r>
            <w:r>
              <w:tab/>
            </w:r>
            <w:r>
              <w:tab/>
            </w:r>
          </w:p>
          <w:p>
            <w:pPr>
              <w:pStyle w:val="13"/>
            </w:pPr>
          </w:p>
          <w:p>
            <w:pPr>
              <w:pStyle w:val="13"/>
            </w:pPr>
            <w:r>
              <w:t>2.通过进行市场满意度调查，增强市场主体满意度，促进县域经济发展。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营商办人数</w:t>
            </w:r>
          </w:p>
        </w:tc>
        <w:tc>
          <w:tcPr>
            <w:tcW w:w="5386" w:type="dxa"/>
            <w:vAlign w:val="center"/>
          </w:tcPr>
          <w:p>
            <w:pPr>
              <w:pStyle w:val="13"/>
            </w:pPr>
            <w:r>
              <w:t>营商办日常办公人数</w:t>
            </w:r>
          </w:p>
        </w:tc>
        <w:tc>
          <w:tcPr>
            <w:tcW w:w="2268" w:type="dxa"/>
            <w:vAlign w:val="center"/>
          </w:tcPr>
          <w:p>
            <w:pPr>
              <w:pStyle w:val="13"/>
            </w:pPr>
            <w:r>
              <w:t>≥10人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营商环境满意度调查次数</w:t>
            </w:r>
          </w:p>
        </w:tc>
        <w:tc>
          <w:tcPr>
            <w:tcW w:w="5386" w:type="dxa"/>
            <w:vAlign w:val="center"/>
          </w:tcPr>
          <w:p>
            <w:pPr>
              <w:pStyle w:val="13"/>
            </w:pPr>
            <w:r>
              <w:t>2024年营商环境满意度调查次数</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营商环境满意度调查主体企业数量</w:t>
            </w:r>
          </w:p>
        </w:tc>
        <w:tc>
          <w:tcPr>
            <w:tcW w:w="5386" w:type="dxa"/>
            <w:vAlign w:val="center"/>
          </w:tcPr>
          <w:p>
            <w:pPr>
              <w:pStyle w:val="13"/>
            </w:pPr>
            <w:r>
              <w:t>2024年度营商环境满意度调查主体企业数量</w:t>
            </w:r>
          </w:p>
        </w:tc>
        <w:tc>
          <w:tcPr>
            <w:tcW w:w="2268" w:type="dxa"/>
            <w:vAlign w:val="center"/>
          </w:tcPr>
          <w:p>
            <w:pPr>
              <w:pStyle w:val="13"/>
            </w:pPr>
            <w:r>
              <w:t>≥1000家</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购买办公用品达标率</w:t>
            </w:r>
          </w:p>
        </w:tc>
        <w:tc>
          <w:tcPr>
            <w:tcW w:w="5386" w:type="dxa"/>
            <w:vAlign w:val="center"/>
          </w:tcPr>
          <w:p>
            <w:pPr>
              <w:pStyle w:val="13"/>
            </w:pPr>
            <w:r>
              <w:t>购买办公用品达标率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印刷费用</w:t>
            </w:r>
          </w:p>
        </w:tc>
        <w:tc>
          <w:tcPr>
            <w:tcW w:w="5386" w:type="dxa"/>
            <w:vAlign w:val="center"/>
          </w:tcPr>
          <w:p>
            <w:pPr>
              <w:pStyle w:val="13"/>
            </w:pPr>
            <w:r>
              <w:t>营商办印刷各类调查问卷、政策宣传品费用</w:t>
            </w:r>
          </w:p>
        </w:tc>
        <w:tc>
          <w:tcPr>
            <w:tcW w:w="2268" w:type="dxa"/>
            <w:vAlign w:val="center"/>
          </w:tcPr>
          <w:p>
            <w:pPr>
              <w:pStyle w:val="13"/>
            </w:pPr>
            <w:r>
              <w:t>≤4万元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笔、墨、纸张等日常办公成本</w:t>
            </w:r>
          </w:p>
        </w:tc>
        <w:tc>
          <w:tcPr>
            <w:tcW w:w="2268" w:type="dxa"/>
            <w:vAlign w:val="center"/>
          </w:tcPr>
          <w:p>
            <w:pPr>
              <w:pStyle w:val="13"/>
            </w:pPr>
            <w:r>
              <w:t>≤8万元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购买时间</w:t>
            </w:r>
          </w:p>
        </w:tc>
        <w:tc>
          <w:tcPr>
            <w:tcW w:w="5386" w:type="dxa"/>
            <w:vAlign w:val="center"/>
          </w:tcPr>
          <w:p>
            <w:pPr>
              <w:pStyle w:val="13"/>
            </w:pPr>
            <w:r>
              <w:t>购买办公用品到位时间</w:t>
            </w:r>
          </w:p>
        </w:tc>
        <w:tc>
          <w:tcPr>
            <w:tcW w:w="2268" w:type="dxa"/>
            <w:vAlign w:val="center"/>
          </w:tcPr>
          <w:p>
            <w:pPr>
              <w:pStyle w:val="13"/>
            </w:pPr>
            <w:r>
              <w:t>2025年度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推动营商环境持续优化</w:t>
            </w:r>
          </w:p>
        </w:tc>
        <w:tc>
          <w:tcPr>
            <w:tcW w:w="5386" w:type="dxa"/>
            <w:vAlign w:val="center"/>
          </w:tcPr>
          <w:p>
            <w:pPr>
              <w:pStyle w:val="13"/>
            </w:pPr>
            <w:r>
              <w:t>通过日常工作有序开展，推动营商环境持续优化。</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促进县域经济发展</w:t>
            </w:r>
          </w:p>
        </w:tc>
        <w:tc>
          <w:tcPr>
            <w:tcW w:w="5386" w:type="dxa"/>
            <w:vAlign w:val="center"/>
          </w:tcPr>
          <w:p>
            <w:pPr>
              <w:pStyle w:val="13"/>
            </w:pPr>
            <w:r>
              <w:t>通过进行市场满意度调查，增强市场主体满意度，持续推进县域经济发展。</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通过问卷调查，满意和基本满意的职工占所有调查职工的比例</w:t>
            </w:r>
          </w:p>
        </w:tc>
        <w:tc>
          <w:tcPr>
            <w:tcW w:w="2268" w:type="dxa"/>
            <w:vAlign w:val="center"/>
          </w:tcPr>
          <w:p>
            <w:pPr>
              <w:pStyle w:val="13"/>
            </w:pPr>
            <w:r>
              <w: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17、营商办经费绩效目标表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13032126P00334910349M</w:t>
            </w:r>
          </w:p>
        </w:tc>
        <w:tc>
          <w:tcPr>
            <w:tcW w:w="2835" w:type="dxa"/>
            <w:vAlign w:val="center"/>
          </w:tcPr>
          <w:p>
            <w:pPr>
              <w:pStyle w:val="11"/>
            </w:pPr>
            <w:r>
              <w:t>项目名称</w:t>
            </w:r>
          </w:p>
        </w:tc>
        <w:tc>
          <w:tcPr>
            <w:tcW w:w="6095" w:type="dxa"/>
            <w:gridSpan w:val="3"/>
            <w:vAlign w:val="center"/>
          </w:tcPr>
          <w:p>
            <w:pPr>
              <w:pStyle w:val="13"/>
            </w:pPr>
            <w:r>
              <w:t>营商办经费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预算安排5万元，其中财政资金5万元，主要用于支付营商办相关费用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1.通过进行市场满意度调查，增强市场主体满意度，促进县域经济发展。</w:t>
            </w:r>
            <w:r>
              <w:tab/>
            </w:r>
            <w:r>
              <w:tab/>
            </w:r>
            <w:r>
              <w:tab/>
            </w:r>
          </w:p>
          <w:p>
            <w:pPr>
              <w:pStyle w:val="13"/>
            </w:pPr>
          </w:p>
          <w:p>
            <w:pPr>
              <w:pStyle w:val="13"/>
            </w:pPr>
            <w:r>
              <w:t>2.通过日常工作有序开展，推动营商环境持续优化。</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营商办人数</w:t>
            </w:r>
          </w:p>
        </w:tc>
        <w:tc>
          <w:tcPr>
            <w:tcW w:w="5386" w:type="dxa"/>
            <w:vAlign w:val="center"/>
          </w:tcPr>
          <w:p>
            <w:pPr>
              <w:pStyle w:val="13"/>
            </w:pPr>
            <w:r>
              <w:t>营商办日常办公人数</w:t>
            </w:r>
          </w:p>
        </w:tc>
        <w:tc>
          <w:tcPr>
            <w:tcW w:w="2268" w:type="dxa"/>
            <w:vAlign w:val="center"/>
          </w:tcPr>
          <w:p>
            <w:pPr>
              <w:pStyle w:val="13"/>
            </w:pPr>
            <w:r>
              <w:t>≤10人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营商环境满意度调查次数</w:t>
            </w:r>
          </w:p>
        </w:tc>
        <w:tc>
          <w:tcPr>
            <w:tcW w:w="5386" w:type="dxa"/>
            <w:vAlign w:val="center"/>
          </w:tcPr>
          <w:p>
            <w:pPr>
              <w:pStyle w:val="13"/>
            </w:pPr>
            <w:r>
              <w:t>2026年营商环境满意度调查次数</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营商环境满意度调查主体企业数量</w:t>
            </w:r>
          </w:p>
        </w:tc>
        <w:tc>
          <w:tcPr>
            <w:tcW w:w="5386" w:type="dxa"/>
            <w:vAlign w:val="center"/>
          </w:tcPr>
          <w:p>
            <w:pPr>
              <w:pStyle w:val="13"/>
            </w:pPr>
            <w:r>
              <w:t>2026年度营商环境满意度调查主体企业数量</w:t>
            </w:r>
          </w:p>
        </w:tc>
        <w:tc>
          <w:tcPr>
            <w:tcW w:w="2268" w:type="dxa"/>
            <w:vAlign w:val="center"/>
          </w:tcPr>
          <w:p>
            <w:pPr>
              <w:pStyle w:val="13"/>
            </w:pPr>
            <w:r>
              <w:t>≥1000家</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购买办公用品达标率</w:t>
            </w:r>
          </w:p>
        </w:tc>
        <w:tc>
          <w:tcPr>
            <w:tcW w:w="5386" w:type="dxa"/>
            <w:vAlign w:val="center"/>
          </w:tcPr>
          <w:p>
            <w:pPr>
              <w:pStyle w:val="13"/>
            </w:pPr>
            <w:r>
              <w:t>购买办公用品达标率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印刷费用</w:t>
            </w:r>
          </w:p>
        </w:tc>
        <w:tc>
          <w:tcPr>
            <w:tcW w:w="5386" w:type="dxa"/>
            <w:vAlign w:val="center"/>
          </w:tcPr>
          <w:p>
            <w:pPr>
              <w:pStyle w:val="13"/>
            </w:pPr>
            <w:r>
              <w:t>营商办印刷各类调查问卷、政策宣传品费用</w:t>
            </w:r>
          </w:p>
        </w:tc>
        <w:tc>
          <w:tcPr>
            <w:tcW w:w="2268" w:type="dxa"/>
            <w:vAlign w:val="center"/>
          </w:tcPr>
          <w:p>
            <w:pPr>
              <w:pStyle w:val="13"/>
            </w:pPr>
            <w:r>
              <w:t>≤4万元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笔、墨、纸张等日常办公成本</w:t>
            </w:r>
          </w:p>
        </w:tc>
        <w:tc>
          <w:tcPr>
            <w:tcW w:w="2268" w:type="dxa"/>
            <w:vAlign w:val="center"/>
          </w:tcPr>
          <w:p>
            <w:pPr>
              <w:pStyle w:val="13"/>
            </w:pPr>
            <w:r>
              <w:t>≤8万元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购买时间</w:t>
            </w:r>
          </w:p>
        </w:tc>
        <w:tc>
          <w:tcPr>
            <w:tcW w:w="5386" w:type="dxa"/>
            <w:vAlign w:val="center"/>
          </w:tcPr>
          <w:p>
            <w:pPr>
              <w:pStyle w:val="13"/>
            </w:pPr>
            <w:r>
              <w:t>购买办公用品到位时间</w:t>
            </w:r>
          </w:p>
        </w:tc>
        <w:tc>
          <w:tcPr>
            <w:tcW w:w="2268" w:type="dxa"/>
            <w:vAlign w:val="center"/>
          </w:tcPr>
          <w:p>
            <w:pPr>
              <w:pStyle w:val="13"/>
            </w:pPr>
            <w:r>
              <w:t>2026年度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推动营商环境持续优化</w:t>
            </w:r>
          </w:p>
        </w:tc>
        <w:tc>
          <w:tcPr>
            <w:tcW w:w="5386" w:type="dxa"/>
            <w:vAlign w:val="center"/>
          </w:tcPr>
          <w:p>
            <w:pPr>
              <w:pStyle w:val="13"/>
            </w:pPr>
            <w:r>
              <w:t>通过日常工作有序开展，推动营商环境持续优化。</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促进县域经济发展</w:t>
            </w:r>
          </w:p>
        </w:tc>
        <w:tc>
          <w:tcPr>
            <w:tcW w:w="5386" w:type="dxa"/>
            <w:vAlign w:val="center"/>
          </w:tcPr>
          <w:p>
            <w:pPr>
              <w:pStyle w:val="13"/>
            </w:pPr>
            <w:r>
              <w:t>通过进行市场满意度调查，增强市场主体满意度，持续推进县域经济发展。</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通过问卷调查，满意和基本满意的职工占所有调查职工的比例</w:t>
            </w:r>
          </w:p>
        </w:tc>
        <w:tc>
          <w:tcPr>
            <w:tcW w:w="2268" w:type="dxa"/>
            <w:vAlign w:val="center"/>
          </w:tcPr>
          <w:p>
            <w:pPr>
              <w:pStyle w:val="13"/>
            </w:pPr>
            <w:r>
              <w: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18、编制《青龙满族自治县碳达峰实施方案》款绩效目标表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13032126P00011610239J</w:t>
            </w:r>
          </w:p>
        </w:tc>
        <w:tc>
          <w:tcPr>
            <w:tcW w:w="2835" w:type="dxa"/>
            <w:vAlign w:val="center"/>
          </w:tcPr>
          <w:p>
            <w:pPr>
              <w:pStyle w:val="11"/>
            </w:pPr>
            <w:r>
              <w:t>项目名称</w:t>
            </w:r>
          </w:p>
        </w:tc>
        <w:tc>
          <w:tcPr>
            <w:tcW w:w="6095" w:type="dxa"/>
            <w:gridSpan w:val="3"/>
            <w:vAlign w:val="center"/>
          </w:tcPr>
          <w:p>
            <w:pPr>
              <w:pStyle w:val="13"/>
            </w:pPr>
            <w:r>
              <w:t>编制《青龙满族自治县碳达峰实施方案》款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17.90</w:t>
            </w:r>
          </w:p>
        </w:tc>
        <w:tc>
          <w:tcPr>
            <w:tcW w:w="2835" w:type="dxa"/>
            <w:vAlign w:val="center"/>
          </w:tcPr>
          <w:p>
            <w:pPr>
              <w:pStyle w:val="11"/>
            </w:pPr>
            <w:r>
              <w:t>其中：财政    资金</w:t>
            </w:r>
          </w:p>
        </w:tc>
        <w:tc>
          <w:tcPr>
            <w:tcW w:w="2551" w:type="dxa"/>
            <w:vAlign w:val="center"/>
          </w:tcPr>
          <w:p>
            <w:pPr>
              <w:pStyle w:val="13"/>
            </w:pPr>
            <w:r>
              <w:t>17.90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预算安排17.9万元，其中财政资金17.9万元，主要用于支付编制《青龙满族自治县碳达峰实施方案》款相关费用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1.通过及时拨付规划编制费用，保障企业正常运行，促进长久合作。</w:t>
            </w:r>
            <w:r>
              <w:tab/>
            </w:r>
            <w:r>
              <w:tab/>
            </w:r>
            <w:r>
              <w:tab/>
            </w:r>
          </w:p>
          <w:p>
            <w:pPr>
              <w:pStyle w:val="13"/>
            </w:pPr>
          </w:p>
          <w:p>
            <w:pPr>
              <w:pStyle w:val="13"/>
            </w:pPr>
            <w:r>
              <w:t>2.通过及时拨付规划编制费用，增强政府公信力。</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委托编制数量</w:t>
            </w:r>
          </w:p>
        </w:tc>
        <w:tc>
          <w:tcPr>
            <w:tcW w:w="5386" w:type="dxa"/>
            <w:vAlign w:val="center"/>
          </w:tcPr>
          <w:p>
            <w:pPr>
              <w:pStyle w:val="13"/>
            </w:pPr>
            <w:r>
              <w:t>委托编制目标纲要和发展规划数量</w:t>
            </w:r>
          </w:p>
        </w:tc>
        <w:tc>
          <w:tcPr>
            <w:tcW w:w="2268" w:type="dxa"/>
            <w:vAlign w:val="center"/>
          </w:tcPr>
          <w:p>
            <w:pPr>
              <w:pStyle w:val="13"/>
            </w:pPr>
            <w:r>
              <w:t>1份</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支付完成率</w:t>
            </w:r>
          </w:p>
        </w:tc>
        <w:tc>
          <w:tcPr>
            <w:tcW w:w="5386" w:type="dxa"/>
            <w:vAlign w:val="center"/>
          </w:tcPr>
          <w:p>
            <w:pPr>
              <w:pStyle w:val="13"/>
            </w:pPr>
            <w:r>
              <w:t>年度内完成支付完成率的比例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能及时完成支付的占总支付额比例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编制费用拨付完成时间</w:t>
            </w:r>
          </w:p>
        </w:tc>
        <w:tc>
          <w:tcPr>
            <w:tcW w:w="2268" w:type="dxa"/>
            <w:vAlign w:val="center"/>
          </w:tcPr>
          <w:p>
            <w:pPr>
              <w:pStyle w:val="13"/>
            </w:pPr>
            <w:r>
              <w:t>2026年度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编制《青龙满族自治县碳达峰实施方案》成本</w:t>
            </w:r>
          </w:p>
        </w:tc>
        <w:tc>
          <w:tcPr>
            <w:tcW w:w="5386" w:type="dxa"/>
            <w:vAlign w:val="center"/>
          </w:tcPr>
          <w:p>
            <w:pPr>
              <w:pStyle w:val="13"/>
            </w:pPr>
            <w:r>
              <w:t>编制《青龙满族自治县碳达峰实施方案》成本</w:t>
            </w:r>
          </w:p>
        </w:tc>
        <w:tc>
          <w:tcPr>
            <w:tcW w:w="2268" w:type="dxa"/>
            <w:vAlign w:val="center"/>
          </w:tcPr>
          <w:p>
            <w:pPr>
              <w:pStyle w:val="13"/>
            </w:pPr>
            <w:r>
              <w:t>17.9万元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政府工作正常运行</w:t>
            </w:r>
          </w:p>
        </w:tc>
        <w:tc>
          <w:tcPr>
            <w:tcW w:w="5386" w:type="dxa"/>
            <w:vAlign w:val="center"/>
          </w:tcPr>
          <w:p>
            <w:pPr>
              <w:pStyle w:val="13"/>
            </w:pPr>
            <w:r>
              <w:t>提高政府公信力，保证政府相关工作正常运行</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提高企业收入</w:t>
            </w:r>
          </w:p>
        </w:tc>
        <w:tc>
          <w:tcPr>
            <w:tcW w:w="5386" w:type="dxa"/>
            <w:vAlign w:val="center"/>
          </w:tcPr>
          <w:p>
            <w:pPr>
              <w:pStyle w:val="13"/>
            </w:pPr>
            <w:r>
              <w:t>通过及时拨付规划编制费用，提高企业收入，保障企业正常运行，促进长久合作。</w:t>
            </w:r>
          </w:p>
        </w:tc>
        <w:tc>
          <w:tcPr>
            <w:tcW w:w="2268" w:type="dxa"/>
            <w:vAlign w:val="center"/>
          </w:tcPr>
          <w:p>
            <w:pPr>
              <w:pStyle w:val="13"/>
            </w:pPr>
            <w:r>
              <w:t>17.9万元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调查中满意企业数占调查企业总数的比率</w:t>
            </w:r>
          </w:p>
        </w:tc>
        <w:tc>
          <w:tcPr>
            <w:tcW w:w="2268" w:type="dxa"/>
            <w:vAlign w:val="center"/>
          </w:tcPr>
          <w:p>
            <w:pPr>
              <w:pStyle w:val="13"/>
            </w:pPr>
            <w:r>
              <w:t>100%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19、储备粮利息费用补贴绩效目标表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13032125P00686L10002X</w:t>
            </w:r>
          </w:p>
        </w:tc>
        <w:tc>
          <w:tcPr>
            <w:tcW w:w="2835" w:type="dxa"/>
            <w:vAlign w:val="center"/>
          </w:tcPr>
          <w:p>
            <w:pPr>
              <w:pStyle w:val="11"/>
            </w:pPr>
            <w:r>
              <w:t>项目名称</w:t>
            </w:r>
          </w:p>
        </w:tc>
        <w:tc>
          <w:tcPr>
            <w:tcW w:w="6095" w:type="dxa"/>
            <w:gridSpan w:val="3"/>
            <w:vAlign w:val="center"/>
          </w:tcPr>
          <w:p>
            <w:pPr>
              <w:pStyle w:val="13"/>
            </w:pPr>
            <w:r>
              <w:t>储备粮利息费用补贴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121.81</w:t>
            </w:r>
          </w:p>
        </w:tc>
        <w:tc>
          <w:tcPr>
            <w:tcW w:w="2835" w:type="dxa"/>
            <w:vAlign w:val="center"/>
          </w:tcPr>
          <w:p>
            <w:pPr>
              <w:pStyle w:val="11"/>
            </w:pPr>
            <w:r>
              <w:t>其中：财政    资金</w:t>
            </w:r>
          </w:p>
        </w:tc>
        <w:tc>
          <w:tcPr>
            <w:tcW w:w="2551" w:type="dxa"/>
            <w:vAlign w:val="center"/>
          </w:tcPr>
          <w:p>
            <w:pPr>
              <w:pStyle w:val="13"/>
            </w:pPr>
            <w:r>
              <w:t>121.81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预算安排121.814433万元，其中财政资金121.814433万元，主要用于储备粮利息费用补贴资金。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1.通过按时支付农业发展银行贷款利息，促进储备粮工作正常运行。</w:t>
            </w:r>
            <w:r>
              <w:tab/>
            </w:r>
            <w:r>
              <w:tab/>
            </w:r>
            <w:r>
              <w:tab/>
            </w:r>
            <w:r>
              <w:tab/>
            </w:r>
            <w:r>
              <w:tab/>
            </w:r>
            <w:r>
              <w:tab/>
            </w:r>
          </w:p>
          <w:p>
            <w:pPr>
              <w:pStyle w:val="13"/>
            </w:pPr>
          </w:p>
          <w:p>
            <w:pPr>
              <w:pStyle w:val="13"/>
            </w:pPr>
            <w:r>
              <w:t>2.通过足额轮入5200吨优质小麦，促进县级储备粮工作顺利完成</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储备粮吨数</w:t>
            </w:r>
          </w:p>
        </w:tc>
        <w:tc>
          <w:tcPr>
            <w:tcW w:w="5386" w:type="dxa"/>
            <w:vAlign w:val="center"/>
          </w:tcPr>
          <w:p>
            <w:pPr>
              <w:pStyle w:val="13"/>
            </w:pPr>
            <w:r>
              <w:t>县级储备粮数量</w:t>
            </w:r>
          </w:p>
        </w:tc>
        <w:tc>
          <w:tcPr>
            <w:tcW w:w="2268" w:type="dxa"/>
            <w:vAlign w:val="center"/>
          </w:tcPr>
          <w:p>
            <w:pPr>
              <w:pStyle w:val="13"/>
            </w:pPr>
            <w:r>
              <w:t>≥5200吨</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储备粮贷款额度</w:t>
            </w:r>
          </w:p>
        </w:tc>
        <w:tc>
          <w:tcPr>
            <w:tcW w:w="5386" w:type="dxa"/>
            <w:vAlign w:val="center"/>
          </w:tcPr>
          <w:p>
            <w:pPr>
              <w:pStyle w:val="13"/>
            </w:pPr>
            <w:r>
              <w:t>保证完成储备粮农业发展银行贷款额度</w:t>
            </w:r>
          </w:p>
        </w:tc>
        <w:tc>
          <w:tcPr>
            <w:tcW w:w="2268" w:type="dxa"/>
            <w:vAlign w:val="center"/>
          </w:tcPr>
          <w:p>
            <w:pPr>
              <w:pStyle w:val="13"/>
            </w:pPr>
            <w:r>
              <w:t>≥1225.6万元</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储备粮达标率</w:t>
            </w:r>
          </w:p>
        </w:tc>
        <w:tc>
          <w:tcPr>
            <w:tcW w:w="5386" w:type="dxa"/>
            <w:vAlign w:val="center"/>
          </w:tcPr>
          <w:p>
            <w:pPr>
              <w:pStyle w:val="13"/>
            </w:pPr>
            <w:r>
              <w:t>达到入库二等以上优质小麦</w:t>
            </w:r>
          </w:p>
        </w:tc>
        <w:tc>
          <w:tcPr>
            <w:tcW w:w="2268" w:type="dxa"/>
            <w:vAlign w:val="center"/>
          </w:tcPr>
          <w:p>
            <w:pPr>
              <w:pStyle w:val="13"/>
            </w:pPr>
            <w:r>
              <w:t>100%</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贷款利息补贴率</w:t>
            </w:r>
          </w:p>
        </w:tc>
        <w:tc>
          <w:tcPr>
            <w:tcW w:w="5386" w:type="dxa"/>
            <w:vAlign w:val="center"/>
          </w:tcPr>
          <w:p>
            <w:pPr>
              <w:pStyle w:val="13"/>
            </w:pPr>
            <w:r>
              <w:t>储备粮农业发展银行贷款利息补贴比率</w:t>
            </w:r>
          </w:p>
        </w:tc>
        <w:tc>
          <w:tcPr>
            <w:tcW w:w="2268" w:type="dxa"/>
            <w:vAlign w:val="center"/>
          </w:tcPr>
          <w:p>
            <w:pPr>
              <w:pStyle w:val="13"/>
            </w:pPr>
            <w:r>
              <w:t>100%</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按县级储备粮管理办法完成各项工作任务</w:t>
            </w:r>
          </w:p>
        </w:tc>
        <w:tc>
          <w:tcPr>
            <w:tcW w:w="2268" w:type="dxa"/>
            <w:vAlign w:val="center"/>
          </w:tcPr>
          <w:p>
            <w:pPr>
              <w:pStyle w:val="13"/>
            </w:pPr>
            <w:r>
              <w:t>2026年底</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县级储备粮管理费</w:t>
            </w:r>
          </w:p>
        </w:tc>
        <w:tc>
          <w:tcPr>
            <w:tcW w:w="5386" w:type="dxa"/>
            <w:vAlign w:val="center"/>
          </w:tcPr>
          <w:p>
            <w:pPr>
              <w:pStyle w:val="13"/>
            </w:pPr>
            <w:r>
              <w:t>每吨县级储备粮管理费补贴</w:t>
            </w:r>
          </w:p>
        </w:tc>
        <w:tc>
          <w:tcPr>
            <w:tcW w:w="2268" w:type="dxa"/>
            <w:vAlign w:val="center"/>
          </w:tcPr>
          <w:p>
            <w:pPr>
              <w:pStyle w:val="13"/>
            </w:pPr>
            <w:r>
              <w:t>≤20万元</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县级储备粮利息</w:t>
            </w:r>
          </w:p>
        </w:tc>
        <w:tc>
          <w:tcPr>
            <w:tcW w:w="5386" w:type="dxa"/>
            <w:vAlign w:val="center"/>
          </w:tcPr>
          <w:p>
            <w:pPr>
              <w:pStyle w:val="13"/>
            </w:pPr>
            <w:r>
              <w:t>每吨县级储备粮利息补贴</w:t>
            </w:r>
          </w:p>
        </w:tc>
        <w:tc>
          <w:tcPr>
            <w:tcW w:w="2268" w:type="dxa"/>
            <w:vAlign w:val="center"/>
          </w:tcPr>
          <w:p>
            <w:pPr>
              <w:pStyle w:val="13"/>
            </w:pPr>
            <w:r>
              <w:t>≤138.4万元</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确保粮食安全</w:t>
            </w:r>
          </w:p>
        </w:tc>
        <w:tc>
          <w:tcPr>
            <w:tcW w:w="5386" w:type="dxa"/>
            <w:vAlign w:val="center"/>
          </w:tcPr>
          <w:p>
            <w:pPr>
              <w:pStyle w:val="13"/>
            </w:pPr>
            <w:r>
              <w:t>落实县级储备计划，确保粮食安全</w:t>
            </w:r>
          </w:p>
        </w:tc>
        <w:tc>
          <w:tcPr>
            <w:tcW w:w="2268" w:type="dxa"/>
            <w:vAlign w:val="center"/>
          </w:tcPr>
          <w:p>
            <w:pPr>
              <w:pStyle w:val="13"/>
            </w:pPr>
            <w:r>
              <w:t>100%</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储备粮贷款利息利率</w:t>
            </w:r>
          </w:p>
        </w:tc>
        <w:tc>
          <w:tcPr>
            <w:tcW w:w="5386" w:type="dxa"/>
            <w:vAlign w:val="center"/>
          </w:tcPr>
          <w:p>
            <w:pPr>
              <w:pStyle w:val="13"/>
            </w:pPr>
            <w:r>
              <w:t>储备粮贷款实际利率</w:t>
            </w:r>
          </w:p>
        </w:tc>
        <w:tc>
          <w:tcPr>
            <w:tcW w:w="2268" w:type="dxa"/>
            <w:vAlign w:val="center"/>
          </w:tcPr>
          <w:p>
            <w:pPr>
              <w:pStyle w:val="13"/>
            </w:pPr>
            <w:r>
              <w:t>100%</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承储企业和贷款银行满意度</w:t>
            </w:r>
          </w:p>
        </w:tc>
        <w:tc>
          <w:tcPr>
            <w:tcW w:w="5386" w:type="dxa"/>
            <w:vAlign w:val="center"/>
          </w:tcPr>
          <w:p>
            <w:pPr>
              <w:pStyle w:val="13"/>
            </w:pPr>
            <w:r>
              <w:t>承储企业和贷款银行满意数量占总数的比例</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20、储备粮利息费用补贴绩效目标表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13032126P00009810004P</w:t>
            </w:r>
          </w:p>
        </w:tc>
        <w:tc>
          <w:tcPr>
            <w:tcW w:w="2835" w:type="dxa"/>
            <w:vAlign w:val="center"/>
          </w:tcPr>
          <w:p>
            <w:pPr>
              <w:pStyle w:val="11"/>
            </w:pPr>
            <w:r>
              <w:t>项目名称</w:t>
            </w:r>
          </w:p>
        </w:tc>
        <w:tc>
          <w:tcPr>
            <w:tcW w:w="6095" w:type="dxa"/>
            <w:gridSpan w:val="3"/>
            <w:vAlign w:val="center"/>
          </w:tcPr>
          <w:p>
            <w:pPr>
              <w:pStyle w:val="13"/>
            </w:pPr>
            <w:r>
              <w:t>储备粮利息费用补贴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158.40</w:t>
            </w:r>
          </w:p>
        </w:tc>
        <w:tc>
          <w:tcPr>
            <w:tcW w:w="2835" w:type="dxa"/>
            <w:vAlign w:val="center"/>
          </w:tcPr>
          <w:p>
            <w:pPr>
              <w:pStyle w:val="11"/>
            </w:pPr>
            <w:r>
              <w:t>其中：财政    资金</w:t>
            </w:r>
          </w:p>
        </w:tc>
        <w:tc>
          <w:tcPr>
            <w:tcW w:w="2551" w:type="dxa"/>
            <w:vAlign w:val="center"/>
          </w:tcPr>
          <w:p>
            <w:pPr>
              <w:pStyle w:val="13"/>
            </w:pPr>
            <w:r>
              <w:t>158.40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预算安排158.4万元，其中财政资金158.4万元，主要用于支付储备粮利息费用相关</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1.通过足额轮入5200吨优质小麦，促进县级储备粮工作顺利完成</w:t>
            </w:r>
            <w:r>
              <w:tab/>
            </w:r>
            <w:r>
              <w:tab/>
            </w:r>
            <w:r>
              <w:tab/>
            </w:r>
          </w:p>
          <w:p>
            <w:pPr>
              <w:pStyle w:val="13"/>
            </w:pPr>
          </w:p>
          <w:p>
            <w:pPr>
              <w:pStyle w:val="13"/>
            </w:pPr>
            <w:r>
              <w:t>2.通过按时支付农业发展银行贷款利息，促进储备粮工作正常运行。</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储备粮吨数</w:t>
            </w:r>
          </w:p>
        </w:tc>
        <w:tc>
          <w:tcPr>
            <w:tcW w:w="5386" w:type="dxa"/>
            <w:vAlign w:val="center"/>
          </w:tcPr>
          <w:p>
            <w:pPr>
              <w:pStyle w:val="13"/>
            </w:pPr>
            <w:r>
              <w:t>县级储备粮数量</w:t>
            </w:r>
          </w:p>
        </w:tc>
        <w:tc>
          <w:tcPr>
            <w:tcW w:w="2268" w:type="dxa"/>
            <w:vAlign w:val="center"/>
          </w:tcPr>
          <w:p>
            <w:pPr>
              <w:pStyle w:val="13"/>
            </w:pPr>
            <w:r>
              <w:t>≥5200吨</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储备粮贷款额度</w:t>
            </w:r>
          </w:p>
        </w:tc>
        <w:tc>
          <w:tcPr>
            <w:tcW w:w="5386" w:type="dxa"/>
            <w:vAlign w:val="center"/>
          </w:tcPr>
          <w:p>
            <w:pPr>
              <w:pStyle w:val="13"/>
            </w:pPr>
            <w:r>
              <w:t>保证完成储备粮农业发展银行贷款额度</w:t>
            </w:r>
          </w:p>
        </w:tc>
        <w:tc>
          <w:tcPr>
            <w:tcW w:w="2268" w:type="dxa"/>
            <w:vAlign w:val="center"/>
          </w:tcPr>
          <w:p>
            <w:pPr>
              <w:pStyle w:val="13"/>
            </w:pPr>
            <w:r>
              <w:t>≥1225.6万元</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储备粮达标率</w:t>
            </w:r>
          </w:p>
        </w:tc>
        <w:tc>
          <w:tcPr>
            <w:tcW w:w="5386" w:type="dxa"/>
            <w:vAlign w:val="center"/>
          </w:tcPr>
          <w:p>
            <w:pPr>
              <w:pStyle w:val="13"/>
            </w:pPr>
            <w:r>
              <w:t>达到入库二等以上优质小麦</w:t>
            </w:r>
          </w:p>
        </w:tc>
        <w:tc>
          <w:tcPr>
            <w:tcW w:w="2268" w:type="dxa"/>
            <w:vAlign w:val="center"/>
          </w:tcPr>
          <w:p>
            <w:pPr>
              <w:pStyle w:val="13"/>
            </w:pPr>
            <w:r>
              <w:t>100%</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贷款利息补贴率</w:t>
            </w:r>
          </w:p>
        </w:tc>
        <w:tc>
          <w:tcPr>
            <w:tcW w:w="5386" w:type="dxa"/>
            <w:vAlign w:val="center"/>
          </w:tcPr>
          <w:p>
            <w:pPr>
              <w:pStyle w:val="13"/>
            </w:pPr>
            <w:r>
              <w:t>储备粮农业发展银行贷款利息补贴比率</w:t>
            </w:r>
          </w:p>
        </w:tc>
        <w:tc>
          <w:tcPr>
            <w:tcW w:w="2268" w:type="dxa"/>
            <w:vAlign w:val="center"/>
          </w:tcPr>
          <w:p>
            <w:pPr>
              <w:pStyle w:val="13"/>
            </w:pPr>
            <w:r>
              <w:t>100%</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按县级储备粮管理办法完成各项工作任务</w:t>
            </w:r>
          </w:p>
        </w:tc>
        <w:tc>
          <w:tcPr>
            <w:tcW w:w="2268" w:type="dxa"/>
            <w:vAlign w:val="center"/>
          </w:tcPr>
          <w:p>
            <w:pPr>
              <w:pStyle w:val="13"/>
            </w:pPr>
            <w:r>
              <w:t>2026年底</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县级储备粮管理费</w:t>
            </w:r>
          </w:p>
        </w:tc>
        <w:tc>
          <w:tcPr>
            <w:tcW w:w="5386" w:type="dxa"/>
            <w:vAlign w:val="center"/>
          </w:tcPr>
          <w:p>
            <w:pPr>
              <w:pStyle w:val="13"/>
            </w:pPr>
            <w:r>
              <w:t>每吨县级储备粮管理费补贴</w:t>
            </w:r>
          </w:p>
        </w:tc>
        <w:tc>
          <w:tcPr>
            <w:tcW w:w="2268" w:type="dxa"/>
            <w:vAlign w:val="center"/>
          </w:tcPr>
          <w:p>
            <w:pPr>
              <w:pStyle w:val="13"/>
            </w:pPr>
            <w:r>
              <w:t>≤20万元</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县级储备粮利息</w:t>
            </w:r>
          </w:p>
        </w:tc>
        <w:tc>
          <w:tcPr>
            <w:tcW w:w="5386" w:type="dxa"/>
            <w:vAlign w:val="center"/>
          </w:tcPr>
          <w:p>
            <w:pPr>
              <w:pStyle w:val="13"/>
            </w:pPr>
            <w:r>
              <w:t>每吨县级储备粮利息补贴</w:t>
            </w:r>
          </w:p>
        </w:tc>
        <w:tc>
          <w:tcPr>
            <w:tcW w:w="2268" w:type="dxa"/>
            <w:vAlign w:val="center"/>
          </w:tcPr>
          <w:p>
            <w:pPr>
              <w:pStyle w:val="13"/>
            </w:pPr>
            <w:r>
              <w:t>≤138.4万元</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确保粮食安全</w:t>
            </w:r>
          </w:p>
        </w:tc>
        <w:tc>
          <w:tcPr>
            <w:tcW w:w="5386" w:type="dxa"/>
            <w:vAlign w:val="center"/>
          </w:tcPr>
          <w:p>
            <w:pPr>
              <w:pStyle w:val="13"/>
            </w:pPr>
            <w:r>
              <w:t>落实县级储备计划，确保粮食安全</w:t>
            </w:r>
          </w:p>
        </w:tc>
        <w:tc>
          <w:tcPr>
            <w:tcW w:w="2268" w:type="dxa"/>
            <w:vAlign w:val="center"/>
          </w:tcPr>
          <w:p>
            <w:pPr>
              <w:pStyle w:val="13"/>
            </w:pPr>
            <w:r>
              <w:t>100%</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储备粮贷款利息利率</w:t>
            </w:r>
          </w:p>
        </w:tc>
        <w:tc>
          <w:tcPr>
            <w:tcW w:w="5386" w:type="dxa"/>
            <w:vAlign w:val="center"/>
          </w:tcPr>
          <w:p>
            <w:pPr>
              <w:pStyle w:val="13"/>
            </w:pPr>
            <w:r>
              <w:t>储备粮贷款实际利率</w:t>
            </w:r>
          </w:p>
        </w:tc>
        <w:tc>
          <w:tcPr>
            <w:tcW w:w="2268" w:type="dxa"/>
            <w:vAlign w:val="center"/>
          </w:tcPr>
          <w:p>
            <w:pPr>
              <w:pStyle w:val="13"/>
            </w:pPr>
            <w:r>
              <w:t>100%</w:t>
            </w:r>
          </w:p>
        </w:tc>
        <w:tc>
          <w:tcPr>
            <w:tcW w:w="1276" w:type="dxa"/>
            <w:vAlign w:val="center"/>
          </w:tcPr>
          <w:p>
            <w:pPr>
              <w:pStyle w:val="13"/>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承储企业和贷款银行满意度</w:t>
            </w:r>
          </w:p>
        </w:tc>
        <w:tc>
          <w:tcPr>
            <w:tcW w:w="5386" w:type="dxa"/>
            <w:vAlign w:val="center"/>
          </w:tcPr>
          <w:p>
            <w:pPr>
              <w:pStyle w:val="13"/>
            </w:pPr>
            <w:r>
              <w:t>承储企业和贷款银行满意数量占总数的比例</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21、崔广庆伤残津贴及相关费用绩效目标表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13032125P00011310026R</w:t>
            </w:r>
          </w:p>
        </w:tc>
        <w:tc>
          <w:tcPr>
            <w:tcW w:w="2835" w:type="dxa"/>
            <w:vAlign w:val="center"/>
          </w:tcPr>
          <w:p>
            <w:pPr>
              <w:pStyle w:val="11"/>
            </w:pPr>
            <w:r>
              <w:t>项目名称</w:t>
            </w:r>
          </w:p>
        </w:tc>
        <w:tc>
          <w:tcPr>
            <w:tcW w:w="6095" w:type="dxa"/>
            <w:gridSpan w:val="3"/>
            <w:vAlign w:val="center"/>
          </w:tcPr>
          <w:p>
            <w:pPr>
              <w:pStyle w:val="13"/>
            </w:pPr>
            <w:r>
              <w:t>崔广庆伤残津贴及相关费用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预算安排0.499398万元，其中财政资金0.499398万元，主要用崔广庆伤残津贴和相关费用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1.通过给予相关待遇，稳定人员情绪、解决遗留问题。</w:t>
            </w:r>
          </w:p>
          <w:p>
            <w:pPr>
              <w:pStyle w:val="13"/>
            </w:pPr>
            <w:r>
              <w:t>2.通过及时付清相关人员费用，保障群众合法权益。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遗留问题数量</w:t>
            </w:r>
          </w:p>
        </w:tc>
        <w:tc>
          <w:tcPr>
            <w:tcW w:w="5386" w:type="dxa"/>
            <w:vAlign w:val="center"/>
          </w:tcPr>
          <w:p>
            <w:pPr>
              <w:pStyle w:val="13"/>
            </w:pPr>
            <w:r>
              <w:t>实际解决遗留问题数量</w:t>
            </w:r>
          </w:p>
        </w:tc>
        <w:tc>
          <w:tcPr>
            <w:tcW w:w="2268" w:type="dxa"/>
            <w:vAlign w:val="center"/>
          </w:tcPr>
          <w:p>
            <w:pPr>
              <w:pStyle w:val="13"/>
            </w:pPr>
            <w:r>
              <w:t>1个</w:t>
            </w:r>
          </w:p>
        </w:tc>
        <w:tc>
          <w:tcPr>
            <w:tcW w:w="1276" w:type="dxa"/>
            <w:vAlign w:val="center"/>
          </w:tcPr>
          <w:p>
            <w:pPr>
              <w:pStyle w:val="13"/>
            </w:pPr>
            <w:r>
              <w:t>关于拨付崔广庆伤残津贴的申请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全部用于支付护理费等费用</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对崔广庆各项费用的支付及时率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崔广庆伤残津贴</w:t>
            </w:r>
          </w:p>
        </w:tc>
        <w:tc>
          <w:tcPr>
            <w:tcW w:w="5386" w:type="dxa"/>
            <w:vAlign w:val="center"/>
          </w:tcPr>
          <w:p>
            <w:pPr>
              <w:pStyle w:val="13"/>
            </w:pPr>
            <w:r>
              <w:t>遗留问题相关人员崔广庆伤残津贴</w:t>
            </w:r>
          </w:p>
        </w:tc>
        <w:tc>
          <w:tcPr>
            <w:tcW w:w="2268" w:type="dxa"/>
            <w:vAlign w:val="center"/>
          </w:tcPr>
          <w:p>
            <w:pPr>
              <w:pStyle w:val="13"/>
            </w:pPr>
            <w:r>
              <w:t>9987.96元</w:t>
            </w:r>
          </w:p>
        </w:tc>
        <w:tc>
          <w:tcPr>
            <w:tcW w:w="1276" w:type="dxa"/>
            <w:vAlign w:val="center"/>
          </w:tcPr>
          <w:p>
            <w:pPr>
              <w:pStyle w:val="13"/>
            </w:pPr>
            <w:r>
              <w:t>关于拨付崔广庆伤残津贴的申请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改制遗留问题总成本</w:t>
            </w:r>
          </w:p>
        </w:tc>
        <w:tc>
          <w:tcPr>
            <w:tcW w:w="5386" w:type="dxa"/>
            <w:vAlign w:val="center"/>
          </w:tcPr>
          <w:p>
            <w:pPr>
              <w:pStyle w:val="13"/>
            </w:pPr>
            <w:r>
              <w:t>拨付崔广庆改制遗留问题总成本</w:t>
            </w:r>
          </w:p>
        </w:tc>
        <w:tc>
          <w:tcPr>
            <w:tcW w:w="2268" w:type="dxa"/>
            <w:vAlign w:val="center"/>
          </w:tcPr>
          <w:p>
            <w:pPr>
              <w:pStyle w:val="13"/>
            </w:pPr>
            <w:r>
              <w:t>0.5元</w:t>
            </w:r>
          </w:p>
        </w:tc>
        <w:tc>
          <w:tcPr>
            <w:tcW w:w="1276" w:type="dxa"/>
            <w:vAlign w:val="center"/>
          </w:tcPr>
          <w:p>
            <w:pPr>
              <w:pStyle w:val="13"/>
            </w:pPr>
            <w:r>
              <w:t>关于拨付崔广庆伤残津贴的申请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切实解决遗留问题</w:t>
            </w:r>
          </w:p>
        </w:tc>
        <w:tc>
          <w:tcPr>
            <w:tcW w:w="5386" w:type="dxa"/>
            <w:vAlign w:val="center"/>
          </w:tcPr>
          <w:p>
            <w:pPr>
              <w:pStyle w:val="13"/>
            </w:pPr>
            <w:r>
              <w:t>通过给予相关待遇，及时解决遗留问题</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提高相关人员经济收入</w:t>
            </w:r>
          </w:p>
        </w:tc>
        <w:tc>
          <w:tcPr>
            <w:tcW w:w="5386" w:type="dxa"/>
            <w:vAlign w:val="center"/>
          </w:tcPr>
          <w:p>
            <w:pPr>
              <w:pStyle w:val="13"/>
            </w:pPr>
            <w:r>
              <w:t>通过给予相关待遇，提高相关人员收入，解决一部分生活问题</w:t>
            </w:r>
          </w:p>
        </w:tc>
        <w:tc>
          <w:tcPr>
            <w:tcW w:w="2268" w:type="dxa"/>
            <w:vAlign w:val="center"/>
          </w:tcPr>
          <w:p>
            <w:pPr>
              <w:pStyle w:val="13"/>
            </w:pPr>
            <w:r>
              <w:t>0.49元</w:t>
            </w:r>
          </w:p>
        </w:tc>
        <w:tc>
          <w:tcPr>
            <w:tcW w:w="1276" w:type="dxa"/>
            <w:vAlign w:val="center"/>
          </w:tcPr>
          <w:p>
            <w:pPr>
              <w:pStyle w:val="13"/>
            </w:pPr>
            <w:r>
              <w:t>关于拨付崔广庆伤残津贴的申请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群众满意数量占调查群众总数的比例</w:t>
            </w:r>
          </w:p>
        </w:tc>
        <w:tc>
          <w:tcPr>
            <w:tcW w:w="2268" w:type="dxa"/>
            <w:vAlign w:val="center"/>
          </w:tcPr>
          <w:p>
            <w:pPr>
              <w:pStyle w:val="13"/>
            </w:pPr>
            <w:r>
              <w:t>≥95%</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22、崔广庆生活护理费绩效目标表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13032125P00011310024J</w:t>
            </w:r>
          </w:p>
        </w:tc>
        <w:tc>
          <w:tcPr>
            <w:tcW w:w="2835" w:type="dxa"/>
            <w:vAlign w:val="center"/>
          </w:tcPr>
          <w:p>
            <w:pPr>
              <w:pStyle w:val="11"/>
            </w:pPr>
            <w:r>
              <w:t>项目名称</w:t>
            </w:r>
          </w:p>
        </w:tc>
        <w:tc>
          <w:tcPr>
            <w:tcW w:w="6095" w:type="dxa"/>
            <w:gridSpan w:val="3"/>
            <w:vAlign w:val="center"/>
          </w:tcPr>
          <w:p>
            <w:pPr>
              <w:pStyle w:val="13"/>
            </w:pPr>
            <w:r>
              <w:t>崔广庆生活护理费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1.18</w:t>
            </w:r>
          </w:p>
        </w:tc>
        <w:tc>
          <w:tcPr>
            <w:tcW w:w="2835" w:type="dxa"/>
            <w:vAlign w:val="center"/>
          </w:tcPr>
          <w:p>
            <w:pPr>
              <w:pStyle w:val="11"/>
            </w:pPr>
            <w:r>
              <w:t>其中：财政    资金</w:t>
            </w:r>
          </w:p>
        </w:tc>
        <w:tc>
          <w:tcPr>
            <w:tcW w:w="2551" w:type="dxa"/>
            <w:vAlign w:val="center"/>
          </w:tcPr>
          <w:p>
            <w:pPr>
              <w:pStyle w:val="13"/>
            </w:pPr>
            <w:r>
              <w:t>1.18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预算安排1.176168万元，其中财政资金1.176168万元，主要用于支付崔广庆生活补助费用。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1.通过及时付清相关人员费用，保障群众合法权益。</w:t>
            </w:r>
          </w:p>
          <w:p>
            <w:pPr>
              <w:pStyle w:val="13"/>
            </w:pPr>
            <w:r>
              <w:t>2.通过给予相关待遇，稳定人员情绪、解决遗留问题。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遗留问题数量</w:t>
            </w:r>
          </w:p>
        </w:tc>
        <w:tc>
          <w:tcPr>
            <w:tcW w:w="5386" w:type="dxa"/>
            <w:vAlign w:val="center"/>
          </w:tcPr>
          <w:p>
            <w:pPr>
              <w:pStyle w:val="13"/>
            </w:pPr>
            <w:r>
              <w:t>实际解决遗留问题数量</w:t>
            </w:r>
          </w:p>
        </w:tc>
        <w:tc>
          <w:tcPr>
            <w:tcW w:w="2268" w:type="dxa"/>
            <w:vAlign w:val="center"/>
          </w:tcPr>
          <w:p>
            <w:pPr>
              <w:pStyle w:val="13"/>
            </w:pPr>
            <w:r>
              <w:t>1个</w:t>
            </w:r>
          </w:p>
        </w:tc>
        <w:tc>
          <w:tcPr>
            <w:tcW w:w="1276" w:type="dxa"/>
            <w:vAlign w:val="center"/>
          </w:tcPr>
          <w:p>
            <w:pPr>
              <w:pStyle w:val="13"/>
            </w:pPr>
            <w:r>
              <w:t>青发改【2025】61号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全部用于支付护理费等费用</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对崔广庆各项费用的支付及时率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崔广庆护理费</w:t>
            </w:r>
          </w:p>
        </w:tc>
        <w:tc>
          <w:tcPr>
            <w:tcW w:w="5386" w:type="dxa"/>
            <w:vAlign w:val="center"/>
          </w:tcPr>
          <w:p>
            <w:pPr>
              <w:pStyle w:val="13"/>
            </w:pPr>
            <w:r>
              <w:t>遗留问题相关人员崔广庆护理费</w:t>
            </w:r>
          </w:p>
        </w:tc>
        <w:tc>
          <w:tcPr>
            <w:tcW w:w="2268" w:type="dxa"/>
            <w:vAlign w:val="center"/>
          </w:tcPr>
          <w:p>
            <w:pPr>
              <w:pStyle w:val="13"/>
            </w:pPr>
            <w:r>
              <w:t>1.18元</w:t>
            </w:r>
          </w:p>
        </w:tc>
        <w:tc>
          <w:tcPr>
            <w:tcW w:w="1276" w:type="dxa"/>
            <w:vAlign w:val="center"/>
          </w:tcPr>
          <w:p>
            <w:pPr>
              <w:pStyle w:val="13"/>
            </w:pPr>
            <w:r>
              <w:t>青发改【2025】61号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改制遗留问题总成本</w:t>
            </w:r>
          </w:p>
        </w:tc>
        <w:tc>
          <w:tcPr>
            <w:tcW w:w="5386" w:type="dxa"/>
            <w:vAlign w:val="center"/>
          </w:tcPr>
          <w:p>
            <w:pPr>
              <w:pStyle w:val="13"/>
            </w:pPr>
            <w:r>
              <w:t>拨付崔广庆改制遗留问题总成本</w:t>
            </w:r>
          </w:p>
        </w:tc>
        <w:tc>
          <w:tcPr>
            <w:tcW w:w="2268" w:type="dxa"/>
            <w:vAlign w:val="center"/>
          </w:tcPr>
          <w:p>
            <w:pPr>
              <w:pStyle w:val="13"/>
            </w:pPr>
            <w:r>
              <w:t>1.18元</w:t>
            </w:r>
          </w:p>
        </w:tc>
        <w:tc>
          <w:tcPr>
            <w:tcW w:w="1276" w:type="dxa"/>
            <w:vAlign w:val="center"/>
          </w:tcPr>
          <w:p>
            <w:pPr>
              <w:pStyle w:val="13"/>
            </w:pPr>
            <w:r>
              <w:t>青发改【2025】61号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切实解决遗留问题</w:t>
            </w:r>
          </w:p>
        </w:tc>
        <w:tc>
          <w:tcPr>
            <w:tcW w:w="5386" w:type="dxa"/>
            <w:vAlign w:val="center"/>
          </w:tcPr>
          <w:p>
            <w:pPr>
              <w:pStyle w:val="13"/>
            </w:pPr>
            <w:r>
              <w:t>通过给予相关待遇，及时解决遗留问题</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提高相关人员经济收入</w:t>
            </w:r>
          </w:p>
        </w:tc>
        <w:tc>
          <w:tcPr>
            <w:tcW w:w="5386" w:type="dxa"/>
            <w:vAlign w:val="center"/>
          </w:tcPr>
          <w:p>
            <w:pPr>
              <w:pStyle w:val="13"/>
            </w:pPr>
            <w:r>
              <w:t>通过给予相关待遇，提高相关人员收入，解决一部分生活问题</w:t>
            </w:r>
          </w:p>
        </w:tc>
        <w:tc>
          <w:tcPr>
            <w:tcW w:w="2268" w:type="dxa"/>
            <w:vAlign w:val="center"/>
          </w:tcPr>
          <w:p>
            <w:pPr>
              <w:pStyle w:val="13"/>
            </w:pPr>
            <w:r>
              <w:t>1.17元</w:t>
            </w:r>
          </w:p>
        </w:tc>
        <w:tc>
          <w:tcPr>
            <w:tcW w:w="1276" w:type="dxa"/>
            <w:vAlign w:val="center"/>
          </w:tcPr>
          <w:p>
            <w:pPr>
              <w:pStyle w:val="13"/>
            </w:pPr>
            <w:r>
              <w:t>青发改【2025】61号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群众满意数量占调查群众总数的比例</w:t>
            </w:r>
          </w:p>
        </w:tc>
        <w:tc>
          <w:tcPr>
            <w:tcW w:w="2268" w:type="dxa"/>
            <w:vAlign w:val="center"/>
          </w:tcPr>
          <w:p>
            <w:pPr>
              <w:pStyle w:val="13"/>
            </w:pPr>
            <w:r>
              <w:t>≥95%</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23、代发企业改制人员退休费绩效目标表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13032125P00325010002Y</w:t>
            </w:r>
          </w:p>
        </w:tc>
        <w:tc>
          <w:tcPr>
            <w:tcW w:w="2835" w:type="dxa"/>
            <w:vAlign w:val="center"/>
          </w:tcPr>
          <w:p>
            <w:pPr>
              <w:pStyle w:val="11"/>
            </w:pPr>
            <w:r>
              <w:t>项目名称</w:t>
            </w:r>
          </w:p>
        </w:tc>
        <w:tc>
          <w:tcPr>
            <w:tcW w:w="6095" w:type="dxa"/>
            <w:gridSpan w:val="3"/>
            <w:vAlign w:val="center"/>
          </w:tcPr>
          <w:p>
            <w:pPr>
              <w:pStyle w:val="13"/>
            </w:pPr>
            <w:r>
              <w:t>代发企业改制人员退休费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8.45</w:t>
            </w:r>
          </w:p>
        </w:tc>
        <w:tc>
          <w:tcPr>
            <w:tcW w:w="2835" w:type="dxa"/>
            <w:vAlign w:val="center"/>
          </w:tcPr>
          <w:p>
            <w:pPr>
              <w:pStyle w:val="11"/>
            </w:pPr>
            <w:r>
              <w:t>其中：财政    资金</w:t>
            </w:r>
          </w:p>
        </w:tc>
        <w:tc>
          <w:tcPr>
            <w:tcW w:w="2551" w:type="dxa"/>
            <w:vAlign w:val="center"/>
          </w:tcPr>
          <w:p>
            <w:pPr>
              <w:pStyle w:val="13"/>
            </w:pPr>
            <w:r>
              <w:t>8.45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预算安排8.453836万元，其中财政资金8.453836万元，主要用于企业各类人员费用。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1.通过巩固系统改制成果，保证系统改制人员基本生活。</w:t>
            </w:r>
            <w:r>
              <w:tab/>
            </w:r>
            <w:r>
              <w:tab/>
            </w:r>
            <w:r>
              <w:tab/>
            </w:r>
            <w:r>
              <w:tab/>
            </w:r>
            <w:r>
              <w:tab/>
            </w:r>
            <w:r>
              <w:tab/>
            </w:r>
          </w:p>
          <w:p>
            <w:pPr>
              <w:pStyle w:val="13"/>
            </w:pPr>
          </w:p>
          <w:p>
            <w:pPr>
              <w:pStyle w:val="13"/>
            </w:pPr>
            <w:r>
              <w:t>2.通过按工作计划完成全县粮食、商务、工信系统改制人员社保缴费，提高改制人员满意度。</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大病统筹退休人数</w:t>
            </w:r>
          </w:p>
        </w:tc>
        <w:tc>
          <w:tcPr>
            <w:tcW w:w="5386" w:type="dxa"/>
            <w:vAlign w:val="center"/>
          </w:tcPr>
          <w:p>
            <w:pPr>
              <w:pStyle w:val="13"/>
            </w:pPr>
            <w:r>
              <w:t>原粮食、工信、商务、民爆公司改制大病统筹退休人数</w:t>
            </w:r>
          </w:p>
        </w:tc>
        <w:tc>
          <w:tcPr>
            <w:tcW w:w="2268" w:type="dxa"/>
            <w:vAlign w:val="center"/>
          </w:tcPr>
          <w:p>
            <w:pPr>
              <w:pStyle w:val="13"/>
            </w:pPr>
            <w:r>
              <w:t>≥141人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补缴养老保险人数</w:t>
            </w:r>
          </w:p>
        </w:tc>
        <w:tc>
          <w:tcPr>
            <w:tcW w:w="5386" w:type="dxa"/>
            <w:vAlign w:val="center"/>
          </w:tcPr>
          <w:p>
            <w:pPr>
              <w:pStyle w:val="13"/>
            </w:pPr>
            <w:r>
              <w:t>原粮食、原商务局下岗职工补缴养老保险人数</w:t>
            </w:r>
          </w:p>
        </w:tc>
        <w:tc>
          <w:tcPr>
            <w:tcW w:w="2268" w:type="dxa"/>
            <w:vAlign w:val="center"/>
          </w:tcPr>
          <w:p>
            <w:pPr>
              <w:pStyle w:val="13"/>
            </w:pPr>
            <w:r>
              <w:t>40人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离退休护理费人数</w:t>
            </w:r>
          </w:p>
        </w:tc>
        <w:tc>
          <w:tcPr>
            <w:tcW w:w="5386" w:type="dxa"/>
            <w:vAlign w:val="center"/>
          </w:tcPr>
          <w:p>
            <w:pPr>
              <w:pStyle w:val="13"/>
            </w:pPr>
            <w:r>
              <w:t>原粮食、工信、商务护理费退休人数</w:t>
            </w:r>
          </w:p>
        </w:tc>
        <w:tc>
          <w:tcPr>
            <w:tcW w:w="2268" w:type="dxa"/>
            <w:vAlign w:val="center"/>
          </w:tcPr>
          <w:p>
            <w:pPr>
              <w:pStyle w:val="13"/>
            </w:pPr>
            <w:r>
              <w:t>29人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离退休交通费人数</w:t>
            </w:r>
          </w:p>
        </w:tc>
        <w:tc>
          <w:tcPr>
            <w:tcW w:w="5386" w:type="dxa"/>
            <w:vAlign w:val="center"/>
          </w:tcPr>
          <w:p>
            <w:pPr>
              <w:pStyle w:val="13"/>
            </w:pPr>
            <w:r>
              <w:t>原粮食、工信、商务交通费退休人数</w:t>
            </w:r>
          </w:p>
        </w:tc>
        <w:tc>
          <w:tcPr>
            <w:tcW w:w="2268" w:type="dxa"/>
            <w:vAlign w:val="center"/>
          </w:tcPr>
          <w:p>
            <w:pPr>
              <w:pStyle w:val="13"/>
            </w:pPr>
            <w:r>
              <w:t>97人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离退休遗属人数</w:t>
            </w:r>
          </w:p>
        </w:tc>
        <w:tc>
          <w:tcPr>
            <w:tcW w:w="5386" w:type="dxa"/>
            <w:vAlign w:val="center"/>
          </w:tcPr>
          <w:p>
            <w:pPr>
              <w:pStyle w:val="13"/>
            </w:pPr>
            <w:r>
              <w:t>原粮食、工信、商务遗属人数</w:t>
            </w:r>
          </w:p>
        </w:tc>
        <w:tc>
          <w:tcPr>
            <w:tcW w:w="2268" w:type="dxa"/>
            <w:vAlign w:val="center"/>
          </w:tcPr>
          <w:p>
            <w:pPr>
              <w:pStyle w:val="13"/>
            </w:pPr>
            <w:r>
              <w:t>197人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计算准确率</w:t>
            </w:r>
          </w:p>
        </w:tc>
        <w:tc>
          <w:tcPr>
            <w:tcW w:w="5386" w:type="dxa"/>
            <w:vAlign w:val="center"/>
          </w:tcPr>
          <w:p>
            <w:pPr>
              <w:pStyle w:val="13"/>
            </w:pPr>
            <w:r>
              <w:t>社保缴费金额符合有关政策规定</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缴费及时率</w:t>
            </w:r>
          </w:p>
        </w:tc>
        <w:tc>
          <w:tcPr>
            <w:tcW w:w="5386" w:type="dxa"/>
            <w:vAlign w:val="center"/>
          </w:tcPr>
          <w:p>
            <w:pPr>
              <w:pStyle w:val="13"/>
            </w:pPr>
            <w:r>
              <w:t>按工作计划完成统改制人员社保缴费及时率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大病统筹成本</w:t>
            </w:r>
          </w:p>
        </w:tc>
        <w:tc>
          <w:tcPr>
            <w:tcW w:w="5386" w:type="dxa"/>
            <w:vAlign w:val="center"/>
          </w:tcPr>
          <w:p>
            <w:pPr>
              <w:pStyle w:val="13"/>
            </w:pPr>
            <w:r>
              <w:t>原粮食、工信、商务、民爆公司改制大病统筹成本</w:t>
            </w:r>
          </w:p>
        </w:tc>
        <w:tc>
          <w:tcPr>
            <w:tcW w:w="2268" w:type="dxa"/>
            <w:vAlign w:val="center"/>
          </w:tcPr>
          <w:p>
            <w:pPr>
              <w:pStyle w:val="13"/>
            </w:pPr>
            <w:r>
              <w:t>2.12万元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下岗职工补缴养老保险成本</w:t>
            </w:r>
          </w:p>
        </w:tc>
        <w:tc>
          <w:tcPr>
            <w:tcW w:w="5386" w:type="dxa"/>
            <w:vAlign w:val="center"/>
          </w:tcPr>
          <w:p>
            <w:pPr>
              <w:pStyle w:val="13"/>
            </w:pPr>
            <w:r>
              <w:t>原粮食，原商务局下岗职工补缴养老保险成本</w:t>
            </w:r>
          </w:p>
        </w:tc>
        <w:tc>
          <w:tcPr>
            <w:tcW w:w="2268" w:type="dxa"/>
            <w:vAlign w:val="center"/>
          </w:tcPr>
          <w:p>
            <w:pPr>
              <w:pStyle w:val="13"/>
            </w:pPr>
            <w:r>
              <w:t>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护理费成本</w:t>
            </w:r>
          </w:p>
        </w:tc>
        <w:tc>
          <w:tcPr>
            <w:tcW w:w="5386" w:type="dxa"/>
            <w:vAlign w:val="center"/>
          </w:tcPr>
          <w:p>
            <w:pPr>
              <w:pStyle w:val="13"/>
            </w:pPr>
            <w:r>
              <w:t>原粮食、工信、商务护理费成本</w:t>
            </w:r>
          </w:p>
        </w:tc>
        <w:tc>
          <w:tcPr>
            <w:tcW w:w="2268" w:type="dxa"/>
            <w:vAlign w:val="center"/>
          </w:tcPr>
          <w:p>
            <w:pPr>
              <w:pStyle w:val="13"/>
            </w:pPr>
            <w:r>
              <w:t>2.07万元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交通费成本</w:t>
            </w:r>
          </w:p>
        </w:tc>
        <w:tc>
          <w:tcPr>
            <w:tcW w:w="5386" w:type="dxa"/>
            <w:vAlign w:val="center"/>
          </w:tcPr>
          <w:p>
            <w:pPr>
              <w:pStyle w:val="13"/>
            </w:pPr>
            <w:r>
              <w:t>原粮食、工信、商务交通费成本</w:t>
            </w:r>
          </w:p>
        </w:tc>
        <w:tc>
          <w:tcPr>
            <w:tcW w:w="2268" w:type="dxa"/>
            <w:vAlign w:val="center"/>
          </w:tcPr>
          <w:p>
            <w:pPr>
              <w:pStyle w:val="13"/>
            </w:pPr>
            <w:r>
              <w:t>7.23万元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遗属成本</w:t>
            </w:r>
          </w:p>
        </w:tc>
        <w:tc>
          <w:tcPr>
            <w:tcW w:w="5386" w:type="dxa"/>
            <w:vAlign w:val="center"/>
          </w:tcPr>
          <w:p>
            <w:pPr>
              <w:pStyle w:val="13"/>
            </w:pPr>
            <w:r>
              <w:t>原粮食、工信、商务遗属成本</w:t>
            </w:r>
          </w:p>
        </w:tc>
        <w:tc>
          <w:tcPr>
            <w:tcW w:w="2268" w:type="dxa"/>
            <w:vAlign w:val="center"/>
          </w:tcPr>
          <w:p>
            <w:pPr>
              <w:pStyle w:val="13"/>
            </w:pPr>
            <w:r>
              <w:t>14.75万元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基本生活保障</w:t>
            </w:r>
          </w:p>
        </w:tc>
        <w:tc>
          <w:tcPr>
            <w:tcW w:w="5386" w:type="dxa"/>
            <w:vAlign w:val="center"/>
          </w:tcPr>
          <w:p>
            <w:pPr>
              <w:pStyle w:val="13"/>
            </w:pPr>
            <w:r>
              <w:t>巩固系统改制成果，保证全县粮食、商务、工信系统改制人员基本生活</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人员费用</w:t>
            </w:r>
          </w:p>
        </w:tc>
        <w:tc>
          <w:tcPr>
            <w:tcW w:w="5386" w:type="dxa"/>
            <w:vAlign w:val="center"/>
          </w:tcPr>
          <w:p>
            <w:pPr>
              <w:pStyle w:val="13"/>
            </w:pPr>
            <w:r>
              <w:t>改制企业各类人员费用</w:t>
            </w:r>
          </w:p>
        </w:tc>
        <w:tc>
          <w:tcPr>
            <w:tcW w:w="2268" w:type="dxa"/>
            <w:vAlign w:val="center"/>
          </w:tcPr>
          <w:p>
            <w:pPr>
              <w:pStyle w:val="13"/>
            </w:pPr>
            <w:r>
              <w:t>43.73万元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离退休人员中满意人数占调查总人数的比率</w:t>
            </w:r>
          </w:p>
        </w:tc>
        <w:tc>
          <w:tcPr>
            <w:tcW w:w="2268" w:type="dxa"/>
            <w:vAlign w:val="center"/>
          </w:tcPr>
          <w:p>
            <w:pPr>
              <w:pStyle w:val="13"/>
            </w:pPr>
            <w:r>
              <w:t>≥95%</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24、代发企业改制人员退休费绩效目标表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13032126P00011310030E</w:t>
            </w:r>
          </w:p>
        </w:tc>
        <w:tc>
          <w:tcPr>
            <w:tcW w:w="2835" w:type="dxa"/>
            <w:vAlign w:val="center"/>
          </w:tcPr>
          <w:p>
            <w:pPr>
              <w:pStyle w:val="11"/>
            </w:pPr>
            <w:r>
              <w:t>项目名称</w:t>
            </w:r>
          </w:p>
        </w:tc>
        <w:tc>
          <w:tcPr>
            <w:tcW w:w="6095" w:type="dxa"/>
            <w:gridSpan w:val="3"/>
            <w:vAlign w:val="center"/>
          </w:tcPr>
          <w:p>
            <w:pPr>
              <w:pStyle w:val="13"/>
            </w:pPr>
            <w:r>
              <w:t>代发企业改制人员退休费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56.10</w:t>
            </w:r>
          </w:p>
        </w:tc>
        <w:tc>
          <w:tcPr>
            <w:tcW w:w="2835" w:type="dxa"/>
            <w:vAlign w:val="center"/>
          </w:tcPr>
          <w:p>
            <w:pPr>
              <w:pStyle w:val="11"/>
            </w:pPr>
            <w:r>
              <w:t>其中：财政    资金</w:t>
            </w:r>
          </w:p>
        </w:tc>
        <w:tc>
          <w:tcPr>
            <w:tcW w:w="2551" w:type="dxa"/>
            <w:vAlign w:val="center"/>
          </w:tcPr>
          <w:p>
            <w:pPr>
              <w:pStyle w:val="13"/>
            </w:pPr>
            <w:r>
              <w:t>56.10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预算安排56.1万元，其中财政资金56.1万元，主要用于支付企业改制人员相关费用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1.通过按工作计划完成全县粮食、商务、工信系统改制人员社保缴费，提高改制人员满意度。</w:t>
            </w:r>
            <w:r>
              <w:tab/>
            </w:r>
            <w:r>
              <w:tab/>
            </w:r>
            <w:r>
              <w:tab/>
            </w:r>
          </w:p>
          <w:p>
            <w:pPr>
              <w:pStyle w:val="13"/>
            </w:pPr>
          </w:p>
          <w:p>
            <w:pPr>
              <w:pStyle w:val="13"/>
            </w:pPr>
            <w:r>
              <w:t>2.通过巩固系统改制成果，保证系统改制人员基本生活。</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大病统筹退休人数</w:t>
            </w:r>
          </w:p>
        </w:tc>
        <w:tc>
          <w:tcPr>
            <w:tcW w:w="5386" w:type="dxa"/>
            <w:vAlign w:val="center"/>
          </w:tcPr>
          <w:p>
            <w:pPr>
              <w:pStyle w:val="13"/>
            </w:pPr>
            <w:r>
              <w:t>原粮食、工信、商务、民爆公司改制大病统筹退休人数</w:t>
            </w:r>
          </w:p>
        </w:tc>
        <w:tc>
          <w:tcPr>
            <w:tcW w:w="2268" w:type="dxa"/>
            <w:vAlign w:val="center"/>
          </w:tcPr>
          <w:p>
            <w:pPr>
              <w:pStyle w:val="13"/>
            </w:pPr>
            <w:r>
              <w:t>≥141人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补缴养老保险人数</w:t>
            </w:r>
          </w:p>
        </w:tc>
        <w:tc>
          <w:tcPr>
            <w:tcW w:w="5386" w:type="dxa"/>
            <w:vAlign w:val="center"/>
          </w:tcPr>
          <w:p>
            <w:pPr>
              <w:pStyle w:val="13"/>
            </w:pPr>
            <w:r>
              <w:t>原粮食、原商务局下岗职工补缴养老保险人数</w:t>
            </w:r>
          </w:p>
        </w:tc>
        <w:tc>
          <w:tcPr>
            <w:tcW w:w="2268" w:type="dxa"/>
            <w:vAlign w:val="center"/>
          </w:tcPr>
          <w:p>
            <w:pPr>
              <w:pStyle w:val="13"/>
            </w:pPr>
            <w:r>
              <w:t>40人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离退休护理费人数</w:t>
            </w:r>
          </w:p>
        </w:tc>
        <w:tc>
          <w:tcPr>
            <w:tcW w:w="5386" w:type="dxa"/>
            <w:vAlign w:val="center"/>
          </w:tcPr>
          <w:p>
            <w:pPr>
              <w:pStyle w:val="13"/>
            </w:pPr>
            <w:r>
              <w:t>原粮食、工信、商务护理费退休人数</w:t>
            </w:r>
          </w:p>
        </w:tc>
        <w:tc>
          <w:tcPr>
            <w:tcW w:w="2268" w:type="dxa"/>
            <w:vAlign w:val="center"/>
          </w:tcPr>
          <w:p>
            <w:pPr>
              <w:pStyle w:val="13"/>
            </w:pPr>
            <w:r>
              <w:t>29人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离退休交通费人数</w:t>
            </w:r>
          </w:p>
        </w:tc>
        <w:tc>
          <w:tcPr>
            <w:tcW w:w="5386" w:type="dxa"/>
            <w:vAlign w:val="center"/>
          </w:tcPr>
          <w:p>
            <w:pPr>
              <w:pStyle w:val="13"/>
            </w:pPr>
            <w:r>
              <w:t>原粮食、工信、商务交通费退休人数</w:t>
            </w:r>
          </w:p>
        </w:tc>
        <w:tc>
          <w:tcPr>
            <w:tcW w:w="2268" w:type="dxa"/>
            <w:vAlign w:val="center"/>
          </w:tcPr>
          <w:p>
            <w:pPr>
              <w:pStyle w:val="13"/>
            </w:pPr>
            <w:r>
              <w:t>97人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离退休遗属人数</w:t>
            </w:r>
          </w:p>
        </w:tc>
        <w:tc>
          <w:tcPr>
            <w:tcW w:w="5386" w:type="dxa"/>
            <w:vAlign w:val="center"/>
          </w:tcPr>
          <w:p>
            <w:pPr>
              <w:pStyle w:val="13"/>
            </w:pPr>
            <w:r>
              <w:t>原粮食、工信、商务遗属人数</w:t>
            </w:r>
          </w:p>
        </w:tc>
        <w:tc>
          <w:tcPr>
            <w:tcW w:w="2268" w:type="dxa"/>
            <w:vAlign w:val="center"/>
          </w:tcPr>
          <w:p>
            <w:pPr>
              <w:pStyle w:val="13"/>
            </w:pPr>
            <w:r>
              <w:t>197人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计算准确率</w:t>
            </w:r>
          </w:p>
        </w:tc>
        <w:tc>
          <w:tcPr>
            <w:tcW w:w="5386" w:type="dxa"/>
            <w:vAlign w:val="center"/>
          </w:tcPr>
          <w:p>
            <w:pPr>
              <w:pStyle w:val="13"/>
            </w:pPr>
            <w:r>
              <w:t>社保缴费金额符合有关政策规定</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缴费及时率</w:t>
            </w:r>
          </w:p>
        </w:tc>
        <w:tc>
          <w:tcPr>
            <w:tcW w:w="5386" w:type="dxa"/>
            <w:vAlign w:val="center"/>
          </w:tcPr>
          <w:p>
            <w:pPr>
              <w:pStyle w:val="13"/>
            </w:pPr>
            <w:r>
              <w:t>按工作计划完成统改制人员社保缴费及时率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大病统筹成本</w:t>
            </w:r>
          </w:p>
        </w:tc>
        <w:tc>
          <w:tcPr>
            <w:tcW w:w="5386" w:type="dxa"/>
            <w:vAlign w:val="center"/>
          </w:tcPr>
          <w:p>
            <w:pPr>
              <w:pStyle w:val="13"/>
            </w:pPr>
            <w:r>
              <w:t>原粮食、工信、商务、民爆公司改制大病统筹成本</w:t>
            </w:r>
          </w:p>
        </w:tc>
        <w:tc>
          <w:tcPr>
            <w:tcW w:w="2268" w:type="dxa"/>
            <w:vAlign w:val="center"/>
          </w:tcPr>
          <w:p>
            <w:pPr>
              <w:pStyle w:val="13"/>
            </w:pPr>
            <w:r>
              <w:t>2.12万元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下岗职工补缴养老保险成本</w:t>
            </w:r>
          </w:p>
        </w:tc>
        <w:tc>
          <w:tcPr>
            <w:tcW w:w="5386" w:type="dxa"/>
            <w:vAlign w:val="center"/>
          </w:tcPr>
          <w:p>
            <w:pPr>
              <w:pStyle w:val="13"/>
            </w:pPr>
            <w:r>
              <w:t>原粮食，原商务局下岗职工补缴养老保险成本</w:t>
            </w:r>
          </w:p>
        </w:tc>
        <w:tc>
          <w:tcPr>
            <w:tcW w:w="2268" w:type="dxa"/>
            <w:vAlign w:val="center"/>
          </w:tcPr>
          <w:p>
            <w:pPr>
              <w:pStyle w:val="13"/>
            </w:pPr>
            <w:r>
              <w:t>15万元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护理费成本</w:t>
            </w:r>
          </w:p>
        </w:tc>
        <w:tc>
          <w:tcPr>
            <w:tcW w:w="5386" w:type="dxa"/>
            <w:vAlign w:val="center"/>
          </w:tcPr>
          <w:p>
            <w:pPr>
              <w:pStyle w:val="13"/>
            </w:pPr>
            <w:r>
              <w:t>原粮食、工信、商务护理费成本</w:t>
            </w:r>
          </w:p>
        </w:tc>
        <w:tc>
          <w:tcPr>
            <w:tcW w:w="2268" w:type="dxa"/>
            <w:vAlign w:val="center"/>
          </w:tcPr>
          <w:p>
            <w:pPr>
              <w:pStyle w:val="13"/>
            </w:pPr>
            <w:r>
              <w:t>2.07万元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交通费成本</w:t>
            </w:r>
          </w:p>
        </w:tc>
        <w:tc>
          <w:tcPr>
            <w:tcW w:w="5386" w:type="dxa"/>
            <w:vAlign w:val="center"/>
          </w:tcPr>
          <w:p>
            <w:pPr>
              <w:pStyle w:val="13"/>
            </w:pPr>
            <w:r>
              <w:t>原粮食、工信、商务交通费成本</w:t>
            </w:r>
          </w:p>
        </w:tc>
        <w:tc>
          <w:tcPr>
            <w:tcW w:w="2268" w:type="dxa"/>
            <w:vAlign w:val="center"/>
          </w:tcPr>
          <w:p>
            <w:pPr>
              <w:pStyle w:val="13"/>
            </w:pPr>
            <w:r>
              <w:t>7.23万元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遗属成本</w:t>
            </w:r>
          </w:p>
        </w:tc>
        <w:tc>
          <w:tcPr>
            <w:tcW w:w="5386" w:type="dxa"/>
            <w:vAlign w:val="center"/>
          </w:tcPr>
          <w:p>
            <w:pPr>
              <w:pStyle w:val="13"/>
            </w:pPr>
            <w:r>
              <w:t>原粮食、工信、商务遗属成本</w:t>
            </w:r>
          </w:p>
        </w:tc>
        <w:tc>
          <w:tcPr>
            <w:tcW w:w="2268" w:type="dxa"/>
            <w:vAlign w:val="center"/>
          </w:tcPr>
          <w:p>
            <w:pPr>
              <w:pStyle w:val="13"/>
            </w:pPr>
            <w:r>
              <w:t>14.75万元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基本生活保障</w:t>
            </w:r>
          </w:p>
        </w:tc>
        <w:tc>
          <w:tcPr>
            <w:tcW w:w="5386" w:type="dxa"/>
            <w:vAlign w:val="center"/>
          </w:tcPr>
          <w:p>
            <w:pPr>
              <w:pStyle w:val="13"/>
            </w:pPr>
            <w:r>
              <w:t>巩固系统改制成果，保证全县粮食、商务、工信系统改制人员基本生活</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人员费用</w:t>
            </w:r>
          </w:p>
        </w:tc>
        <w:tc>
          <w:tcPr>
            <w:tcW w:w="5386" w:type="dxa"/>
            <w:vAlign w:val="center"/>
          </w:tcPr>
          <w:p>
            <w:pPr>
              <w:pStyle w:val="13"/>
            </w:pPr>
            <w:r>
              <w:t>改制企业各类人员费用</w:t>
            </w:r>
          </w:p>
        </w:tc>
        <w:tc>
          <w:tcPr>
            <w:tcW w:w="2268" w:type="dxa"/>
            <w:vAlign w:val="center"/>
          </w:tcPr>
          <w:p>
            <w:pPr>
              <w:pStyle w:val="13"/>
            </w:pPr>
            <w:r>
              <w:t>56.1万元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离退休人员中满意人数占调查总人数的比率</w:t>
            </w:r>
          </w:p>
        </w:tc>
        <w:tc>
          <w:tcPr>
            <w:tcW w:w="2268" w:type="dxa"/>
            <w:vAlign w:val="center"/>
          </w:tcPr>
          <w:p>
            <w:pPr>
              <w:pStyle w:val="13"/>
            </w:pPr>
            <w:r>
              <w:t>≥95%</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25、电子政务外网建设专项经费绩效目标表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13032126P00011610238Y</w:t>
            </w:r>
          </w:p>
        </w:tc>
        <w:tc>
          <w:tcPr>
            <w:tcW w:w="2835" w:type="dxa"/>
            <w:vAlign w:val="center"/>
          </w:tcPr>
          <w:p>
            <w:pPr>
              <w:pStyle w:val="11"/>
            </w:pPr>
            <w:r>
              <w:t>项目名称</w:t>
            </w:r>
          </w:p>
        </w:tc>
        <w:tc>
          <w:tcPr>
            <w:tcW w:w="6095" w:type="dxa"/>
            <w:gridSpan w:val="3"/>
            <w:vAlign w:val="center"/>
          </w:tcPr>
          <w:p>
            <w:pPr>
              <w:pStyle w:val="13"/>
            </w:pPr>
            <w:r>
              <w:t>电子政务外网建设专项经费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24.60</w:t>
            </w:r>
          </w:p>
        </w:tc>
        <w:tc>
          <w:tcPr>
            <w:tcW w:w="2835" w:type="dxa"/>
            <w:vAlign w:val="center"/>
          </w:tcPr>
          <w:p>
            <w:pPr>
              <w:pStyle w:val="11"/>
            </w:pPr>
            <w:r>
              <w:t>其中：财政    资金</w:t>
            </w:r>
          </w:p>
        </w:tc>
        <w:tc>
          <w:tcPr>
            <w:tcW w:w="2551" w:type="dxa"/>
            <w:vAlign w:val="center"/>
          </w:tcPr>
          <w:p>
            <w:pPr>
              <w:pStyle w:val="13"/>
            </w:pPr>
            <w:r>
              <w:t>24.60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预算安排24.6万元，其中财政资金24.6万元，主要用于支付电子政务外网建设相关费用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1.通过租用移动和联通公司数据专线，实现全县电子政务外网畅通、有效运行。</w:t>
            </w:r>
            <w:r>
              <w:tab/>
            </w:r>
            <w:r>
              <w:tab/>
            </w:r>
            <w:r>
              <w:tab/>
            </w:r>
          </w:p>
          <w:p>
            <w:pPr>
              <w:pStyle w:val="13"/>
            </w:pPr>
          </w:p>
          <w:p>
            <w:pPr>
              <w:pStyle w:val="13"/>
            </w:pPr>
            <w:r>
              <w:t>2.通过全县电子政务外网全覆盖，提高政务运行效率。</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租用移动数据专线数量</w:t>
            </w:r>
          </w:p>
        </w:tc>
        <w:tc>
          <w:tcPr>
            <w:tcW w:w="5386" w:type="dxa"/>
            <w:vAlign w:val="center"/>
          </w:tcPr>
          <w:p>
            <w:pPr>
              <w:pStyle w:val="13"/>
            </w:pPr>
            <w:r>
              <w:t>租用移动公司专线的数量</w:t>
            </w:r>
          </w:p>
        </w:tc>
        <w:tc>
          <w:tcPr>
            <w:tcW w:w="2268" w:type="dxa"/>
            <w:vAlign w:val="center"/>
          </w:tcPr>
          <w:p>
            <w:pPr>
              <w:pStyle w:val="13"/>
            </w:pPr>
            <w:r>
              <w:t>≥17条</w:t>
            </w:r>
          </w:p>
        </w:tc>
        <w:tc>
          <w:tcPr>
            <w:tcW w:w="1276" w:type="dxa"/>
            <w:vAlign w:val="center"/>
          </w:tcPr>
          <w:p>
            <w:pPr>
              <w:pStyle w:val="13"/>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租用联通数据专线数量</w:t>
            </w:r>
          </w:p>
        </w:tc>
        <w:tc>
          <w:tcPr>
            <w:tcW w:w="5386" w:type="dxa"/>
            <w:vAlign w:val="center"/>
          </w:tcPr>
          <w:p>
            <w:pPr>
              <w:pStyle w:val="13"/>
            </w:pPr>
            <w:r>
              <w:t>租用联通公司专线的数量</w:t>
            </w:r>
          </w:p>
        </w:tc>
        <w:tc>
          <w:tcPr>
            <w:tcW w:w="2268" w:type="dxa"/>
            <w:vAlign w:val="center"/>
          </w:tcPr>
          <w:p>
            <w:pPr>
              <w:pStyle w:val="13"/>
            </w:pPr>
            <w:r>
              <w:t>≥65条</w:t>
            </w:r>
          </w:p>
        </w:tc>
        <w:tc>
          <w:tcPr>
            <w:tcW w:w="1276" w:type="dxa"/>
            <w:vAlign w:val="center"/>
          </w:tcPr>
          <w:p>
            <w:pPr>
              <w:pStyle w:val="13"/>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政务外网覆盖率</w:t>
            </w:r>
          </w:p>
        </w:tc>
        <w:tc>
          <w:tcPr>
            <w:tcW w:w="5386" w:type="dxa"/>
            <w:vAlign w:val="center"/>
          </w:tcPr>
          <w:p>
            <w:pPr>
              <w:pStyle w:val="13"/>
            </w:pPr>
            <w:r>
              <w:t>全县电子政务外网覆盖的比例</w:t>
            </w:r>
          </w:p>
        </w:tc>
        <w:tc>
          <w:tcPr>
            <w:tcW w:w="2268" w:type="dxa"/>
            <w:vAlign w:val="center"/>
          </w:tcPr>
          <w:p>
            <w:pPr>
              <w:pStyle w:val="13"/>
            </w:pPr>
            <w:r>
              <w:t>100%</w:t>
            </w:r>
          </w:p>
        </w:tc>
        <w:tc>
          <w:tcPr>
            <w:tcW w:w="1276" w:type="dxa"/>
            <w:vAlign w:val="center"/>
          </w:tcPr>
          <w:p>
            <w:pPr>
              <w:pStyle w:val="13"/>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网络稳定率</w:t>
            </w:r>
          </w:p>
        </w:tc>
        <w:tc>
          <w:tcPr>
            <w:tcW w:w="5386" w:type="dxa"/>
            <w:vAlign w:val="center"/>
          </w:tcPr>
          <w:p>
            <w:pPr>
              <w:pStyle w:val="13"/>
            </w:pPr>
            <w:r>
              <w:t>电子政务外网日常运行稳定率</w:t>
            </w:r>
          </w:p>
        </w:tc>
        <w:tc>
          <w:tcPr>
            <w:tcW w:w="2268" w:type="dxa"/>
            <w:vAlign w:val="center"/>
          </w:tcPr>
          <w:p>
            <w:pPr>
              <w:pStyle w:val="13"/>
            </w:pPr>
            <w:r>
              <w:t>≥80%</w:t>
            </w:r>
          </w:p>
        </w:tc>
        <w:tc>
          <w:tcPr>
            <w:tcW w:w="1276" w:type="dxa"/>
            <w:vAlign w:val="center"/>
          </w:tcPr>
          <w:p>
            <w:pPr>
              <w:pStyle w:val="13"/>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完成租用专线数据的租赁费支付</w:t>
            </w:r>
          </w:p>
        </w:tc>
        <w:tc>
          <w:tcPr>
            <w:tcW w:w="2268" w:type="dxa"/>
            <w:vAlign w:val="center"/>
          </w:tcPr>
          <w:p>
            <w:pPr>
              <w:pStyle w:val="13"/>
            </w:pPr>
            <w:r>
              <w:t>100%</w:t>
            </w:r>
          </w:p>
        </w:tc>
        <w:tc>
          <w:tcPr>
            <w:tcW w:w="1276" w:type="dxa"/>
            <w:vAlign w:val="center"/>
          </w:tcPr>
          <w:p>
            <w:pPr>
              <w:pStyle w:val="13"/>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租用单位成本</w:t>
            </w:r>
          </w:p>
        </w:tc>
        <w:tc>
          <w:tcPr>
            <w:tcW w:w="5386" w:type="dxa"/>
            <w:vAlign w:val="center"/>
          </w:tcPr>
          <w:p>
            <w:pPr>
              <w:pStyle w:val="13"/>
            </w:pPr>
            <w:r>
              <w:t>100M光纤资费单位成本</w:t>
            </w:r>
          </w:p>
        </w:tc>
        <w:tc>
          <w:tcPr>
            <w:tcW w:w="2268" w:type="dxa"/>
            <w:vAlign w:val="center"/>
          </w:tcPr>
          <w:p>
            <w:pPr>
              <w:pStyle w:val="13"/>
            </w:pPr>
            <w:r>
              <w:t>≤250元/条/月</w:t>
            </w:r>
          </w:p>
        </w:tc>
        <w:tc>
          <w:tcPr>
            <w:tcW w:w="1276" w:type="dxa"/>
            <w:vAlign w:val="center"/>
          </w:tcPr>
          <w:p>
            <w:pPr>
              <w:pStyle w:val="13"/>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提升业务便利性</w:t>
            </w:r>
          </w:p>
        </w:tc>
        <w:tc>
          <w:tcPr>
            <w:tcW w:w="5386" w:type="dxa"/>
            <w:vAlign w:val="center"/>
          </w:tcPr>
          <w:p>
            <w:pPr>
              <w:pStyle w:val="13"/>
            </w:pPr>
            <w:r>
              <w:t>对县政府确定的信息化项目审核提供便利程度</w:t>
            </w:r>
          </w:p>
        </w:tc>
        <w:tc>
          <w:tcPr>
            <w:tcW w:w="2268" w:type="dxa"/>
            <w:vAlign w:val="center"/>
          </w:tcPr>
          <w:p>
            <w:pPr>
              <w:pStyle w:val="13"/>
            </w:pPr>
            <w:r>
              <w:t>≥80%</w:t>
            </w:r>
          </w:p>
        </w:tc>
        <w:tc>
          <w:tcPr>
            <w:tcW w:w="1276" w:type="dxa"/>
            <w:vAlign w:val="center"/>
          </w:tcPr>
          <w:p>
            <w:pPr>
              <w:pStyle w:val="13"/>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可长期促进相关业务办理发挥其作用</w:t>
            </w:r>
          </w:p>
        </w:tc>
        <w:tc>
          <w:tcPr>
            <w:tcW w:w="2268" w:type="dxa"/>
            <w:vAlign w:val="center"/>
          </w:tcPr>
          <w:p>
            <w:pPr>
              <w:pStyle w:val="13"/>
            </w:pPr>
            <w:r>
              <w:t>≥1年</w:t>
            </w:r>
          </w:p>
        </w:tc>
        <w:tc>
          <w:tcPr>
            <w:tcW w:w="1276" w:type="dxa"/>
            <w:vAlign w:val="center"/>
          </w:tcPr>
          <w:p>
            <w:pPr>
              <w:pStyle w:val="13"/>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服务对象满意数量占总数的比例</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26、关于提前下达2025年农产品成本调查和重要商品应急价格调查监测资金预算的通知（冀财建[2024]259号)绩效目标表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13032125P00011610154G</w:t>
            </w:r>
          </w:p>
        </w:tc>
        <w:tc>
          <w:tcPr>
            <w:tcW w:w="2835" w:type="dxa"/>
            <w:vAlign w:val="center"/>
          </w:tcPr>
          <w:p>
            <w:pPr>
              <w:pStyle w:val="11"/>
            </w:pPr>
            <w:r>
              <w:t>项目名称</w:t>
            </w:r>
          </w:p>
        </w:tc>
        <w:tc>
          <w:tcPr>
            <w:tcW w:w="6095" w:type="dxa"/>
            <w:gridSpan w:val="3"/>
            <w:vAlign w:val="center"/>
          </w:tcPr>
          <w:p>
            <w:pPr>
              <w:pStyle w:val="13"/>
            </w:pPr>
            <w:r>
              <w:t>关于提前下达2025年农产品成本调查和重要商品应急价格调查监测资金预算的通知（冀财建[2024]259号)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1.32</w:t>
            </w:r>
          </w:p>
        </w:tc>
        <w:tc>
          <w:tcPr>
            <w:tcW w:w="2835" w:type="dxa"/>
            <w:vAlign w:val="center"/>
          </w:tcPr>
          <w:p>
            <w:pPr>
              <w:pStyle w:val="11"/>
            </w:pPr>
            <w:r>
              <w:t>其中：财政    资金</w:t>
            </w:r>
          </w:p>
        </w:tc>
        <w:tc>
          <w:tcPr>
            <w:tcW w:w="2551" w:type="dxa"/>
            <w:vAlign w:val="center"/>
          </w:tcPr>
          <w:p>
            <w:pPr>
              <w:pStyle w:val="13"/>
            </w:pPr>
            <w:r>
              <w:t>1.32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预算安排1.32万元，其中财政资金1.32万元，主要用于农产品询价费用。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1.通过接受农产品价格认定事项，完成价格订定工作，促进价格管理规范化。</w:t>
            </w:r>
            <w:r>
              <w:tab/>
            </w:r>
            <w:r>
              <w:tab/>
            </w:r>
            <w:r>
              <w:tab/>
            </w:r>
            <w:r>
              <w:tab/>
            </w:r>
            <w:r>
              <w:tab/>
            </w:r>
            <w:r>
              <w:tab/>
            </w:r>
            <w:r>
              <w:tab/>
            </w:r>
            <w:r>
              <w:tab/>
            </w:r>
            <w:r>
              <w:tab/>
            </w:r>
          </w:p>
          <w:p>
            <w:pPr>
              <w:pStyle w:val="13"/>
            </w:pPr>
          </w:p>
          <w:p>
            <w:pPr>
              <w:pStyle w:val="13"/>
            </w:pPr>
            <w:r>
              <w:t>2.通过农产品调查认定结论，为国家价格调控提供依据，促进工作顺利进行</w:t>
            </w:r>
            <w:r>
              <w:tab/>
            </w:r>
            <w:r>
              <w:tab/>
            </w:r>
            <w:r>
              <w:tab/>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农户补偿户数</w:t>
            </w:r>
          </w:p>
        </w:tc>
        <w:tc>
          <w:tcPr>
            <w:tcW w:w="5386" w:type="dxa"/>
            <w:vAlign w:val="center"/>
          </w:tcPr>
          <w:p>
            <w:pPr>
              <w:pStyle w:val="13"/>
            </w:pPr>
            <w:r>
              <w:t>全年完成的价格认定次数</w:t>
            </w:r>
          </w:p>
        </w:tc>
        <w:tc>
          <w:tcPr>
            <w:tcW w:w="2268" w:type="dxa"/>
            <w:vAlign w:val="center"/>
          </w:tcPr>
          <w:p>
            <w:pPr>
              <w:pStyle w:val="13"/>
            </w:pPr>
            <w:r>
              <w:t>≥19户</w:t>
            </w:r>
          </w:p>
        </w:tc>
        <w:tc>
          <w:tcPr>
            <w:tcW w:w="1276" w:type="dxa"/>
            <w:vAlign w:val="center"/>
          </w:tcPr>
          <w:p>
            <w:pPr>
              <w:pStyle w:val="13"/>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农户补偿</w:t>
            </w:r>
          </w:p>
        </w:tc>
        <w:tc>
          <w:tcPr>
            <w:tcW w:w="5386" w:type="dxa"/>
            <w:vAlign w:val="center"/>
          </w:tcPr>
          <w:p>
            <w:pPr>
              <w:pStyle w:val="13"/>
            </w:pPr>
            <w:r>
              <w:t>农户补偿金额</w:t>
            </w:r>
          </w:p>
        </w:tc>
        <w:tc>
          <w:tcPr>
            <w:tcW w:w="2268" w:type="dxa"/>
            <w:vAlign w:val="center"/>
          </w:tcPr>
          <w:p>
            <w:pPr>
              <w:pStyle w:val="13"/>
            </w:pPr>
            <w:r>
              <w:t>≤1.35万元</w:t>
            </w:r>
          </w:p>
        </w:tc>
        <w:tc>
          <w:tcPr>
            <w:tcW w:w="1276" w:type="dxa"/>
            <w:vAlign w:val="center"/>
          </w:tcPr>
          <w:p>
            <w:pPr>
              <w:pStyle w:val="13"/>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保障价格认定的部门数</w:t>
            </w:r>
          </w:p>
        </w:tc>
        <w:tc>
          <w:tcPr>
            <w:tcW w:w="5386" w:type="dxa"/>
            <w:vAlign w:val="center"/>
          </w:tcPr>
          <w:p>
            <w:pPr>
              <w:pStyle w:val="13"/>
            </w:pPr>
            <w:r>
              <w:t>全年需要配合需求价格认定的部门数，以保障其进行正常的工作</w:t>
            </w:r>
          </w:p>
        </w:tc>
        <w:tc>
          <w:tcPr>
            <w:tcW w:w="2268" w:type="dxa"/>
            <w:vAlign w:val="center"/>
          </w:tcPr>
          <w:p>
            <w:pPr>
              <w:pStyle w:val="13"/>
            </w:pPr>
            <w:r>
              <w:t>≥5个</w:t>
            </w:r>
          </w:p>
        </w:tc>
        <w:tc>
          <w:tcPr>
            <w:tcW w:w="1276" w:type="dxa"/>
            <w:vAlign w:val="center"/>
          </w:tcPr>
          <w:p>
            <w:pPr>
              <w:pStyle w:val="13"/>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价格认定准确率</w:t>
            </w:r>
          </w:p>
        </w:tc>
        <w:tc>
          <w:tcPr>
            <w:tcW w:w="5386" w:type="dxa"/>
            <w:vAlign w:val="center"/>
          </w:tcPr>
          <w:p>
            <w:pPr>
              <w:pStyle w:val="13"/>
            </w:pPr>
            <w:r>
              <w:t>维持价格认定的件数除以价格认定的总数</w:t>
            </w:r>
          </w:p>
        </w:tc>
        <w:tc>
          <w:tcPr>
            <w:tcW w:w="2268" w:type="dxa"/>
            <w:vAlign w:val="center"/>
          </w:tcPr>
          <w:p>
            <w:pPr>
              <w:pStyle w:val="13"/>
            </w:pPr>
            <w:r>
              <w:t>≥90%</w:t>
            </w:r>
          </w:p>
        </w:tc>
        <w:tc>
          <w:tcPr>
            <w:tcW w:w="1276" w:type="dxa"/>
            <w:vAlign w:val="center"/>
          </w:tcPr>
          <w:p>
            <w:pPr>
              <w:pStyle w:val="13"/>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价格认定的完成率</w:t>
            </w:r>
          </w:p>
        </w:tc>
        <w:tc>
          <w:tcPr>
            <w:tcW w:w="5386" w:type="dxa"/>
            <w:vAlign w:val="center"/>
          </w:tcPr>
          <w:p>
            <w:pPr>
              <w:pStyle w:val="13"/>
            </w:pPr>
            <w:r>
              <w:t>被委托价格认定数除以已完成价格认定数</w:t>
            </w:r>
          </w:p>
        </w:tc>
        <w:tc>
          <w:tcPr>
            <w:tcW w:w="2268" w:type="dxa"/>
            <w:vAlign w:val="center"/>
          </w:tcPr>
          <w:p>
            <w:pPr>
              <w:pStyle w:val="13"/>
            </w:pPr>
            <w:r>
              <w:t>≥98%</w:t>
            </w:r>
          </w:p>
        </w:tc>
        <w:tc>
          <w:tcPr>
            <w:tcW w:w="1276" w:type="dxa"/>
            <w:vAlign w:val="center"/>
          </w:tcPr>
          <w:p>
            <w:pPr>
              <w:pStyle w:val="13"/>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价格认定办结率</w:t>
            </w:r>
          </w:p>
        </w:tc>
        <w:tc>
          <w:tcPr>
            <w:tcW w:w="5386" w:type="dxa"/>
            <w:vAlign w:val="center"/>
          </w:tcPr>
          <w:p>
            <w:pPr>
              <w:pStyle w:val="13"/>
            </w:pPr>
            <w:r>
              <w:t>在规定时限内出具认定结论的份数占总数的比例</w:t>
            </w:r>
          </w:p>
        </w:tc>
        <w:tc>
          <w:tcPr>
            <w:tcW w:w="2268" w:type="dxa"/>
            <w:vAlign w:val="center"/>
          </w:tcPr>
          <w:p>
            <w:pPr>
              <w:pStyle w:val="13"/>
            </w:pPr>
            <w:r>
              <w:t>≥99%</w:t>
            </w:r>
          </w:p>
        </w:tc>
        <w:tc>
          <w:tcPr>
            <w:tcW w:w="1276" w:type="dxa"/>
            <w:vAlign w:val="center"/>
          </w:tcPr>
          <w:p>
            <w:pPr>
              <w:pStyle w:val="13"/>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费用控制</w:t>
            </w:r>
          </w:p>
        </w:tc>
        <w:tc>
          <w:tcPr>
            <w:tcW w:w="5386" w:type="dxa"/>
            <w:vAlign w:val="center"/>
          </w:tcPr>
          <w:p>
            <w:pPr>
              <w:pStyle w:val="13"/>
            </w:pPr>
            <w:r>
              <w:t>严格进行农本调查宣传册、下乡、培训不超过预算数</w:t>
            </w:r>
          </w:p>
        </w:tc>
        <w:tc>
          <w:tcPr>
            <w:tcW w:w="2268" w:type="dxa"/>
            <w:vAlign w:val="center"/>
          </w:tcPr>
          <w:p>
            <w:pPr>
              <w:pStyle w:val="13"/>
            </w:pPr>
            <w:r>
              <w:t>≤1.32万元</w:t>
            </w:r>
          </w:p>
        </w:tc>
        <w:tc>
          <w:tcPr>
            <w:tcW w:w="1276" w:type="dxa"/>
            <w:vAlign w:val="center"/>
          </w:tcPr>
          <w:p>
            <w:pPr>
              <w:pStyle w:val="13"/>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通过价格认定，提高公共服务质量，促进社会和谐和稳定</w:t>
            </w:r>
          </w:p>
        </w:tc>
        <w:tc>
          <w:tcPr>
            <w:tcW w:w="2268" w:type="dxa"/>
            <w:vAlign w:val="center"/>
          </w:tcPr>
          <w:p>
            <w:pPr>
              <w:pStyle w:val="13"/>
            </w:pPr>
            <w:r>
              <w:t>≥1%</w:t>
            </w:r>
          </w:p>
        </w:tc>
        <w:tc>
          <w:tcPr>
            <w:tcW w:w="1276" w:type="dxa"/>
            <w:vAlign w:val="center"/>
          </w:tcPr>
          <w:p>
            <w:pPr>
              <w:pStyle w:val="13"/>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保障价格的公平公正，维护市场经济秩序</w:t>
            </w:r>
          </w:p>
        </w:tc>
        <w:tc>
          <w:tcPr>
            <w:tcW w:w="2268" w:type="dxa"/>
            <w:vAlign w:val="center"/>
          </w:tcPr>
          <w:p>
            <w:pPr>
              <w:pStyle w:val="13"/>
            </w:pPr>
            <w:r>
              <w:t>≥1年</w:t>
            </w:r>
          </w:p>
        </w:tc>
        <w:tc>
          <w:tcPr>
            <w:tcW w:w="1276" w:type="dxa"/>
            <w:vAlign w:val="center"/>
          </w:tcPr>
          <w:p>
            <w:pPr>
              <w:pStyle w:val="13"/>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司法机构满意度</w:t>
            </w:r>
          </w:p>
        </w:tc>
        <w:tc>
          <w:tcPr>
            <w:tcW w:w="5386" w:type="dxa"/>
            <w:vAlign w:val="center"/>
          </w:tcPr>
          <w:p>
            <w:pPr>
              <w:pStyle w:val="13"/>
            </w:pPr>
            <w:r>
              <w:t>司法机构对价格认定工作的满意程度</w:t>
            </w:r>
          </w:p>
        </w:tc>
        <w:tc>
          <w:tcPr>
            <w:tcW w:w="2268" w:type="dxa"/>
            <w:vAlign w:val="center"/>
          </w:tcPr>
          <w:p>
            <w:pPr>
              <w:pStyle w:val="13"/>
            </w:pPr>
            <w:r>
              <w: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27、关于提前下达2026年农产品成本调查和价格监测补助资金预算的通知（冀财建[2025]224号）绩效目标表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13032126P00011610198W</w:t>
            </w:r>
          </w:p>
        </w:tc>
        <w:tc>
          <w:tcPr>
            <w:tcW w:w="2835" w:type="dxa"/>
            <w:vAlign w:val="center"/>
          </w:tcPr>
          <w:p>
            <w:pPr>
              <w:pStyle w:val="11"/>
            </w:pPr>
            <w:r>
              <w:t>项目名称</w:t>
            </w:r>
          </w:p>
        </w:tc>
        <w:tc>
          <w:tcPr>
            <w:tcW w:w="6095" w:type="dxa"/>
            <w:gridSpan w:val="3"/>
            <w:vAlign w:val="center"/>
          </w:tcPr>
          <w:p>
            <w:pPr>
              <w:pStyle w:val="13"/>
            </w:pPr>
            <w:r>
              <w:t>关于提前下达2026年农产品成本调查和价格监测补助资金预算的通知（冀财建[2025]224号）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6.44</w:t>
            </w:r>
          </w:p>
        </w:tc>
        <w:tc>
          <w:tcPr>
            <w:tcW w:w="2835" w:type="dxa"/>
            <w:vAlign w:val="center"/>
          </w:tcPr>
          <w:p>
            <w:pPr>
              <w:pStyle w:val="11"/>
            </w:pPr>
            <w:r>
              <w:t>其中：财政    资金</w:t>
            </w:r>
          </w:p>
        </w:tc>
        <w:tc>
          <w:tcPr>
            <w:tcW w:w="2551" w:type="dxa"/>
            <w:vAlign w:val="center"/>
          </w:tcPr>
          <w:p>
            <w:pPr>
              <w:pStyle w:val="13"/>
            </w:pPr>
            <w:r>
              <w:t>6.44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预算安排6.439万元，其中财政资金6.439万元，主要用于支付相农产品成本调查和重要商品应急价格调查监测关费用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1.通过农产品调查认定结论，为国家价格调控提供依据，促进工作顺利进行</w:t>
            </w:r>
            <w:r>
              <w:tab/>
            </w:r>
            <w:r>
              <w:tab/>
            </w:r>
            <w:r>
              <w:tab/>
            </w:r>
            <w:r>
              <w:tab/>
            </w:r>
            <w:r>
              <w:tab/>
            </w:r>
          </w:p>
          <w:p>
            <w:pPr>
              <w:pStyle w:val="13"/>
            </w:pPr>
          </w:p>
          <w:p>
            <w:pPr>
              <w:pStyle w:val="13"/>
            </w:pPr>
            <w:r>
              <w:t>2.通过接受农产品价格认定事项，完成价格订定工作，促进价格管理规范化。</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农户补偿户数</w:t>
            </w:r>
          </w:p>
        </w:tc>
        <w:tc>
          <w:tcPr>
            <w:tcW w:w="5386" w:type="dxa"/>
            <w:vAlign w:val="center"/>
          </w:tcPr>
          <w:p>
            <w:pPr>
              <w:pStyle w:val="13"/>
            </w:pPr>
            <w:r>
              <w:t>全年完成的价格认定次数</w:t>
            </w:r>
          </w:p>
        </w:tc>
        <w:tc>
          <w:tcPr>
            <w:tcW w:w="2268" w:type="dxa"/>
            <w:vAlign w:val="center"/>
          </w:tcPr>
          <w:p>
            <w:pPr>
              <w:pStyle w:val="13"/>
            </w:pPr>
            <w:r>
              <w:t>≥19户</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农户补偿</w:t>
            </w:r>
          </w:p>
        </w:tc>
        <w:tc>
          <w:tcPr>
            <w:tcW w:w="5386" w:type="dxa"/>
            <w:vAlign w:val="center"/>
          </w:tcPr>
          <w:p>
            <w:pPr>
              <w:pStyle w:val="13"/>
            </w:pPr>
            <w:r>
              <w:t>农户补偿金额</w:t>
            </w:r>
          </w:p>
        </w:tc>
        <w:tc>
          <w:tcPr>
            <w:tcW w:w="2268" w:type="dxa"/>
            <w:vAlign w:val="center"/>
          </w:tcPr>
          <w:p>
            <w:pPr>
              <w:pStyle w:val="13"/>
            </w:pPr>
            <w:r>
              <w:t>≤3万元</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保障价格认定的部门数</w:t>
            </w:r>
          </w:p>
        </w:tc>
        <w:tc>
          <w:tcPr>
            <w:tcW w:w="5386" w:type="dxa"/>
            <w:vAlign w:val="center"/>
          </w:tcPr>
          <w:p>
            <w:pPr>
              <w:pStyle w:val="13"/>
            </w:pPr>
            <w:r>
              <w:t>全年需要配合需求价格认定的部门数，以保障其进行正常的工作</w:t>
            </w:r>
          </w:p>
        </w:tc>
        <w:tc>
          <w:tcPr>
            <w:tcW w:w="2268" w:type="dxa"/>
            <w:vAlign w:val="center"/>
          </w:tcPr>
          <w:p>
            <w:pPr>
              <w:pStyle w:val="13"/>
            </w:pPr>
            <w:r>
              <w:t>≥5个</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价格认定准确率</w:t>
            </w:r>
          </w:p>
        </w:tc>
        <w:tc>
          <w:tcPr>
            <w:tcW w:w="5386" w:type="dxa"/>
            <w:vAlign w:val="center"/>
          </w:tcPr>
          <w:p>
            <w:pPr>
              <w:pStyle w:val="13"/>
            </w:pPr>
            <w:r>
              <w:t>维持价格认定的件数除以价格认定的总数</w:t>
            </w:r>
          </w:p>
        </w:tc>
        <w:tc>
          <w:tcPr>
            <w:tcW w:w="2268" w:type="dxa"/>
            <w:vAlign w:val="center"/>
          </w:tcPr>
          <w:p>
            <w:pPr>
              <w:pStyle w:val="13"/>
            </w:pPr>
            <w:r>
              <w:t>≥90%</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价格认定的完成率</w:t>
            </w:r>
          </w:p>
        </w:tc>
        <w:tc>
          <w:tcPr>
            <w:tcW w:w="5386" w:type="dxa"/>
            <w:vAlign w:val="center"/>
          </w:tcPr>
          <w:p>
            <w:pPr>
              <w:pStyle w:val="13"/>
            </w:pPr>
            <w:r>
              <w:t>被委托价格认定数除以已完成价格认定数</w:t>
            </w:r>
          </w:p>
        </w:tc>
        <w:tc>
          <w:tcPr>
            <w:tcW w:w="2268" w:type="dxa"/>
            <w:vAlign w:val="center"/>
          </w:tcPr>
          <w:p>
            <w:pPr>
              <w:pStyle w:val="13"/>
            </w:pPr>
            <w:r>
              <w:t>≥98%</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价格认定办结率</w:t>
            </w:r>
          </w:p>
        </w:tc>
        <w:tc>
          <w:tcPr>
            <w:tcW w:w="5386" w:type="dxa"/>
            <w:vAlign w:val="center"/>
          </w:tcPr>
          <w:p>
            <w:pPr>
              <w:pStyle w:val="13"/>
            </w:pPr>
            <w:r>
              <w:t>在规定时限内出具认定结论的份数占总数的比例</w:t>
            </w:r>
          </w:p>
        </w:tc>
        <w:tc>
          <w:tcPr>
            <w:tcW w:w="2268" w:type="dxa"/>
            <w:vAlign w:val="center"/>
          </w:tcPr>
          <w:p>
            <w:pPr>
              <w:pStyle w:val="13"/>
            </w:pPr>
            <w:r>
              <w:t>≥99%</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费用控制</w:t>
            </w:r>
          </w:p>
        </w:tc>
        <w:tc>
          <w:tcPr>
            <w:tcW w:w="5386" w:type="dxa"/>
            <w:vAlign w:val="center"/>
          </w:tcPr>
          <w:p>
            <w:pPr>
              <w:pStyle w:val="13"/>
            </w:pPr>
            <w:r>
              <w:t>严格进行农本调查宣传册、下乡、培训不超过预算数</w:t>
            </w:r>
          </w:p>
        </w:tc>
        <w:tc>
          <w:tcPr>
            <w:tcW w:w="2268" w:type="dxa"/>
            <w:vAlign w:val="center"/>
          </w:tcPr>
          <w:p>
            <w:pPr>
              <w:pStyle w:val="13"/>
            </w:pPr>
            <w:r>
              <w:t>≤6.43万元</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通过价格认定，提高公共服务质量，促进社会和谐和稳定</w:t>
            </w:r>
          </w:p>
        </w:tc>
        <w:tc>
          <w:tcPr>
            <w:tcW w:w="2268" w:type="dxa"/>
            <w:vAlign w:val="center"/>
          </w:tcPr>
          <w:p>
            <w:pPr>
              <w:pStyle w:val="13"/>
            </w:pPr>
            <w:r>
              <w:t>≥1%</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保障价格的公平公正，维护市场经济秩序</w:t>
            </w:r>
          </w:p>
        </w:tc>
        <w:tc>
          <w:tcPr>
            <w:tcW w:w="2268" w:type="dxa"/>
            <w:vAlign w:val="center"/>
          </w:tcPr>
          <w:p>
            <w:pPr>
              <w:pStyle w:val="13"/>
            </w:pPr>
            <w:r>
              <w:t>≥1年</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司法机构满意度</w:t>
            </w:r>
          </w:p>
        </w:tc>
        <w:tc>
          <w:tcPr>
            <w:tcW w:w="5386" w:type="dxa"/>
            <w:vAlign w:val="center"/>
          </w:tcPr>
          <w:p>
            <w:pPr>
              <w:pStyle w:val="13"/>
            </w:pPr>
            <w:r>
              <w:t>司法机构对价格认定工作的满意程度</w:t>
            </w:r>
          </w:p>
        </w:tc>
        <w:tc>
          <w:tcPr>
            <w:tcW w:w="2268" w:type="dxa"/>
            <w:vAlign w:val="center"/>
          </w:tcPr>
          <w:p>
            <w:pPr>
              <w:pStyle w:val="13"/>
            </w:pPr>
            <w:r>
              <w: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28、关于下达2025年产粮大县奖励资金预算的通知（冀财建[2025]45号）绩效目标表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13032125P00011610173L</w:t>
            </w:r>
          </w:p>
        </w:tc>
        <w:tc>
          <w:tcPr>
            <w:tcW w:w="2835" w:type="dxa"/>
            <w:vAlign w:val="center"/>
          </w:tcPr>
          <w:p>
            <w:pPr>
              <w:pStyle w:val="11"/>
            </w:pPr>
            <w:r>
              <w:t>项目名称</w:t>
            </w:r>
          </w:p>
        </w:tc>
        <w:tc>
          <w:tcPr>
            <w:tcW w:w="6095" w:type="dxa"/>
            <w:gridSpan w:val="3"/>
            <w:vAlign w:val="center"/>
          </w:tcPr>
          <w:p>
            <w:pPr>
              <w:pStyle w:val="13"/>
            </w:pPr>
            <w:r>
              <w:t>关于下达2025年产粮大县奖励资金预算的通知（冀财建[2025]45号）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248.00</w:t>
            </w:r>
          </w:p>
        </w:tc>
        <w:tc>
          <w:tcPr>
            <w:tcW w:w="2835" w:type="dxa"/>
            <w:vAlign w:val="center"/>
          </w:tcPr>
          <w:p>
            <w:pPr>
              <w:pStyle w:val="11"/>
            </w:pPr>
            <w:r>
              <w:t>其中：财政    资金</w:t>
            </w:r>
          </w:p>
        </w:tc>
        <w:tc>
          <w:tcPr>
            <w:tcW w:w="2551" w:type="dxa"/>
            <w:vAlign w:val="center"/>
          </w:tcPr>
          <w:p>
            <w:pPr>
              <w:pStyle w:val="13"/>
            </w:pPr>
            <w:r>
              <w:t>248.00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预算安排248万元，其中财政资金248万元，主要用于粮食相关支出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1.根据上级文件安排，本项目涉密无法具体填写</w:t>
            </w:r>
          </w:p>
          <w:p>
            <w:pPr>
              <w:pStyle w:val="13"/>
            </w:pPr>
            <w:r>
              <w:t>2.根据上级文件安排，本项目涉密无法具体填写</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冀财建[2025]45号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29、关于下达2025年农产品成本调查补助资金预算的通知（冀财建[2025]57号）绩效目标表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13032125P000098100022</w:t>
            </w:r>
          </w:p>
        </w:tc>
        <w:tc>
          <w:tcPr>
            <w:tcW w:w="2835" w:type="dxa"/>
            <w:vAlign w:val="center"/>
          </w:tcPr>
          <w:p>
            <w:pPr>
              <w:pStyle w:val="11"/>
            </w:pPr>
            <w:r>
              <w:t>项目名称</w:t>
            </w:r>
          </w:p>
        </w:tc>
        <w:tc>
          <w:tcPr>
            <w:tcW w:w="6095" w:type="dxa"/>
            <w:gridSpan w:val="3"/>
            <w:vAlign w:val="center"/>
          </w:tcPr>
          <w:p>
            <w:pPr>
              <w:pStyle w:val="13"/>
            </w:pPr>
            <w:r>
              <w:t>关于下达2025年农产品成本调查补助资金预算的通知（冀财建[2025]57号）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0.78</w:t>
            </w:r>
          </w:p>
        </w:tc>
        <w:tc>
          <w:tcPr>
            <w:tcW w:w="2835" w:type="dxa"/>
            <w:vAlign w:val="center"/>
          </w:tcPr>
          <w:p>
            <w:pPr>
              <w:pStyle w:val="11"/>
            </w:pPr>
            <w:r>
              <w:t>其中：财政    资金</w:t>
            </w:r>
          </w:p>
        </w:tc>
        <w:tc>
          <w:tcPr>
            <w:tcW w:w="2551" w:type="dxa"/>
            <w:vAlign w:val="center"/>
          </w:tcPr>
          <w:p>
            <w:pPr>
              <w:pStyle w:val="13"/>
            </w:pPr>
            <w:r>
              <w:t>0.78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预算安排0.78万元，其中财政资金0.78万元，主要用于支付农产品成本调查相关支出。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1.为国家制定农业补贴、推动农村土地制度改革和农业产业结构调整提供参考依据</w:t>
            </w:r>
          </w:p>
          <w:p>
            <w:pPr>
              <w:pStyle w:val="13"/>
            </w:pPr>
            <w:r>
              <w:t>2.  为国家完善农产品价格形成机制提供基础数据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农产品调查样本选取数量</w:t>
            </w:r>
          </w:p>
        </w:tc>
        <w:tc>
          <w:tcPr>
            <w:tcW w:w="5386" w:type="dxa"/>
            <w:vAlign w:val="center"/>
          </w:tcPr>
          <w:p>
            <w:pPr>
              <w:pStyle w:val="13"/>
            </w:pPr>
            <w:r>
              <w:t>农立品成本调查采样数</w:t>
            </w:r>
          </w:p>
        </w:tc>
        <w:tc>
          <w:tcPr>
            <w:tcW w:w="2268" w:type="dxa"/>
            <w:vAlign w:val="center"/>
          </w:tcPr>
          <w:p>
            <w:pPr>
              <w:pStyle w:val="13"/>
            </w:pPr>
            <w:r>
              <w:t>27个</w:t>
            </w:r>
          </w:p>
        </w:tc>
        <w:tc>
          <w:tcPr>
            <w:tcW w:w="1276" w:type="dxa"/>
            <w:vAlign w:val="center"/>
          </w:tcPr>
          <w:p>
            <w:pPr>
              <w:pStyle w:val="13"/>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调查品种</w:t>
            </w:r>
          </w:p>
        </w:tc>
        <w:tc>
          <w:tcPr>
            <w:tcW w:w="5386" w:type="dxa"/>
            <w:vAlign w:val="center"/>
          </w:tcPr>
          <w:p>
            <w:pPr>
              <w:pStyle w:val="13"/>
            </w:pPr>
            <w:r>
              <w:t>农立品成本调查品种数量</w:t>
            </w:r>
          </w:p>
        </w:tc>
        <w:tc>
          <w:tcPr>
            <w:tcW w:w="2268" w:type="dxa"/>
            <w:vAlign w:val="center"/>
          </w:tcPr>
          <w:p>
            <w:pPr>
              <w:pStyle w:val="13"/>
            </w:pPr>
            <w:r>
              <w:t>5个</w:t>
            </w:r>
          </w:p>
        </w:tc>
        <w:tc>
          <w:tcPr>
            <w:tcW w:w="1276" w:type="dxa"/>
            <w:vAlign w:val="center"/>
          </w:tcPr>
          <w:p>
            <w:pPr>
              <w:pStyle w:val="13"/>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农产品成本调查农户</w:t>
            </w:r>
          </w:p>
        </w:tc>
        <w:tc>
          <w:tcPr>
            <w:tcW w:w="5386" w:type="dxa"/>
            <w:vAlign w:val="center"/>
          </w:tcPr>
          <w:p>
            <w:pPr>
              <w:pStyle w:val="13"/>
            </w:pPr>
            <w:r>
              <w:t>辅助完成农立品成本调查农户数</w:t>
            </w:r>
          </w:p>
        </w:tc>
        <w:tc>
          <w:tcPr>
            <w:tcW w:w="2268" w:type="dxa"/>
            <w:vAlign w:val="center"/>
          </w:tcPr>
          <w:p>
            <w:pPr>
              <w:pStyle w:val="13"/>
            </w:pPr>
            <w:r>
              <w:t>19个</w:t>
            </w:r>
          </w:p>
        </w:tc>
        <w:tc>
          <w:tcPr>
            <w:tcW w:w="1276" w:type="dxa"/>
            <w:vAlign w:val="center"/>
          </w:tcPr>
          <w:p>
            <w:pPr>
              <w:pStyle w:val="13"/>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调查覆盖率</w:t>
            </w:r>
          </w:p>
        </w:tc>
        <w:tc>
          <w:tcPr>
            <w:tcW w:w="5386" w:type="dxa"/>
            <w:vAlign w:val="center"/>
          </w:tcPr>
          <w:p>
            <w:pPr>
              <w:pStyle w:val="13"/>
            </w:pPr>
            <w:r>
              <w:t>上报数据的样本和选取的调查</w:t>
            </w:r>
          </w:p>
          <w:p>
            <w:pPr>
              <w:pStyle w:val="13"/>
            </w:pPr>
            <w:r>
              <w:t>样本之比</w:t>
            </w:r>
          </w:p>
        </w:tc>
        <w:tc>
          <w:tcPr>
            <w:tcW w:w="2268" w:type="dxa"/>
            <w:vAlign w:val="center"/>
          </w:tcPr>
          <w:p>
            <w:pPr>
              <w:pStyle w:val="13"/>
            </w:pPr>
            <w:r>
              <w:t>≥95%</w:t>
            </w:r>
          </w:p>
        </w:tc>
        <w:tc>
          <w:tcPr>
            <w:tcW w:w="1276" w:type="dxa"/>
            <w:vAlign w:val="center"/>
          </w:tcPr>
          <w:p>
            <w:pPr>
              <w:pStyle w:val="13"/>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调查数据准确率</w:t>
            </w:r>
          </w:p>
        </w:tc>
        <w:tc>
          <w:tcPr>
            <w:tcW w:w="5386" w:type="dxa"/>
            <w:vAlign w:val="center"/>
          </w:tcPr>
          <w:p>
            <w:pPr>
              <w:pStyle w:val="13"/>
            </w:pPr>
            <w:r>
              <w:t>上报数据与实际成本之比</w:t>
            </w:r>
          </w:p>
        </w:tc>
        <w:tc>
          <w:tcPr>
            <w:tcW w:w="2268" w:type="dxa"/>
            <w:vAlign w:val="center"/>
          </w:tcPr>
          <w:p>
            <w:pPr>
              <w:pStyle w:val="13"/>
            </w:pPr>
            <w:r>
              <w:t>≥95%</w:t>
            </w:r>
          </w:p>
        </w:tc>
        <w:tc>
          <w:tcPr>
            <w:tcW w:w="1276" w:type="dxa"/>
            <w:vAlign w:val="center"/>
          </w:tcPr>
          <w:p>
            <w:pPr>
              <w:pStyle w:val="13"/>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按照上乡要求时间节点完成</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农产品成本调查支出是否控制在预算内</w:t>
            </w:r>
          </w:p>
        </w:tc>
        <w:tc>
          <w:tcPr>
            <w:tcW w:w="5386" w:type="dxa"/>
            <w:vAlign w:val="center"/>
          </w:tcPr>
          <w:p>
            <w:pPr>
              <w:pStyle w:val="13"/>
            </w:pPr>
            <w:r>
              <w:t>成本调查实际支出各项指标</w:t>
            </w:r>
          </w:p>
          <w:p>
            <w:pPr>
              <w:pStyle w:val="13"/>
            </w:pPr>
            <w:r>
              <w:t>控制在预算以内</w:t>
            </w:r>
          </w:p>
        </w:tc>
        <w:tc>
          <w:tcPr>
            <w:tcW w:w="2268" w:type="dxa"/>
            <w:vAlign w:val="center"/>
          </w:tcPr>
          <w:p>
            <w:pPr>
              <w:pStyle w:val="13"/>
            </w:pPr>
            <w:r>
              <w:t>0.78万元</w:t>
            </w:r>
          </w:p>
        </w:tc>
        <w:tc>
          <w:tcPr>
            <w:tcW w:w="1276" w:type="dxa"/>
            <w:vAlign w:val="center"/>
          </w:tcPr>
          <w:p>
            <w:pPr>
              <w:pStyle w:val="13"/>
            </w:pPr>
            <w:r>
              <w:t>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为国家完善农产品价格形成机制服务</w:t>
            </w:r>
          </w:p>
        </w:tc>
        <w:tc>
          <w:tcPr>
            <w:tcW w:w="5386" w:type="dxa"/>
            <w:vAlign w:val="center"/>
          </w:tcPr>
          <w:p>
            <w:pPr>
              <w:pStyle w:val="13"/>
            </w:pPr>
            <w:r>
              <w:t>提供基础数据支持</w:t>
            </w:r>
          </w:p>
        </w:tc>
        <w:tc>
          <w:tcPr>
            <w:tcW w:w="2268" w:type="dxa"/>
            <w:vAlign w:val="center"/>
          </w:tcPr>
          <w:p>
            <w:pPr>
              <w:pStyle w:val="13"/>
            </w:pPr>
            <w:r>
              <w:t>≥90%</w:t>
            </w:r>
          </w:p>
        </w:tc>
        <w:tc>
          <w:tcPr>
            <w:tcW w:w="1276" w:type="dxa"/>
            <w:vAlign w:val="center"/>
          </w:tcPr>
          <w:p>
            <w:pPr>
              <w:pStyle w:val="13"/>
            </w:pPr>
            <w:r>
              <w:t>农产品成本调查系统要求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保障价格的公平公正，维护市场经济秩序</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调查户满意度</w:t>
            </w:r>
          </w:p>
        </w:tc>
        <w:tc>
          <w:tcPr>
            <w:tcW w:w="2268" w:type="dxa"/>
            <w:vAlign w:val="center"/>
          </w:tcPr>
          <w:p>
            <w:pPr>
              <w:pStyle w:val="13"/>
            </w:pPr>
            <w:r>
              <w:t>≥99%</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30、关于下达2025年省级大气污染防治资金预算（用于2025年采暖季洁净煤取暖）的通知（冀财建[2025]171号）绩效目标表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13032125P000044100052</w:t>
            </w:r>
          </w:p>
        </w:tc>
        <w:tc>
          <w:tcPr>
            <w:tcW w:w="2835" w:type="dxa"/>
            <w:vAlign w:val="center"/>
          </w:tcPr>
          <w:p>
            <w:pPr>
              <w:pStyle w:val="11"/>
            </w:pPr>
            <w:r>
              <w:t>项目名称</w:t>
            </w:r>
          </w:p>
        </w:tc>
        <w:tc>
          <w:tcPr>
            <w:tcW w:w="6095" w:type="dxa"/>
            <w:gridSpan w:val="3"/>
            <w:vAlign w:val="center"/>
          </w:tcPr>
          <w:p>
            <w:pPr>
              <w:pStyle w:val="13"/>
            </w:pPr>
            <w:r>
              <w:t>关于下达2025年省级大气污染防治资金预算（用于2025年采暖季洁净煤取暖）的通知（冀财建[2025]171号）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预算安排15万元，其中财政资金15万元，主要用于洁净煤相关支出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1.通过购买洁净型煤，保证燃煤用户温暖过冬。</w:t>
            </w:r>
          </w:p>
          <w:p>
            <w:pPr>
              <w:pStyle w:val="13"/>
            </w:pPr>
            <w:r>
              <w:t>2.有效禁止散煤复燃，减少大气污染。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预供应型煤数量</w:t>
            </w:r>
          </w:p>
        </w:tc>
        <w:tc>
          <w:tcPr>
            <w:tcW w:w="5386" w:type="dxa"/>
            <w:vAlign w:val="center"/>
          </w:tcPr>
          <w:p>
            <w:pPr>
              <w:pStyle w:val="13"/>
            </w:pPr>
            <w:r>
              <w:t>2025年预供应型煤数量</w:t>
            </w:r>
          </w:p>
        </w:tc>
        <w:tc>
          <w:tcPr>
            <w:tcW w:w="2268" w:type="dxa"/>
            <w:vAlign w:val="center"/>
          </w:tcPr>
          <w:p>
            <w:pPr>
              <w:pStyle w:val="13"/>
            </w:pPr>
            <w:r>
              <w:t>≥2106吨</w:t>
            </w:r>
          </w:p>
        </w:tc>
        <w:tc>
          <w:tcPr>
            <w:tcW w:w="1276" w:type="dxa"/>
            <w:vAlign w:val="center"/>
          </w:tcPr>
          <w:p>
            <w:pPr>
              <w:pStyle w:val="13"/>
            </w:pPr>
            <w:r>
              <w:t>冀财建【2025】171号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保供乡镇个数</w:t>
            </w:r>
          </w:p>
        </w:tc>
        <w:tc>
          <w:tcPr>
            <w:tcW w:w="5386" w:type="dxa"/>
            <w:vAlign w:val="center"/>
          </w:tcPr>
          <w:p>
            <w:pPr>
              <w:pStyle w:val="13"/>
            </w:pPr>
            <w:r>
              <w:t>洁净型煤保供乡镇个数</w:t>
            </w:r>
          </w:p>
        </w:tc>
        <w:tc>
          <w:tcPr>
            <w:tcW w:w="2268" w:type="dxa"/>
            <w:vAlign w:val="center"/>
          </w:tcPr>
          <w:p>
            <w:pPr>
              <w:pStyle w:val="13"/>
            </w:pPr>
            <w:r>
              <w:t>24个</w:t>
            </w:r>
          </w:p>
        </w:tc>
        <w:tc>
          <w:tcPr>
            <w:tcW w:w="1276" w:type="dxa"/>
            <w:vAlign w:val="center"/>
          </w:tcPr>
          <w:p>
            <w:pPr>
              <w:pStyle w:val="13"/>
            </w:pPr>
            <w:r>
              <w:t>冀财建【2025】171号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达到型煤标准</w:t>
            </w:r>
          </w:p>
        </w:tc>
        <w:tc>
          <w:tcPr>
            <w:tcW w:w="5386" w:type="dxa"/>
            <w:vAlign w:val="center"/>
          </w:tcPr>
          <w:p>
            <w:pPr>
              <w:pStyle w:val="13"/>
            </w:pPr>
            <w:r>
              <w:t>保供煤达到型煤标准</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供应的及时率</w:t>
            </w:r>
          </w:p>
        </w:tc>
        <w:tc>
          <w:tcPr>
            <w:tcW w:w="5386" w:type="dxa"/>
            <w:vAlign w:val="center"/>
          </w:tcPr>
          <w:p>
            <w:pPr>
              <w:pStyle w:val="13"/>
            </w:pPr>
            <w:r>
              <w:t>型煤供应到户的及时率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型煤购买成本</w:t>
            </w:r>
          </w:p>
        </w:tc>
        <w:tc>
          <w:tcPr>
            <w:tcW w:w="5386" w:type="dxa"/>
            <w:vAlign w:val="center"/>
          </w:tcPr>
          <w:p>
            <w:pPr>
              <w:pStyle w:val="13"/>
            </w:pPr>
            <w:r>
              <w:t>每吨购买型煤成本</w:t>
            </w:r>
          </w:p>
        </w:tc>
        <w:tc>
          <w:tcPr>
            <w:tcW w:w="2268" w:type="dxa"/>
            <w:vAlign w:val="center"/>
          </w:tcPr>
          <w:p>
            <w:pPr>
              <w:pStyle w:val="13"/>
            </w:pPr>
            <w:r>
              <w:t>1695元/吨</w:t>
            </w:r>
          </w:p>
        </w:tc>
        <w:tc>
          <w:tcPr>
            <w:tcW w:w="1276" w:type="dxa"/>
            <w:vAlign w:val="center"/>
          </w:tcPr>
          <w:p>
            <w:pPr>
              <w:pStyle w:val="13"/>
            </w:pPr>
            <w:r>
              <w:t>冀财建【2025】171号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满足燃煤用户取暖需求</w:t>
            </w:r>
          </w:p>
        </w:tc>
        <w:tc>
          <w:tcPr>
            <w:tcW w:w="5386" w:type="dxa"/>
            <w:vAlign w:val="center"/>
          </w:tcPr>
          <w:p>
            <w:pPr>
              <w:pStyle w:val="13"/>
            </w:pPr>
            <w:r>
              <w:t>实现清洁温暖过冬</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为巩固蓝天保卫战成果</w:t>
            </w:r>
          </w:p>
        </w:tc>
        <w:tc>
          <w:tcPr>
            <w:tcW w:w="5386" w:type="dxa"/>
            <w:vAlign w:val="center"/>
          </w:tcPr>
          <w:p>
            <w:pPr>
              <w:pStyle w:val="13"/>
            </w:pPr>
            <w:r>
              <w:t>有效禁止散煤复燃，推进空气质量持续改善</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实现冬季燃煤户清洁取暖</w:t>
            </w:r>
          </w:p>
        </w:tc>
        <w:tc>
          <w:tcPr>
            <w:tcW w:w="5386" w:type="dxa"/>
            <w:vAlign w:val="center"/>
          </w:tcPr>
          <w:p>
            <w:pPr>
              <w:pStyle w:val="13"/>
            </w:pPr>
            <w:r>
              <w:t>实现2025年冬季农村地区群众清洁取暖</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调查中满意和较满意的群众数占调查总群众数的比率</w:t>
            </w:r>
          </w:p>
        </w:tc>
        <w:tc>
          <w:tcPr>
            <w:tcW w:w="2268" w:type="dxa"/>
            <w:vAlign w:val="center"/>
          </w:tcPr>
          <w:p>
            <w:pPr>
              <w:pStyle w:val="13"/>
            </w:pPr>
            <w:r>
              <w: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31、教育专班工作经费绩效目标表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13032126P00003210018L</w:t>
            </w:r>
          </w:p>
        </w:tc>
        <w:tc>
          <w:tcPr>
            <w:tcW w:w="2835" w:type="dxa"/>
            <w:vAlign w:val="center"/>
          </w:tcPr>
          <w:p>
            <w:pPr>
              <w:pStyle w:val="11"/>
            </w:pPr>
            <w:r>
              <w:t>项目名称</w:t>
            </w:r>
          </w:p>
        </w:tc>
        <w:tc>
          <w:tcPr>
            <w:tcW w:w="6095" w:type="dxa"/>
            <w:gridSpan w:val="3"/>
            <w:vAlign w:val="center"/>
          </w:tcPr>
          <w:p>
            <w:pPr>
              <w:pStyle w:val="13"/>
            </w:pPr>
            <w:r>
              <w:t>教育专班工作经费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预算安排20元，其中财政资金20万元，主要用于支付教育专班相关费用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1.通过邀请知名企业来青考察，开展小团组招商活动，促进招商引资工作目标完成。</w:t>
            </w:r>
            <w:r>
              <w:tab/>
            </w:r>
            <w:r>
              <w:tab/>
            </w:r>
            <w:r>
              <w:tab/>
            </w:r>
          </w:p>
          <w:p>
            <w:pPr>
              <w:pStyle w:val="13"/>
            </w:pPr>
          </w:p>
          <w:p>
            <w:pPr>
              <w:pStyle w:val="13"/>
            </w:pPr>
            <w:r>
              <w:t>2.通过举行各类招商座谈会洽谈会，促进招商工作效果提升。</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邀请考察洽谈批次</w:t>
            </w:r>
          </w:p>
        </w:tc>
        <w:tc>
          <w:tcPr>
            <w:tcW w:w="5386" w:type="dxa"/>
            <w:vAlign w:val="center"/>
          </w:tcPr>
          <w:p>
            <w:pPr>
              <w:pStyle w:val="13"/>
            </w:pPr>
            <w:r>
              <w:t>邀请企业、客商来青龙考察洽谈批次</w:t>
            </w:r>
          </w:p>
        </w:tc>
        <w:tc>
          <w:tcPr>
            <w:tcW w:w="2268" w:type="dxa"/>
            <w:vAlign w:val="center"/>
          </w:tcPr>
          <w:p>
            <w:pPr>
              <w:pStyle w:val="13"/>
            </w:pPr>
            <w:r>
              <w:t>≥20次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资金数量增长比例</w:t>
            </w:r>
          </w:p>
        </w:tc>
        <w:tc>
          <w:tcPr>
            <w:tcW w:w="5386" w:type="dxa"/>
            <w:vAlign w:val="center"/>
          </w:tcPr>
          <w:p>
            <w:pPr>
              <w:pStyle w:val="13"/>
            </w:pPr>
            <w:r>
              <w:t>引进县外资金数量增长比例</w:t>
            </w:r>
          </w:p>
        </w:tc>
        <w:tc>
          <w:tcPr>
            <w:tcW w:w="2268" w:type="dxa"/>
            <w:vAlign w:val="center"/>
          </w:tcPr>
          <w:p>
            <w:pPr>
              <w:pStyle w:val="13"/>
            </w:pPr>
            <w:r>
              <w:t>≥2%</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认真按照年度招商引资工作方案和计划的时间节点推进招商引资工作</w:t>
            </w:r>
          </w:p>
        </w:tc>
        <w:tc>
          <w:tcPr>
            <w:tcW w:w="2268" w:type="dxa"/>
            <w:vAlign w:val="center"/>
          </w:tcPr>
          <w:p>
            <w:pPr>
              <w:pStyle w:val="13"/>
            </w:pPr>
            <w:r>
              <w:t>认真按照年度招商引资工作方案和计划的时间节点推进招商引资工作2026年度</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教育部招商引资费用</w:t>
            </w:r>
          </w:p>
        </w:tc>
        <w:tc>
          <w:tcPr>
            <w:tcW w:w="5386" w:type="dxa"/>
            <w:vAlign w:val="center"/>
          </w:tcPr>
          <w:p>
            <w:pPr>
              <w:pStyle w:val="13"/>
            </w:pPr>
            <w:r>
              <w:t>驻青龙教育部招商引资费用</w:t>
            </w:r>
          </w:p>
        </w:tc>
        <w:tc>
          <w:tcPr>
            <w:tcW w:w="2268" w:type="dxa"/>
            <w:vAlign w:val="center"/>
          </w:tcPr>
          <w:p>
            <w:pPr>
              <w:pStyle w:val="13"/>
            </w:pPr>
            <w:r>
              <w:t>≤20万元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对内投资环境影响</w:t>
            </w:r>
          </w:p>
        </w:tc>
        <w:tc>
          <w:tcPr>
            <w:tcW w:w="5386" w:type="dxa"/>
            <w:vAlign w:val="center"/>
          </w:tcPr>
          <w:p>
            <w:pPr>
              <w:pStyle w:val="13"/>
            </w:pPr>
            <w:r>
              <w:t>持续改善我县对内投资环境，不断增加就业岗位</w:t>
            </w:r>
          </w:p>
        </w:tc>
        <w:tc>
          <w:tcPr>
            <w:tcW w:w="2268" w:type="dxa"/>
            <w:vAlign w:val="center"/>
          </w:tcPr>
          <w:p>
            <w:pPr>
              <w:pStyle w:val="13"/>
            </w:pPr>
            <w:r>
              <w:t>≥1%</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长期有效性</w:t>
            </w:r>
          </w:p>
        </w:tc>
        <w:tc>
          <w:tcPr>
            <w:tcW w:w="5386" w:type="dxa"/>
            <w:vAlign w:val="center"/>
          </w:tcPr>
          <w:p>
            <w:pPr>
              <w:pStyle w:val="13"/>
            </w:pPr>
            <w:r>
              <w:t>不断扩大落地投产项目的可持续影响，培育全产业链，推动产项链向上下游的延伸</w:t>
            </w:r>
          </w:p>
        </w:tc>
        <w:tc>
          <w:tcPr>
            <w:tcW w:w="2268" w:type="dxa"/>
            <w:vAlign w:val="center"/>
          </w:tcPr>
          <w:p>
            <w:pPr>
              <w:pStyle w:val="13"/>
            </w:pPr>
            <w:r>
              <w:t>≥3年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调查中满意和较满意的企业数占全部调查企业数的比率</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32、客户体验中心项目所需配套资金绩效目标表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13032126P00011610244C</w:t>
            </w:r>
          </w:p>
        </w:tc>
        <w:tc>
          <w:tcPr>
            <w:tcW w:w="2835" w:type="dxa"/>
            <w:vAlign w:val="center"/>
          </w:tcPr>
          <w:p>
            <w:pPr>
              <w:pStyle w:val="11"/>
            </w:pPr>
            <w:r>
              <w:t>项目名称</w:t>
            </w:r>
          </w:p>
        </w:tc>
        <w:tc>
          <w:tcPr>
            <w:tcW w:w="6095" w:type="dxa"/>
            <w:gridSpan w:val="3"/>
            <w:vAlign w:val="center"/>
          </w:tcPr>
          <w:p>
            <w:pPr>
              <w:pStyle w:val="13"/>
            </w:pPr>
            <w:r>
              <w:t>客户体验中心项目所需配套资金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18.80</w:t>
            </w:r>
          </w:p>
        </w:tc>
        <w:tc>
          <w:tcPr>
            <w:tcW w:w="2835" w:type="dxa"/>
            <w:vAlign w:val="center"/>
          </w:tcPr>
          <w:p>
            <w:pPr>
              <w:pStyle w:val="11"/>
            </w:pPr>
            <w:r>
              <w:t>其中：财政    资金</w:t>
            </w:r>
          </w:p>
        </w:tc>
        <w:tc>
          <w:tcPr>
            <w:tcW w:w="2551" w:type="dxa"/>
            <w:vAlign w:val="center"/>
          </w:tcPr>
          <w:p>
            <w:pPr>
              <w:pStyle w:val="13"/>
            </w:pPr>
            <w:r>
              <w:t>18.80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预算安排18.8万元，其中财政资金18.8万元，主要用于支付客户体验中心项目所需配套相关费用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1.通过资金拨付，促进客户体验中心及时使用。</w:t>
            </w:r>
            <w:r>
              <w:tab/>
            </w:r>
            <w:r>
              <w:tab/>
            </w:r>
            <w:r>
              <w:tab/>
            </w:r>
          </w:p>
          <w:p>
            <w:pPr>
              <w:pStyle w:val="13"/>
            </w:pPr>
          </w:p>
          <w:p>
            <w:pPr>
              <w:pStyle w:val="13"/>
            </w:pPr>
            <w:r>
              <w:t>2.通过客户体验中心完善，实现本地电子商务快速发展。</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坐席数量</w:t>
            </w:r>
          </w:p>
        </w:tc>
        <w:tc>
          <w:tcPr>
            <w:tcW w:w="5386" w:type="dxa"/>
            <w:vAlign w:val="center"/>
          </w:tcPr>
          <w:p>
            <w:pPr>
              <w:pStyle w:val="13"/>
            </w:pPr>
            <w:r>
              <w:t>体验中心达到坐席数量</w:t>
            </w:r>
          </w:p>
        </w:tc>
        <w:tc>
          <w:tcPr>
            <w:tcW w:w="2268" w:type="dxa"/>
            <w:vAlign w:val="center"/>
          </w:tcPr>
          <w:p>
            <w:pPr>
              <w:pStyle w:val="13"/>
            </w:pPr>
            <w:r>
              <w:t xml:space="preserve">≥200个 </w:t>
            </w:r>
          </w:p>
        </w:tc>
        <w:tc>
          <w:tcPr>
            <w:tcW w:w="1276" w:type="dxa"/>
            <w:vAlign w:val="center"/>
          </w:tcPr>
          <w:p>
            <w:pPr>
              <w:pStyle w:val="13"/>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购买器材及用具达标率</w:t>
            </w:r>
          </w:p>
        </w:tc>
        <w:tc>
          <w:tcPr>
            <w:tcW w:w="5386" w:type="dxa"/>
            <w:vAlign w:val="center"/>
          </w:tcPr>
          <w:p>
            <w:pPr>
              <w:pStyle w:val="13"/>
            </w:pPr>
            <w:r>
              <w:t>体验中心购买器材及用具达标率</w:t>
            </w:r>
          </w:p>
        </w:tc>
        <w:tc>
          <w:tcPr>
            <w:tcW w:w="2268" w:type="dxa"/>
            <w:vAlign w:val="center"/>
          </w:tcPr>
          <w:p>
            <w:pPr>
              <w:pStyle w:val="13"/>
            </w:pPr>
            <w:r>
              <w:t>≥95%</w:t>
            </w:r>
          </w:p>
        </w:tc>
        <w:tc>
          <w:tcPr>
            <w:tcW w:w="1276" w:type="dxa"/>
            <w:vAlign w:val="center"/>
          </w:tcPr>
          <w:p>
            <w:pPr>
              <w:pStyle w:val="13"/>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w:t>
            </w:r>
          </w:p>
        </w:tc>
        <w:tc>
          <w:tcPr>
            <w:tcW w:w="5386" w:type="dxa"/>
            <w:vAlign w:val="center"/>
          </w:tcPr>
          <w:p>
            <w:pPr>
              <w:pStyle w:val="13"/>
            </w:pPr>
            <w:r>
              <w:t>资金拨付及时率</w:t>
            </w:r>
          </w:p>
        </w:tc>
        <w:tc>
          <w:tcPr>
            <w:tcW w:w="2268" w:type="dxa"/>
            <w:vAlign w:val="center"/>
          </w:tcPr>
          <w:p>
            <w:pPr>
              <w:pStyle w:val="13"/>
            </w:pPr>
            <w:r>
              <w:t>≥90%</w:t>
            </w:r>
          </w:p>
        </w:tc>
        <w:tc>
          <w:tcPr>
            <w:tcW w:w="1276" w:type="dxa"/>
            <w:vAlign w:val="center"/>
          </w:tcPr>
          <w:p>
            <w:pPr>
              <w:pStyle w:val="13"/>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房租单项成本</w:t>
            </w:r>
          </w:p>
        </w:tc>
        <w:tc>
          <w:tcPr>
            <w:tcW w:w="5386" w:type="dxa"/>
            <w:vAlign w:val="center"/>
          </w:tcPr>
          <w:p>
            <w:pPr>
              <w:pStyle w:val="13"/>
            </w:pPr>
            <w:r>
              <w:t>使用商贸中心大楼房租</w:t>
            </w:r>
          </w:p>
        </w:tc>
        <w:tc>
          <w:tcPr>
            <w:tcW w:w="2268" w:type="dxa"/>
            <w:vAlign w:val="center"/>
          </w:tcPr>
          <w:p>
            <w:pPr>
              <w:pStyle w:val="13"/>
            </w:pPr>
            <w:r>
              <w:t>≤37.6万元</w:t>
            </w:r>
          </w:p>
        </w:tc>
        <w:tc>
          <w:tcPr>
            <w:tcW w:w="1276" w:type="dxa"/>
            <w:vAlign w:val="center"/>
          </w:tcPr>
          <w:p>
            <w:pPr>
              <w:pStyle w:val="13"/>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平米数</w:t>
            </w:r>
          </w:p>
        </w:tc>
        <w:tc>
          <w:tcPr>
            <w:tcW w:w="5386" w:type="dxa"/>
            <w:vAlign w:val="center"/>
          </w:tcPr>
          <w:p>
            <w:pPr>
              <w:pStyle w:val="13"/>
            </w:pPr>
            <w:r>
              <w:t>客户体验中心租房平米数</w:t>
            </w:r>
          </w:p>
        </w:tc>
        <w:tc>
          <w:tcPr>
            <w:tcW w:w="2268" w:type="dxa"/>
            <w:vAlign w:val="center"/>
          </w:tcPr>
          <w:p>
            <w:pPr>
              <w:pStyle w:val="13"/>
            </w:pPr>
            <w:r>
              <w:t>≥1700平方米</w:t>
            </w:r>
          </w:p>
        </w:tc>
        <w:tc>
          <w:tcPr>
            <w:tcW w:w="1276" w:type="dxa"/>
            <w:vAlign w:val="center"/>
          </w:tcPr>
          <w:p>
            <w:pPr>
              <w:pStyle w:val="13"/>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拉动本地生产和发展</w:t>
            </w:r>
          </w:p>
        </w:tc>
        <w:tc>
          <w:tcPr>
            <w:tcW w:w="5386" w:type="dxa"/>
            <w:vAlign w:val="center"/>
          </w:tcPr>
          <w:p>
            <w:pPr>
              <w:pStyle w:val="13"/>
            </w:pPr>
            <w:r>
              <w:t>拉动本地生产和发展，助力共同富裕</w:t>
            </w:r>
          </w:p>
        </w:tc>
        <w:tc>
          <w:tcPr>
            <w:tcW w:w="2268" w:type="dxa"/>
            <w:vAlign w:val="center"/>
          </w:tcPr>
          <w:p>
            <w:pPr>
              <w:pStyle w:val="13"/>
            </w:pPr>
            <w:r>
              <w:t>≥2%</w:t>
            </w:r>
          </w:p>
        </w:tc>
        <w:tc>
          <w:tcPr>
            <w:tcW w:w="1276" w:type="dxa"/>
            <w:vAlign w:val="center"/>
          </w:tcPr>
          <w:p>
            <w:pPr>
              <w:pStyle w:val="13"/>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发展电子商务</w:t>
            </w:r>
          </w:p>
        </w:tc>
        <w:tc>
          <w:tcPr>
            <w:tcW w:w="5386" w:type="dxa"/>
            <w:vAlign w:val="center"/>
          </w:tcPr>
          <w:p>
            <w:pPr>
              <w:pStyle w:val="13"/>
            </w:pPr>
            <w:r>
              <w:t>发展电子商务，促进乡村振兴</w:t>
            </w:r>
          </w:p>
        </w:tc>
        <w:tc>
          <w:tcPr>
            <w:tcW w:w="2268" w:type="dxa"/>
            <w:vAlign w:val="center"/>
          </w:tcPr>
          <w:p>
            <w:pPr>
              <w:pStyle w:val="13"/>
            </w:pPr>
            <w:r>
              <w:t>≥5%</w:t>
            </w:r>
          </w:p>
        </w:tc>
        <w:tc>
          <w:tcPr>
            <w:tcW w:w="1276" w:type="dxa"/>
            <w:vAlign w:val="center"/>
          </w:tcPr>
          <w:p>
            <w:pPr>
              <w:pStyle w:val="13"/>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提供就业岗位</w:t>
            </w:r>
          </w:p>
        </w:tc>
        <w:tc>
          <w:tcPr>
            <w:tcW w:w="5386" w:type="dxa"/>
            <w:vAlign w:val="center"/>
          </w:tcPr>
          <w:p>
            <w:pPr>
              <w:pStyle w:val="13"/>
            </w:pPr>
            <w:r>
              <w:t>体验中心提供就业岗位</w:t>
            </w:r>
          </w:p>
        </w:tc>
        <w:tc>
          <w:tcPr>
            <w:tcW w:w="2268" w:type="dxa"/>
            <w:vAlign w:val="center"/>
          </w:tcPr>
          <w:p>
            <w:pPr>
              <w:pStyle w:val="13"/>
            </w:pPr>
            <w:r>
              <w:t>≥200个</w:t>
            </w:r>
          </w:p>
        </w:tc>
        <w:tc>
          <w:tcPr>
            <w:tcW w:w="1276" w:type="dxa"/>
            <w:vAlign w:val="center"/>
          </w:tcPr>
          <w:p>
            <w:pPr>
              <w:pStyle w:val="13"/>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33、粮食安全保障专项规划编制费用绩效目标表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13032126P00011610240X</w:t>
            </w:r>
          </w:p>
        </w:tc>
        <w:tc>
          <w:tcPr>
            <w:tcW w:w="2835" w:type="dxa"/>
            <w:vAlign w:val="center"/>
          </w:tcPr>
          <w:p>
            <w:pPr>
              <w:pStyle w:val="11"/>
            </w:pPr>
            <w:r>
              <w:t>项目名称</w:t>
            </w:r>
          </w:p>
        </w:tc>
        <w:tc>
          <w:tcPr>
            <w:tcW w:w="6095" w:type="dxa"/>
            <w:gridSpan w:val="3"/>
            <w:vAlign w:val="center"/>
          </w:tcPr>
          <w:p>
            <w:pPr>
              <w:pStyle w:val="13"/>
            </w:pPr>
            <w:r>
              <w:t>粮食安全保障专项规划编制费用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19.00</w:t>
            </w:r>
          </w:p>
        </w:tc>
        <w:tc>
          <w:tcPr>
            <w:tcW w:w="2835" w:type="dxa"/>
            <w:vAlign w:val="center"/>
          </w:tcPr>
          <w:p>
            <w:pPr>
              <w:pStyle w:val="11"/>
            </w:pPr>
            <w:r>
              <w:t>其中：财政    资金</w:t>
            </w:r>
          </w:p>
        </w:tc>
        <w:tc>
          <w:tcPr>
            <w:tcW w:w="2551" w:type="dxa"/>
            <w:vAlign w:val="center"/>
          </w:tcPr>
          <w:p>
            <w:pPr>
              <w:pStyle w:val="13"/>
            </w:pPr>
            <w:r>
              <w:t>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预算安排19万元，其中财政资金19万元，主要用于支付粮食安全保障专项规划编制相关费用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1.通过及时拨付规划编制费用，保障企业正常运行，促进长久合作。</w:t>
            </w:r>
            <w:r>
              <w:tab/>
            </w:r>
            <w:r>
              <w:tab/>
            </w:r>
            <w:r>
              <w:tab/>
            </w:r>
          </w:p>
          <w:p>
            <w:pPr>
              <w:pStyle w:val="13"/>
            </w:pPr>
          </w:p>
          <w:p>
            <w:pPr>
              <w:pStyle w:val="13"/>
            </w:pPr>
            <w:r>
              <w:t>2.通过及时拨付规划编制费用，增强政府公信力。</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委托编制数量</w:t>
            </w:r>
          </w:p>
        </w:tc>
        <w:tc>
          <w:tcPr>
            <w:tcW w:w="5386" w:type="dxa"/>
            <w:vAlign w:val="center"/>
          </w:tcPr>
          <w:p>
            <w:pPr>
              <w:pStyle w:val="13"/>
            </w:pPr>
            <w:r>
              <w:t>委托编制目标纲要和发展规划数量</w:t>
            </w:r>
          </w:p>
        </w:tc>
        <w:tc>
          <w:tcPr>
            <w:tcW w:w="2268" w:type="dxa"/>
            <w:vAlign w:val="center"/>
          </w:tcPr>
          <w:p>
            <w:pPr>
              <w:pStyle w:val="13"/>
            </w:pPr>
            <w:r>
              <w:t>1份</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支付完成率</w:t>
            </w:r>
          </w:p>
        </w:tc>
        <w:tc>
          <w:tcPr>
            <w:tcW w:w="5386" w:type="dxa"/>
            <w:vAlign w:val="center"/>
          </w:tcPr>
          <w:p>
            <w:pPr>
              <w:pStyle w:val="13"/>
            </w:pPr>
            <w:r>
              <w:t>年度内完成支付完成率的比例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能及时完成支付的占总支付额比例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编制费用拨付完成时间</w:t>
            </w:r>
          </w:p>
        </w:tc>
        <w:tc>
          <w:tcPr>
            <w:tcW w:w="2268" w:type="dxa"/>
            <w:vAlign w:val="center"/>
          </w:tcPr>
          <w:p>
            <w:pPr>
              <w:pStyle w:val="13"/>
            </w:pPr>
            <w:r>
              <w:t>2026年度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p>
          <w:p>
            <w:pPr>
              <w:pStyle w:val="13"/>
            </w:pPr>
            <w:r>
              <w:t>编制《青龙满族自治县“十五五”粮食安全保障专项规划》，该规划编制费用约18万元</w:t>
            </w:r>
          </w:p>
        </w:tc>
        <w:tc>
          <w:tcPr>
            <w:tcW w:w="5386" w:type="dxa"/>
            <w:vAlign w:val="center"/>
          </w:tcPr>
          <w:p>
            <w:pPr>
              <w:pStyle w:val="13"/>
            </w:pPr>
            <w:r>
              <w:t>编制《青龙满族自治县“十五五”粮食安全保障专项规划》，该规划编制费用</w:t>
            </w:r>
          </w:p>
        </w:tc>
        <w:tc>
          <w:tcPr>
            <w:tcW w:w="2268" w:type="dxa"/>
            <w:vAlign w:val="center"/>
          </w:tcPr>
          <w:p>
            <w:pPr>
              <w:pStyle w:val="13"/>
            </w:pPr>
            <w:r>
              <w:t>≤19万元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政府工作正常运行</w:t>
            </w:r>
          </w:p>
        </w:tc>
        <w:tc>
          <w:tcPr>
            <w:tcW w:w="5386" w:type="dxa"/>
            <w:vAlign w:val="center"/>
          </w:tcPr>
          <w:p>
            <w:pPr>
              <w:pStyle w:val="13"/>
            </w:pPr>
            <w:r>
              <w:t>提高政府公信力，保证政府相关工作正常运行</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提高企业收入</w:t>
            </w:r>
          </w:p>
        </w:tc>
        <w:tc>
          <w:tcPr>
            <w:tcW w:w="5386" w:type="dxa"/>
            <w:vAlign w:val="center"/>
          </w:tcPr>
          <w:p>
            <w:pPr>
              <w:pStyle w:val="13"/>
            </w:pPr>
            <w:r>
              <w:t>通过及时拨付规划编制费用，提高企业收入，保障企业正常运行，促进长久合作。</w:t>
            </w:r>
          </w:p>
        </w:tc>
        <w:tc>
          <w:tcPr>
            <w:tcW w:w="2268" w:type="dxa"/>
            <w:vAlign w:val="center"/>
          </w:tcPr>
          <w:p>
            <w:pPr>
              <w:pStyle w:val="13"/>
            </w:pPr>
            <w:r>
              <w:t>≤19万元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调查中满意企业数占调查企业总数的比率</w:t>
            </w:r>
          </w:p>
        </w:tc>
        <w:tc>
          <w:tcPr>
            <w:tcW w:w="2268" w:type="dxa"/>
            <w:vAlign w:val="center"/>
          </w:tcPr>
          <w:p>
            <w:pPr>
              <w:pStyle w:val="13"/>
            </w:pPr>
            <w:r>
              <w:t>100%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34、聘请编制“十五五”规划费用绩效目标表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13032126P00011610241H</w:t>
            </w:r>
          </w:p>
        </w:tc>
        <w:tc>
          <w:tcPr>
            <w:tcW w:w="2835" w:type="dxa"/>
            <w:vAlign w:val="center"/>
          </w:tcPr>
          <w:p>
            <w:pPr>
              <w:pStyle w:val="11"/>
            </w:pPr>
            <w:r>
              <w:t>项目名称</w:t>
            </w:r>
          </w:p>
        </w:tc>
        <w:tc>
          <w:tcPr>
            <w:tcW w:w="6095" w:type="dxa"/>
            <w:gridSpan w:val="3"/>
            <w:vAlign w:val="center"/>
          </w:tcPr>
          <w:p>
            <w:pPr>
              <w:pStyle w:val="13"/>
            </w:pPr>
            <w:r>
              <w:t>聘请编制“十五五”规划费用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预算安排20万元，其中财政资金20万元，主要用于支付聘请编制“十五五”规划相关费用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1.通过及时拨付规划编制费用，保障企业正常运行，促进长久合作。</w:t>
            </w:r>
            <w:r>
              <w:tab/>
            </w:r>
            <w:r>
              <w:tab/>
            </w:r>
            <w:r>
              <w:tab/>
            </w:r>
          </w:p>
          <w:p>
            <w:pPr>
              <w:pStyle w:val="13"/>
            </w:pPr>
          </w:p>
          <w:p>
            <w:pPr>
              <w:pStyle w:val="13"/>
            </w:pPr>
            <w:r>
              <w:t>2.通过及时拨付规划编制费用，增强政府公信力。</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委托编制数量</w:t>
            </w:r>
          </w:p>
        </w:tc>
        <w:tc>
          <w:tcPr>
            <w:tcW w:w="5386" w:type="dxa"/>
            <w:vAlign w:val="center"/>
          </w:tcPr>
          <w:p>
            <w:pPr>
              <w:pStyle w:val="13"/>
            </w:pPr>
            <w:r>
              <w:t>委托编制目标纲要和发展规划数量</w:t>
            </w:r>
          </w:p>
        </w:tc>
        <w:tc>
          <w:tcPr>
            <w:tcW w:w="2268" w:type="dxa"/>
            <w:vAlign w:val="center"/>
          </w:tcPr>
          <w:p>
            <w:pPr>
              <w:pStyle w:val="13"/>
            </w:pPr>
            <w:r>
              <w:t>1份</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支付完成率</w:t>
            </w:r>
          </w:p>
        </w:tc>
        <w:tc>
          <w:tcPr>
            <w:tcW w:w="5386" w:type="dxa"/>
            <w:vAlign w:val="center"/>
          </w:tcPr>
          <w:p>
            <w:pPr>
              <w:pStyle w:val="13"/>
            </w:pPr>
            <w:r>
              <w:t>年度内完成支付完成率的比例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能及时完成支付的占总支付额比例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编制费用拨付完成时间</w:t>
            </w:r>
          </w:p>
        </w:tc>
        <w:tc>
          <w:tcPr>
            <w:tcW w:w="2268" w:type="dxa"/>
            <w:vAlign w:val="center"/>
          </w:tcPr>
          <w:p>
            <w:pPr>
              <w:pStyle w:val="13"/>
            </w:pPr>
            <w:r>
              <w:t>2026年度6月底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“十五五”规划纲要编制成本</w:t>
            </w:r>
          </w:p>
        </w:tc>
        <w:tc>
          <w:tcPr>
            <w:tcW w:w="5386" w:type="dxa"/>
            <w:vAlign w:val="center"/>
          </w:tcPr>
          <w:p>
            <w:pPr>
              <w:pStyle w:val="13"/>
            </w:pPr>
            <w:r>
              <w:t>“十五五”规划和2035年远景目标纲要编制成本</w:t>
            </w:r>
          </w:p>
        </w:tc>
        <w:tc>
          <w:tcPr>
            <w:tcW w:w="2268" w:type="dxa"/>
            <w:vAlign w:val="center"/>
          </w:tcPr>
          <w:p>
            <w:pPr>
              <w:pStyle w:val="13"/>
            </w:pPr>
            <w:r>
              <w:t>≤20万元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政府工作正常运行</w:t>
            </w:r>
          </w:p>
        </w:tc>
        <w:tc>
          <w:tcPr>
            <w:tcW w:w="5386" w:type="dxa"/>
            <w:vAlign w:val="center"/>
          </w:tcPr>
          <w:p>
            <w:pPr>
              <w:pStyle w:val="13"/>
            </w:pPr>
            <w:r>
              <w:t>提高政府公信力，保证政府相关工作正常运行</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提高企业收入</w:t>
            </w:r>
          </w:p>
        </w:tc>
        <w:tc>
          <w:tcPr>
            <w:tcW w:w="5386" w:type="dxa"/>
            <w:vAlign w:val="center"/>
          </w:tcPr>
          <w:p>
            <w:pPr>
              <w:pStyle w:val="13"/>
            </w:pPr>
            <w:r>
              <w:t>通过及时拨付规划编制费用，提高企业收入，保障企业正常运行，促进长久合作。</w:t>
            </w:r>
          </w:p>
        </w:tc>
        <w:tc>
          <w:tcPr>
            <w:tcW w:w="2268" w:type="dxa"/>
            <w:vAlign w:val="center"/>
          </w:tcPr>
          <w:p>
            <w:pPr>
              <w:pStyle w:val="13"/>
            </w:pPr>
            <w:r>
              <w:t>≤20万元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调查中满意企业数占调查企业总数的比率</w:t>
            </w:r>
          </w:p>
        </w:tc>
        <w:tc>
          <w:tcPr>
            <w:tcW w:w="2268" w:type="dxa"/>
            <w:vAlign w:val="center"/>
          </w:tcPr>
          <w:p>
            <w:pPr>
              <w:pStyle w:val="13"/>
            </w:pPr>
            <w:r>
              <w:t>100%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35、青龙县人防宣教场所工程费用绩效目标表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13032125P000116101992</w:t>
            </w:r>
          </w:p>
        </w:tc>
        <w:tc>
          <w:tcPr>
            <w:tcW w:w="2835" w:type="dxa"/>
            <w:vAlign w:val="center"/>
          </w:tcPr>
          <w:p>
            <w:pPr>
              <w:pStyle w:val="11"/>
            </w:pPr>
            <w:r>
              <w:t>项目名称</w:t>
            </w:r>
          </w:p>
        </w:tc>
        <w:tc>
          <w:tcPr>
            <w:tcW w:w="6095" w:type="dxa"/>
            <w:gridSpan w:val="3"/>
            <w:vAlign w:val="center"/>
          </w:tcPr>
          <w:p>
            <w:pPr>
              <w:pStyle w:val="13"/>
            </w:pPr>
            <w:r>
              <w:t>青龙县人防宣教场所工程费用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14.61</w:t>
            </w:r>
          </w:p>
        </w:tc>
        <w:tc>
          <w:tcPr>
            <w:tcW w:w="2835" w:type="dxa"/>
            <w:vAlign w:val="center"/>
          </w:tcPr>
          <w:p>
            <w:pPr>
              <w:pStyle w:val="11"/>
            </w:pPr>
            <w:r>
              <w:t>其中：财政    资金</w:t>
            </w:r>
          </w:p>
        </w:tc>
        <w:tc>
          <w:tcPr>
            <w:tcW w:w="2551" w:type="dxa"/>
            <w:vAlign w:val="center"/>
          </w:tcPr>
          <w:p>
            <w:pPr>
              <w:pStyle w:val="13"/>
            </w:pPr>
            <w:r>
              <w:t>14.61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预算安排14.6148万元，其中财政安排14.6148万元，用于人防宣教场所建设支出。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1.通过001工程地上部分为人防宣教场所的建设，进一步拓展人防宣传教育功能，提高宣传教育效果。</w:t>
            </w:r>
            <w:r>
              <w:tab/>
            </w:r>
            <w:r>
              <w:tab/>
            </w:r>
            <w:r>
              <w:tab/>
            </w:r>
            <w:r>
              <w:tab/>
            </w:r>
            <w:r>
              <w:tab/>
            </w:r>
            <w:r>
              <w:tab/>
            </w:r>
          </w:p>
          <w:p>
            <w:pPr>
              <w:pStyle w:val="13"/>
            </w:pPr>
          </w:p>
          <w:p>
            <w:pPr>
              <w:pStyle w:val="13"/>
            </w:pPr>
            <w:r>
              <w:t>2.通过001工程地上部分为人防宣教场所的建设，积极推进防空防灾一体化工作。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人防宣教场所</w:t>
            </w:r>
          </w:p>
        </w:tc>
        <w:tc>
          <w:tcPr>
            <w:tcW w:w="5386" w:type="dxa"/>
            <w:vAlign w:val="center"/>
          </w:tcPr>
          <w:p>
            <w:pPr>
              <w:pStyle w:val="13"/>
            </w:pPr>
            <w:r>
              <w:t>人防宣教场所，其在于积极推进防空防灾一体化工作，进一步拓展人防宣传教育功能，提高宣传教育效果</w:t>
            </w:r>
          </w:p>
        </w:tc>
        <w:tc>
          <w:tcPr>
            <w:tcW w:w="2268" w:type="dxa"/>
            <w:vAlign w:val="center"/>
          </w:tcPr>
          <w:p>
            <w:pPr>
              <w:pStyle w:val="13"/>
            </w:pPr>
            <w:r>
              <w:t>10800平方米</w:t>
            </w:r>
          </w:p>
        </w:tc>
        <w:tc>
          <w:tcPr>
            <w:tcW w:w="1276" w:type="dxa"/>
            <w:vAlign w:val="center"/>
          </w:tcPr>
          <w:p>
            <w:pPr>
              <w:pStyle w:val="13"/>
            </w:pPr>
            <w:r>
              <w:t>工程实际情况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外部验收合格</w:t>
            </w:r>
          </w:p>
        </w:tc>
        <w:tc>
          <w:tcPr>
            <w:tcW w:w="5386" w:type="dxa"/>
            <w:vAlign w:val="center"/>
          </w:tcPr>
          <w:p>
            <w:pPr>
              <w:pStyle w:val="13"/>
            </w:pPr>
            <w:r>
              <w:t>依据设计要求进行外部验收，达到合同要求的验收标准</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人防宣教场所完成及时性</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地上场所工程款费用</w:t>
            </w:r>
          </w:p>
        </w:tc>
        <w:tc>
          <w:tcPr>
            <w:tcW w:w="5386" w:type="dxa"/>
            <w:vAlign w:val="center"/>
          </w:tcPr>
          <w:p>
            <w:pPr>
              <w:pStyle w:val="13"/>
            </w:pPr>
            <w:r>
              <w:t>按财政评审结果支付地上宣教场所工程款</w:t>
            </w:r>
          </w:p>
        </w:tc>
        <w:tc>
          <w:tcPr>
            <w:tcW w:w="2268" w:type="dxa"/>
            <w:vAlign w:val="center"/>
          </w:tcPr>
          <w:p>
            <w:pPr>
              <w:pStyle w:val="13"/>
            </w:pPr>
            <w:r>
              <w:t>146148元</w:t>
            </w:r>
          </w:p>
        </w:tc>
        <w:tc>
          <w:tcPr>
            <w:tcW w:w="1276" w:type="dxa"/>
            <w:vAlign w:val="center"/>
          </w:tcPr>
          <w:p>
            <w:pPr>
              <w:pStyle w:val="13"/>
            </w:pPr>
            <w:r>
              <w:t>工程决算报告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宣传教育功能</w:t>
            </w:r>
          </w:p>
        </w:tc>
        <w:tc>
          <w:tcPr>
            <w:tcW w:w="5386" w:type="dxa"/>
            <w:vAlign w:val="center"/>
          </w:tcPr>
          <w:p>
            <w:pPr>
              <w:pStyle w:val="13"/>
            </w:pPr>
            <w:r>
              <w:t>通过001工程地上部分为人防宣教场所的建设，进一步拓展人防宣传教育功能，提高宣传教育效果。</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达到宣传效果</w:t>
            </w:r>
          </w:p>
        </w:tc>
        <w:tc>
          <w:tcPr>
            <w:tcW w:w="5386" w:type="dxa"/>
            <w:vAlign w:val="center"/>
          </w:tcPr>
          <w:p>
            <w:pPr>
              <w:pStyle w:val="13"/>
            </w:pPr>
            <w:r>
              <w:t>通过001工程地上部分为人防宣教场所的建设，</w:t>
            </w:r>
            <w:r>
              <w:tab/>
            </w:r>
            <w:r>
              <w:t>进一步拓展人防宣传教育功能，具有持续性</w:t>
            </w:r>
          </w:p>
        </w:tc>
        <w:tc>
          <w:tcPr>
            <w:tcW w:w="2268" w:type="dxa"/>
            <w:vAlign w:val="center"/>
          </w:tcPr>
          <w:p>
            <w:pPr>
              <w:pStyle w:val="13"/>
            </w:pPr>
            <w:r>
              <w:t>具有持续性影响</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群众对人防工程的满意程度</w:t>
            </w:r>
          </w:p>
        </w:tc>
        <w:tc>
          <w:tcPr>
            <w:tcW w:w="2268" w:type="dxa"/>
            <w:vAlign w:val="center"/>
          </w:tcPr>
          <w:p>
            <w:pPr>
              <w:pStyle w:val="13"/>
            </w:pPr>
            <w:r>
              <w:t>≥98%</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36、清洁煤取暖县级配套绩效目标表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13032126P00004410005G</w:t>
            </w:r>
          </w:p>
        </w:tc>
        <w:tc>
          <w:tcPr>
            <w:tcW w:w="2835" w:type="dxa"/>
            <w:vAlign w:val="center"/>
          </w:tcPr>
          <w:p>
            <w:pPr>
              <w:pStyle w:val="11"/>
            </w:pPr>
            <w:r>
              <w:t>项目名称</w:t>
            </w:r>
          </w:p>
        </w:tc>
        <w:tc>
          <w:tcPr>
            <w:tcW w:w="6095" w:type="dxa"/>
            <w:gridSpan w:val="3"/>
            <w:vAlign w:val="center"/>
          </w:tcPr>
          <w:p>
            <w:pPr>
              <w:pStyle w:val="13"/>
            </w:pPr>
            <w:r>
              <w:t>清洁煤取暖县级配套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预算安排100万元，其中财政资金100万元，主要用于支付清洁取暖相关费用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1.通过有效禁止散煤复燃，实现减少大气污染。</w:t>
            </w:r>
          </w:p>
          <w:p>
            <w:pPr>
              <w:pStyle w:val="13"/>
            </w:pPr>
            <w:r>
              <w:t>2.通过购买洁净型煤，实现燃煤用户温暖过冬。</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预供应型煤数量</w:t>
            </w:r>
          </w:p>
        </w:tc>
        <w:tc>
          <w:tcPr>
            <w:tcW w:w="5386" w:type="dxa"/>
            <w:vAlign w:val="center"/>
          </w:tcPr>
          <w:p>
            <w:pPr>
              <w:pStyle w:val="13"/>
            </w:pPr>
            <w:r>
              <w:t>2025年-2026年预供应型煤数量</w:t>
            </w:r>
          </w:p>
        </w:tc>
        <w:tc>
          <w:tcPr>
            <w:tcW w:w="2268" w:type="dxa"/>
            <w:vAlign w:val="center"/>
          </w:tcPr>
          <w:p>
            <w:pPr>
              <w:pStyle w:val="13"/>
            </w:pPr>
            <w:r>
              <w:t>≥3000吨</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保供乡镇个数</w:t>
            </w:r>
          </w:p>
        </w:tc>
        <w:tc>
          <w:tcPr>
            <w:tcW w:w="5386" w:type="dxa"/>
            <w:vAlign w:val="center"/>
          </w:tcPr>
          <w:p>
            <w:pPr>
              <w:pStyle w:val="13"/>
            </w:pPr>
            <w:r>
              <w:t>洁净型煤保供乡镇个数</w:t>
            </w:r>
          </w:p>
        </w:tc>
        <w:tc>
          <w:tcPr>
            <w:tcW w:w="2268" w:type="dxa"/>
            <w:vAlign w:val="center"/>
          </w:tcPr>
          <w:p>
            <w:pPr>
              <w:pStyle w:val="13"/>
            </w:pPr>
            <w:r>
              <w:t>≥24个</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达到型煤标准</w:t>
            </w:r>
          </w:p>
        </w:tc>
        <w:tc>
          <w:tcPr>
            <w:tcW w:w="5386" w:type="dxa"/>
            <w:vAlign w:val="center"/>
          </w:tcPr>
          <w:p>
            <w:pPr>
              <w:pStyle w:val="13"/>
            </w:pPr>
            <w:r>
              <w:t>保供煤达到型煤标准</w:t>
            </w:r>
          </w:p>
        </w:tc>
        <w:tc>
          <w:tcPr>
            <w:tcW w:w="2268" w:type="dxa"/>
            <w:vAlign w:val="center"/>
          </w:tcPr>
          <w:p>
            <w:pPr>
              <w:pStyle w:val="13"/>
            </w:pPr>
            <w:r>
              <w:t>≥98%</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供应的及时率</w:t>
            </w:r>
          </w:p>
        </w:tc>
        <w:tc>
          <w:tcPr>
            <w:tcW w:w="5386" w:type="dxa"/>
            <w:vAlign w:val="center"/>
          </w:tcPr>
          <w:p>
            <w:pPr>
              <w:pStyle w:val="13"/>
            </w:pPr>
            <w:r>
              <w:t>型煤供应到户的及时率</w:t>
            </w:r>
          </w:p>
        </w:tc>
        <w:tc>
          <w:tcPr>
            <w:tcW w:w="2268" w:type="dxa"/>
            <w:vAlign w:val="center"/>
          </w:tcPr>
          <w:p>
            <w:pPr>
              <w:pStyle w:val="13"/>
            </w:pPr>
            <w:r>
              <w:t>≥90%</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型煤购买成本</w:t>
            </w:r>
          </w:p>
        </w:tc>
        <w:tc>
          <w:tcPr>
            <w:tcW w:w="5386" w:type="dxa"/>
            <w:vAlign w:val="center"/>
          </w:tcPr>
          <w:p>
            <w:pPr>
              <w:pStyle w:val="13"/>
            </w:pPr>
            <w:r>
              <w:t>每吨购买型煤成本</w:t>
            </w:r>
          </w:p>
        </w:tc>
        <w:tc>
          <w:tcPr>
            <w:tcW w:w="2268" w:type="dxa"/>
            <w:vAlign w:val="center"/>
          </w:tcPr>
          <w:p>
            <w:pPr>
              <w:pStyle w:val="13"/>
            </w:pPr>
            <w:r>
              <w:t>≤2000元/吨</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满足燃煤用户取暖需求</w:t>
            </w:r>
          </w:p>
        </w:tc>
        <w:tc>
          <w:tcPr>
            <w:tcW w:w="5386" w:type="dxa"/>
            <w:vAlign w:val="center"/>
          </w:tcPr>
          <w:p>
            <w:pPr>
              <w:pStyle w:val="13"/>
            </w:pPr>
            <w:r>
              <w:t>实现清洁温暖过冬</w:t>
            </w:r>
          </w:p>
        </w:tc>
        <w:tc>
          <w:tcPr>
            <w:tcW w:w="2268" w:type="dxa"/>
            <w:vAlign w:val="center"/>
          </w:tcPr>
          <w:p>
            <w:pPr>
              <w:pStyle w:val="13"/>
            </w:pPr>
            <w:r>
              <w:t>≥90%</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改善空气质量</w:t>
            </w:r>
          </w:p>
        </w:tc>
        <w:tc>
          <w:tcPr>
            <w:tcW w:w="5386" w:type="dxa"/>
            <w:vAlign w:val="center"/>
          </w:tcPr>
          <w:p>
            <w:pPr>
              <w:pStyle w:val="13"/>
            </w:pPr>
            <w:r>
              <w:t>有效禁止散煤复燃，推进空气质量持续改善</w:t>
            </w:r>
          </w:p>
        </w:tc>
        <w:tc>
          <w:tcPr>
            <w:tcW w:w="2268" w:type="dxa"/>
            <w:vAlign w:val="center"/>
          </w:tcPr>
          <w:p>
            <w:pPr>
              <w:pStyle w:val="13"/>
            </w:pPr>
            <w:r>
              <w:t>≥80%</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实现冬季燃煤户清洁取暖</w:t>
            </w:r>
          </w:p>
        </w:tc>
        <w:tc>
          <w:tcPr>
            <w:tcW w:w="5386" w:type="dxa"/>
            <w:vAlign w:val="center"/>
          </w:tcPr>
          <w:p>
            <w:pPr>
              <w:pStyle w:val="13"/>
            </w:pPr>
            <w:r>
              <w:t>实现2026-2027年冬季农村地区群众清洁取暖</w:t>
            </w:r>
          </w:p>
        </w:tc>
        <w:tc>
          <w:tcPr>
            <w:tcW w:w="2268" w:type="dxa"/>
            <w:vAlign w:val="center"/>
          </w:tcPr>
          <w:p>
            <w:pPr>
              <w:pStyle w:val="13"/>
            </w:pPr>
            <w:r>
              <w:t>≥90%</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调查中满意和较满意的群众数占调查总群众数的比率</w:t>
            </w:r>
          </w:p>
        </w:tc>
        <w:tc>
          <w:tcPr>
            <w:tcW w:w="2268" w:type="dxa"/>
            <w:vAlign w:val="center"/>
          </w:tcPr>
          <w:p>
            <w:pPr>
              <w:pStyle w:val="13"/>
            </w:pPr>
            <w:r>
              <w: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37、清洁取暖县级配套资金绩效目标表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13032125P00004410003T</w:t>
            </w:r>
          </w:p>
        </w:tc>
        <w:tc>
          <w:tcPr>
            <w:tcW w:w="2835" w:type="dxa"/>
            <w:vAlign w:val="center"/>
          </w:tcPr>
          <w:p>
            <w:pPr>
              <w:pStyle w:val="11"/>
            </w:pPr>
            <w:r>
              <w:t>项目名称</w:t>
            </w:r>
          </w:p>
        </w:tc>
        <w:tc>
          <w:tcPr>
            <w:tcW w:w="6095" w:type="dxa"/>
            <w:gridSpan w:val="3"/>
            <w:vAlign w:val="center"/>
          </w:tcPr>
          <w:p>
            <w:pPr>
              <w:pStyle w:val="13"/>
            </w:pPr>
            <w:r>
              <w:t>清洁取暖县级配套资金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预算安排20万元，其中财政资金20万元，主要用于清洁取暖配套资金。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1.通过购买洁净型煤，实现燃煤用户温暖过冬。</w:t>
            </w:r>
            <w:r>
              <w:tab/>
            </w:r>
            <w:r>
              <w:tab/>
            </w:r>
            <w:r>
              <w:tab/>
            </w:r>
          </w:p>
          <w:p>
            <w:pPr>
              <w:pStyle w:val="13"/>
            </w:pPr>
          </w:p>
          <w:p>
            <w:pPr>
              <w:pStyle w:val="13"/>
            </w:pPr>
            <w:r>
              <w:t>2.通过有效禁止散煤复燃，实现减少大气污染。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预供应型煤数量</w:t>
            </w:r>
          </w:p>
        </w:tc>
        <w:tc>
          <w:tcPr>
            <w:tcW w:w="5386" w:type="dxa"/>
            <w:vAlign w:val="center"/>
          </w:tcPr>
          <w:p>
            <w:pPr>
              <w:pStyle w:val="13"/>
            </w:pPr>
            <w:r>
              <w:t>2025年-2026年预供应型煤数量</w:t>
            </w:r>
          </w:p>
        </w:tc>
        <w:tc>
          <w:tcPr>
            <w:tcW w:w="2268" w:type="dxa"/>
            <w:vAlign w:val="center"/>
          </w:tcPr>
          <w:p>
            <w:pPr>
              <w:pStyle w:val="13"/>
            </w:pPr>
            <w:r>
              <w:t>≥3000吨</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保供乡镇个数</w:t>
            </w:r>
          </w:p>
        </w:tc>
        <w:tc>
          <w:tcPr>
            <w:tcW w:w="5386" w:type="dxa"/>
            <w:vAlign w:val="center"/>
          </w:tcPr>
          <w:p>
            <w:pPr>
              <w:pStyle w:val="13"/>
            </w:pPr>
            <w:r>
              <w:t>洁净型煤保供乡镇个数</w:t>
            </w:r>
          </w:p>
        </w:tc>
        <w:tc>
          <w:tcPr>
            <w:tcW w:w="2268" w:type="dxa"/>
            <w:vAlign w:val="center"/>
          </w:tcPr>
          <w:p>
            <w:pPr>
              <w:pStyle w:val="13"/>
            </w:pPr>
            <w:r>
              <w:t>≥24个</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达到型煤标准</w:t>
            </w:r>
          </w:p>
        </w:tc>
        <w:tc>
          <w:tcPr>
            <w:tcW w:w="5386" w:type="dxa"/>
            <w:vAlign w:val="center"/>
          </w:tcPr>
          <w:p>
            <w:pPr>
              <w:pStyle w:val="13"/>
            </w:pPr>
            <w:r>
              <w:t>保供煤达到型煤标准</w:t>
            </w:r>
          </w:p>
        </w:tc>
        <w:tc>
          <w:tcPr>
            <w:tcW w:w="2268" w:type="dxa"/>
            <w:vAlign w:val="center"/>
          </w:tcPr>
          <w:p>
            <w:pPr>
              <w:pStyle w:val="13"/>
            </w:pPr>
            <w:r>
              <w:t>≥98%</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供应的及时率</w:t>
            </w:r>
          </w:p>
        </w:tc>
        <w:tc>
          <w:tcPr>
            <w:tcW w:w="5386" w:type="dxa"/>
            <w:vAlign w:val="center"/>
          </w:tcPr>
          <w:p>
            <w:pPr>
              <w:pStyle w:val="13"/>
            </w:pPr>
            <w:r>
              <w:t>型煤供应到户的及时率</w:t>
            </w:r>
          </w:p>
        </w:tc>
        <w:tc>
          <w:tcPr>
            <w:tcW w:w="2268" w:type="dxa"/>
            <w:vAlign w:val="center"/>
          </w:tcPr>
          <w:p>
            <w:pPr>
              <w:pStyle w:val="13"/>
            </w:pPr>
            <w:r>
              <w:t>≥90%</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型煤购买成本</w:t>
            </w:r>
          </w:p>
        </w:tc>
        <w:tc>
          <w:tcPr>
            <w:tcW w:w="5386" w:type="dxa"/>
            <w:vAlign w:val="center"/>
          </w:tcPr>
          <w:p>
            <w:pPr>
              <w:pStyle w:val="13"/>
            </w:pPr>
            <w:r>
              <w:t>每吨购买型煤成本</w:t>
            </w:r>
          </w:p>
        </w:tc>
        <w:tc>
          <w:tcPr>
            <w:tcW w:w="2268" w:type="dxa"/>
            <w:vAlign w:val="center"/>
          </w:tcPr>
          <w:p>
            <w:pPr>
              <w:pStyle w:val="13"/>
            </w:pPr>
            <w:r>
              <w:t>≤2000元/吨</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满足燃煤用户取暖需求</w:t>
            </w:r>
          </w:p>
        </w:tc>
        <w:tc>
          <w:tcPr>
            <w:tcW w:w="5386" w:type="dxa"/>
            <w:vAlign w:val="center"/>
          </w:tcPr>
          <w:p>
            <w:pPr>
              <w:pStyle w:val="13"/>
            </w:pPr>
            <w:r>
              <w:t>实现清洁温暖过冬</w:t>
            </w:r>
          </w:p>
        </w:tc>
        <w:tc>
          <w:tcPr>
            <w:tcW w:w="2268" w:type="dxa"/>
            <w:vAlign w:val="center"/>
          </w:tcPr>
          <w:p>
            <w:pPr>
              <w:pStyle w:val="13"/>
            </w:pPr>
            <w:r>
              <w:t>≥90%</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改善空气质量</w:t>
            </w:r>
          </w:p>
        </w:tc>
        <w:tc>
          <w:tcPr>
            <w:tcW w:w="5386" w:type="dxa"/>
            <w:vAlign w:val="center"/>
          </w:tcPr>
          <w:p>
            <w:pPr>
              <w:pStyle w:val="13"/>
            </w:pPr>
            <w:r>
              <w:t>有效禁止散煤复燃，推进空气质量持续改善</w:t>
            </w:r>
          </w:p>
        </w:tc>
        <w:tc>
          <w:tcPr>
            <w:tcW w:w="2268" w:type="dxa"/>
            <w:vAlign w:val="center"/>
          </w:tcPr>
          <w:p>
            <w:pPr>
              <w:pStyle w:val="13"/>
            </w:pPr>
            <w:r>
              <w:t>≥80%</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实现冬季燃煤户清洁取暖</w:t>
            </w:r>
          </w:p>
        </w:tc>
        <w:tc>
          <w:tcPr>
            <w:tcW w:w="5386" w:type="dxa"/>
            <w:vAlign w:val="center"/>
          </w:tcPr>
          <w:p>
            <w:pPr>
              <w:pStyle w:val="13"/>
            </w:pPr>
            <w:r>
              <w:t>实现2025-2026年冬季农村地区群众清洁取暖</w:t>
            </w:r>
          </w:p>
        </w:tc>
        <w:tc>
          <w:tcPr>
            <w:tcW w:w="2268" w:type="dxa"/>
            <w:vAlign w:val="center"/>
          </w:tcPr>
          <w:p>
            <w:pPr>
              <w:pStyle w:val="13"/>
            </w:pPr>
            <w:r>
              <w:t>≥90%</w:t>
            </w:r>
          </w:p>
        </w:tc>
        <w:tc>
          <w:tcPr>
            <w:tcW w:w="1276" w:type="dxa"/>
            <w:vAlign w:val="center"/>
          </w:tcPr>
          <w:p>
            <w:pPr>
              <w:pStyle w:val="13"/>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调查中满意和较满意的群众数占调查总群众数的比率</w:t>
            </w:r>
          </w:p>
        </w:tc>
        <w:tc>
          <w:tcPr>
            <w:tcW w:w="2268" w:type="dxa"/>
            <w:vAlign w:val="center"/>
          </w:tcPr>
          <w:p>
            <w:pPr>
              <w:pStyle w:val="13"/>
            </w:pPr>
            <w:r>
              <w: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38、人防工程标志、标牌更换及编制规划等专项资金绩效目标表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13032125P00007610006N</w:t>
            </w:r>
          </w:p>
        </w:tc>
        <w:tc>
          <w:tcPr>
            <w:tcW w:w="2835" w:type="dxa"/>
            <w:vAlign w:val="center"/>
          </w:tcPr>
          <w:p>
            <w:pPr>
              <w:pStyle w:val="11"/>
            </w:pPr>
            <w:r>
              <w:t>项目名称</w:t>
            </w:r>
          </w:p>
        </w:tc>
        <w:tc>
          <w:tcPr>
            <w:tcW w:w="6095" w:type="dxa"/>
            <w:gridSpan w:val="3"/>
            <w:vAlign w:val="center"/>
          </w:tcPr>
          <w:p>
            <w:pPr>
              <w:pStyle w:val="13"/>
            </w:pPr>
            <w:r>
              <w:t>人防工程标志、标牌更换及编制规划等专项资金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25.01</w:t>
            </w:r>
          </w:p>
        </w:tc>
        <w:tc>
          <w:tcPr>
            <w:tcW w:w="2835" w:type="dxa"/>
            <w:vAlign w:val="center"/>
          </w:tcPr>
          <w:p>
            <w:pPr>
              <w:pStyle w:val="11"/>
            </w:pPr>
            <w:r>
              <w:t>其中：财政    资金</w:t>
            </w:r>
          </w:p>
        </w:tc>
        <w:tc>
          <w:tcPr>
            <w:tcW w:w="2551" w:type="dxa"/>
            <w:vAlign w:val="center"/>
          </w:tcPr>
          <w:p>
            <w:pPr>
              <w:pStyle w:val="13"/>
            </w:pPr>
            <w:r>
              <w:t>25.01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预算安排25.0052万元，其中财政资金25.0052万元，主要用于人防工程专项资金。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1.通过人防工程标志、标牌，能指引人员按预定的行进路线到达指定位置的标志，人防工程易喷涂标志线，标志线的设置宜连贯、协调。</w:t>
            </w:r>
            <w:r>
              <w:tab/>
            </w:r>
            <w:r>
              <w:tab/>
            </w:r>
            <w:r>
              <w:tab/>
            </w:r>
            <w:r>
              <w:tab/>
            </w:r>
            <w:r>
              <w:tab/>
            </w:r>
            <w:r>
              <w:tab/>
            </w:r>
          </w:p>
          <w:p>
            <w:pPr>
              <w:pStyle w:val="13"/>
            </w:pPr>
          </w:p>
          <w:p>
            <w:pPr>
              <w:pStyle w:val="13"/>
            </w:pPr>
            <w:r>
              <w:t>2.通过人防工程标志、标牌，对于识别人防工程，界定人防工程范围，提供导向、信息、警示、识别功能。</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001直属人防工程</w:t>
            </w:r>
          </w:p>
        </w:tc>
        <w:tc>
          <w:tcPr>
            <w:tcW w:w="5386" w:type="dxa"/>
            <w:vAlign w:val="center"/>
          </w:tcPr>
          <w:p>
            <w:pPr>
              <w:pStyle w:val="13"/>
            </w:pPr>
            <w:r>
              <w:t>合理确定人防工程标志、标牌。</w:t>
            </w:r>
          </w:p>
        </w:tc>
        <w:tc>
          <w:tcPr>
            <w:tcW w:w="2268" w:type="dxa"/>
            <w:vAlign w:val="center"/>
          </w:tcPr>
          <w:p>
            <w:pPr>
              <w:pStyle w:val="13"/>
            </w:pPr>
            <w:r>
              <w:t>≥7359平方米</w:t>
            </w:r>
          </w:p>
        </w:tc>
        <w:tc>
          <w:tcPr>
            <w:tcW w:w="1276" w:type="dxa"/>
            <w:vAlign w:val="center"/>
          </w:tcPr>
          <w:p>
            <w:pPr>
              <w:pStyle w:val="13"/>
            </w:pPr>
            <w:r>
              <w:t>河北省工程建设地方标准DB13(J)/T8469-2022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标志、标牌应做到做到系统、醒目、易识、协调</w:t>
            </w:r>
          </w:p>
        </w:tc>
        <w:tc>
          <w:tcPr>
            <w:tcW w:w="2268" w:type="dxa"/>
            <w:vAlign w:val="center"/>
          </w:tcPr>
          <w:p>
            <w:pPr>
              <w:pStyle w:val="13"/>
            </w:pPr>
            <w:r>
              <w:t>100%</w:t>
            </w:r>
          </w:p>
        </w:tc>
        <w:tc>
          <w:tcPr>
            <w:tcW w:w="1276" w:type="dxa"/>
            <w:vAlign w:val="center"/>
          </w:tcPr>
          <w:p>
            <w:pPr>
              <w:pStyle w:val="13"/>
            </w:pPr>
            <w:r>
              <w:t>设计规范文件及验收标准文件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外部验收合格</w:t>
            </w:r>
          </w:p>
        </w:tc>
        <w:tc>
          <w:tcPr>
            <w:tcW w:w="5386" w:type="dxa"/>
            <w:vAlign w:val="center"/>
          </w:tcPr>
          <w:p>
            <w:pPr>
              <w:pStyle w:val="13"/>
            </w:pPr>
            <w:r>
              <w:t>依据设计要求进行外部验收，达到合同要求的验收标准</w:t>
            </w:r>
          </w:p>
        </w:tc>
        <w:tc>
          <w:tcPr>
            <w:tcW w:w="2268" w:type="dxa"/>
            <w:vAlign w:val="center"/>
          </w:tcPr>
          <w:p>
            <w:pPr>
              <w:pStyle w:val="13"/>
            </w:pPr>
            <w:r>
              <w:t>100%</w:t>
            </w:r>
          </w:p>
        </w:tc>
        <w:tc>
          <w:tcPr>
            <w:tcW w:w="1276" w:type="dxa"/>
            <w:vAlign w:val="center"/>
          </w:tcPr>
          <w:p>
            <w:pPr>
              <w:pStyle w:val="13"/>
            </w:pPr>
            <w:r>
              <w:t>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按规定及时完成</w:t>
            </w:r>
          </w:p>
        </w:tc>
        <w:tc>
          <w:tcPr>
            <w:tcW w:w="2268" w:type="dxa"/>
            <w:vAlign w:val="center"/>
          </w:tcPr>
          <w:p>
            <w:pPr>
              <w:pStyle w:val="13"/>
            </w:pPr>
            <w:r>
              <w:t>2025年底完成</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制作成本控制</w:t>
            </w:r>
          </w:p>
        </w:tc>
        <w:tc>
          <w:tcPr>
            <w:tcW w:w="5386" w:type="dxa"/>
            <w:vAlign w:val="center"/>
          </w:tcPr>
          <w:p>
            <w:pPr>
              <w:pStyle w:val="13"/>
            </w:pPr>
            <w:r>
              <w:t>按预算控制成本</w:t>
            </w:r>
          </w:p>
        </w:tc>
        <w:tc>
          <w:tcPr>
            <w:tcW w:w="2268" w:type="dxa"/>
            <w:vAlign w:val="center"/>
          </w:tcPr>
          <w:p>
            <w:pPr>
              <w:pStyle w:val="13"/>
            </w:pPr>
            <w:r>
              <w:t>≤9万元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安装成本控制</w:t>
            </w:r>
          </w:p>
        </w:tc>
        <w:tc>
          <w:tcPr>
            <w:tcW w:w="5386" w:type="dxa"/>
            <w:vAlign w:val="center"/>
          </w:tcPr>
          <w:p>
            <w:pPr>
              <w:pStyle w:val="13"/>
            </w:pPr>
            <w:r>
              <w:t>按预算控制成本</w:t>
            </w:r>
          </w:p>
        </w:tc>
        <w:tc>
          <w:tcPr>
            <w:tcW w:w="2268" w:type="dxa"/>
            <w:vAlign w:val="center"/>
          </w:tcPr>
          <w:p>
            <w:pPr>
              <w:pStyle w:val="13"/>
            </w:pPr>
            <w:r>
              <w:t>≤16万元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在全国或全县应急工作中的社会影响力</w:t>
            </w:r>
          </w:p>
        </w:tc>
        <w:tc>
          <w:tcPr>
            <w:tcW w:w="2268" w:type="dxa"/>
            <w:vAlign w:val="center"/>
          </w:tcPr>
          <w:p>
            <w:pPr>
              <w:pStyle w:val="13"/>
            </w:pPr>
            <w:r>
              <w:t>≥60%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持续影响力</w:t>
            </w:r>
          </w:p>
        </w:tc>
        <w:tc>
          <w:tcPr>
            <w:tcW w:w="5386" w:type="dxa"/>
            <w:vAlign w:val="center"/>
          </w:tcPr>
          <w:p>
            <w:pPr>
              <w:pStyle w:val="13"/>
            </w:pPr>
            <w:r>
              <w:t>提高“十三五”规划以来的人防整体控制</w:t>
            </w:r>
          </w:p>
        </w:tc>
        <w:tc>
          <w:tcPr>
            <w:tcW w:w="2268" w:type="dxa"/>
            <w:vAlign w:val="center"/>
          </w:tcPr>
          <w:p>
            <w:pPr>
              <w:pStyle w:val="13"/>
            </w:pPr>
            <w:r>
              <w:t>≥60%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39、人防工程及标志、标牌更换、编制规划等专项资金绩效目标表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13032126P000116102450</w:t>
            </w:r>
          </w:p>
        </w:tc>
        <w:tc>
          <w:tcPr>
            <w:tcW w:w="2835" w:type="dxa"/>
            <w:vAlign w:val="center"/>
          </w:tcPr>
          <w:p>
            <w:pPr>
              <w:pStyle w:val="11"/>
            </w:pPr>
            <w:r>
              <w:t>项目名称</w:t>
            </w:r>
          </w:p>
        </w:tc>
        <w:tc>
          <w:tcPr>
            <w:tcW w:w="6095" w:type="dxa"/>
            <w:gridSpan w:val="3"/>
            <w:vAlign w:val="center"/>
          </w:tcPr>
          <w:p>
            <w:pPr>
              <w:pStyle w:val="13"/>
            </w:pPr>
            <w:r>
              <w:t>人防工程及标志、标牌更换、编制规划等专项资金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177.50</w:t>
            </w:r>
          </w:p>
        </w:tc>
        <w:tc>
          <w:tcPr>
            <w:tcW w:w="2835" w:type="dxa"/>
            <w:vAlign w:val="center"/>
          </w:tcPr>
          <w:p>
            <w:pPr>
              <w:pStyle w:val="11"/>
            </w:pPr>
            <w:r>
              <w:t>其中：财政    资金</w:t>
            </w:r>
          </w:p>
        </w:tc>
        <w:tc>
          <w:tcPr>
            <w:tcW w:w="2551" w:type="dxa"/>
            <w:vAlign w:val="center"/>
          </w:tcPr>
          <w:p>
            <w:pPr>
              <w:pStyle w:val="13"/>
            </w:pPr>
            <w:r>
              <w:t>177.50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预算安排177.5万元，其中财政资金177.5万元，主要用于支付人防工程、标志、标牌更换及编制规划等专项相关费用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1.通过人防工程标志、标牌，对于识别人防工程，界定人防工程范围，提供导向、信息、警示、识别功能。</w:t>
            </w:r>
          </w:p>
          <w:p>
            <w:pPr>
              <w:pStyle w:val="13"/>
            </w:pPr>
            <w:r>
              <w:t>2.通过001工程地上部分为人防宣教场所的建设，积极推进防空防灾一体化工作，进一步拓展人防宣传教育功能，提高宣传教育效果。</w:t>
            </w:r>
          </w:p>
          <w:p>
            <w:pPr>
              <w:pStyle w:val="13"/>
            </w:pPr>
            <w:r>
              <w:t>3.通过人防工程标志、标牌，能指引人员按预定的行进路线到达指定位置的标志，人防工程易喷涂标志线，标志线的设置宜连贯、协调。</w:t>
            </w:r>
          </w:p>
          <w:p>
            <w:pPr>
              <w:pStyle w:val="13"/>
            </w:pPr>
            <w:r>
              <w:t>4.通过001人防工程的建设，完成人员掩蔽部和物资库的建设，作为灾时应急避难场所。</w:t>
            </w:r>
          </w:p>
          <w:p>
            <w:pPr>
              <w:pStyle w:val="13"/>
            </w:pPr>
            <w:r>
              <w:t>5.通过人防通讯设施建设，能够在严重自然灾害造成通信网络损坏情况下短波通信仍可以正常使用，这为战场支持、救援需要提供了重要保障。</w:t>
            </w:r>
          </w:p>
          <w:p>
            <w:pPr>
              <w:pStyle w:val="13"/>
            </w:pPr>
            <w:r>
              <w:t>6.通过人防通讯设施，能够实现作为一种全新的信息交流方式，可视通信具有直观、快速、信息量大的特点可以有效加快传达及沟通的效率，极大的提高决策速度。</w:t>
            </w:r>
          </w:p>
          <w:p>
            <w:pPr>
              <w:pStyle w:val="13"/>
            </w:pPr>
            <w:r>
              <w:t>7.通过人防通讯设施，能够完成防空警报的安装，保障抗灾救灾和突发事故情况下的灾情预报和紧急报知，保证人民安全。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001人防工程建筑面积</w:t>
            </w:r>
          </w:p>
        </w:tc>
        <w:tc>
          <w:tcPr>
            <w:tcW w:w="5386" w:type="dxa"/>
            <w:vAlign w:val="center"/>
          </w:tcPr>
          <w:p>
            <w:pPr>
              <w:pStyle w:val="13"/>
            </w:pPr>
            <w:r>
              <w:t>建设青龙县行政办公中心北侧直属单建式地下人防工程，占地14亩。</w:t>
            </w:r>
          </w:p>
        </w:tc>
        <w:tc>
          <w:tcPr>
            <w:tcW w:w="2268" w:type="dxa"/>
            <w:vAlign w:val="center"/>
          </w:tcPr>
          <w:p>
            <w:pPr>
              <w:pStyle w:val="13"/>
            </w:pPr>
            <w:r>
              <w:t>7359平方米</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人防宣教场所</w:t>
            </w:r>
          </w:p>
        </w:tc>
        <w:tc>
          <w:tcPr>
            <w:tcW w:w="5386" w:type="dxa"/>
            <w:vAlign w:val="center"/>
          </w:tcPr>
          <w:p>
            <w:pPr>
              <w:pStyle w:val="13"/>
            </w:pPr>
            <w:r>
              <w:t>人防宣教场所，其在于积极推进防空防灾一体化工作，进一步拓展人防宣传教育功能，提高宣传教育效果</w:t>
            </w:r>
          </w:p>
        </w:tc>
        <w:tc>
          <w:tcPr>
            <w:tcW w:w="2268" w:type="dxa"/>
            <w:vAlign w:val="center"/>
          </w:tcPr>
          <w:p>
            <w:pPr>
              <w:pStyle w:val="13"/>
            </w:pPr>
            <w:r>
              <w:t>10800平方米</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标志、标牌应做到做到系统、醒目、易识、协调</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外部验收合格</w:t>
            </w:r>
          </w:p>
        </w:tc>
        <w:tc>
          <w:tcPr>
            <w:tcW w:w="5386" w:type="dxa"/>
            <w:vAlign w:val="center"/>
          </w:tcPr>
          <w:p>
            <w:pPr>
              <w:pStyle w:val="13"/>
            </w:pPr>
            <w:r>
              <w:t>依据设计要求进行外部验收，达到合同要求的验收标准</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外部验收合格</w:t>
            </w:r>
          </w:p>
        </w:tc>
        <w:tc>
          <w:tcPr>
            <w:tcW w:w="5386" w:type="dxa"/>
            <w:vAlign w:val="center"/>
          </w:tcPr>
          <w:p>
            <w:pPr>
              <w:pStyle w:val="13"/>
            </w:pPr>
            <w:r>
              <w:t>建设内容为地下人防物资库和人员掩蔽部，设计标准为乙类，防化级别为丁级，抗力级别为常6级。战时功能为乙类二等常六级人员掩蔽部和物资库，灾时作为应急避难场所</w:t>
            </w:r>
          </w:p>
        </w:tc>
        <w:tc>
          <w:tcPr>
            <w:tcW w:w="2268" w:type="dxa"/>
            <w:vAlign w:val="center"/>
          </w:tcPr>
          <w:p>
            <w:pPr>
              <w:pStyle w:val="13"/>
            </w:pPr>
            <w:r>
              <w:t>100%</w:t>
            </w:r>
          </w:p>
        </w:tc>
        <w:tc>
          <w:tcPr>
            <w:tcW w:w="1276" w:type="dxa"/>
            <w:vAlign w:val="center"/>
          </w:tcPr>
          <w:p>
            <w:pPr>
              <w:pStyle w:val="13"/>
            </w:pPr>
            <w:r>
              <w:t>设计规范文件及验收标准文件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外部验收合格</w:t>
            </w:r>
          </w:p>
        </w:tc>
        <w:tc>
          <w:tcPr>
            <w:tcW w:w="5386" w:type="dxa"/>
            <w:vAlign w:val="center"/>
          </w:tcPr>
          <w:p>
            <w:pPr>
              <w:pStyle w:val="13"/>
            </w:pPr>
            <w:r>
              <w:t>依据设计要求进行外部验收，达到合同要求的验收标准</w:t>
            </w:r>
          </w:p>
        </w:tc>
        <w:tc>
          <w:tcPr>
            <w:tcW w:w="2268" w:type="dxa"/>
            <w:vAlign w:val="center"/>
          </w:tcPr>
          <w:p>
            <w:pPr>
              <w:pStyle w:val="13"/>
            </w:pPr>
            <w:r>
              <w:t>100%</w:t>
            </w:r>
          </w:p>
        </w:tc>
        <w:tc>
          <w:tcPr>
            <w:tcW w:w="1276" w:type="dxa"/>
            <w:vAlign w:val="center"/>
          </w:tcPr>
          <w:p>
            <w:pPr>
              <w:pStyle w:val="13"/>
            </w:pPr>
            <w:r>
              <w:t>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人防工程完成及时性</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人防宣教场所完成及时性</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地下工程款费用</w:t>
            </w:r>
          </w:p>
        </w:tc>
        <w:tc>
          <w:tcPr>
            <w:tcW w:w="5386" w:type="dxa"/>
            <w:vAlign w:val="center"/>
          </w:tcPr>
          <w:p>
            <w:pPr>
              <w:pStyle w:val="13"/>
            </w:pPr>
            <w:r>
              <w:t>按财政评审结果支付地下工程款</w:t>
            </w:r>
          </w:p>
        </w:tc>
        <w:tc>
          <w:tcPr>
            <w:tcW w:w="2268" w:type="dxa"/>
            <w:vAlign w:val="center"/>
          </w:tcPr>
          <w:p>
            <w:pPr>
              <w:pStyle w:val="13"/>
            </w:pPr>
            <w:r>
              <w:t>≤140万元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地上场所工程款费用</w:t>
            </w:r>
          </w:p>
        </w:tc>
        <w:tc>
          <w:tcPr>
            <w:tcW w:w="5386" w:type="dxa"/>
            <w:vAlign w:val="center"/>
          </w:tcPr>
          <w:p>
            <w:pPr>
              <w:pStyle w:val="13"/>
            </w:pPr>
            <w:r>
              <w:t>按财政评审结果支付地上宣教场所工程款</w:t>
            </w:r>
          </w:p>
        </w:tc>
        <w:tc>
          <w:tcPr>
            <w:tcW w:w="2268" w:type="dxa"/>
            <w:vAlign w:val="center"/>
          </w:tcPr>
          <w:p>
            <w:pPr>
              <w:pStyle w:val="13"/>
            </w:pPr>
            <w:r>
              <w:t>≤60万元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容纳人员数</w:t>
            </w:r>
          </w:p>
        </w:tc>
        <w:tc>
          <w:tcPr>
            <w:tcW w:w="5386" w:type="dxa"/>
            <w:vAlign w:val="center"/>
          </w:tcPr>
          <w:p>
            <w:pPr>
              <w:pStyle w:val="13"/>
            </w:pPr>
            <w:r>
              <w:t>建设完成，可以容纳的掩蔽人数</w:t>
            </w:r>
          </w:p>
        </w:tc>
        <w:tc>
          <w:tcPr>
            <w:tcW w:w="2268" w:type="dxa"/>
            <w:vAlign w:val="center"/>
          </w:tcPr>
          <w:p>
            <w:pPr>
              <w:pStyle w:val="13"/>
            </w:pPr>
            <w:r>
              <w:t>≥2450人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可以储存的物资的面积</w:t>
            </w:r>
          </w:p>
        </w:tc>
        <w:tc>
          <w:tcPr>
            <w:tcW w:w="5386" w:type="dxa"/>
            <w:vAlign w:val="center"/>
          </w:tcPr>
          <w:p>
            <w:pPr>
              <w:pStyle w:val="13"/>
            </w:pPr>
            <w:r>
              <w:t>建设完成，可以储存的物资的面积</w:t>
            </w:r>
          </w:p>
        </w:tc>
        <w:tc>
          <w:tcPr>
            <w:tcW w:w="2268" w:type="dxa"/>
            <w:vAlign w:val="center"/>
          </w:tcPr>
          <w:p>
            <w:pPr>
              <w:pStyle w:val="13"/>
            </w:pPr>
            <w:r>
              <w:t>≥2630平方米</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短波通信</w:t>
            </w:r>
          </w:p>
        </w:tc>
        <w:tc>
          <w:tcPr>
            <w:tcW w:w="5386" w:type="dxa"/>
            <w:vAlign w:val="center"/>
          </w:tcPr>
          <w:p>
            <w:pPr>
              <w:pStyle w:val="13"/>
            </w:pPr>
            <w:r>
              <w:t>提高严重自然灾害造成通信网络损坏情况下短波通信仍可以正常使用效率</w:t>
            </w:r>
          </w:p>
        </w:tc>
        <w:tc>
          <w:tcPr>
            <w:tcW w:w="2268" w:type="dxa"/>
            <w:vAlign w:val="center"/>
          </w:tcPr>
          <w:p>
            <w:pPr>
              <w:pStyle w:val="13"/>
            </w:pPr>
            <w:r>
              <w:t>≥50%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视频会议</w:t>
            </w:r>
          </w:p>
        </w:tc>
        <w:tc>
          <w:tcPr>
            <w:tcW w:w="5386" w:type="dxa"/>
            <w:vAlign w:val="center"/>
          </w:tcPr>
          <w:p>
            <w:pPr>
              <w:pStyle w:val="13"/>
            </w:pPr>
            <w:r>
              <w:t>提高视频会议成功使用效率</w:t>
            </w:r>
          </w:p>
        </w:tc>
        <w:tc>
          <w:tcPr>
            <w:tcW w:w="2268" w:type="dxa"/>
            <w:vAlign w:val="center"/>
          </w:tcPr>
          <w:p>
            <w:pPr>
              <w:pStyle w:val="13"/>
            </w:pPr>
            <w:r>
              <w:t>≥50%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信息传递的准确率</w:t>
            </w:r>
          </w:p>
        </w:tc>
        <w:tc>
          <w:tcPr>
            <w:tcW w:w="5386" w:type="dxa"/>
            <w:vAlign w:val="center"/>
          </w:tcPr>
          <w:p>
            <w:pPr>
              <w:pStyle w:val="13"/>
            </w:pPr>
            <w:r>
              <w:t>可以持续提升信息传递准确率</w:t>
            </w:r>
          </w:p>
        </w:tc>
        <w:tc>
          <w:tcPr>
            <w:tcW w:w="2268" w:type="dxa"/>
            <w:vAlign w:val="center"/>
          </w:tcPr>
          <w:p>
            <w:pPr>
              <w:pStyle w:val="13"/>
            </w:pPr>
            <w:r>
              <w:t>≥50%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灾情预报</w:t>
            </w:r>
          </w:p>
        </w:tc>
        <w:tc>
          <w:tcPr>
            <w:tcW w:w="5386" w:type="dxa"/>
            <w:vAlign w:val="center"/>
          </w:tcPr>
          <w:p>
            <w:pPr>
              <w:pStyle w:val="13"/>
            </w:pPr>
            <w:r>
              <w:t>提升用于抗灾救灾和突发事故情况下的灾情预报覆盖率</w:t>
            </w:r>
          </w:p>
        </w:tc>
        <w:tc>
          <w:tcPr>
            <w:tcW w:w="2268" w:type="dxa"/>
            <w:vAlign w:val="center"/>
          </w:tcPr>
          <w:p>
            <w:pPr>
              <w:pStyle w:val="13"/>
            </w:pPr>
            <w:r>
              <w:t>≥50%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紧急报知</w:t>
            </w:r>
          </w:p>
        </w:tc>
        <w:tc>
          <w:tcPr>
            <w:tcW w:w="5386" w:type="dxa"/>
            <w:vAlign w:val="center"/>
          </w:tcPr>
          <w:p>
            <w:pPr>
              <w:pStyle w:val="13"/>
            </w:pPr>
            <w:r>
              <w:t>提升用于抗灾救灾和突发事故情况下的紧急报知覆盖率</w:t>
            </w:r>
          </w:p>
        </w:tc>
        <w:tc>
          <w:tcPr>
            <w:tcW w:w="2268" w:type="dxa"/>
            <w:vAlign w:val="center"/>
          </w:tcPr>
          <w:p>
            <w:pPr>
              <w:pStyle w:val="13"/>
            </w:pPr>
            <w:r>
              <w:t>≥50%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基本监管及业务水平</w:t>
            </w:r>
          </w:p>
        </w:tc>
        <w:tc>
          <w:tcPr>
            <w:tcW w:w="5386" w:type="dxa"/>
            <w:vAlign w:val="center"/>
          </w:tcPr>
          <w:p>
            <w:pPr>
              <w:pStyle w:val="13"/>
            </w:pPr>
            <w:r>
              <w:t>提升工作效率、监管能力及业务水平</w:t>
            </w:r>
          </w:p>
        </w:tc>
        <w:tc>
          <w:tcPr>
            <w:tcW w:w="2268" w:type="dxa"/>
            <w:vAlign w:val="center"/>
          </w:tcPr>
          <w:p>
            <w:pPr>
              <w:pStyle w:val="13"/>
            </w:pPr>
            <w:r>
              <w:t>≥70%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群众对人防工程的满意程度</w:t>
            </w:r>
          </w:p>
        </w:tc>
        <w:tc>
          <w:tcPr>
            <w:tcW w:w="2268" w:type="dxa"/>
            <w:vAlign w:val="center"/>
          </w:tcPr>
          <w:p>
            <w:pPr>
              <w:pStyle w:val="13"/>
            </w:pPr>
            <w:r>
              <w:t>≥98%</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40、人民防空办公室经费绩效目标表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13032125P000076100053</w:t>
            </w:r>
          </w:p>
        </w:tc>
        <w:tc>
          <w:tcPr>
            <w:tcW w:w="2835" w:type="dxa"/>
            <w:vAlign w:val="center"/>
          </w:tcPr>
          <w:p>
            <w:pPr>
              <w:pStyle w:val="11"/>
            </w:pPr>
            <w:r>
              <w:t>项目名称</w:t>
            </w:r>
          </w:p>
        </w:tc>
        <w:tc>
          <w:tcPr>
            <w:tcW w:w="6095" w:type="dxa"/>
            <w:gridSpan w:val="3"/>
            <w:vAlign w:val="center"/>
          </w:tcPr>
          <w:p>
            <w:pPr>
              <w:pStyle w:val="13"/>
            </w:pPr>
            <w:r>
              <w:t>人民防空办公室经费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预算安排1万元，其中财政资金1万元，主要用于防空办公室经费。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1.通过日常工作有序开展，保证机关工作职能的有效履行。</w:t>
            </w:r>
            <w:r>
              <w:tab/>
            </w:r>
            <w:r>
              <w:tab/>
            </w:r>
            <w:r>
              <w:tab/>
            </w:r>
            <w:r>
              <w:tab/>
            </w:r>
            <w:r>
              <w:tab/>
            </w:r>
            <w:r>
              <w:tab/>
            </w:r>
          </w:p>
          <w:p>
            <w:pPr>
              <w:pStyle w:val="13"/>
            </w:pPr>
          </w:p>
          <w:p>
            <w:pPr>
              <w:pStyle w:val="13"/>
            </w:pPr>
            <w:r>
              <w:t>2.通过购置办公用品，满足人民防空办公室日常工作需要，保证人民防空工作有序进行。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集中拉练训练</w:t>
            </w:r>
          </w:p>
        </w:tc>
        <w:tc>
          <w:tcPr>
            <w:tcW w:w="5386" w:type="dxa"/>
            <w:vAlign w:val="center"/>
          </w:tcPr>
          <w:p>
            <w:pPr>
              <w:pStyle w:val="13"/>
            </w:pPr>
            <w:r>
              <w:t>市级组织集中拉练次数</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全国防灾减灾等知识宣传</w:t>
            </w:r>
          </w:p>
        </w:tc>
        <w:tc>
          <w:tcPr>
            <w:tcW w:w="5386" w:type="dxa"/>
            <w:vAlign w:val="center"/>
          </w:tcPr>
          <w:p>
            <w:pPr>
              <w:pStyle w:val="13"/>
            </w:pPr>
            <w:r>
              <w:t>全国防灾减灾等知识宣传次数</w:t>
            </w:r>
          </w:p>
        </w:tc>
        <w:tc>
          <w:tcPr>
            <w:tcW w:w="2268" w:type="dxa"/>
            <w:vAlign w:val="center"/>
          </w:tcPr>
          <w:p>
            <w:pPr>
              <w:pStyle w:val="13"/>
            </w:pPr>
            <w:r>
              <w:t>≥4次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购买办公用品达标率</w:t>
            </w:r>
          </w:p>
        </w:tc>
        <w:tc>
          <w:tcPr>
            <w:tcW w:w="5386" w:type="dxa"/>
            <w:vAlign w:val="center"/>
          </w:tcPr>
          <w:p>
            <w:pPr>
              <w:pStyle w:val="13"/>
            </w:pPr>
            <w:r>
              <w:t>购买办公用品达标率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印刷费用</w:t>
            </w:r>
          </w:p>
        </w:tc>
        <w:tc>
          <w:tcPr>
            <w:tcW w:w="5386" w:type="dxa"/>
            <w:vAlign w:val="center"/>
          </w:tcPr>
          <w:p>
            <w:pPr>
              <w:pStyle w:val="13"/>
            </w:pPr>
            <w:r>
              <w:t>人防办公室印刷各类明白卡、政策宣传品费用</w:t>
            </w:r>
          </w:p>
        </w:tc>
        <w:tc>
          <w:tcPr>
            <w:tcW w:w="2268" w:type="dxa"/>
            <w:vAlign w:val="center"/>
          </w:tcPr>
          <w:p>
            <w:pPr>
              <w:pStyle w:val="13"/>
            </w:pPr>
            <w:r>
              <w:t>≤1万元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电脑耗材成本</w:t>
            </w:r>
          </w:p>
        </w:tc>
        <w:tc>
          <w:tcPr>
            <w:tcW w:w="5386" w:type="dxa"/>
            <w:vAlign w:val="center"/>
          </w:tcPr>
          <w:p>
            <w:pPr>
              <w:pStyle w:val="13"/>
            </w:pPr>
            <w:r>
              <w:t>人民防空办公室年度电脑耗材成本</w:t>
            </w:r>
          </w:p>
        </w:tc>
        <w:tc>
          <w:tcPr>
            <w:tcW w:w="2268" w:type="dxa"/>
            <w:vAlign w:val="center"/>
          </w:tcPr>
          <w:p>
            <w:pPr>
              <w:pStyle w:val="13"/>
            </w:pPr>
            <w:r>
              <w:t>≤1万元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集中拉练成本</w:t>
            </w:r>
          </w:p>
        </w:tc>
        <w:tc>
          <w:tcPr>
            <w:tcW w:w="5386" w:type="dxa"/>
            <w:vAlign w:val="center"/>
          </w:tcPr>
          <w:p>
            <w:pPr>
              <w:pStyle w:val="13"/>
            </w:pPr>
            <w:r>
              <w:t>年度集中拉练成本</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购买时间</w:t>
            </w:r>
          </w:p>
        </w:tc>
        <w:tc>
          <w:tcPr>
            <w:tcW w:w="5386" w:type="dxa"/>
            <w:vAlign w:val="center"/>
          </w:tcPr>
          <w:p>
            <w:pPr>
              <w:pStyle w:val="13"/>
            </w:pPr>
            <w:r>
              <w:t>购买办公用品到位时间</w:t>
            </w:r>
          </w:p>
        </w:tc>
        <w:tc>
          <w:tcPr>
            <w:tcW w:w="2268" w:type="dxa"/>
            <w:vAlign w:val="center"/>
          </w:tcPr>
          <w:p>
            <w:pPr>
              <w:pStyle w:val="13"/>
            </w:pPr>
            <w:r>
              <w:t>2025年度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做好汛期应急通讯及抢险物资工作</w:t>
            </w:r>
          </w:p>
        </w:tc>
        <w:tc>
          <w:tcPr>
            <w:tcW w:w="5386" w:type="dxa"/>
            <w:vAlign w:val="center"/>
          </w:tcPr>
          <w:p>
            <w:pPr>
              <w:pStyle w:val="13"/>
            </w:pPr>
            <w:r>
              <w:t>保障县内可持续发展</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提高人民群众防震减灾意识</w:t>
            </w:r>
          </w:p>
        </w:tc>
        <w:tc>
          <w:tcPr>
            <w:tcW w:w="5386" w:type="dxa"/>
            <w:vAlign w:val="center"/>
          </w:tcPr>
          <w:p>
            <w:pPr>
              <w:pStyle w:val="13"/>
            </w:pPr>
            <w:r>
              <w:t>通过进行防灾减灾宣传，提高群众安全意识</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通过问卷调查，满意和基本满意的职工占所有调查职工的比例</w:t>
            </w:r>
          </w:p>
        </w:tc>
        <w:tc>
          <w:tcPr>
            <w:tcW w:w="2268" w:type="dxa"/>
            <w:vAlign w:val="center"/>
          </w:tcPr>
          <w:p>
            <w:pPr>
              <w:pStyle w:val="13"/>
            </w:pPr>
            <w:r>
              <w: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41、山神庙化工厂迁建补偿款绩效目标表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13032125P006FRF100021</w:t>
            </w:r>
          </w:p>
        </w:tc>
        <w:tc>
          <w:tcPr>
            <w:tcW w:w="2835" w:type="dxa"/>
            <w:vAlign w:val="center"/>
          </w:tcPr>
          <w:p>
            <w:pPr>
              <w:pStyle w:val="11"/>
            </w:pPr>
            <w:r>
              <w:t>项目名称</w:t>
            </w:r>
          </w:p>
        </w:tc>
        <w:tc>
          <w:tcPr>
            <w:tcW w:w="6095" w:type="dxa"/>
            <w:gridSpan w:val="3"/>
            <w:vAlign w:val="center"/>
          </w:tcPr>
          <w:p>
            <w:pPr>
              <w:pStyle w:val="13"/>
            </w:pPr>
            <w:r>
              <w:t>山神庙化工厂迁建补偿款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预算安排40万元，其中财政资金40万元，主要用于山神庙迁建补偿款。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1.通过及时支付补偿款，保障企业正常运行。</w:t>
            </w:r>
            <w:r>
              <w:tab/>
            </w:r>
            <w:r>
              <w:tab/>
            </w:r>
            <w:r>
              <w:tab/>
            </w:r>
            <w:r>
              <w:tab/>
            </w:r>
            <w:r>
              <w:tab/>
            </w:r>
            <w:r>
              <w:tab/>
            </w:r>
          </w:p>
          <w:p>
            <w:pPr>
              <w:pStyle w:val="13"/>
            </w:pPr>
          </w:p>
          <w:p>
            <w:pPr>
              <w:pStyle w:val="13"/>
            </w:pPr>
            <w:r>
              <w:t>2.通过及时拨付拆迁补偿款，促进拆迁政策有效落实。</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拆迁企业数</w:t>
            </w:r>
          </w:p>
        </w:tc>
        <w:tc>
          <w:tcPr>
            <w:tcW w:w="5386" w:type="dxa"/>
            <w:vAlign w:val="center"/>
          </w:tcPr>
          <w:p>
            <w:pPr>
              <w:pStyle w:val="13"/>
            </w:pPr>
            <w:r>
              <w:t>纳入拆迁的企业数量</w:t>
            </w:r>
          </w:p>
        </w:tc>
        <w:tc>
          <w:tcPr>
            <w:tcW w:w="2268" w:type="dxa"/>
            <w:vAlign w:val="center"/>
          </w:tcPr>
          <w:p>
            <w:pPr>
              <w:pStyle w:val="13"/>
            </w:pPr>
            <w:r>
              <w:t>1家</w:t>
            </w:r>
          </w:p>
        </w:tc>
        <w:tc>
          <w:tcPr>
            <w:tcW w:w="1276" w:type="dxa"/>
            <w:vAlign w:val="center"/>
          </w:tcPr>
          <w:p>
            <w:pPr>
              <w:pStyle w:val="13"/>
            </w:pPr>
            <w:r>
              <w:t>拆迁补偿协议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拆迁征地的面积</w:t>
            </w:r>
          </w:p>
        </w:tc>
        <w:tc>
          <w:tcPr>
            <w:tcW w:w="5386" w:type="dxa"/>
            <w:vAlign w:val="center"/>
          </w:tcPr>
          <w:p>
            <w:pPr>
              <w:pStyle w:val="13"/>
            </w:pPr>
            <w:r>
              <w:t>企业拆迁，征收土地的面积</w:t>
            </w:r>
          </w:p>
        </w:tc>
        <w:tc>
          <w:tcPr>
            <w:tcW w:w="2268" w:type="dxa"/>
            <w:vAlign w:val="center"/>
          </w:tcPr>
          <w:p>
            <w:pPr>
              <w:pStyle w:val="13"/>
            </w:pPr>
            <w:r>
              <w:t>14271平方米</w:t>
            </w:r>
          </w:p>
        </w:tc>
        <w:tc>
          <w:tcPr>
            <w:tcW w:w="1276" w:type="dxa"/>
            <w:vAlign w:val="center"/>
          </w:tcPr>
          <w:p>
            <w:pPr>
              <w:pStyle w:val="13"/>
            </w:pPr>
            <w:r>
              <w:t>拆迁补偿协议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房产面积</w:t>
            </w:r>
          </w:p>
        </w:tc>
        <w:tc>
          <w:tcPr>
            <w:tcW w:w="5386" w:type="dxa"/>
            <w:vAlign w:val="center"/>
          </w:tcPr>
          <w:p>
            <w:pPr>
              <w:pStyle w:val="13"/>
            </w:pPr>
            <w:r>
              <w:t>企业拆迁，征收房产的面积</w:t>
            </w:r>
          </w:p>
        </w:tc>
        <w:tc>
          <w:tcPr>
            <w:tcW w:w="2268" w:type="dxa"/>
            <w:vAlign w:val="center"/>
          </w:tcPr>
          <w:p>
            <w:pPr>
              <w:pStyle w:val="13"/>
            </w:pPr>
            <w:r>
              <w:t>6279.48平方米</w:t>
            </w:r>
          </w:p>
        </w:tc>
        <w:tc>
          <w:tcPr>
            <w:tcW w:w="1276" w:type="dxa"/>
            <w:vAlign w:val="center"/>
          </w:tcPr>
          <w:p>
            <w:pPr>
              <w:pStyle w:val="13"/>
            </w:pPr>
            <w:r>
              <w:t>拆迁补偿协议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机器设备台套数</w:t>
            </w:r>
          </w:p>
        </w:tc>
        <w:tc>
          <w:tcPr>
            <w:tcW w:w="5386" w:type="dxa"/>
            <w:vAlign w:val="center"/>
          </w:tcPr>
          <w:p>
            <w:pPr>
              <w:pStyle w:val="13"/>
            </w:pPr>
            <w:r>
              <w:t>企业拆迁，需要补偿的机器设备台套数</w:t>
            </w:r>
          </w:p>
        </w:tc>
        <w:tc>
          <w:tcPr>
            <w:tcW w:w="2268" w:type="dxa"/>
            <w:vAlign w:val="center"/>
          </w:tcPr>
          <w:p>
            <w:pPr>
              <w:pStyle w:val="13"/>
            </w:pPr>
            <w:r>
              <w:t>164台</w:t>
            </w:r>
          </w:p>
        </w:tc>
        <w:tc>
          <w:tcPr>
            <w:tcW w:w="1276" w:type="dxa"/>
            <w:vAlign w:val="center"/>
          </w:tcPr>
          <w:p>
            <w:pPr>
              <w:pStyle w:val="13"/>
            </w:pPr>
            <w:r>
              <w:t>拆迁补偿协议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支付拆迁补偿款准确率</w:t>
            </w:r>
          </w:p>
        </w:tc>
        <w:tc>
          <w:tcPr>
            <w:tcW w:w="5386" w:type="dxa"/>
            <w:vAlign w:val="center"/>
          </w:tcPr>
          <w:p>
            <w:pPr>
              <w:pStyle w:val="13"/>
            </w:pPr>
            <w:r>
              <w:t>反映按拆迁补偿标准支付拆迁补偿款准确性</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拆迁补偿款支付及时性</w:t>
            </w:r>
          </w:p>
        </w:tc>
        <w:tc>
          <w:tcPr>
            <w:tcW w:w="5386" w:type="dxa"/>
            <w:vAlign w:val="center"/>
          </w:tcPr>
          <w:p>
            <w:pPr>
              <w:pStyle w:val="13"/>
            </w:pPr>
            <w:r>
              <w:t>反映支付拆迁补偿款及时性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控制在预算范围内合理使用</w:t>
            </w:r>
          </w:p>
        </w:tc>
        <w:tc>
          <w:tcPr>
            <w:tcW w:w="2268" w:type="dxa"/>
            <w:vAlign w:val="center"/>
          </w:tcPr>
          <w:p>
            <w:pPr>
              <w:pStyle w:val="13"/>
            </w:pPr>
            <w:r>
              <w:t>≤40万元</w:t>
            </w:r>
          </w:p>
        </w:tc>
        <w:tc>
          <w:tcPr>
            <w:tcW w:w="1276" w:type="dxa"/>
            <w:vAlign w:val="center"/>
          </w:tcPr>
          <w:p>
            <w:pPr>
              <w:pStyle w:val="13"/>
            </w:pPr>
            <w:r>
              <w:t>拆迁补偿协议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增加就业人数</w:t>
            </w:r>
          </w:p>
        </w:tc>
        <w:tc>
          <w:tcPr>
            <w:tcW w:w="5386" w:type="dxa"/>
            <w:vAlign w:val="center"/>
          </w:tcPr>
          <w:p>
            <w:pPr>
              <w:pStyle w:val="13"/>
            </w:pPr>
            <w:r>
              <w:t>促进企业发展，增加就业人数</w:t>
            </w:r>
          </w:p>
        </w:tc>
        <w:tc>
          <w:tcPr>
            <w:tcW w:w="2268" w:type="dxa"/>
            <w:vAlign w:val="center"/>
          </w:tcPr>
          <w:p>
            <w:pPr>
              <w:pStyle w:val="13"/>
            </w:pPr>
            <w:r>
              <w:t>≥20人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促进拆迁政策有效落实。</w:t>
            </w:r>
          </w:p>
        </w:tc>
        <w:tc>
          <w:tcPr>
            <w:tcW w:w="5386" w:type="dxa"/>
            <w:vAlign w:val="center"/>
          </w:tcPr>
          <w:p>
            <w:pPr>
              <w:pStyle w:val="13"/>
            </w:pPr>
            <w:r>
              <w:t>促进拆迁政策有效落实。</w:t>
            </w:r>
          </w:p>
        </w:tc>
        <w:tc>
          <w:tcPr>
            <w:tcW w:w="2268" w:type="dxa"/>
            <w:vAlign w:val="center"/>
          </w:tcPr>
          <w:p>
            <w:pPr>
              <w:pStyle w:val="13"/>
            </w:pPr>
            <w:r>
              <w:t>有效落实</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被拆迁企业满意度</w:t>
            </w:r>
          </w:p>
        </w:tc>
        <w:tc>
          <w:tcPr>
            <w:tcW w:w="5386" w:type="dxa"/>
            <w:vAlign w:val="center"/>
          </w:tcPr>
          <w:p>
            <w:pPr>
              <w:pStyle w:val="13"/>
            </w:pPr>
            <w:r>
              <w:t>被拆迁企业对拆迁工作满意度</w:t>
            </w:r>
          </w:p>
        </w:tc>
        <w:tc>
          <w:tcPr>
            <w:tcW w:w="2268" w:type="dxa"/>
            <w:vAlign w:val="center"/>
          </w:tcPr>
          <w:p>
            <w:pPr>
              <w:pStyle w:val="13"/>
            </w:pPr>
            <w:r>
              <w:t>100%</w:t>
            </w:r>
          </w:p>
        </w:tc>
        <w:tc>
          <w:tcPr>
            <w:tcW w:w="1276" w:type="dxa"/>
            <w:vAlign w:val="center"/>
          </w:tcPr>
          <w:p>
            <w:pPr>
              <w:pStyle w:val="13"/>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42、上缴2026年政策性新增粮食财务挂账占用贷款利息支出绩效目标表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13032126P000099100026</w:t>
            </w:r>
          </w:p>
        </w:tc>
        <w:tc>
          <w:tcPr>
            <w:tcW w:w="2835" w:type="dxa"/>
            <w:vAlign w:val="center"/>
          </w:tcPr>
          <w:p>
            <w:pPr>
              <w:pStyle w:val="11"/>
            </w:pPr>
            <w:r>
              <w:t>项目名称</w:t>
            </w:r>
          </w:p>
        </w:tc>
        <w:tc>
          <w:tcPr>
            <w:tcW w:w="6095" w:type="dxa"/>
            <w:gridSpan w:val="3"/>
            <w:vAlign w:val="center"/>
          </w:tcPr>
          <w:p>
            <w:pPr>
              <w:pStyle w:val="13"/>
            </w:pPr>
            <w:r>
              <w:t>上缴2026年政策性新增粮食财务挂账占用贷款利息支出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46.25</w:t>
            </w:r>
          </w:p>
        </w:tc>
        <w:tc>
          <w:tcPr>
            <w:tcW w:w="2835" w:type="dxa"/>
            <w:vAlign w:val="center"/>
          </w:tcPr>
          <w:p>
            <w:pPr>
              <w:pStyle w:val="11"/>
            </w:pPr>
            <w:r>
              <w:t>其中：财政    资金</w:t>
            </w:r>
          </w:p>
        </w:tc>
        <w:tc>
          <w:tcPr>
            <w:tcW w:w="2551" w:type="dxa"/>
            <w:vAlign w:val="center"/>
          </w:tcPr>
          <w:p>
            <w:pPr>
              <w:pStyle w:val="13"/>
            </w:pPr>
            <w:r>
              <w:t>46.25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预算安排46.25万元，其中财政资金46.25万元，主要用于支付上缴2026年政策性新增粮食财务挂账占用贷款利息相关费用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1.通过及时偿还贷款利息，避免产生逾期。</w:t>
            </w:r>
            <w:r>
              <w:tab/>
            </w:r>
          </w:p>
          <w:p>
            <w:pPr>
              <w:pStyle w:val="13"/>
            </w:pPr>
            <w:r>
              <w:t>2.提高储备粮贷款使用效果，维护政府信用。</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储备粮贷款额度</w:t>
            </w:r>
          </w:p>
        </w:tc>
        <w:tc>
          <w:tcPr>
            <w:tcW w:w="5386" w:type="dxa"/>
            <w:vAlign w:val="center"/>
          </w:tcPr>
          <w:p>
            <w:pPr>
              <w:pStyle w:val="13"/>
            </w:pPr>
            <w:r>
              <w:t>保证完成农业发展银行贷款额度</w:t>
            </w:r>
          </w:p>
        </w:tc>
        <w:tc>
          <w:tcPr>
            <w:tcW w:w="2268" w:type="dxa"/>
            <w:vAlign w:val="center"/>
          </w:tcPr>
          <w:p>
            <w:pPr>
              <w:pStyle w:val="13"/>
            </w:pPr>
            <w:r>
              <w:t>1162万元</w:t>
            </w:r>
          </w:p>
        </w:tc>
        <w:tc>
          <w:tcPr>
            <w:tcW w:w="1276" w:type="dxa"/>
            <w:vAlign w:val="center"/>
          </w:tcPr>
          <w:p>
            <w:pPr>
              <w:pStyle w:val="13"/>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利息金额</w:t>
            </w:r>
          </w:p>
        </w:tc>
        <w:tc>
          <w:tcPr>
            <w:tcW w:w="5386" w:type="dxa"/>
            <w:vAlign w:val="center"/>
          </w:tcPr>
          <w:p>
            <w:pPr>
              <w:pStyle w:val="13"/>
            </w:pPr>
            <w:r>
              <w:t>贷款利息金额</w:t>
            </w:r>
          </w:p>
        </w:tc>
        <w:tc>
          <w:tcPr>
            <w:tcW w:w="2268" w:type="dxa"/>
            <w:vAlign w:val="center"/>
          </w:tcPr>
          <w:p>
            <w:pPr>
              <w:pStyle w:val="13"/>
            </w:pPr>
            <w:r>
              <w:t>46.12万元</w:t>
            </w:r>
          </w:p>
        </w:tc>
        <w:tc>
          <w:tcPr>
            <w:tcW w:w="1276" w:type="dxa"/>
            <w:vAlign w:val="center"/>
          </w:tcPr>
          <w:p>
            <w:pPr>
              <w:pStyle w:val="13"/>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贷款利息补贴率</w:t>
            </w:r>
          </w:p>
        </w:tc>
        <w:tc>
          <w:tcPr>
            <w:tcW w:w="5386" w:type="dxa"/>
            <w:vAlign w:val="center"/>
          </w:tcPr>
          <w:p>
            <w:pPr>
              <w:pStyle w:val="13"/>
            </w:pPr>
            <w:r>
              <w:t>1162万元储备粮农业发展银行贷款利息补贴比率</w:t>
            </w:r>
          </w:p>
        </w:tc>
        <w:tc>
          <w:tcPr>
            <w:tcW w:w="2268" w:type="dxa"/>
            <w:vAlign w:val="center"/>
          </w:tcPr>
          <w:p>
            <w:pPr>
              <w:pStyle w:val="13"/>
            </w:pPr>
            <w:r>
              <w:t>100%</w:t>
            </w:r>
          </w:p>
        </w:tc>
        <w:tc>
          <w:tcPr>
            <w:tcW w:w="1276" w:type="dxa"/>
            <w:vAlign w:val="center"/>
          </w:tcPr>
          <w:p>
            <w:pPr>
              <w:pStyle w:val="13"/>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按时完成贷款还息</w:t>
            </w:r>
          </w:p>
        </w:tc>
        <w:tc>
          <w:tcPr>
            <w:tcW w:w="2268" w:type="dxa"/>
            <w:vAlign w:val="center"/>
          </w:tcPr>
          <w:p>
            <w:pPr>
              <w:pStyle w:val="13"/>
            </w:pPr>
            <w:r>
              <w:t>2026年底</w:t>
            </w:r>
          </w:p>
        </w:tc>
        <w:tc>
          <w:tcPr>
            <w:tcW w:w="1276" w:type="dxa"/>
            <w:vAlign w:val="center"/>
          </w:tcPr>
          <w:p>
            <w:pPr>
              <w:pStyle w:val="13"/>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计算正确率</w:t>
            </w:r>
          </w:p>
        </w:tc>
        <w:tc>
          <w:tcPr>
            <w:tcW w:w="5386" w:type="dxa"/>
            <w:vAlign w:val="center"/>
          </w:tcPr>
          <w:p>
            <w:pPr>
              <w:pStyle w:val="13"/>
            </w:pPr>
            <w:r>
              <w:t>贷款利息计算正确率</w:t>
            </w:r>
          </w:p>
        </w:tc>
        <w:tc>
          <w:tcPr>
            <w:tcW w:w="2268" w:type="dxa"/>
            <w:vAlign w:val="center"/>
          </w:tcPr>
          <w:p>
            <w:pPr>
              <w:pStyle w:val="13"/>
            </w:pPr>
            <w:r>
              <w:t>100%</w:t>
            </w:r>
          </w:p>
        </w:tc>
        <w:tc>
          <w:tcPr>
            <w:tcW w:w="1276" w:type="dxa"/>
            <w:vAlign w:val="center"/>
          </w:tcPr>
          <w:p>
            <w:pPr>
              <w:pStyle w:val="13"/>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维护政府信用</w:t>
            </w:r>
          </w:p>
        </w:tc>
        <w:tc>
          <w:tcPr>
            <w:tcW w:w="5386" w:type="dxa"/>
            <w:vAlign w:val="center"/>
          </w:tcPr>
          <w:p>
            <w:pPr>
              <w:pStyle w:val="13"/>
            </w:pPr>
            <w:r>
              <w:t>通过及时偿还贷款利息维护政府良好信用</w:t>
            </w:r>
          </w:p>
        </w:tc>
        <w:tc>
          <w:tcPr>
            <w:tcW w:w="2268" w:type="dxa"/>
            <w:vAlign w:val="center"/>
          </w:tcPr>
          <w:p>
            <w:pPr>
              <w:pStyle w:val="13"/>
            </w:pPr>
            <w:r>
              <w:t>≥90%</w:t>
            </w:r>
          </w:p>
        </w:tc>
        <w:tc>
          <w:tcPr>
            <w:tcW w:w="1276" w:type="dxa"/>
            <w:vAlign w:val="center"/>
          </w:tcPr>
          <w:p>
            <w:pPr>
              <w:pStyle w:val="13"/>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保证农发行对储备粮的资金支持</w:t>
            </w:r>
          </w:p>
        </w:tc>
        <w:tc>
          <w:tcPr>
            <w:tcW w:w="5386" w:type="dxa"/>
            <w:vAlign w:val="center"/>
          </w:tcPr>
          <w:p>
            <w:pPr>
              <w:pStyle w:val="13"/>
            </w:pPr>
            <w:r>
              <w:t>保证农发行对储备粮的资金支持，维护粮食安全</w:t>
            </w:r>
          </w:p>
        </w:tc>
        <w:tc>
          <w:tcPr>
            <w:tcW w:w="2268" w:type="dxa"/>
            <w:vAlign w:val="center"/>
          </w:tcPr>
          <w:p>
            <w:pPr>
              <w:pStyle w:val="13"/>
            </w:pPr>
            <w:r>
              <w:t>750.6万元</w:t>
            </w:r>
          </w:p>
        </w:tc>
        <w:tc>
          <w:tcPr>
            <w:tcW w:w="1276" w:type="dxa"/>
            <w:vAlign w:val="center"/>
          </w:tcPr>
          <w:p>
            <w:pPr>
              <w:pStyle w:val="13"/>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贷款银行满意度</w:t>
            </w:r>
          </w:p>
        </w:tc>
        <w:tc>
          <w:tcPr>
            <w:tcW w:w="5386" w:type="dxa"/>
            <w:vAlign w:val="center"/>
          </w:tcPr>
          <w:p>
            <w:pPr>
              <w:pStyle w:val="13"/>
            </w:pPr>
            <w:r>
              <w:t>贷款银行满意数量占总数的比例</w:t>
            </w:r>
          </w:p>
        </w:tc>
        <w:tc>
          <w:tcPr>
            <w:tcW w:w="2268" w:type="dxa"/>
            <w:vAlign w:val="center"/>
          </w:tcPr>
          <w:p>
            <w:pPr>
              <w:pStyle w:val="13"/>
            </w:pPr>
            <w:r>
              <w:t>≥98%</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43、水库移民粮食补贴（二道杖子）绩效目标表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13032125P00T0JH100029</w:t>
            </w:r>
          </w:p>
        </w:tc>
        <w:tc>
          <w:tcPr>
            <w:tcW w:w="2835" w:type="dxa"/>
            <w:vAlign w:val="center"/>
          </w:tcPr>
          <w:p>
            <w:pPr>
              <w:pStyle w:val="11"/>
            </w:pPr>
            <w:r>
              <w:t>项目名称</w:t>
            </w:r>
          </w:p>
        </w:tc>
        <w:tc>
          <w:tcPr>
            <w:tcW w:w="6095" w:type="dxa"/>
            <w:gridSpan w:val="3"/>
            <w:vAlign w:val="center"/>
          </w:tcPr>
          <w:p>
            <w:pPr>
              <w:pStyle w:val="13"/>
            </w:pPr>
            <w:r>
              <w:t>水库移民粮食补贴（二道杖子）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48.60</w:t>
            </w:r>
          </w:p>
        </w:tc>
        <w:tc>
          <w:tcPr>
            <w:tcW w:w="2835" w:type="dxa"/>
            <w:vAlign w:val="center"/>
          </w:tcPr>
          <w:p>
            <w:pPr>
              <w:pStyle w:val="11"/>
            </w:pPr>
            <w:r>
              <w:t>其中：财政    资金</w:t>
            </w:r>
          </w:p>
        </w:tc>
        <w:tc>
          <w:tcPr>
            <w:tcW w:w="2551" w:type="dxa"/>
            <w:vAlign w:val="center"/>
          </w:tcPr>
          <w:p>
            <w:pPr>
              <w:pStyle w:val="13"/>
            </w:pPr>
            <w:r>
              <w:t>48.60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预算安排48.6万元，其中财政资金48.6万元，主要用于水库移民粮食补贴费用。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1.通过供应达标粮品，实现居民用粮安全。</w:t>
            </w:r>
            <w:r>
              <w:tab/>
            </w:r>
            <w:r>
              <w:tab/>
            </w:r>
            <w:r>
              <w:tab/>
            </w:r>
            <w:r>
              <w:tab/>
            </w:r>
            <w:r>
              <w:tab/>
            </w:r>
            <w:r>
              <w:tab/>
            </w:r>
          </w:p>
          <w:p>
            <w:pPr>
              <w:pStyle w:val="13"/>
            </w:pPr>
          </w:p>
          <w:p>
            <w:pPr>
              <w:pStyle w:val="13"/>
            </w:pPr>
            <w:r>
              <w:t>2.通过做好粮食供应，提高服务水平。</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水库移民粮食供应人数</w:t>
            </w:r>
          </w:p>
        </w:tc>
        <w:tc>
          <w:tcPr>
            <w:tcW w:w="5386" w:type="dxa"/>
            <w:vAlign w:val="center"/>
          </w:tcPr>
          <w:p>
            <w:pPr>
              <w:pStyle w:val="13"/>
            </w:pPr>
            <w:r>
              <w:t>二道丈子村水库移民粮食供应人数</w:t>
            </w:r>
          </w:p>
        </w:tc>
        <w:tc>
          <w:tcPr>
            <w:tcW w:w="2268" w:type="dxa"/>
            <w:vAlign w:val="center"/>
          </w:tcPr>
          <w:p>
            <w:pPr>
              <w:pStyle w:val="13"/>
            </w:pPr>
            <w:r>
              <w:t>≥1170人</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水库移民粮食供应斤数</w:t>
            </w:r>
          </w:p>
        </w:tc>
        <w:tc>
          <w:tcPr>
            <w:tcW w:w="5386" w:type="dxa"/>
            <w:vAlign w:val="center"/>
          </w:tcPr>
          <w:p>
            <w:pPr>
              <w:pStyle w:val="13"/>
            </w:pPr>
            <w:r>
              <w:t>二道丈子村水库移民粮食供应总斤数</w:t>
            </w:r>
          </w:p>
        </w:tc>
        <w:tc>
          <w:tcPr>
            <w:tcW w:w="2268" w:type="dxa"/>
            <w:vAlign w:val="center"/>
          </w:tcPr>
          <w:p>
            <w:pPr>
              <w:pStyle w:val="13"/>
            </w:pPr>
            <w:r>
              <w:t>≥22.76万斤</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供应粮品质达标率</w:t>
            </w:r>
          </w:p>
        </w:tc>
        <w:tc>
          <w:tcPr>
            <w:tcW w:w="5386" w:type="dxa"/>
            <w:vAlign w:val="center"/>
          </w:tcPr>
          <w:p>
            <w:pPr>
              <w:pStyle w:val="13"/>
            </w:pPr>
            <w:r>
              <w:t>所供粮食确保达到相应质量标准</w:t>
            </w:r>
          </w:p>
        </w:tc>
        <w:tc>
          <w:tcPr>
            <w:tcW w:w="2268" w:type="dxa"/>
            <w:vAlign w:val="center"/>
          </w:tcPr>
          <w:p>
            <w:pPr>
              <w:pStyle w:val="13"/>
            </w:pPr>
            <w:r>
              <w:t>100%</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按县政府相关文件及工作计划完成粮食补贴工作</w:t>
            </w:r>
          </w:p>
        </w:tc>
        <w:tc>
          <w:tcPr>
            <w:tcW w:w="2268" w:type="dxa"/>
            <w:vAlign w:val="center"/>
          </w:tcPr>
          <w:p>
            <w:pPr>
              <w:pStyle w:val="13"/>
            </w:pPr>
            <w:r>
              <w:t>2025年底</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水库移民粮食补贴</w:t>
            </w:r>
          </w:p>
        </w:tc>
        <w:tc>
          <w:tcPr>
            <w:tcW w:w="5386" w:type="dxa"/>
            <w:vAlign w:val="center"/>
          </w:tcPr>
          <w:p>
            <w:pPr>
              <w:pStyle w:val="13"/>
            </w:pPr>
            <w:r>
              <w:t>水库移民人均粮食补贴人均成本</w:t>
            </w:r>
          </w:p>
        </w:tc>
        <w:tc>
          <w:tcPr>
            <w:tcW w:w="2268" w:type="dxa"/>
            <w:vAlign w:val="center"/>
          </w:tcPr>
          <w:p>
            <w:pPr>
              <w:pStyle w:val="13"/>
            </w:pPr>
            <w:r>
              <w:t>≤415.4元/人</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减少水库移民家庭支出</w:t>
            </w:r>
          </w:p>
        </w:tc>
        <w:tc>
          <w:tcPr>
            <w:tcW w:w="5386" w:type="dxa"/>
            <w:vAlign w:val="center"/>
          </w:tcPr>
          <w:p>
            <w:pPr>
              <w:pStyle w:val="13"/>
            </w:pPr>
            <w:r>
              <w:t>减少水库移民家庭支出，保障基本生活</w:t>
            </w:r>
          </w:p>
        </w:tc>
        <w:tc>
          <w:tcPr>
            <w:tcW w:w="2268" w:type="dxa"/>
            <w:vAlign w:val="center"/>
          </w:tcPr>
          <w:p>
            <w:pPr>
              <w:pStyle w:val="13"/>
            </w:pPr>
            <w:r>
              <w:t>≥7%</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提高社会稳定性</w:t>
            </w:r>
          </w:p>
        </w:tc>
        <w:tc>
          <w:tcPr>
            <w:tcW w:w="5386" w:type="dxa"/>
            <w:vAlign w:val="center"/>
          </w:tcPr>
          <w:p>
            <w:pPr>
              <w:pStyle w:val="13"/>
            </w:pPr>
            <w:r>
              <w:t>补贴粮保质保量及时发放，保证二道杖子村水库移民利益，社会稳定性较上一年有所提高。</w:t>
            </w:r>
          </w:p>
        </w:tc>
        <w:tc>
          <w:tcPr>
            <w:tcW w:w="2268" w:type="dxa"/>
            <w:vAlign w:val="center"/>
          </w:tcPr>
          <w:p>
            <w:pPr>
              <w:pStyle w:val="13"/>
            </w:pPr>
            <w:r>
              <w:t>≥10%</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确保水库移民持续稳定</w:t>
            </w:r>
          </w:p>
        </w:tc>
        <w:tc>
          <w:tcPr>
            <w:tcW w:w="5386" w:type="dxa"/>
            <w:vAlign w:val="center"/>
          </w:tcPr>
          <w:p>
            <w:pPr>
              <w:pStyle w:val="13"/>
            </w:pPr>
            <w:r>
              <w:t>确保水库移民情绪持续稳定</w:t>
            </w:r>
          </w:p>
        </w:tc>
        <w:tc>
          <w:tcPr>
            <w:tcW w:w="2268" w:type="dxa"/>
            <w:vAlign w:val="center"/>
          </w:tcPr>
          <w:p>
            <w:pPr>
              <w:pStyle w:val="13"/>
            </w:pPr>
            <w:r>
              <w:t>≥90%</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水库移民满意度</w:t>
            </w:r>
          </w:p>
          <w:p>
            <w:pPr>
              <w:pStyle w:val="13"/>
            </w:pPr>
          </w:p>
        </w:tc>
        <w:tc>
          <w:tcPr>
            <w:tcW w:w="5386" w:type="dxa"/>
            <w:vAlign w:val="center"/>
          </w:tcPr>
          <w:p>
            <w:pPr>
              <w:pStyle w:val="13"/>
            </w:pPr>
            <w:r>
              <w:t>水库移民对于粮食补贴满意人数占总数的比例</w:t>
            </w:r>
          </w:p>
        </w:tc>
        <w:tc>
          <w:tcPr>
            <w:tcW w:w="2268" w:type="dxa"/>
            <w:vAlign w:val="center"/>
          </w:tcPr>
          <w:p>
            <w:pPr>
              <w:pStyle w:val="13"/>
            </w:pPr>
            <w:r>
              <w:t>≥90%</w:t>
            </w:r>
          </w:p>
        </w:tc>
        <w:tc>
          <w:tcPr>
            <w:tcW w:w="1276" w:type="dxa"/>
            <w:vAlign w:val="center"/>
          </w:tcPr>
          <w:p>
            <w:pPr>
              <w:pStyle w:val="13"/>
            </w:pPr>
            <w:r>
              <w:t>县政府青政办（2002）50号和水库移民粮食补贴工作计划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44、水库移民粮食补贴（二道杖子）绩效目标表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13032126P000115101065</w:t>
            </w:r>
          </w:p>
        </w:tc>
        <w:tc>
          <w:tcPr>
            <w:tcW w:w="2835" w:type="dxa"/>
            <w:vAlign w:val="center"/>
          </w:tcPr>
          <w:p>
            <w:pPr>
              <w:pStyle w:val="11"/>
            </w:pPr>
            <w:r>
              <w:t>项目名称</w:t>
            </w:r>
          </w:p>
        </w:tc>
        <w:tc>
          <w:tcPr>
            <w:tcW w:w="6095" w:type="dxa"/>
            <w:gridSpan w:val="3"/>
            <w:vAlign w:val="center"/>
          </w:tcPr>
          <w:p>
            <w:pPr>
              <w:pStyle w:val="13"/>
            </w:pPr>
            <w:r>
              <w:t>水库移民粮食补贴（二道杖子）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48.60</w:t>
            </w:r>
          </w:p>
        </w:tc>
        <w:tc>
          <w:tcPr>
            <w:tcW w:w="2835" w:type="dxa"/>
            <w:vAlign w:val="center"/>
          </w:tcPr>
          <w:p>
            <w:pPr>
              <w:pStyle w:val="11"/>
            </w:pPr>
            <w:r>
              <w:t>其中：财政    资金</w:t>
            </w:r>
          </w:p>
        </w:tc>
        <w:tc>
          <w:tcPr>
            <w:tcW w:w="2551" w:type="dxa"/>
            <w:vAlign w:val="center"/>
          </w:tcPr>
          <w:p>
            <w:pPr>
              <w:pStyle w:val="13"/>
            </w:pPr>
            <w:r>
              <w:t>48.60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预算安排48.6万元，其中财政资金48.6万元，主要用于支付水库移民粮食补贴（二道杖子）相关费用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1.通过做好粮食供应，提高服务水平。</w:t>
            </w:r>
            <w:r>
              <w:tab/>
            </w:r>
            <w:r>
              <w:tab/>
            </w:r>
            <w:r>
              <w:tab/>
            </w:r>
          </w:p>
          <w:p>
            <w:pPr>
              <w:pStyle w:val="13"/>
            </w:pPr>
          </w:p>
          <w:p>
            <w:pPr>
              <w:pStyle w:val="13"/>
            </w:pPr>
            <w:r>
              <w:t>2.通过供应达标粮品，实现居民用粮安全。</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水库移民粮食供应人数</w:t>
            </w:r>
          </w:p>
        </w:tc>
        <w:tc>
          <w:tcPr>
            <w:tcW w:w="5386" w:type="dxa"/>
            <w:vAlign w:val="center"/>
          </w:tcPr>
          <w:p>
            <w:pPr>
              <w:pStyle w:val="13"/>
            </w:pPr>
            <w:r>
              <w:t>二道丈子村水库移民粮食供应人数</w:t>
            </w:r>
          </w:p>
        </w:tc>
        <w:tc>
          <w:tcPr>
            <w:tcW w:w="2268" w:type="dxa"/>
            <w:vAlign w:val="center"/>
          </w:tcPr>
          <w:p>
            <w:pPr>
              <w:pStyle w:val="13"/>
            </w:pPr>
            <w:r>
              <w:t>≥1170人</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水库移民粮食供应斤数</w:t>
            </w:r>
          </w:p>
        </w:tc>
        <w:tc>
          <w:tcPr>
            <w:tcW w:w="5386" w:type="dxa"/>
            <w:vAlign w:val="center"/>
          </w:tcPr>
          <w:p>
            <w:pPr>
              <w:pStyle w:val="13"/>
            </w:pPr>
            <w:r>
              <w:t>二道丈子村水库移民粮食供应总斤数</w:t>
            </w:r>
          </w:p>
        </w:tc>
        <w:tc>
          <w:tcPr>
            <w:tcW w:w="2268" w:type="dxa"/>
            <w:vAlign w:val="center"/>
          </w:tcPr>
          <w:p>
            <w:pPr>
              <w:pStyle w:val="13"/>
            </w:pPr>
            <w:r>
              <w:t>≥22.76万斤</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供应粮品质达标率</w:t>
            </w:r>
          </w:p>
        </w:tc>
        <w:tc>
          <w:tcPr>
            <w:tcW w:w="5386" w:type="dxa"/>
            <w:vAlign w:val="center"/>
          </w:tcPr>
          <w:p>
            <w:pPr>
              <w:pStyle w:val="13"/>
            </w:pPr>
            <w:r>
              <w:t>所供粮食确保达到相应质量标准</w:t>
            </w:r>
          </w:p>
        </w:tc>
        <w:tc>
          <w:tcPr>
            <w:tcW w:w="2268" w:type="dxa"/>
            <w:vAlign w:val="center"/>
          </w:tcPr>
          <w:p>
            <w:pPr>
              <w:pStyle w:val="13"/>
            </w:pPr>
            <w:r>
              <w:t>100%</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按县政府相关文件及工作计划完成粮食补贴工作</w:t>
            </w:r>
          </w:p>
        </w:tc>
        <w:tc>
          <w:tcPr>
            <w:tcW w:w="2268" w:type="dxa"/>
            <w:vAlign w:val="center"/>
          </w:tcPr>
          <w:p>
            <w:pPr>
              <w:pStyle w:val="13"/>
            </w:pPr>
            <w:r>
              <w:t>2026年底</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水库移民粮食补贴</w:t>
            </w:r>
          </w:p>
        </w:tc>
        <w:tc>
          <w:tcPr>
            <w:tcW w:w="5386" w:type="dxa"/>
            <w:vAlign w:val="center"/>
          </w:tcPr>
          <w:p>
            <w:pPr>
              <w:pStyle w:val="13"/>
            </w:pPr>
            <w:r>
              <w:t>水库移民人均粮食补贴人均成本</w:t>
            </w:r>
          </w:p>
        </w:tc>
        <w:tc>
          <w:tcPr>
            <w:tcW w:w="2268" w:type="dxa"/>
            <w:vAlign w:val="center"/>
          </w:tcPr>
          <w:p>
            <w:pPr>
              <w:pStyle w:val="13"/>
            </w:pPr>
            <w:r>
              <w:t>≤415.4元/人</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减少水库移民家庭支出</w:t>
            </w:r>
          </w:p>
        </w:tc>
        <w:tc>
          <w:tcPr>
            <w:tcW w:w="5386" w:type="dxa"/>
            <w:vAlign w:val="center"/>
          </w:tcPr>
          <w:p>
            <w:pPr>
              <w:pStyle w:val="13"/>
            </w:pPr>
            <w:r>
              <w:t>减少水库移民家庭支出，保障基本生活</w:t>
            </w:r>
          </w:p>
        </w:tc>
        <w:tc>
          <w:tcPr>
            <w:tcW w:w="2268" w:type="dxa"/>
            <w:vAlign w:val="center"/>
          </w:tcPr>
          <w:p>
            <w:pPr>
              <w:pStyle w:val="13"/>
            </w:pPr>
            <w:r>
              <w:t>≥7%</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提高社会稳定性</w:t>
            </w:r>
          </w:p>
        </w:tc>
        <w:tc>
          <w:tcPr>
            <w:tcW w:w="5386" w:type="dxa"/>
            <w:vAlign w:val="center"/>
          </w:tcPr>
          <w:p>
            <w:pPr>
              <w:pStyle w:val="13"/>
            </w:pPr>
            <w:r>
              <w:t>补贴粮保质保量及时发放，保证二道杖子村水库移民利益，社会稳定性较上一年有所提高。</w:t>
            </w:r>
          </w:p>
        </w:tc>
        <w:tc>
          <w:tcPr>
            <w:tcW w:w="2268" w:type="dxa"/>
            <w:vAlign w:val="center"/>
          </w:tcPr>
          <w:p>
            <w:pPr>
              <w:pStyle w:val="13"/>
            </w:pPr>
            <w:r>
              <w:t>≥10%</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确保水库移民持续稳定</w:t>
            </w:r>
          </w:p>
        </w:tc>
        <w:tc>
          <w:tcPr>
            <w:tcW w:w="5386" w:type="dxa"/>
            <w:vAlign w:val="center"/>
          </w:tcPr>
          <w:p>
            <w:pPr>
              <w:pStyle w:val="13"/>
            </w:pPr>
            <w:r>
              <w:t>确保水库移民情绪持续稳定</w:t>
            </w:r>
          </w:p>
        </w:tc>
        <w:tc>
          <w:tcPr>
            <w:tcW w:w="2268" w:type="dxa"/>
            <w:vAlign w:val="center"/>
          </w:tcPr>
          <w:p>
            <w:pPr>
              <w:pStyle w:val="13"/>
            </w:pPr>
            <w:r>
              <w:t>≥90%</w:t>
            </w:r>
          </w:p>
        </w:tc>
        <w:tc>
          <w:tcPr>
            <w:tcW w:w="1276" w:type="dxa"/>
            <w:vAlign w:val="center"/>
          </w:tcPr>
          <w:p>
            <w:pPr>
              <w:pStyle w:val="13"/>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水库移民满意度</w:t>
            </w:r>
          </w:p>
          <w:p>
            <w:pPr>
              <w:pStyle w:val="13"/>
            </w:pPr>
          </w:p>
        </w:tc>
        <w:tc>
          <w:tcPr>
            <w:tcW w:w="5386" w:type="dxa"/>
            <w:vAlign w:val="center"/>
          </w:tcPr>
          <w:p>
            <w:pPr>
              <w:pStyle w:val="13"/>
            </w:pPr>
            <w:r>
              <w:t>水库移民对于粮食补贴满意人数占总数的比例</w:t>
            </w:r>
          </w:p>
        </w:tc>
        <w:tc>
          <w:tcPr>
            <w:tcW w:w="2268" w:type="dxa"/>
            <w:vAlign w:val="center"/>
          </w:tcPr>
          <w:p>
            <w:pPr>
              <w:pStyle w:val="13"/>
            </w:pPr>
            <w:r>
              <w:t>≥90%</w:t>
            </w:r>
          </w:p>
        </w:tc>
        <w:tc>
          <w:tcPr>
            <w:tcW w:w="1276" w:type="dxa"/>
            <w:vAlign w:val="center"/>
          </w:tcPr>
          <w:p>
            <w:pPr>
              <w:pStyle w:val="13"/>
            </w:pPr>
            <w:r>
              <w:t>县政府青政办（2002）50号和水库移民粮食补贴工作计划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45、矽肺病人员补偿资金绩效目标表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13032125P0087MX10002T</w:t>
            </w:r>
          </w:p>
        </w:tc>
        <w:tc>
          <w:tcPr>
            <w:tcW w:w="2835" w:type="dxa"/>
            <w:vAlign w:val="center"/>
          </w:tcPr>
          <w:p>
            <w:pPr>
              <w:pStyle w:val="11"/>
            </w:pPr>
            <w:r>
              <w:t>项目名称</w:t>
            </w:r>
          </w:p>
        </w:tc>
        <w:tc>
          <w:tcPr>
            <w:tcW w:w="6095" w:type="dxa"/>
            <w:gridSpan w:val="3"/>
            <w:vAlign w:val="center"/>
          </w:tcPr>
          <w:p>
            <w:pPr>
              <w:pStyle w:val="13"/>
            </w:pPr>
            <w:r>
              <w:t>矽肺病人员补偿资金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336.00</w:t>
            </w:r>
          </w:p>
        </w:tc>
        <w:tc>
          <w:tcPr>
            <w:tcW w:w="2835" w:type="dxa"/>
            <w:vAlign w:val="center"/>
          </w:tcPr>
          <w:p>
            <w:pPr>
              <w:pStyle w:val="11"/>
            </w:pPr>
            <w:r>
              <w:t>其中：财政    资金</w:t>
            </w:r>
          </w:p>
        </w:tc>
        <w:tc>
          <w:tcPr>
            <w:tcW w:w="2551" w:type="dxa"/>
            <w:vAlign w:val="center"/>
          </w:tcPr>
          <w:p>
            <w:pPr>
              <w:pStyle w:val="13"/>
            </w:pPr>
            <w:r>
              <w:t>336.00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预算安排336万元，其中财政资金336万元，主要用于矽肺病人员补偿资金。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1.通过工伤鉴定，对矽肺病人员进行赔偿，提高矽肺病人员生活水平。</w:t>
            </w:r>
            <w:r>
              <w:tab/>
            </w:r>
            <w:r>
              <w:tab/>
            </w:r>
            <w:r>
              <w:tab/>
            </w:r>
            <w:r>
              <w:tab/>
            </w:r>
            <w:r>
              <w:tab/>
            </w:r>
            <w:r>
              <w:tab/>
            </w:r>
          </w:p>
          <w:p>
            <w:pPr>
              <w:pStyle w:val="13"/>
            </w:pPr>
          </w:p>
          <w:p>
            <w:pPr>
              <w:pStyle w:val="13"/>
            </w:pPr>
            <w:r>
              <w:t>2.通过对国企提出矽肺病申请人员进行职业病诊断，实现维护社会稳定。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工伤鉴定人员数量</w:t>
            </w:r>
          </w:p>
        </w:tc>
        <w:tc>
          <w:tcPr>
            <w:tcW w:w="5386" w:type="dxa"/>
            <w:vAlign w:val="center"/>
          </w:tcPr>
          <w:p>
            <w:pPr>
              <w:pStyle w:val="13"/>
            </w:pPr>
            <w:r>
              <w:t>需要进行工伤鉴定人数</w:t>
            </w:r>
          </w:p>
        </w:tc>
        <w:tc>
          <w:tcPr>
            <w:tcW w:w="2268" w:type="dxa"/>
            <w:vAlign w:val="center"/>
          </w:tcPr>
          <w:p>
            <w:pPr>
              <w:pStyle w:val="13"/>
            </w:pPr>
            <w:r>
              <w:t>≥57人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职业病诊断人数</w:t>
            </w:r>
          </w:p>
        </w:tc>
        <w:tc>
          <w:tcPr>
            <w:tcW w:w="5386" w:type="dxa"/>
            <w:vAlign w:val="center"/>
          </w:tcPr>
          <w:p>
            <w:pPr>
              <w:pStyle w:val="13"/>
            </w:pPr>
            <w:r>
              <w:t>需要进行职业病诊断人数</w:t>
            </w:r>
          </w:p>
        </w:tc>
        <w:tc>
          <w:tcPr>
            <w:tcW w:w="2268" w:type="dxa"/>
            <w:vAlign w:val="center"/>
          </w:tcPr>
          <w:p>
            <w:pPr>
              <w:pStyle w:val="13"/>
            </w:pPr>
            <w:r>
              <w:t>≥58人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工伤赔偿人员数量</w:t>
            </w:r>
          </w:p>
        </w:tc>
        <w:tc>
          <w:tcPr>
            <w:tcW w:w="5386" w:type="dxa"/>
            <w:vAlign w:val="center"/>
          </w:tcPr>
          <w:p>
            <w:pPr>
              <w:pStyle w:val="13"/>
            </w:pPr>
            <w:r>
              <w:t>需要进行工伤赔偿人员数</w:t>
            </w:r>
          </w:p>
        </w:tc>
        <w:tc>
          <w:tcPr>
            <w:tcW w:w="2268" w:type="dxa"/>
            <w:vAlign w:val="center"/>
          </w:tcPr>
          <w:p>
            <w:pPr>
              <w:pStyle w:val="13"/>
            </w:pPr>
            <w:r>
              <w:t>≥58人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金额计算准确率</w:t>
            </w:r>
          </w:p>
        </w:tc>
        <w:tc>
          <w:tcPr>
            <w:tcW w:w="5386" w:type="dxa"/>
            <w:vAlign w:val="center"/>
          </w:tcPr>
          <w:p>
            <w:pPr>
              <w:pStyle w:val="13"/>
            </w:pPr>
            <w:r>
              <w:t>对需要赔偿人员的赔偿金额计算准确率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诊断的准确率</w:t>
            </w:r>
          </w:p>
        </w:tc>
        <w:tc>
          <w:tcPr>
            <w:tcW w:w="5386" w:type="dxa"/>
            <w:vAlign w:val="center"/>
          </w:tcPr>
          <w:p>
            <w:pPr>
              <w:pStyle w:val="13"/>
            </w:pPr>
            <w:r>
              <w:t>诊断的准确率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资金支付的准确率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工作完成时间</w:t>
            </w:r>
          </w:p>
        </w:tc>
        <w:tc>
          <w:tcPr>
            <w:tcW w:w="2268" w:type="dxa"/>
            <w:vAlign w:val="center"/>
          </w:tcPr>
          <w:p>
            <w:pPr>
              <w:pStyle w:val="13"/>
            </w:pPr>
            <w:r>
              <w:t>2025年底前</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职业病诊断、工伤鉴定费用标准</w:t>
            </w:r>
          </w:p>
        </w:tc>
        <w:tc>
          <w:tcPr>
            <w:tcW w:w="5386" w:type="dxa"/>
            <w:vAlign w:val="center"/>
          </w:tcPr>
          <w:p>
            <w:pPr>
              <w:pStyle w:val="13"/>
            </w:pPr>
            <w:r>
              <w:t>对每人进行职业病诊断、工伤鉴定的金额</w:t>
            </w:r>
          </w:p>
        </w:tc>
        <w:tc>
          <w:tcPr>
            <w:tcW w:w="2268" w:type="dxa"/>
            <w:vAlign w:val="center"/>
          </w:tcPr>
          <w:p>
            <w:pPr>
              <w:pStyle w:val="13"/>
            </w:pPr>
            <w:r>
              <w:t>600元/人/次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职业病诊断交通费标准</w:t>
            </w:r>
          </w:p>
        </w:tc>
        <w:tc>
          <w:tcPr>
            <w:tcW w:w="5386" w:type="dxa"/>
            <w:vAlign w:val="center"/>
          </w:tcPr>
          <w:p>
            <w:pPr>
              <w:pStyle w:val="13"/>
            </w:pPr>
            <w:r>
              <w:t>职业病诊断的交通费金额</w:t>
            </w:r>
          </w:p>
        </w:tc>
        <w:tc>
          <w:tcPr>
            <w:tcW w:w="2268" w:type="dxa"/>
            <w:vAlign w:val="center"/>
          </w:tcPr>
          <w:p>
            <w:pPr>
              <w:pStyle w:val="13"/>
            </w:pPr>
            <w:r>
              <w:t>300元/人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提高病人生活水平</w:t>
            </w:r>
          </w:p>
        </w:tc>
        <w:tc>
          <w:tcPr>
            <w:tcW w:w="5386" w:type="dxa"/>
            <w:vAlign w:val="center"/>
          </w:tcPr>
          <w:p>
            <w:pPr>
              <w:pStyle w:val="13"/>
            </w:pPr>
            <w:r>
              <w:t>对矽肺病人员进行赔偿，保证病人的正常生活</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稳定病人情绪</w:t>
            </w:r>
          </w:p>
        </w:tc>
        <w:tc>
          <w:tcPr>
            <w:tcW w:w="5386" w:type="dxa"/>
            <w:vAlign w:val="center"/>
          </w:tcPr>
          <w:p>
            <w:pPr>
              <w:pStyle w:val="13"/>
            </w:pPr>
            <w:r>
              <w:t>对每人进行职业病诊断、工伤鉴定的金额</w:t>
            </w:r>
          </w:p>
        </w:tc>
        <w:tc>
          <w:tcPr>
            <w:tcW w:w="2268" w:type="dxa"/>
            <w:vAlign w:val="center"/>
          </w:tcPr>
          <w:p>
            <w:pPr>
              <w:pStyle w:val="13"/>
            </w:pPr>
            <w:r>
              <w:t>确诊矽肺病伤残工作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矽肺病人员的满意度</w:t>
            </w:r>
          </w:p>
        </w:tc>
        <w:tc>
          <w:tcPr>
            <w:tcW w:w="5386" w:type="dxa"/>
            <w:vAlign w:val="center"/>
          </w:tcPr>
          <w:p>
            <w:pPr>
              <w:pStyle w:val="13"/>
            </w:pPr>
            <w:r>
              <w:t>调查中满意和较满意的矽肺病人数占全部调查人数的比率</w:t>
            </w:r>
          </w:p>
        </w:tc>
        <w:tc>
          <w:tcPr>
            <w:tcW w:w="2268" w:type="dxa"/>
            <w:vAlign w:val="center"/>
          </w:tcPr>
          <w:p>
            <w:pPr>
              <w:pStyle w:val="13"/>
            </w:pPr>
            <w:r>
              <w:t>≥95%</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46、矽肺病人员补偿资金绩效目标表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13032126P00011510105H</w:t>
            </w:r>
          </w:p>
        </w:tc>
        <w:tc>
          <w:tcPr>
            <w:tcW w:w="2835" w:type="dxa"/>
            <w:vAlign w:val="center"/>
          </w:tcPr>
          <w:p>
            <w:pPr>
              <w:pStyle w:val="11"/>
            </w:pPr>
            <w:r>
              <w:t>项目名称</w:t>
            </w:r>
          </w:p>
        </w:tc>
        <w:tc>
          <w:tcPr>
            <w:tcW w:w="6095" w:type="dxa"/>
            <w:gridSpan w:val="3"/>
            <w:vAlign w:val="center"/>
          </w:tcPr>
          <w:p>
            <w:pPr>
              <w:pStyle w:val="13"/>
            </w:pPr>
            <w:r>
              <w:t>矽肺病人员补偿资金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694.07</w:t>
            </w:r>
          </w:p>
        </w:tc>
        <w:tc>
          <w:tcPr>
            <w:tcW w:w="2835" w:type="dxa"/>
            <w:vAlign w:val="center"/>
          </w:tcPr>
          <w:p>
            <w:pPr>
              <w:pStyle w:val="11"/>
            </w:pPr>
            <w:r>
              <w:t>其中：财政    资金</w:t>
            </w:r>
          </w:p>
        </w:tc>
        <w:tc>
          <w:tcPr>
            <w:tcW w:w="2551" w:type="dxa"/>
            <w:vAlign w:val="center"/>
          </w:tcPr>
          <w:p>
            <w:pPr>
              <w:pStyle w:val="13"/>
            </w:pPr>
            <w:r>
              <w:t>694.07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预算安排694.07万元，其中财政资金694.07万元，主要用于支付矽肺病人员补偿相关费用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1.通过工伤鉴定，对矽肺病人员进行赔偿，提高矽肺病人员生活水平。</w:t>
            </w:r>
            <w:r>
              <w:tab/>
            </w:r>
            <w:r>
              <w:tab/>
            </w:r>
            <w:r>
              <w:tab/>
            </w:r>
          </w:p>
          <w:p>
            <w:pPr>
              <w:pStyle w:val="13"/>
            </w:pPr>
          </w:p>
          <w:p>
            <w:pPr>
              <w:pStyle w:val="13"/>
            </w:pPr>
            <w:r>
              <w:t>2.通过对国企提出矽肺病申请人员进行职业病诊断，实现维护社会稳定。</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工伤鉴定人员数量</w:t>
            </w:r>
          </w:p>
        </w:tc>
        <w:tc>
          <w:tcPr>
            <w:tcW w:w="5386" w:type="dxa"/>
            <w:vAlign w:val="center"/>
          </w:tcPr>
          <w:p>
            <w:pPr>
              <w:pStyle w:val="13"/>
            </w:pPr>
            <w:r>
              <w:t>需要进行工伤鉴定人数</w:t>
            </w:r>
          </w:p>
        </w:tc>
        <w:tc>
          <w:tcPr>
            <w:tcW w:w="2268" w:type="dxa"/>
            <w:vAlign w:val="center"/>
          </w:tcPr>
          <w:p>
            <w:pPr>
              <w:pStyle w:val="13"/>
            </w:pPr>
            <w:r>
              <w:t>≥57人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职业病诊断人数</w:t>
            </w:r>
          </w:p>
        </w:tc>
        <w:tc>
          <w:tcPr>
            <w:tcW w:w="5386" w:type="dxa"/>
            <w:vAlign w:val="center"/>
          </w:tcPr>
          <w:p>
            <w:pPr>
              <w:pStyle w:val="13"/>
            </w:pPr>
            <w:r>
              <w:t>需要进行职业病诊断人数</w:t>
            </w:r>
          </w:p>
        </w:tc>
        <w:tc>
          <w:tcPr>
            <w:tcW w:w="2268" w:type="dxa"/>
            <w:vAlign w:val="center"/>
          </w:tcPr>
          <w:p>
            <w:pPr>
              <w:pStyle w:val="13"/>
            </w:pPr>
            <w:r>
              <w:t>≥58人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工伤赔偿人员数量</w:t>
            </w:r>
          </w:p>
        </w:tc>
        <w:tc>
          <w:tcPr>
            <w:tcW w:w="5386" w:type="dxa"/>
            <w:vAlign w:val="center"/>
          </w:tcPr>
          <w:p>
            <w:pPr>
              <w:pStyle w:val="13"/>
            </w:pPr>
            <w:r>
              <w:t>需要进行工伤赔偿人员数</w:t>
            </w:r>
          </w:p>
        </w:tc>
        <w:tc>
          <w:tcPr>
            <w:tcW w:w="2268" w:type="dxa"/>
            <w:vAlign w:val="center"/>
          </w:tcPr>
          <w:p>
            <w:pPr>
              <w:pStyle w:val="13"/>
            </w:pPr>
            <w:r>
              <w:t>≥58人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金额计算准确率</w:t>
            </w:r>
          </w:p>
        </w:tc>
        <w:tc>
          <w:tcPr>
            <w:tcW w:w="5386" w:type="dxa"/>
            <w:vAlign w:val="center"/>
          </w:tcPr>
          <w:p>
            <w:pPr>
              <w:pStyle w:val="13"/>
            </w:pPr>
            <w:r>
              <w:t>对需要赔偿人员的赔偿金额计算准确率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诊断的准确率</w:t>
            </w:r>
          </w:p>
        </w:tc>
        <w:tc>
          <w:tcPr>
            <w:tcW w:w="5386" w:type="dxa"/>
            <w:vAlign w:val="center"/>
          </w:tcPr>
          <w:p>
            <w:pPr>
              <w:pStyle w:val="13"/>
            </w:pPr>
            <w:r>
              <w:t>诊断的准确率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资金支付的准确率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工作完成时间</w:t>
            </w:r>
          </w:p>
        </w:tc>
        <w:tc>
          <w:tcPr>
            <w:tcW w:w="2268" w:type="dxa"/>
            <w:vAlign w:val="center"/>
          </w:tcPr>
          <w:p>
            <w:pPr>
              <w:pStyle w:val="13"/>
            </w:pPr>
            <w:r>
              <w:t>2026年底前</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职业病诊断、工伤鉴定费用标准</w:t>
            </w:r>
          </w:p>
        </w:tc>
        <w:tc>
          <w:tcPr>
            <w:tcW w:w="5386" w:type="dxa"/>
            <w:vAlign w:val="center"/>
          </w:tcPr>
          <w:p>
            <w:pPr>
              <w:pStyle w:val="13"/>
            </w:pPr>
            <w:r>
              <w:t>对每人进行职业病诊断、工伤鉴定的金额</w:t>
            </w:r>
          </w:p>
        </w:tc>
        <w:tc>
          <w:tcPr>
            <w:tcW w:w="2268" w:type="dxa"/>
            <w:vAlign w:val="center"/>
          </w:tcPr>
          <w:p>
            <w:pPr>
              <w:pStyle w:val="13"/>
            </w:pPr>
            <w:r>
              <w:t>600元/人/次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职业病诊断交通费标准</w:t>
            </w:r>
          </w:p>
        </w:tc>
        <w:tc>
          <w:tcPr>
            <w:tcW w:w="5386" w:type="dxa"/>
            <w:vAlign w:val="center"/>
          </w:tcPr>
          <w:p>
            <w:pPr>
              <w:pStyle w:val="13"/>
            </w:pPr>
            <w:r>
              <w:t>职业病诊断的交通费金额</w:t>
            </w:r>
          </w:p>
        </w:tc>
        <w:tc>
          <w:tcPr>
            <w:tcW w:w="2268" w:type="dxa"/>
            <w:vAlign w:val="center"/>
          </w:tcPr>
          <w:p>
            <w:pPr>
              <w:pStyle w:val="13"/>
            </w:pPr>
            <w:r>
              <w:t>300元/人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提高病人生活水平</w:t>
            </w:r>
          </w:p>
        </w:tc>
        <w:tc>
          <w:tcPr>
            <w:tcW w:w="5386" w:type="dxa"/>
            <w:vAlign w:val="center"/>
          </w:tcPr>
          <w:p>
            <w:pPr>
              <w:pStyle w:val="13"/>
            </w:pPr>
            <w:r>
              <w:t>对矽肺病人员进行赔偿，保证病人的正常生活</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稳定病人情绪</w:t>
            </w:r>
          </w:p>
        </w:tc>
        <w:tc>
          <w:tcPr>
            <w:tcW w:w="5386" w:type="dxa"/>
            <w:vAlign w:val="center"/>
          </w:tcPr>
          <w:p>
            <w:pPr>
              <w:pStyle w:val="13"/>
            </w:pPr>
            <w:r>
              <w:t>对每人进行职业病诊断、工伤鉴定的金额</w:t>
            </w:r>
          </w:p>
        </w:tc>
        <w:tc>
          <w:tcPr>
            <w:tcW w:w="2268" w:type="dxa"/>
            <w:vAlign w:val="center"/>
          </w:tcPr>
          <w:p>
            <w:pPr>
              <w:pStyle w:val="13"/>
            </w:pPr>
            <w:r>
              <w:t>确诊矽肺病伤残工作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矽肺病人员的满意度</w:t>
            </w:r>
          </w:p>
        </w:tc>
        <w:tc>
          <w:tcPr>
            <w:tcW w:w="5386" w:type="dxa"/>
            <w:vAlign w:val="center"/>
          </w:tcPr>
          <w:p>
            <w:pPr>
              <w:pStyle w:val="13"/>
            </w:pPr>
            <w:r>
              <w:t>调查中满意和较满意的矽肺病人数占全部调查人数的比率</w:t>
            </w:r>
          </w:p>
        </w:tc>
        <w:tc>
          <w:tcPr>
            <w:tcW w:w="2268" w:type="dxa"/>
            <w:vAlign w:val="center"/>
          </w:tcPr>
          <w:p>
            <w:pPr>
              <w:pStyle w:val="13"/>
            </w:pPr>
            <w:r>
              <w:t>≥95%</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47、招商引资和重大项目前期工作经费绩效目标表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13032125P00EHEB10002Y</w:t>
            </w:r>
          </w:p>
        </w:tc>
        <w:tc>
          <w:tcPr>
            <w:tcW w:w="2835" w:type="dxa"/>
            <w:vAlign w:val="center"/>
          </w:tcPr>
          <w:p>
            <w:pPr>
              <w:pStyle w:val="11"/>
            </w:pPr>
            <w:r>
              <w:t>项目名称</w:t>
            </w:r>
          </w:p>
        </w:tc>
        <w:tc>
          <w:tcPr>
            <w:tcW w:w="6095" w:type="dxa"/>
            <w:gridSpan w:val="3"/>
            <w:vAlign w:val="center"/>
          </w:tcPr>
          <w:p>
            <w:pPr>
              <w:pStyle w:val="13"/>
            </w:pPr>
            <w:r>
              <w:t>招商引资和重大项目前期工作经费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3.96</w:t>
            </w:r>
          </w:p>
        </w:tc>
        <w:tc>
          <w:tcPr>
            <w:tcW w:w="2835" w:type="dxa"/>
            <w:vAlign w:val="center"/>
          </w:tcPr>
          <w:p>
            <w:pPr>
              <w:pStyle w:val="11"/>
            </w:pPr>
            <w:r>
              <w:t>其中：财政    资金</w:t>
            </w:r>
          </w:p>
        </w:tc>
        <w:tc>
          <w:tcPr>
            <w:tcW w:w="2551" w:type="dxa"/>
            <w:vAlign w:val="center"/>
          </w:tcPr>
          <w:p>
            <w:pPr>
              <w:pStyle w:val="13"/>
            </w:pPr>
            <w:r>
              <w:t>3.96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预算安排3.9649万元，其中财政资金3.9649万元，主要用于招商引资工作经费。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1.通过举行各类招商座谈会洽谈会，促进招商工作效果提升。</w:t>
            </w:r>
            <w:r>
              <w:tab/>
            </w:r>
            <w:r>
              <w:tab/>
            </w:r>
            <w:r>
              <w:tab/>
            </w:r>
            <w:r>
              <w:tab/>
            </w:r>
            <w:r>
              <w:tab/>
            </w:r>
            <w:r>
              <w:tab/>
            </w:r>
          </w:p>
          <w:p>
            <w:pPr>
              <w:pStyle w:val="13"/>
            </w:pPr>
          </w:p>
          <w:p>
            <w:pPr>
              <w:pStyle w:val="13"/>
            </w:pPr>
            <w:r>
              <w:t>2.通过邀请知名企业来青考察，开展小团组招商活动，促进招商引资工作目标完成。</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邀请考察洽谈批次</w:t>
            </w:r>
          </w:p>
        </w:tc>
        <w:tc>
          <w:tcPr>
            <w:tcW w:w="5386" w:type="dxa"/>
            <w:vAlign w:val="center"/>
          </w:tcPr>
          <w:p>
            <w:pPr>
              <w:pStyle w:val="13"/>
            </w:pPr>
            <w:r>
              <w:t>邀请企业、客商来青龙考察洽谈批次</w:t>
            </w:r>
          </w:p>
        </w:tc>
        <w:tc>
          <w:tcPr>
            <w:tcW w:w="2268" w:type="dxa"/>
            <w:vAlign w:val="center"/>
          </w:tcPr>
          <w:p>
            <w:pPr>
              <w:pStyle w:val="13"/>
            </w:pPr>
            <w:r>
              <w:t>≥100次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签订项目数量</w:t>
            </w:r>
          </w:p>
        </w:tc>
        <w:tc>
          <w:tcPr>
            <w:tcW w:w="5386" w:type="dxa"/>
            <w:vAlign w:val="center"/>
          </w:tcPr>
          <w:p>
            <w:pPr>
              <w:pStyle w:val="13"/>
            </w:pPr>
            <w:r>
              <w:t>争取签订亿元以上项目的数量（个）</w:t>
            </w:r>
          </w:p>
        </w:tc>
        <w:tc>
          <w:tcPr>
            <w:tcW w:w="2268" w:type="dxa"/>
            <w:vAlign w:val="center"/>
          </w:tcPr>
          <w:p>
            <w:pPr>
              <w:pStyle w:val="13"/>
            </w:pPr>
            <w:r>
              <w:t>≥15个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签订项目数量</w:t>
            </w:r>
          </w:p>
        </w:tc>
        <w:tc>
          <w:tcPr>
            <w:tcW w:w="5386" w:type="dxa"/>
            <w:vAlign w:val="center"/>
          </w:tcPr>
          <w:p>
            <w:pPr>
              <w:pStyle w:val="13"/>
            </w:pPr>
            <w:r>
              <w:t>包含市重点项目及县级千万元以上项目数量（个）</w:t>
            </w:r>
          </w:p>
        </w:tc>
        <w:tc>
          <w:tcPr>
            <w:tcW w:w="2268" w:type="dxa"/>
            <w:vAlign w:val="center"/>
          </w:tcPr>
          <w:p>
            <w:pPr>
              <w:pStyle w:val="13"/>
            </w:pPr>
            <w:r>
              <w:t>≥20个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资金数量增长比例</w:t>
            </w:r>
          </w:p>
        </w:tc>
        <w:tc>
          <w:tcPr>
            <w:tcW w:w="5386" w:type="dxa"/>
            <w:vAlign w:val="center"/>
          </w:tcPr>
          <w:p>
            <w:pPr>
              <w:pStyle w:val="13"/>
            </w:pPr>
            <w:r>
              <w:t>引进县外资金数量增长比例</w:t>
            </w:r>
          </w:p>
        </w:tc>
        <w:tc>
          <w:tcPr>
            <w:tcW w:w="2268" w:type="dxa"/>
            <w:vAlign w:val="center"/>
          </w:tcPr>
          <w:p>
            <w:pPr>
              <w:pStyle w:val="13"/>
            </w:pPr>
            <w:r>
              <w:t>≥7%</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招商引资目标完成率</w:t>
            </w:r>
          </w:p>
        </w:tc>
        <w:tc>
          <w:tcPr>
            <w:tcW w:w="5386" w:type="dxa"/>
            <w:vAlign w:val="center"/>
          </w:tcPr>
          <w:p>
            <w:pPr>
              <w:pStyle w:val="13"/>
            </w:pPr>
            <w:r>
              <w:t>成功组织小团组招商活动批次；赴外招商推介洽谈会批次；邀请企业、客商来青龙批次目标。</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认真按照年度招商引资工作方案和计划的时间节点推进招商引资工作</w:t>
            </w:r>
          </w:p>
        </w:tc>
        <w:tc>
          <w:tcPr>
            <w:tcW w:w="2268" w:type="dxa"/>
            <w:vAlign w:val="center"/>
          </w:tcPr>
          <w:p>
            <w:pPr>
              <w:pStyle w:val="13"/>
            </w:pPr>
            <w:r>
              <w:t>认真按照年度招商引资工作方案和计划的时间节点推进招商引资工作2025年度</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宣传材料费用</w:t>
            </w:r>
          </w:p>
        </w:tc>
        <w:tc>
          <w:tcPr>
            <w:tcW w:w="5386" w:type="dxa"/>
            <w:vAlign w:val="center"/>
          </w:tcPr>
          <w:p>
            <w:pPr>
              <w:pStyle w:val="13"/>
            </w:pPr>
            <w:r>
              <w:t>严格控制宣传材料设计、制作、印刷、装订、包装费用</w:t>
            </w:r>
          </w:p>
        </w:tc>
        <w:tc>
          <w:tcPr>
            <w:tcW w:w="2268" w:type="dxa"/>
            <w:vAlign w:val="center"/>
          </w:tcPr>
          <w:p>
            <w:pPr>
              <w:pStyle w:val="13"/>
            </w:pPr>
            <w:r>
              <w:t>≤5万元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来考察企业、客商接待</w:t>
            </w:r>
          </w:p>
        </w:tc>
        <w:tc>
          <w:tcPr>
            <w:tcW w:w="5386" w:type="dxa"/>
            <w:vAlign w:val="center"/>
          </w:tcPr>
          <w:p>
            <w:pPr>
              <w:pStyle w:val="13"/>
            </w:pPr>
            <w:r>
              <w:t>严格控制来请考察企业、客商接待标准和费用</w:t>
            </w:r>
          </w:p>
        </w:tc>
        <w:tc>
          <w:tcPr>
            <w:tcW w:w="2268" w:type="dxa"/>
            <w:vAlign w:val="center"/>
          </w:tcPr>
          <w:p>
            <w:pPr>
              <w:pStyle w:val="13"/>
            </w:pPr>
            <w:r>
              <w:t>≤33万元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长期有效性</w:t>
            </w:r>
          </w:p>
        </w:tc>
        <w:tc>
          <w:tcPr>
            <w:tcW w:w="5386" w:type="dxa"/>
            <w:vAlign w:val="center"/>
          </w:tcPr>
          <w:p>
            <w:pPr>
              <w:pStyle w:val="13"/>
            </w:pPr>
            <w:r>
              <w:t>不断扩大落地投产项目的可持续影响，培育全产业链，推动产项链向上下游的延伸</w:t>
            </w:r>
          </w:p>
        </w:tc>
        <w:tc>
          <w:tcPr>
            <w:tcW w:w="2268" w:type="dxa"/>
            <w:vAlign w:val="center"/>
          </w:tcPr>
          <w:p>
            <w:pPr>
              <w:pStyle w:val="13"/>
            </w:pPr>
            <w:r>
              <w:t>≥3年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调查中满意和较满意的企业数占全部调查企业数的比率</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48、重大项目前期工作经费绩效目标表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13032126P00003210010P</w:t>
            </w:r>
          </w:p>
        </w:tc>
        <w:tc>
          <w:tcPr>
            <w:tcW w:w="2835" w:type="dxa"/>
            <w:vAlign w:val="center"/>
          </w:tcPr>
          <w:p>
            <w:pPr>
              <w:pStyle w:val="11"/>
            </w:pPr>
            <w:r>
              <w:t>项目名称</w:t>
            </w:r>
          </w:p>
        </w:tc>
        <w:tc>
          <w:tcPr>
            <w:tcW w:w="6095" w:type="dxa"/>
            <w:gridSpan w:val="3"/>
            <w:vAlign w:val="center"/>
          </w:tcPr>
          <w:p>
            <w:pPr>
              <w:pStyle w:val="13"/>
            </w:pPr>
            <w:r>
              <w:t>重大项目前期工作经费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预算安排12万元，其中财政资金12万元，主要用于支付重大项目前期工作相关费用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1.通过邀请知名企业来青考察，开展小团组招商活动，促进招商引资工作目标完成。</w:t>
            </w:r>
            <w:r>
              <w:tab/>
            </w:r>
            <w:r>
              <w:tab/>
            </w:r>
            <w:r>
              <w:tab/>
            </w:r>
          </w:p>
          <w:p>
            <w:pPr>
              <w:pStyle w:val="13"/>
            </w:pPr>
          </w:p>
          <w:p>
            <w:pPr>
              <w:pStyle w:val="13"/>
            </w:pPr>
            <w:r>
              <w:t>2.通过举行各类招商座谈会洽谈会，促进招商工作效果提升。</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邀请考察洽谈批次</w:t>
            </w:r>
          </w:p>
        </w:tc>
        <w:tc>
          <w:tcPr>
            <w:tcW w:w="5386" w:type="dxa"/>
            <w:vAlign w:val="center"/>
          </w:tcPr>
          <w:p>
            <w:pPr>
              <w:pStyle w:val="13"/>
            </w:pPr>
            <w:r>
              <w:t>邀请企业、客商来青龙考察洽谈批次</w:t>
            </w:r>
          </w:p>
        </w:tc>
        <w:tc>
          <w:tcPr>
            <w:tcW w:w="2268" w:type="dxa"/>
            <w:vAlign w:val="center"/>
          </w:tcPr>
          <w:p>
            <w:pPr>
              <w:pStyle w:val="13"/>
            </w:pPr>
            <w:r>
              <w:t>≥50次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签订项目数量</w:t>
            </w:r>
          </w:p>
        </w:tc>
        <w:tc>
          <w:tcPr>
            <w:tcW w:w="5386" w:type="dxa"/>
            <w:vAlign w:val="center"/>
          </w:tcPr>
          <w:p>
            <w:pPr>
              <w:pStyle w:val="13"/>
            </w:pPr>
            <w:r>
              <w:t>争取签订亿元以上项目的数量（个）</w:t>
            </w:r>
          </w:p>
        </w:tc>
        <w:tc>
          <w:tcPr>
            <w:tcW w:w="2268" w:type="dxa"/>
            <w:vAlign w:val="center"/>
          </w:tcPr>
          <w:p>
            <w:pPr>
              <w:pStyle w:val="13"/>
            </w:pPr>
            <w:r>
              <w:t>≥2个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签订项目数量</w:t>
            </w:r>
          </w:p>
        </w:tc>
        <w:tc>
          <w:tcPr>
            <w:tcW w:w="5386" w:type="dxa"/>
            <w:vAlign w:val="center"/>
          </w:tcPr>
          <w:p>
            <w:pPr>
              <w:pStyle w:val="13"/>
            </w:pPr>
            <w:r>
              <w:t>包含市重点项目及县级千万元以上项目数量（个）</w:t>
            </w:r>
          </w:p>
        </w:tc>
        <w:tc>
          <w:tcPr>
            <w:tcW w:w="2268" w:type="dxa"/>
            <w:vAlign w:val="center"/>
          </w:tcPr>
          <w:p>
            <w:pPr>
              <w:pStyle w:val="13"/>
            </w:pPr>
            <w:r>
              <w:t>≥2个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资金数量增长比例</w:t>
            </w:r>
          </w:p>
        </w:tc>
        <w:tc>
          <w:tcPr>
            <w:tcW w:w="5386" w:type="dxa"/>
            <w:vAlign w:val="center"/>
          </w:tcPr>
          <w:p>
            <w:pPr>
              <w:pStyle w:val="13"/>
            </w:pPr>
            <w:r>
              <w:t>引进县外资金数量增长比例</w:t>
            </w:r>
          </w:p>
        </w:tc>
        <w:tc>
          <w:tcPr>
            <w:tcW w:w="2268" w:type="dxa"/>
            <w:vAlign w:val="center"/>
          </w:tcPr>
          <w:p>
            <w:pPr>
              <w:pStyle w:val="13"/>
            </w:pPr>
            <w:r>
              <w:t>≥5%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招商引资目标完成率</w:t>
            </w:r>
          </w:p>
        </w:tc>
        <w:tc>
          <w:tcPr>
            <w:tcW w:w="5386" w:type="dxa"/>
            <w:vAlign w:val="center"/>
          </w:tcPr>
          <w:p>
            <w:pPr>
              <w:pStyle w:val="13"/>
            </w:pPr>
            <w:r>
              <w:t>成功组织小团组招商活动批次；赴外招商推介洽谈会批次；邀请企业、客商来青龙批次目标。</w:t>
            </w:r>
          </w:p>
        </w:tc>
        <w:tc>
          <w:tcPr>
            <w:tcW w:w="2268" w:type="dxa"/>
            <w:vAlign w:val="center"/>
          </w:tcPr>
          <w:p>
            <w:pPr>
              <w:pStyle w:val="13"/>
            </w:pPr>
            <w:r>
              <w:t>≥50%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认真按照年度招商引资工作方案和计划的时间节点推进招商引资工作</w:t>
            </w:r>
          </w:p>
        </w:tc>
        <w:tc>
          <w:tcPr>
            <w:tcW w:w="2268" w:type="dxa"/>
            <w:vAlign w:val="center"/>
          </w:tcPr>
          <w:p>
            <w:pPr>
              <w:pStyle w:val="13"/>
            </w:pPr>
            <w:r>
              <w:t>认真按照年度招商引资工作方案和计划的时间节点推进招商引资工作2026年度</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宣传材料费用</w:t>
            </w:r>
          </w:p>
        </w:tc>
        <w:tc>
          <w:tcPr>
            <w:tcW w:w="5386" w:type="dxa"/>
            <w:vAlign w:val="center"/>
          </w:tcPr>
          <w:p>
            <w:pPr>
              <w:pStyle w:val="13"/>
            </w:pPr>
            <w:r>
              <w:t>严格控制宣传材料设计、制作、印刷、装订、包装费用</w:t>
            </w:r>
          </w:p>
        </w:tc>
        <w:tc>
          <w:tcPr>
            <w:tcW w:w="2268" w:type="dxa"/>
            <w:vAlign w:val="center"/>
          </w:tcPr>
          <w:p>
            <w:pPr>
              <w:pStyle w:val="13"/>
            </w:pPr>
            <w:r>
              <w:t>≤5万元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小团组招商、赴外招商推介</w:t>
            </w:r>
          </w:p>
        </w:tc>
        <w:tc>
          <w:tcPr>
            <w:tcW w:w="5386" w:type="dxa"/>
            <w:vAlign w:val="center"/>
          </w:tcPr>
          <w:p>
            <w:pPr>
              <w:pStyle w:val="13"/>
            </w:pPr>
            <w:r>
              <w:t>严格控制小团组招商、赴外招商推介洽谈活动费用</w:t>
            </w:r>
          </w:p>
        </w:tc>
        <w:tc>
          <w:tcPr>
            <w:tcW w:w="2268" w:type="dxa"/>
            <w:vAlign w:val="center"/>
          </w:tcPr>
          <w:p>
            <w:pPr>
              <w:pStyle w:val="13"/>
            </w:pPr>
            <w:r>
              <w:t>≤5万元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来考察企业、客商接待</w:t>
            </w:r>
          </w:p>
        </w:tc>
        <w:tc>
          <w:tcPr>
            <w:tcW w:w="5386" w:type="dxa"/>
            <w:vAlign w:val="center"/>
          </w:tcPr>
          <w:p>
            <w:pPr>
              <w:pStyle w:val="13"/>
            </w:pPr>
            <w:r>
              <w:t>严格控制来请考察企业、客商接待标准和费用</w:t>
            </w:r>
          </w:p>
        </w:tc>
        <w:tc>
          <w:tcPr>
            <w:tcW w:w="2268" w:type="dxa"/>
            <w:vAlign w:val="center"/>
          </w:tcPr>
          <w:p>
            <w:pPr>
              <w:pStyle w:val="13"/>
            </w:pPr>
            <w:r>
              <w:t>≤2万元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对内投资环境影响</w:t>
            </w:r>
          </w:p>
        </w:tc>
        <w:tc>
          <w:tcPr>
            <w:tcW w:w="5386" w:type="dxa"/>
            <w:vAlign w:val="center"/>
          </w:tcPr>
          <w:p>
            <w:pPr>
              <w:pStyle w:val="13"/>
            </w:pPr>
            <w:r>
              <w:t>持续改善我县对内投资环境，不断增加就业岗位</w:t>
            </w:r>
          </w:p>
        </w:tc>
        <w:tc>
          <w:tcPr>
            <w:tcW w:w="2268" w:type="dxa"/>
            <w:vAlign w:val="center"/>
          </w:tcPr>
          <w:p>
            <w:pPr>
              <w:pStyle w:val="13"/>
            </w:pPr>
            <w:r>
              <w:t>≥1%</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长期有效性</w:t>
            </w:r>
          </w:p>
        </w:tc>
        <w:tc>
          <w:tcPr>
            <w:tcW w:w="5386" w:type="dxa"/>
            <w:vAlign w:val="center"/>
          </w:tcPr>
          <w:p>
            <w:pPr>
              <w:pStyle w:val="13"/>
            </w:pPr>
            <w:r>
              <w:t>不断扩大落地投产项目的可持续影响，培育全产业链，推动产项链向上下游的延伸</w:t>
            </w:r>
          </w:p>
        </w:tc>
        <w:tc>
          <w:tcPr>
            <w:tcW w:w="2268" w:type="dxa"/>
            <w:vAlign w:val="center"/>
          </w:tcPr>
          <w:p>
            <w:pPr>
              <w:pStyle w:val="13"/>
            </w:pPr>
            <w:r>
              <w:t>≥3年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调查中满意和较满意的企业数占全部调查企业数的比率</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49、重点项目工作经费绩效目标表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13032126P00003210011B</w:t>
            </w:r>
          </w:p>
        </w:tc>
        <w:tc>
          <w:tcPr>
            <w:tcW w:w="2835" w:type="dxa"/>
            <w:vAlign w:val="center"/>
          </w:tcPr>
          <w:p>
            <w:pPr>
              <w:pStyle w:val="11"/>
            </w:pPr>
            <w:r>
              <w:t>项目名称</w:t>
            </w:r>
          </w:p>
        </w:tc>
        <w:tc>
          <w:tcPr>
            <w:tcW w:w="6095" w:type="dxa"/>
            <w:gridSpan w:val="3"/>
            <w:vAlign w:val="center"/>
          </w:tcPr>
          <w:p>
            <w:pPr>
              <w:pStyle w:val="13"/>
            </w:pPr>
            <w:r>
              <w:t>重点项目工作经费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预算安排12万元，其中财政资金12万元，主要用于支付重点项目工作相关费用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1.通过到省直各部门跑办争取各项政策、资金、手续等工作促进工作目标完成。    </w:t>
            </w:r>
          </w:p>
          <w:p>
            <w:pPr>
              <w:pStyle w:val="13"/>
            </w:pPr>
            <w:r>
              <w:t>2.通过客商接待、项目对接等活动，不仅达到宣传推介青龙的效果，还推动和引领全县做好招商引资工作。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办公用房面积</w:t>
            </w:r>
          </w:p>
        </w:tc>
        <w:tc>
          <w:tcPr>
            <w:tcW w:w="5386" w:type="dxa"/>
            <w:vAlign w:val="center"/>
          </w:tcPr>
          <w:p>
            <w:pPr>
              <w:pStyle w:val="13"/>
            </w:pPr>
            <w:r>
              <w:t>驻外招商工作专班开展工作，办公用房面积</w:t>
            </w:r>
          </w:p>
        </w:tc>
        <w:tc>
          <w:tcPr>
            <w:tcW w:w="2268" w:type="dxa"/>
            <w:vAlign w:val="center"/>
          </w:tcPr>
          <w:p>
            <w:pPr>
              <w:pStyle w:val="13"/>
            </w:pPr>
            <w:r>
              <w:t>648平方米</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资金使用合规率</w:t>
            </w:r>
          </w:p>
        </w:tc>
        <w:tc>
          <w:tcPr>
            <w:tcW w:w="5386" w:type="dxa"/>
            <w:vAlign w:val="center"/>
          </w:tcPr>
          <w:p>
            <w:pPr>
              <w:pStyle w:val="13"/>
            </w:pPr>
            <w:r>
              <w:t>资金使用合规率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驻外招商工作专班工作目标完成率</w:t>
            </w:r>
          </w:p>
        </w:tc>
        <w:tc>
          <w:tcPr>
            <w:tcW w:w="5386" w:type="dxa"/>
            <w:vAlign w:val="center"/>
          </w:tcPr>
          <w:p>
            <w:pPr>
              <w:pStyle w:val="13"/>
            </w:pPr>
            <w:r>
              <w:t>成功组织开展工作，负责驻外招商及联络工作。</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认真按照年度招商引资工作方案和计划的时间节点推进招商引资工作</w:t>
            </w:r>
          </w:p>
        </w:tc>
        <w:tc>
          <w:tcPr>
            <w:tcW w:w="2268" w:type="dxa"/>
            <w:vAlign w:val="center"/>
          </w:tcPr>
          <w:p>
            <w:pPr>
              <w:pStyle w:val="13"/>
            </w:pPr>
            <w:r>
              <w:t>2026年度</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经费控制数</w:t>
            </w:r>
          </w:p>
        </w:tc>
        <w:tc>
          <w:tcPr>
            <w:tcW w:w="5386" w:type="dxa"/>
            <w:vAlign w:val="center"/>
          </w:tcPr>
          <w:p>
            <w:pPr>
              <w:pStyle w:val="13"/>
            </w:pPr>
            <w:r>
              <w:t>经费控制数</w:t>
            </w:r>
          </w:p>
        </w:tc>
        <w:tc>
          <w:tcPr>
            <w:tcW w:w="2268" w:type="dxa"/>
            <w:vAlign w:val="center"/>
          </w:tcPr>
          <w:p>
            <w:pPr>
              <w:pStyle w:val="13"/>
            </w:pPr>
            <w:r>
              <w:t>≤12万元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引进投资款增长比率</w:t>
            </w:r>
          </w:p>
        </w:tc>
        <w:tc>
          <w:tcPr>
            <w:tcW w:w="5386" w:type="dxa"/>
            <w:vAlign w:val="center"/>
          </w:tcPr>
          <w:p>
            <w:pPr>
              <w:pStyle w:val="13"/>
            </w:pPr>
            <w:r>
              <w:t>引进投资款增长比率</w:t>
            </w:r>
          </w:p>
        </w:tc>
        <w:tc>
          <w:tcPr>
            <w:tcW w:w="2268" w:type="dxa"/>
            <w:vAlign w:val="center"/>
          </w:tcPr>
          <w:p>
            <w:pPr>
              <w:pStyle w:val="13"/>
            </w:pPr>
            <w:r>
              <w:t>≥2%</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对内投资环境影响</w:t>
            </w:r>
          </w:p>
        </w:tc>
        <w:tc>
          <w:tcPr>
            <w:tcW w:w="5386" w:type="dxa"/>
            <w:vAlign w:val="center"/>
          </w:tcPr>
          <w:p>
            <w:pPr>
              <w:pStyle w:val="13"/>
            </w:pPr>
            <w:r>
              <w:t>持续改善我县对内投资环境，不断增加就业岗位</w:t>
            </w:r>
          </w:p>
        </w:tc>
        <w:tc>
          <w:tcPr>
            <w:tcW w:w="2268" w:type="dxa"/>
            <w:vAlign w:val="center"/>
          </w:tcPr>
          <w:p>
            <w:pPr>
              <w:pStyle w:val="13"/>
            </w:pPr>
            <w:r>
              <w:t>≥1%</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调查中满意和较满意的企业数占全部调查企业数的比率</w:t>
            </w:r>
          </w:p>
        </w:tc>
        <w:tc>
          <w:tcPr>
            <w:tcW w:w="2268" w:type="dxa"/>
            <w:vAlign w:val="center"/>
          </w:tcPr>
          <w:p>
            <w:pPr>
              <w:pStyle w:val="13"/>
            </w:pPr>
            <w:r>
              <w:t>≥90%</w:t>
            </w:r>
          </w:p>
        </w:tc>
        <w:tc>
          <w:tcPr>
            <w:tcW w:w="1276" w:type="dxa"/>
            <w:vAlign w:val="center"/>
          </w:tcPr>
          <w:p>
            <w:pPr>
              <w:pStyle w:val="13"/>
            </w:pPr>
            <w:r>
              <w:t>满意度调查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50、央企入秦工作经费绩效目标表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13032126P00003210013J</w:t>
            </w:r>
          </w:p>
        </w:tc>
        <w:tc>
          <w:tcPr>
            <w:tcW w:w="2835" w:type="dxa"/>
            <w:vAlign w:val="center"/>
          </w:tcPr>
          <w:p>
            <w:pPr>
              <w:pStyle w:val="11"/>
            </w:pPr>
            <w:r>
              <w:t>项目名称</w:t>
            </w:r>
          </w:p>
        </w:tc>
        <w:tc>
          <w:tcPr>
            <w:tcW w:w="6095" w:type="dxa"/>
            <w:gridSpan w:val="3"/>
            <w:vAlign w:val="center"/>
          </w:tcPr>
          <w:p>
            <w:pPr>
              <w:pStyle w:val="13"/>
            </w:pPr>
            <w:r>
              <w:t>央企入秦工作经费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预算安排8万元，其中：财政资金8万元，其他资金0万元。主要用于央企入秦工作经费支出。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1.通过引进央企三级子公司，促进招商工作效果提升。     </w:t>
            </w:r>
          </w:p>
          <w:p>
            <w:pPr>
              <w:pStyle w:val="13"/>
            </w:pPr>
            <w:r>
              <w:t xml:space="preserve">2.通过开展“走出去”、“请进来”小团组招商活动，促进招商引资工作目标完成。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招商活动次数</w:t>
            </w:r>
          </w:p>
        </w:tc>
        <w:tc>
          <w:tcPr>
            <w:tcW w:w="5386" w:type="dxa"/>
            <w:vAlign w:val="center"/>
          </w:tcPr>
          <w:p>
            <w:pPr>
              <w:pStyle w:val="13"/>
            </w:pPr>
            <w:r>
              <w:t>开展小团组招商活动的次数</w:t>
            </w:r>
          </w:p>
        </w:tc>
        <w:tc>
          <w:tcPr>
            <w:tcW w:w="2268" w:type="dxa"/>
            <w:vAlign w:val="center"/>
          </w:tcPr>
          <w:p>
            <w:pPr>
              <w:pStyle w:val="13"/>
            </w:pPr>
            <w:r>
              <w:t>≥12次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引进央企三级子公司数量</w:t>
            </w:r>
          </w:p>
        </w:tc>
        <w:tc>
          <w:tcPr>
            <w:tcW w:w="5386" w:type="dxa"/>
            <w:vAlign w:val="center"/>
          </w:tcPr>
          <w:p>
            <w:pPr>
              <w:pStyle w:val="13"/>
            </w:pPr>
            <w:r>
              <w:t>引进央企三级子公司的数量（个）</w:t>
            </w:r>
          </w:p>
        </w:tc>
        <w:tc>
          <w:tcPr>
            <w:tcW w:w="2268" w:type="dxa"/>
            <w:vAlign w:val="center"/>
          </w:tcPr>
          <w:p>
            <w:pPr>
              <w:pStyle w:val="13"/>
            </w:pPr>
            <w:r>
              <w:t>≥2个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招商引资目标完成率</w:t>
            </w:r>
          </w:p>
        </w:tc>
        <w:tc>
          <w:tcPr>
            <w:tcW w:w="5386" w:type="dxa"/>
            <w:vAlign w:val="center"/>
          </w:tcPr>
          <w:p>
            <w:pPr>
              <w:pStyle w:val="13"/>
            </w:pPr>
            <w:r>
              <w:t>成功引进央企三级子公司</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认真按照年度招商引资工作方案和计划的时间节点推进招商引资工作</w:t>
            </w:r>
          </w:p>
        </w:tc>
        <w:tc>
          <w:tcPr>
            <w:tcW w:w="2268" w:type="dxa"/>
            <w:vAlign w:val="center"/>
          </w:tcPr>
          <w:p>
            <w:pPr>
              <w:pStyle w:val="13"/>
            </w:pPr>
            <w:r>
              <w:t>2026年度</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预算支出金额</w:t>
            </w:r>
          </w:p>
        </w:tc>
        <w:tc>
          <w:tcPr>
            <w:tcW w:w="5386" w:type="dxa"/>
            <w:vAlign w:val="center"/>
          </w:tcPr>
          <w:p>
            <w:pPr>
              <w:pStyle w:val="13"/>
            </w:pPr>
            <w:r>
              <w:t>实际支出金额控制在预算范围内</w:t>
            </w:r>
          </w:p>
        </w:tc>
        <w:tc>
          <w:tcPr>
            <w:tcW w:w="2268" w:type="dxa"/>
            <w:vAlign w:val="center"/>
          </w:tcPr>
          <w:p>
            <w:pPr>
              <w:pStyle w:val="13"/>
            </w:pPr>
            <w:r>
              <w:t>≤8万元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促进经济高质量发展</w:t>
            </w:r>
          </w:p>
        </w:tc>
        <w:tc>
          <w:tcPr>
            <w:tcW w:w="5386" w:type="dxa"/>
            <w:vAlign w:val="center"/>
          </w:tcPr>
          <w:p>
            <w:pPr>
              <w:pStyle w:val="13"/>
            </w:pPr>
            <w:r>
              <w:t>引进高质量项目，带动本地经济，促进县域经济高质量发展</w:t>
            </w:r>
          </w:p>
        </w:tc>
        <w:tc>
          <w:tcPr>
            <w:tcW w:w="2268" w:type="dxa"/>
            <w:vAlign w:val="center"/>
          </w:tcPr>
          <w:p>
            <w:pPr>
              <w:pStyle w:val="13"/>
            </w:pPr>
            <w:r>
              <w:t>≥2%</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对内投资环境影响</w:t>
            </w:r>
          </w:p>
        </w:tc>
        <w:tc>
          <w:tcPr>
            <w:tcW w:w="5386" w:type="dxa"/>
            <w:vAlign w:val="center"/>
          </w:tcPr>
          <w:p>
            <w:pPr>
              <w:pStyle w:val="13"/>
            </w:pPr>
            <w:r>
              <w:t>持续改善我县对内投资环境，不断增加就业岗位</w:t>
            </w:r>
          </w:p>
        </w:tc>
        <w:tc>
          <w:tcPr>
            <w:tcW w:w="2268" w:type="dxa"/>
            <w:vAlign w:val="center"/>
          </w:tcPr>
          <w:p>
            <w:pPr>
              <w:pStyle w:val="13"/>
            </w:pPr>
            <w:r>
              <w:t>≥1%</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长期有效性</w:t>
            </w:r>
          </w:p>
        </w:tc>
        <w:tc>
          <w:tcPr>
            <w:tcW w:w="5386" w:type="dxa"/>
            <w:vAlign w:val="center"/>
          </w:tcPr>
          <w:p>
            <w:pPr>
              <w:pStyle w:val="13"/>
            </w:pPr>
            <w:r>
              <w:t>不断扩大落地投产项目的可持续影响，培育全产业链，推动产业链向上下游的延伸</w:t>
            </w:r>
          </w:p>
        </w:tc>
        <w:tc>
          <w:tcPr>
            <w:tcW w:w="2268" w:type="dxa"/>
            <w:vAlign w:val="center"/>
          </w:tcPr>
          <w:p>
            <w:pPr>
              <w:pStyle w:val="13"/>
            </w:pPr>
            <w:r>
              <w:t>≥3年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调查中满意和较满意的企业数占全部调查企业数的比率</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51、招商引资项目工作经费绩效目标表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13032126P00003210012Y</w:t>
            </w:r>
          </w:p>
        </w:tc>
        <w:tc>
          <w:tcPr>
            <w:tcW w:w="2835" w:type="dxa"/>
            <w:vAlign w:val="center"/>
          </w:tcPr>
          <w:p>
            <w:pPr>
              <w:pStyle w:val="11"/>
            </w:pPr>
            <w:r>
              <w:t>项目名称</w:t>
            </w:r>
          </w:p>
        </w:tc>
        <w:tc>
          <w:tcPr>
            <w:tcW w:w="6095" w:type="dxa"/>
            <w:gridSpan w:val="3"/>
            <w:vAlign w:val="center"/>
          </w:tcPr>
          <w:p>
            <w:pPr>
              <w:pStyle w:val="13"/>
            </w:pPr>
            <w:r>
              <w:t>招商引资项目工作经费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23.00</w:t>
            </w:r>
          </w:p>
        </w:tc>
        <w:tc>
          <w:tcPr>
            <w:tcW w:w="2835" w:type="dxa"/>
            <w:vAlign w:val="center"/>
          </w:tcPr>
          <w:p>
            <w:pPr>
              <w:pStyle w:val="11"/>
            </w:pPr>
            <w:r>
              <w:t>其中：财政    资金</w:t>
            </w:r>
          </w:p>
        </w:tc>
        <w:tc>
          <w:tcPr>
            <w:tcW w:w="2551" w:type="dxa"/>
            <w:vAlign w:val="center"/>
          </w:tcPr>
          <w:p>
            <w:pPr>
              <w:pStyle w:val="13"/>
            </w:pPr>
            <w:r>
              <w:t>23.00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预算安排23万元，其中：财政资金23万元，其他资金0万元。主要用于招商引资项目工作经费支出。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1.通过开展“走出去”、“请进来”小团组招商活动，促进招商引资工作目标完成。</w:t>
            </w:r>
          </w:p>
          <w:p>
            <w:pPr>
              <w:pStyle w:val="13"/>
            </w:pPr>
            <w:r>
              <w:t>2.通过举行各类招商推介会洽谈会，促进招商工作效果提升。</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招商活动次数</w:t>
            </w:r>
          </w:p>
        </w:tc>
        <w:tc>
          <w:tcPr>
            <w:tcW w:w="5386" w:type="dxa"/>
            <w:vAlign w:val="center"/>
          </w:tcPr>
          <w:p>
            <w:pPr>
              <w:pStyle w:val="13"/>
            </w:pPr>
            <w:r>
              <w:t>开展小团组招商活动的次数</w:t>
            </w:r>
          </w:p>
        </w:tc>
        <w:tc>
          <w:tcPr>
            <w:tcW w:w="2268" w:type="dxa"/>
            <w:vAlign w:val="center"/>
          </w:tcPr>
          <w:p>
            <w:pPr>
              <w:pStyle w:val="13"/>
            </w:pPr>
            <w:r>
              <w:t>≥32次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招商推介洽谈会批次</w:t>
            </w:r>
          </w:p>
        </w:tc>
        <w:tc>
          <w:tcPr>
            <w:tcW w:w="5386" w:type="dxa"/>
            <w:vAlign w:val="center"/>
          </w:tcPr>
          <w:p>
            <w:pPr>
              <w:pStyle w:val="13"/>
            </w:pPr>
            <w:r>
              <w:t>参加、举办招商推介洽谈会批次</w:t>
            </w:r>
          </w:p>
        </w:tc>
        <w:tc>
          <w:tcPr>
            <w:tcW w:w="2268" w:type="dxa"/>
            <w:vAlign w:val="center"/>
          </w:tcPr>
          <w:p>
            <w:pPr>
              <w:pStyle w:val="13"/>
            </w:pPr>
            <w:r>
              <w:t>≥5次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邀请考察洽谈批次</w:t>
            </w:r>
          </w:p>
        </w:tc>
        <w:tc>
          <w:tcPr>
            <w:tcW w:w="5386" w:type="dxa"/>
            <w:vAlign w:val="center"/>
          </w:tcPr>
          <w:p>
            <w:pPr>
              <w:pStyle w:val="13"/>
            </w:pPr>
            <w:r>
              <w:t>邀请企业、客商来青龙考察洽谈批次</w:t>
            </w:r>
          </w:p>
        </w:tc>
        <w:tc>
          <w:tcPr>
            <w:tcW w:w="2268" w:type="dxa"/>
            <w:vAlign w:val="center"/>
          </w:tcPr>
          <w:p>
            <w:pPr>
              <w:pStyle w:val="13"/>
            </w:pPr>
            <w:r>
              <w:t>≥20次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签订项目数量</w:t>
            </w:r>
          </w:p>
        </w:tc>
        <w:tc>
          <w:tcPr>
            <w:tcW w:w="5386" w:type="dxa"/>
            <w:vAlign w:val="center"/>
          </w:tcPr>
          <w:p>
            <w:pPr>
              <w:pStyle w:val="13"/>
            </w:pPr>
            <w:r>
              <w:t>争取签订亿元以上项目的数量（个）</w:t>
            </w:r>
          </w:p>
        </w:tc>
        <w:tc>
          <w:tcPr>
            <w:tcW w:w="2268" w:type="dxa"/>
            <w:vAlign w:val="center"/>
          </w:tcPr>
          <w:p>
            <w:pPr>
              <w:pStyle w:val="13"/>
            </w:pPr>
            <w:r>
              <w:t>≥2个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招商引资目标完成率</w:t>
            </w:r>
          </w:p>
        </w:tc>
        <w:tc>
          <w:tcPr>
            <w:tcW w:w="5386" w:type="dxa"/>
            <w:vAlign w:val="center"/>
          </w:tcPr>
          <w:p>
            <w:pPr>
              <w:pStyle w:val="13"/>
            </w:pPr>
            <w:r>
              <w:t>成功组织小团组招商活动批次；邀请企业、客商来青龙批次目标。</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认真按照年度招商引资工作方案和计划的时间节点推进招商引资工作</w:t>
            </w:r>
          </w:p>
        </w:tc>
        <w:tc>
          <w:tcPr>
            <w:tcW w:w="2268" w:type="dxa"/>
            <w:vAlign w:val="center"/>
          </w:tcPr>
          <w:p>
            <w:pPr>
              <w:pStyle w:val="13"/>
            </w:pPr>
            <w:r>
              <w:t>2026年度</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预算支出金额</w:t>
            </w:r>
          </w:p>
        </w:tc>
        <w:tc>
          <w:tcPr>
            <w:tcW w:w="5386" w:type="dxa"/>
            <w:vAlign w:val="center"/>
          </w:tcPr>
          <w:p>
            <w:pPr>
              <w:pStyle w:val="13"/>
            </w:pPr>
            <w:r>
              <w:t>实际支出金额控制在预算范围内</w:t>
            </w:r>
          </w:p>
        </w:tc>
        <w:tc>
          <w:tcPr>
            <w:tcW w:w="2268" w:type="dxa"/>
            <w:vAlign w:val="center"/>
          </w:tcPr>
          <w:p>
            <w:pPr>
              <w:pStyle w:val="13"/>
            </w:pPr>
            <w:r>
              <w:t>≤23万元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促进经济高质量发展</w:t>
            </w:r>
          </w:p>
        </w:tc>
        <w:tc>
          <w:tcPr>
            <w:tcW w:w="5386" w:type="dxa"/>
            <w:vAlign w:val="center"/>
          </w:tcPr>
          <w:p>
            <w:pPr>
              <w:pStyle w:val="13"/>
            </w:pPr>
            <w:r>
              <w:t>引进高质量项目，带动本地经济，促进县域经济高质量发展</w:t>
            </w:r>
          </w:p>
        </w:tc>
        <w:tc>
          <w:tcPr>
            <w:tcW w:w="2268" w:type="dxa"/>
            <w:vAlign w:val="center"/>
          </w:tcPr>
          <w:p>
            <w:pPr>
              <w:pStyle w:val="13"/>
            </w:pPr>
            <w:r>
              <w:t>≥2%</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对内投资环境影响</w:t>
            </w:r>
          </w:p>
        </w:tc>
        <w:tc>
          <w:tcPr>
            <w:tcW w:w="5386" w:type="dxa"/>
            <w:vAlign w:val="center"/>
          </w:tcPr>
          <w:p>
            <w:pPr>
              <w:pStyle w:val="13"/>
            </w:pPr>
            <w:r>
              <w:t>持续改善我县对内投资环境，不断增加就业岗位</w:t>
            </w:r>
          </w:p>
        </w:tc>
        <w:tc>
          <w:tcPr>
            <w:tcW w:w="2268" w:type="dxa"/>
            <w:vAlign w:val="center"/>
          </w:tcPr>
          <w:p>
            <w:pPr>
              <w:pStyle w:val="13"/>
            </w:pPr>
            <w:r>
              <w:t>≥1%</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长期有效性</w:t>
            </w:r>
          </w:p>
        </w:tc>
        <w:tc>
          <w:tcPr>
            <w:tcW w:w="5386" w:type="dxa"/>
            <w:vAlign w:val="center"/>
          </w:tcPr>
          <w:p>
            <w:pPr>
              <w:pStyle w:val="13"/>
            </w:pPr>
            <w:r>
              <w:t>不断扩大落地投产项目的可持续影响，培育全产业链，推动产业链向上下游的延伸</w:t>
            </w:r>
          </w:p>
        </w:tc>
        <w:tc>
          <w:tcPr>
            <w:tcW w:w="2268" w:type="dxa"/>
            <w:vAlign w:val="center"/>
          </w:tcPr>
          <w:p>
            <w:pPr>
              <w:pStyle w:val="13"/>
            </w:pPr>
            <w:r>
              <w:t>≥3年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洽谈客商满意度</w:t>
            </w:r>
          </w:p>
        </w:tc>
        <w:tc>
          <w:tcPr>
            <w:tcW w:w="5386" w:type="dxa"/>
            <w:vAlign w:val="center"/>
          </w:tcPr>
          <w:p>
            <w:pPr>
              <w:pStyle w:val="13"/>
            </w:pPr>
            <w:r>
              <w:t>调查中满意和较满意的洽谈客商数占洽谈客商总数的比率</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303青龙满族自治县发展和改革局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5.93</w:t>
            </w:r>
          </w:p>
        </w:tc>
        <w:tc>
          <w:tcPr>
            <w:tcW w:w="964" w:type="dxa"/>
            <w:vAlign w:val="center"/>
          </w:tcPr>
          <w:p>
            <w:pPr>
              <w:pStyle w:val="16"/>
            </w:pPr>
            <w:r>
              <w:t>5.93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青龙满族自治县发展和改革局本级小计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4.59</w:t>
            </w:r>
          </w:p>
        </w:tc>
        <w:tc>
          <w:tcPr>
            <w:tcW w:w="964" w:type="dxa"/>
            <w:vAlign w:val="center"/>
          </w:tcPr>
          <w:p>
            <w:pPr>
              <w:pStyle w:val="16"/>
            </w:pPr>
            <w:r>
              <w:t>4.59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科技创新支撑和科技管理经费</w:t>
            </w:r>
          </w:p>
        </w:tc>
        <w:tc>
          <w:tcPr>
            <w:tcW w:w="964" w:type="dxa"/>
            <w:vAlign w:val="center"/>
          </w:tcPr>
          <w:p>
            <w:pPr>
              <w:pStyle w:val="12"/>
            </w:pPr>
            <w:r>
              <w:t>4.20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1200</w:t>
            </w:r>
          </w:p>
        </w:tc>
        <w:tc>
          <w:tcPr>
            <w:tcW w:w="850" w:type="dxa"/>
            <w:vAlign w:val="center"/>
          </w:tcPr>
          <w:p>
            <w:pPr>
              <w:pStyle w:val="12"/>
            </w:pPr>
            <w:r>
              <w:t>0.00</w:t>
            </w:r>
          </w:p>
        </w:tc>
        <w:tc>
          <w:tcPr>
            <w:tcW w:w="964" w:type="dxa"/>
            <w:vAlign w:val="center"/>
          </w:tcPr>
          <w:p>
            <w:pPr>
              <w:pStyle w:val="12"/>
            </w:pPr>
            <w:r>
              <w:t>2.76</w:t>
            </w:r>
          </w:p>
        </w:tc>
        <w:tc>
          <w:tcPr>
            <w:tcW w:w="964" w:type="dxa"/>
            <w:vAlign w:val="center"/>
          </w:tcPr>
          <w:p>
            <w:pPr>
              <w:pStyle w:val="12"/>
            </w:pPr>
            <w:r>
              <w:t>2.76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人民防空办公室经费</w:t>
            </w:r>
          </w:p>
        </w:tc>
        <w:tc>
          <w:tcPr>
            <w:tcW w:w="964" w:type="dxa"/>
            <w:vAlign w:val="center"/>
          </w:tcPr>
          <w:p>
            <w:pPr>
              <w:pStyle w:val="12"/>
            </w:pPr>
            <w:r>
              <w:t>1.60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16000</w:t>
            </w:r>
          </w:p>
        </w:tc>
        <w:tc>
          <w:tcPr>
            <w:tcW w:w="850" w:type="dxa"/>
            <w:vAlign w:val="center"/>
          </w:tcPr>
          <w:p>
            <w:pPr>
              <w:pStyle w:val="12"/>
            </w:pPr>
            <w:r>
              <w:t>0.00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营商办经费</w:t>
            </w:r>
          </w:p>
        </w:tc>
        <w:tc>
          <w:tcPr>
            <w:tcW w:w="964" w:type="dxa"/>
            <w:vAlign w:val="center"/>
          </w:tcPr>
          <w:p>
            <w:pPr>
              <w:pStyle w:val="12"/>
            </w:pPr>
            <w:r>
              <w:t>5.00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100</w:t>
            </w:r>
          </w:p>
        </w:tc>
        <w:tc>
          <w:tcPr>
            <w:tcW w:w="850" w:type="dxa"/>
            <w:vAlign w:val="center"/>
          </w:tcPr>
          <w:p>
            <w:pPr>
              <w:pStyle w:val="12"/>
            </w:pPr>
            <w:r>
              <w:t>0.00</w:t>
            </w:r>
          </w:p>
        </w:tc>
        <w:tc>
          <w:tcPr>
            <w:tcW w:w="964" w:type="dxa"/>
            <w:vAlign w:val="center"/>
          </w:tcPr>
          <w:p>
            <w:pPr>
              <w:pStyle w:val="12"/>
            </w:pPr>
            <w:r>
              <w:t>0.23</w:t>
            </w:r>
          </w:p>
        </w:tc>
        <w:tc>
          <w:tcPr>
            <w:tcW w:w="964" w:type="dxa"/>
            <w:vAlign w:val="center"/>
          </w:tcPr>
          <w:p>
            <w:pPr>
              <w:pStyle w:val="12"/>
            </w:pPr>
            <w:r>
              <w:t>0.23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青龙满族自治县招商和投资促进中心小计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1.34</w:t>
            </w:r>
          </w:p>
        </w:tc>
        <w:tc>
          <w:tcPr>
            <w:tcW w:w="964" w:type="dxa"/>
            <w:vAlign w:val="center"/>
          </w:tcPr>
          <w:p>
            <w:pPr>
              <w:pStyle w:val="16"/>
            </w:pPr>
            <w:r>
              <w:t>1.34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2.08</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250</w:t>
            </w:r>
          </w:p>
        </w:tc>
        <w:tc>
          <w:tcPr>
            <w:tcW w:w="850" w:type="dxa"/>
            <w:vAlign w:val="center"/>
          </w:tcPr>
          <w:p>
            <w:pPr>
              <w:pStyle w:val="12"/>
            </w:pPr>
            <w:r>
              <w:t>0.00</w:t>
            </w:r>
          </w:p>
        </w:tc>
        <w:tc>
          <w:tcPr>
            <w:tcW w:w="964" w:type="dxa"/>
            <w:vAlign w:val="center"/>
          </w:tcPr>
          <w:p>
            <w:pPr>
              <w:pStyle w:val="12"/>
            </w:pPr>
            <w:r>
              <w:t>0.52</w:t>
            </w:r>
          </w:p>
        </w:tc>
        <w:tc>
          <w:tcPr>
            <w:tcW w:w="964" w:type="dxa"/>
            <w:vAlign w:val="center"/>
          </w:tcPr>
          <w:p>
            <w:pPr>
              <w:pStyle w:val="12"/>
            </w:pPr>
            <w:r>
              <w:t>0.52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招商引资项目工作经费</w:t>
            </w:r>
          </w:p>
        </w:tc>
        <w:tc>
          <w:tcPr>
            <w:tcW w:w="964" w:type="dxa"/>
            <w:vAlign w:val="center"/>
          </w:tcPr>
          <w:p>
            <w:pPr>
              <w:pStyle w:val="12"/>
            </w:pPr>
            <w:r>
              <w:t>23.00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招商引资项目工作经费</w:t>
            </w:r>
          </w:p>
        </w:tc>
        <w:tc>
          <w:tcPr>
            <w:tcW w:w="964" w:type="dxa"/>
            <w:vAlign w:val="center"/>
          </w:tcPr>
          <w:p>
            <w:pPr>
              <w:pStyle w:val="12"/>
            </w:pPr>
            <w:r>
              <w:t>23.00</w:t>
            </w:r>
          </w:p>
        </w:tc>
        <w:tc>
          <w:tcPr>
            <w:tcW w:w="1134" w:type="dxa"/>
            <w:vAlign w:val="center"/>
          </w:tcPr>
          <w:p>
            <w:pPr>
              <w:pStyle w:val="13"/>
            </w:pPr>
            <w:r>
              <w:t>文件柜</w:t>
            </w:r>
          </w:p>
        </w:tc>
        <w:tc>
          <w:tcPr>
            <w:tcW w:w="1134" w:type="dxa"/>
            <w:vAlign w:val="center"/>
          </w:tcPr>
          <w:p>
            <w:pPr>
              <w:pStyle w:val="13"/>
            </w:pPr>
            <w:r>
              <w:t>A05010502</w:t>
            </w:r>
          </w:p>
        </w:tc>
        <w:tc>
          <w:tcPr>
            <w:tcW w:w="709" w:type="dxa"/>
            <w:vAlign w:val="center"/>
          </w:tcPr>
          <w:p>
            <w:pPr>
              <w:pStyle w:val="14"/>
            </w:pPr>
            <w:r>
              <w:t>件</w:t>
            </w:r>
          </w:p>
        </w:tc>
        <w:tc>
          <w:tcPr>
            <w:tcW w:w="850" w:type="dxa"/>
            <w:vAlign w:val="center"/>
          </w:tcPr>
          <w:p>
            <w:pPr>
              <w:pStyle w:val="12"/>
            </w:pPr>
            <w:r>
              <w:t>4</w:t>
            </w:r>
          </w:p>
        </w:tc>
        <w:tc>
          <w:tcPr>
            <w:tcW w:w="850" w:type="dxa"/>
            <w:vAlign w:val="center"/>
          </w:tcPr>
          <w:p>
            <w:pPr>
              <w:pStyle w:val="12"/>
            </w:pPr>
            <w:r>
              <w:t>0.08</w:t>
            </w:r>
          </w:p>
        </w:tc>
        <w:tc>
          <w:tcPr>
            <w:tcW w:w="964" w:type="dxa"/>
            <w:vAlign w:val="center"/>
          </w:tcPr>
          <w:p>
            <w:pPr>
              <w:pStyle w:val="12"/>
            </w:pPr>
            <w:r>
              <w:t>0.32</w:t>
            </w:r>
          </w:p>
        </w:tc>
        <w:tc>
          <w:tcPr>
            <w:tcW w:w="964" w:type="dxa"/>
            <w:vAlign w:val="center"/>
          </w:tcPr>
          <w:p>
            <w:pPr>
              <w:pStyle w:val="12"/>
            </w:pPr>
            <w:r>
              <w:t>0.32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青龙满族自治县发展和改革局（含所属单位）上年末固定资产金额为2401.23万元（详见下表）。本年度拟购置固定资产总额为0.00万元，已按要求列入政府采购预算，详见政府采购预算表。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303青龙满族自治县发展和改革局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2401.23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8430.17</w:t>
            </w:r>
          </w:p>
        </w:tc>
        <w:tc>
          <w:tcPr>
            <w:tcW w:w="2835" w:type="dxa"/>
            <w:vAlign w:val="center"/>
          </w:tcPr>
          <w:p>
            <w:pPr>
              <w:pStyle w:val="12"/>
            </w:pPr>
            <w:r>
              <w:t>2228.80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2382.03</w:t>
            </w:r>
          </w:p>
        </w:tc>
        <w:tc>
          <w:tcPr>
            <w:tcW w:w="2835" w:type="dxa"/>
            <w:vAlign w:val="center"/>
          </w:tcPr>
          <w:p>
            <w:pPr>
              <w:pStyle w:val="12"/>
            </w:pPr>
            <w:r>
              <w:t>1416.97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9</w:t>
            </w:r>
          </w:p>
        </w:tc>
        <w:tc>
          <w:tcPr>
            <w:tcW w:w="2835" w:type="dxa"/>
            <w:vAlign w:val="center"/>
          </w:tcPr>
          <w:p>
            <w:pPr>
              <w:pStyle w:val="12"/>
            </w:pPr>
            <w:r>
              <w:t>160.31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66</w:t>
            </w:r>
          </w:p>
        </w:tc>
        <w:tc>
          <w:tcPr>
            <w:tcW w:w="2835" w:type="dxa"/>
            <w:vAlign w:val="center"/>
          </w:tcPr>
          <w:p>
            <w:pPr>
              <w:pStyle w:val="12"/>
            </w:pPr>
            <w:r>
              <w:t>12.12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F461DF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130</Pages>
  <TotalTime>0</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2026-02-04T10:51:00Z</dcterms:created>
  <dc:creator>Administrator</dc:creator>
  <cp:lastModifiedBy>Administrator</cp:lastModifiedBy>
  <dcterms:modified xsi:type="dcterms:W3CDTF">2026-02-04T02:59:17Z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B7B557A2D73842589B5179773E96198A</vt:lpwstr>
  </property>
</Properties>
</file>