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jc w:val="center"/>
        <w:outlineLvl w:val="3"/>
        <w:rPr>
          <w:rFonts w:ascii="黑体" w:hAnsi="黑体" w:eastAsia="黑体" w:cs="黑体"/>
          <w:b/>
          <w:color w:val="000000"/>
          <w:sz w:val="44"/>
        </w:rPr>
      </w:pPr>
      <w:bookmarkStart w:id="0" w:name="_Toc_4_4_0000000021"/>
      <w:r>
        <w:rPr>
          <w:rFonts w:ascii="黑体" w:hAnsi="黑体" w:eastAsia="黑体" w:cs="黑体"/>
          <w:b/>
          <w:color w:val="000000"/>
          <w:sz w:val="44"/>
        </w:rPr>
        <w:t>202</w:t>
      </w:r>
      <w:r>
        <w:rPr>
          <w:rFonts w:hint="eastAsia" w:ascii="黑体" w:hAnsi="黑体" w:eastAsia="黑体" w:cs="黑体"/>
          <w:b/>
          <w:color w:val="000000"/>
          <w:sz w:val="44"/>
          <w:lang w:eastAsia="zh-CN"/>
        </w:rPr>
        <w:t>6</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一、青龙满族自治县</w:t>
      </w:r>
      <w:r>
        <w:rPr>
          <w:rFonts w:hint="eastAsia" w:ascii="黑体" w:hAnsi="黑体" w:eastAsia="黑体" w:cs="黑体"/>
          <w:b/>
          <w:color w:val="000000"/>
          <w:sz w:val="44"/>
          <w:lang w:val="en-US" w:eastAsia="zh-CN"/>
        </w:rPr>
        <w:t>林业局单位</w:t>
      </w:r>
      <w:r>
        <w:rPr>
          <w:rFonts w:hint="eastAsia" w:ascii="黑体" w:hAnsi="黑体" w:eastAsia="黑体" w:cs="黑体"/>
          <w:b/>
          <w:color w:val="000000"/>
          <w:sz w:val="44"/>
          <w:lang w:eastAsia="zh-CN"/>
        </w:rPr>
        <w:t>2026年度预算公开</w:t>
      </w: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pPr>
        <w:spacing w:before="0" w:after="0"/>
        <w:ind w:firstLine="0"/>
        <w:jc w:val="center"/>
        <w:outlineLvl w:val="3"/>
      </w:pPr>
      <w:r>
        <w:rPr>
          <w:rFonts w:ascii="方正小标宋_GBK" w:hAnsi="方正小标宋_GBK" w:eastAsia="方正小标宋_GBK" w:cs="方正小标宋_GBK"/>
          <w:b w:val="0"/>
          <w:color w:val="000000"/>
          <w:sz w:val="44"/>
        </w:rPr>
        <w:t>一、青龙满族自治县林业局本级收支预算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6605.03</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五、单位资金</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101.21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25.66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r>
              <w:t>4715.29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8069.14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6605.03</w:t>
            </w:r>
          </w:p>
        </w:tc>
        <w:tc>
          <w:tcPr>
            <w:tcW w:w="4535" w:type="dxa"/>
            <w:vAlign w:val="center"/>
          </w:tcPr>
          <w:p>
            <w:pPr>
              <w:pStyle w:val="14"/>
            </w:pPr>
            <w:r>
              <w:t>本年支出合计</w:t>
            </w:r>
          </w:p>
        </w:tc>
        <w:tc>
          <w:tcPr>
            <w:tcW w:w="2126" w:type="dxa"/>
            <w:vAlign w:val="center"/>
          </w:tcPr>
          <w:p>
            <w:pPr>
              <w:pStyle w:val="15"/>
            </w:pPr>
            <w:r>
              <w:t>12937.97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r>
              <w:t>6332.94</w:t>
            </w: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12937.97</w:t>
            </w:r>
          </w:p>
        </w:tc>
        <w:tc>
          <w:tcPr>
            <w:tcW w:w="4535" w:type="dxa"/>
            <w:vAlign w:val="center"/>
          </w:tcPr>
          <w:p>
            <w:pPr>
              <w:pStyle w:val="14"/>
            </w:pPr>
            <w:r>
              <w:t>支出总计</w:t>
            </w:r>
          </w:p>
        </w:tc>
        <w:tc>
          <w:tcPr>
            <w:tcW w:w="2126" w:type="dxa"/>
            <w:vAlign w:val="center"/>
          </w:tcPr>
          <w:p>
            <w:pPr>
              <w:pStyle w:val="15"/>
            </w:pPr>
            <w:r>
              <w:t>12937.97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12937.97</w:t>
            </w:r>
          </w:p>
        </w:tc>
        <w:tc>
          <w:tcPr>
            <w:tcW w:w="1134" w:type="dxa"/>
            <w:vAlign w:val="center"/>
          </w:tcPr>
          <w:p>
            <w:pPr>
              <w:pStyle w:val="15"/>
            </w:pPr>
            <w:r>
              <w:t>6605.03</w:t>
            </w:r>
          </w:p>
        </w:tc>
        <w:tc>
          <w:tcPr>
            <w:tcW w:w="1134" w:type="dxa"/>
            <w:vAlign w:val="center"/>
          </w:tcPr>
          <w:p>
            <w:pPr>
              <w:pStyle w:val="15"/>
            </w:pPr>
            <w:r>
              <w:t>6605.03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6332.94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101.21</w:t>
            </w:r>
          </w:p>
        </w:tc>
        <w:tc>
          <w:tcPr>
            <w:tcW w:w="1134" w:type="dxa"/>
            <w:vAlign w:val="center"/>
          </w:tcPr>
          <w:p>
            <w:pPr>
              <w:pStyle w:val="13"/>
            </w:pPr>
            <w:r>
              <w:t>100.65</w:t>
            </w:r>
          </w:p>
        </w:tc>
        <w:tc>
          <w:tcPr>
            <w:tcW w:w="1134" w:type="dxa"/>
            <w:vAlign w:val="center"/>
          </w:tcPr>
          <w:p>
            <w:pPr>
              <w:pStyle w:val="13"/>
            </w:pPr>
            <w:r>
              <w:t>100.65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87.89</w:t>
            </w:r>
          </w:p>
        </w:tc>
        <w:tc>
          <w:tcPr>
            <w:tcW w:w="1134" w:type="dxa"/>
            <w:vAlign w:val="center"/>
          </w:tcPr>
          <w:p>
            <w:pPr>
              <w:pStyle w:val="13"/>
            </w:pPr>
            <w:r>
              <w:t>87.89</w:t>
            </w:r>
          </w:p>
        </w:tc>
        <w:tc>
          <w:tcPr>
            <w:tcW w:w="1134" w:type="dxa"/>
            <w:vAlign w:val="center"/>
          </w:tcPr>
          <w:p>
            <w:pPr>
              <w:pStyle w:val="13"/>
            </w:pPr>
            <w:r>
              <w:t>87.89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3"/>
            </w:pPr>
            <w:r>
              <w:t>36.02</w:t>
            </w:r>
          </w:p>
        </w:tc>
        <w:tc>
          <w:tcPr>
            <w:tcW w:w="1134" w:type="dxa"/>
            <w:vAlign w:val="center"/>
          </w:tcPr>
          <w:p>
            <w:pPr>
              <w:pStyle w:val="13"/>
            </w:pPr>
            <w:r>
              <w:t>36.02</w:t>
            </w:r>
          </w:p>
        </w:tc>
        <w:tc>
          <w:tcPr>
            <w:tcW w:w="1134" w:type="dxa"/>
            <w:vAlign w:val="center"/>
          </w:tcPr>
          <w:p>
            <w:pPr>
              <w:pStyle w:val="13"/>
            </w:pPr>
            <w:r>
              <w:t>36.02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51.87</w:t>
            </w:r>
          </w:p>
        </w:tc>
        <w:tc>
          <w:tcPr>
            <w:tcW w:w="1134" w:type="dxa"/>
            <w:vAlign w:val="center"/>
          </w:tcPr>
          <w:p>
            <w:pPr>
              <w:pStyle w:val="13"/>
            </w:pPr>
            <w:r>
              <w:t>51.87</w:t>
            </w:r>
          </w:p>
        </w:tc>
        <w:tc>
          <w:tcPr>
            <w:tcW w:w="1134" w:type="dxa"/>
            <w:vAlign w:val="center"/>
          </w:tcPr>
          <w:p>
            <w:pPr>
              <w:pStyle w:val="13"/>
            </w:pPr>
            <w:r>
              <w:t>51.87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13.33</w:t>
            </w:r>
          </w:p>
        </w:tc>
        <w:tc>
          <w:tcPr>
            <w:tcW w:w="1134" w:type="dxa"/>
            <w:vAlign w:val="center"/>
          </w:tcPr>
          <w:p>
            <w:pPr>
              <w:pStyle w:val="13"/>
            </w:pPr>
            <w:r>
              <w:t>12.76</w:t>
            </w:r>
          </w:p>
        </w:tc>
        <w:tc>
          <w:tcPr>
            <w:tcW w:w="1134" w:type="dxa"/>
            <w:vAlign w:val="center"/>
          </w:tcPr>
          <w:p>
            <w:pPr>
              <w:pStyle w:val="13"/>
            </w:pPr>
            <w:r>
              <w:t>12.76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3"/>
            </w:pPr>
            <w:r>
              <w:t>13.33</w:t>
            </w:r>
          </w:p>
        </w:tc>
        <w:tc>
          <w:tcPr>
            <w:tcW w:w="1134" w:type="dxa"/>
            <w:vAlign w:val="center"/>
          </w:tcPr>
          <w:p>
            <w:pPr>
              <w:pStyle w:val="13"/>
            </w:pPr>
            <w:r>
              <w:t>12.76</w:t>
            </w:r>
          </w:p>
        </w:tc>
        <w:tc>
          <w:tcPr>
            <w:tcW w:w="1134" w:type="dxa"/>
            <w:vAlign w:val="center"/>
          </w:tcPr>
          <w:p>
            <w:pPr>
              <w:pStyle w:val="13"/>
            </w:pPr>
            <w:r>
              <w:t>12.76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25.66</w:t>
            </w:r>
          </w:p>
        </w:tc>
        <w:tc>
          <w:tcPr>
            <w:tcW w:w="1134" w:type="dxa"/>
            <w:vAlign w:val="center"/>
          </w:tcPr>
          <w:p>
            <w:pPr>
              <w:pStyle w:val="13"/>
            </w:pPr>
            <w:r>
              <w:t>25.66</w:t>
            </w:r>
          </w:p>
        </w:tc>
        <w:tc>
          <w:tcPr>
            <w:tcW w:w="1134" w:type="dxa"/>
            <w:vAlign w:val="center"/>
          </w:tcPr>
          <w:p>
            <w:pPr>
              <w:pStyle w:val="13"/>
            </w:pPr>
            <w:r>
              <w:t>25.66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25.66</w:t>
            </w:r>
          </w:p>
        </w:tc>
        <w:tc>
          <w:tcPr>
            <w:tcW w:w="1134" w:type="dxa"/>
            <w:vAlign w:val="center"/>
          </w:tcPr>
          <w:p>
            <w:pPr>
              <w:pStyle w:val="13"/>
            </w:pPr>
            <w:r>
              <w:t>25.66</w:t>
            </w:r>
          </w:p>
        </w:tc>
        <w:tc>
          <w:tcPr>
            <w:tcW w:w="1134" w:type="dxa"/>
            <w:vAlign w:val="center"/>
          </w:tcPr>
          <w:p>
            <w:pPr>
              <w:pStyle w:val="13"/>
            </w:pPr>
            <w:r>
              <w:t>25.66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3"/>
            </w:pPr>
            <w:r>
              <w:t>8.41</w:t>
            </w:r>
          </w:p>
        </w:tc>
        <w:tc>
          <w:tcPr>
            <w:tcW w:w="1134" w:type="dxa"/>
            <w:vAlign w:val="center"/>
          </w:tcPr>
          <w:p>
            <w:pPr>
              <w:pStyle w:val="13"/>
            </w:pPr>
            <w:r>
              <w:t>8.41</w:t>
            </w:r>
          </w:p>
        </w:tc>
        <w:tc>
          <w:tcPr>
            <w:tcW w:w="1134" w:type="dxa"/>
            <w:vAlign w:val="center"/>
          </w:tcPr>
          <w:p>
            <w:pPr>
              <w:pStyle w:val="13"/>
            </w:pPr>
            <w:r>
              <w:t>8.41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3"/>
            </w:pPr>
            <w:r>
              <w:t>17.26</w:t>
            </w:r>
          </w:p>
        </w:tc>
        <w:tc>
          <w:tcPr>
            <w:tcW w:w="1134" w:type="dxa"/>
            <w:vAlign w:val="center"/>
          </w:tcPr>
          <w:p>
            <w:pPr>
              <w:pStyle w:val="13"/>
            </w:pPr>
            <w:r>
              <w:t>17.26</w:t>
            </w:r>
          </w:p>
        </w:tc>
        <w:tc>
          <w:tcPr>
            <w:tcW w:w="1134" w:type="dxa"/>
            <w:vAlign w:val="center"/>
          </w:tcPr>
          <w:p>
            <w:pPr>
              <w:pStyle w:val="13"/>
            </w:pPr>
            <w:r>
              <w:t>17.26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3"/>
            </w:pPr>
            <w:r>
              <w:t>4715.29</w:t>
            </w:r>
          </w:p>
        </w:tc>
        <w:tc>
          <w:tcPr>
            <w:tcW w:w="1134" w:type="dxa"/>
            <w:vAlign w:val="center"/>
          </w:tcPr>
          <w:p>
            <w:pPr>
              <w:pStyle w:val="13"/>
            </w:pPr>
            <w:r>
              <w:t>2630.84</w:t>
            </w:r>
          </w:p>
        </w:tc>
        <w:tc>
          <w:tcPr>
            <w:tcW w:w="1134" w:type="dxa"/>
            <w:vAlign w:val="center"/>
          </w:tcPr>
          <w:p>
            <w:pPr>
              <w:pStyle w:val="13"/>
            </w:pPr>
            <w:r>
              <w:t>2630.84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2084.46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3"/>
            </w:pPr>
            <w:r>
              <w:t>860.48</w:t>
            </w:r>
          </w:p>
        </w:tc>
        <w:tc>
          <w:tcPr>
            <w:tcW w:w="1134" w:type="dxa"/>
            <w:vAlign w:val="center"/>
          </w:tcPr>
          <w:p>
            <w:pPr>
              <w:pStyle w:val="13"/>
            </w:pPr>
            <w:r>
              <w:t>789.00</w:t>
            </w:r>
          </w:p>
        </w:tc>
        <w:tc>
          <w:tcPr>
            <w:tcW w:w="1134" w:type="dxa"/>
            <w:vAlign w:val="center"/>
          </w:tcPr>
          <w:p>
            <w:pPr>
              <w:pStyle w:val="13"/>
            </w:pPr>
            <w:r>
              <w:t>789.00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2110401</w:t>
            </w:r>
          </w:p>
        </w:tc>
        <w:tc>
          <w:tcPr>
            <w:tcW w:w="1559" w:type="dxa"/>
            <w:vAlign w:val="center"/>
          </w:tcPr>
          <w:p>
            <w:pPr>
              <w:pStyle w:val="12"/>
            </w:pPr>
            <w:r>
              <w:t>生态保护</w:t>
            </w:r>
          </w:p>
        </w:tc>
        <w:tc>
          <w:tcPr>
            <w:tcW w:w="1134" w:type="dxa"/>
            <w:vAlign w:val="center"/>
          </w:tcPr>
          <w:p>
            <w:pPr>
              <w:pStyle w:val="13"/>
            </w:pPr>
            <w:r>
              <w:t>684.00</w:t>
            </w:r>
          </w:p>
        </w:tc>
        <w:tc>
          <w:tcPr>
            <w:tcW w:w="1134" w:type="dxa"/>
            <w:vAlign w:val="center"/>
          </w:tcPr>
          <w:p>
            <w:pPr>
              <w:pStyle w:val="13"/>
            </w:pPr>
            <w:r>
              <w:t>684.00</w:t>
            </w:r>
          </w:p>
        </w:tc>
        <w:tc>
          <w:tcPr>
            <w:tcW w:w="1134" w:type="dxa"/>
            <w:vAlign w:val="center"/>
          </w:tcPr>
          <w:p>
            <w:pPr>
              <w:pStyle w:val="13"/>
            </w:pPr>
            <w:r>
              <w:t>684.00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3"/>
            </w:pPr>
            <w:r>
              <w:t>176.48</w:t>
            </w:r>
          </w:p>
        </w:tc>
        <w:tc>
          <w:tcPr>
            <w:tcW w:w="1134" w:type="dxa"/>
            <w:vAlign w:val="center"/>
          </w:tcPr>
          <w:p>
            <w:pPr>
              <w:pStyle w:val="13"/>
            </w:pPr>
            <w:r>
              <w:t>105.00</w:t>
            </w:r>
          </w:p>
        </w:tc>
        <w:tc>
          <w:tcPr>
            <w:tcW w:w="1134" w:type="dxa"/>
            <w:vAlign w:val="center"/>
          </w:tcPr>
          <w:p>
            <w:pPr>
              <w:pStyle w:val="13"/>
            </w:pPr>
            <w:r>
              <w:t>105.00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3"/>
            </w:pPr>
            <w:r>
              <w:t>3331.27</w:t>
            </w:r>
          </w:p>
        </w:tc>
        <w:tc>
          <w:tcPr>
            <w:tcW w:w="1134" w:type="dxa"/>
            <w:vAlign w:val="center"/>
          </w:tcPr>
          <w:p>
            <w:pPr>
              <w:pStyle w:val="13"/>
            </w:pPr>
            <w:r>
              <w:t>1841.84</w:t>
            </w:r>
          </w:p>
        </w:tc>
        <w:tc>
          <w:tcPr>
            <w:tcW w:w="1134" w:type="dxa"/>
            <w:vAlign w:val="center"/>
          </w:tcPr>
          <w:p>
            <w:pPr>
              <w:pStyle w:val="13"/>
            </w:pPr>
            <w:r>
              <w:t>1841.84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3"/>
            </w:pPr>
            <w:r>
              <w:t>3164.59</w:t>
            </w:r>
          </w:p>
        </w:tc>
        <w:tc>
          <w:tcPr>
            <w:tcW w:w="1134" w:type="dxa"/>
            <w:vAlign w:val="center"/>
          </w:tcPr>
          <w:p>
            <w:pPr>
              <w:pStyle w:val="13"/>
            </w:pPr>
            <w:r>
              <w:t>1841.84</w:t>
            </w:r>
          </w:p>
        </w:tc>
        <w:tc>
          <w:tcPr>
            <w:tcW w:w="1134" w:type="dxa"/>
            <w:vAlign w:val="center"/>
          </w:tcPr>
          <w:p>
            <w:pPr>
              <w:pStyle w:val="13"/>
            </w:pPr>
            <w:r>
              <w:t>1841.84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2110507</w:t>
            </w:r>
          </w:p>
        </w:tc>
        <w:tc>
          <w:tcPr>
            <w:tcW w:w="1559" w:type="dxa"/>
            <w:vAlign w:val="center"/>
          </w:tcPr>
          <w:p>
            <w:pPr>
              <w:pStyle w:val="12"/>
            </w:pPr>
            <w:r>
              <w:t>停伐补助</w:t>
            </w:r>
          </w:p>
        </w:tc>
        <w:tc>
          <w:tcPr>
            <w:tcW w:w="1134" w:type="dxa"/>
            <w:vAlign w:val="center"/>
          </w:tcPr>
          <w:p>
            <w:pPr>
              <w:pStyle w:val="13"/>
            </w:pPr>
            <w:r>
              <w:t>104.10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2"/>
            </w:pPr>
            <w:r>
              <w:t>2110599</w:t>
            </w:r>
          </w:p>
        </w:tc>
        <w:tc>
          <w:tcPr>
            <w:tcW w:w="1559" w:type="dxa"/>
            <w:vAlign w:val="center"/>
          </w:tcPr>
          <w:p>
            <w:pPr>
              <w:pStyle w:val="12"/>
            </w:pPr>
            <w:r>
              <w:t>其他森林保护修复支出</w:t>
            </w:r>
          </w:p>
        </w:tc>
        <w:tc>
          <w:tcPr>
            <w:tcW w:w="1134" w:type="dxa"/>
            <w:vAlign w:val="center"/>
          </w:tcPr>
          <w:p>
            <w:pPr>
              <w:pStyle w:val="13"/>
            </w:pPr>
            <w:r>
              <w:t>62.58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2"/>
            </w:pPr>
            <w:r>
              <w:t>21198</w:t>
            </w:r>
          </w:p>
        </w:tc>
        <w:tc>
          <w:tcPr>
            <w:tcW w:w="1559" w:type="dxa"/>
            <w:vAlign w:val="center"/>
          </w:tcPr>
          <w:p>
            <w:pPr>
              <w:pStyle w:val="12"/>
            </w:pPr>
            <w:r>
              <w:t>超长期特别国债安排的支出</w:t>
            </w:r>
          </w:p>
        </w:tc>
        <w:tc>
          <w:tcPr>
            <w:tcW w:w="1134" w:type="dxa"/>
            <w:vAlign w:val="center"/>
          </w:tcPr>
          <w:p>
            <w:pPr>
              <w:pStyle w:val="13"/>
            </w:pPr>
            <w:r>
              <w:t>523.54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2"/>
            </w:pPr>
            <w:r>
              <w:t>2119803</w:t>
            </w:r>
          </w:p>
        </w:tc>
        <w:tc>
          <w:tcPr>
            <w:tcW w:w="1559" w:type="dxa"/>
            <w:vAlign w:val="center"/>
          </w:tcPr>
          <w:p>
            <w:pPr>
              <w:pStyle w:val="12"/>
            </w:pPr>
            <w:r>
              <w:t>“三北”工程建设</w:t>
            </w:r>
          </w:p>
        </w:tc>
        <w:tc>
          <w:tcPr>
            <w:tcW w:w="1134" w:type="dxa"/>
            <w:vAlign w:val="center"/>
          </w:tcPr>
          <w:p>
            <w:pPr>
              <w:pStyle w:val="13"/>
            </w:pPr>
            <w:r>
              <w:t>523.54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3"/>
            </w:pPr>
            <w:r>
              <w:t>8069.14</w:t>
            </w:r>
          </w:p>
        </w:tc>
        <w:tc>
          <w:tcPr>
            <w:tcW w:w="1134" w:type="dxa"/>
            <w:vAlign w:val="center"/>
          </w:tcPr>
          <w:p>
            <w:pPr>
              <w:pStyle w:val="13"/>
            </w:pPr>
            <w:r>
              <w:t>3821.23</w:t>
            </w:r>
          </w:p>
        </w:tc>
        <w:tc>
          <w:tcPr>
            <w:tcW w:w="1134" w:type="dxa"/>
            <w:vAlign w:val="center"/>
          </w:tcPr>
          <w:p>
            <w:pPr>
              <w:pStyle w:val="13"/>
            </w:pPr>
            <w:r>
              <w:t>3821.23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4247.91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3"/>
            </w:pPr>
            <w:r>
              <w:t>8061.17</w:t>
            </w:r>
          </w:p>
        </w:tc>
        <w:tc>
          <w:tcPr>
            <w:tcW w:w="1134" w:type="dxa"/>
            <w:vAlign w:val="center"/>
          </w:tcPr>
          <w:p>
            <w:pPr>
              <w:pStyle w:val="13"/>
            </w:pPr>
            <w:r>
              <w:t>3821.23</w:t>
            </w:r>
          </w:p>
        </w:tc>
        <w:tc>
          <w:tcPr>
            <w:tcW w:w="1134" w:type="dxa"/>
            <w:vAlign w:val="center"/>
          </w:tcPr>
          <w:p>
            <w:pPr>
              <w:pStyle w:val="13"/>
            </w:pPr>
            <w:r>
              <w:t>3821.23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4239.94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3"/>
            </w:pPr>
            <w:r>
              <w:t>1461.53</w:t>
            </w:r>
          </w:p>
        </w:tc>
        <w:tc>
          <w:tcPr>
            <w:tcW w:w="1134" w:type="dxa"/>
            <w:vAlign w:val="center"/>
          </w:tcPr>
          <w:p>
            <w:pPr>
              <w:pStyle w:val="13"/>
            </w:pPr>
            <w:r>
              <w:t>1379.10</w:t>
            </w:r>
          </w:p>
        </w:tc>
        <w:tc>
          <w:tcPr>
            <w:tcW w:w="1134" w:type="dxa"/>
            <w:vAlign w:val="center"/>
          </w:tcPr>
          <w:p>
            <w:pPr>
              <w:pStyle w:val="13"/>
            </w:pPr>
            <w:r>
              <w:t>1379.10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3"/>
            </w:pPr>
            <w:r>
              <w:t>227.38</w:t>
            </w:r>
          </w:p>
        </w:tc>
        <w:tc>
          <w:tcPr>
            <w:tcW w:w="1134" w:type="dxa"/>
            <w:vAlign w:val="center"/>
          </w:tcPr>
          <w:p>
            <w:pPr>
              <w:pStyle w:val="13"/>
            </w:pPr>
            <w:r>
              <w:t>227.38</w:t>
            </w:r>
          </w:p>
        </w:tc>
        <w:tc>
          <w:tcPr>
            <w:tcW w:w="1134" w:type="dxa"/>
            <w:vAlign w:val="center"/>
          </w:tcPr>
          <w:p>
            <w:pPr>
              <w:pStyle w:val="13"/>
            </w:pPr>
            <w:r>
              <w:t>227.38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3"/>
            </w:pPr>
            <w:r>
              <w:t>4046.93</w:t>
            </w:r>
          </w:p>
        </w:tc>
        <w:tc>
          <w:tcPr>
            <w:tcW w:w="1134" w:type="dxa"/>
            <w:vAlign w:val="center"/>
          </w:tcPr>
          <w:p>
            <w:pPr>
              <w:pStyle w:val="13"/>
            </w:pPr>
            <w:r>
              <w:t>1042.80</w:t>
            </w:r>
          </w:p>
        </w:tc>
        <w:tc>
          <w:tcPr>
            <w:tcW w:w="1134" w:type="dxa"/>
            <w:vAlign w:val="center"/>
          </w:tcPr>
          <w:p>
            <w:pPr>
              <w:pStyle w:val="13"/>
            </w:pPr>
            <w:r>
              <w:t>1042.80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2"/>
            </w:pPr>
            <w:r>
              <w:t>2130206</w:t>
            </w:r>
          </w:p>
        </w:tc>
        <w:tc>
          <w:tcPr>
            <w:tcW w:w="1559" w:type="dxa"/>
            <w:vAlign w:val="center"/>
          </w:tcPr>
          <w:p>
            <w:pPr>
              <w:pStyle w:val="12"/>
            </w:pPr>
            <w:r>
              <w:t>技术推广与转化</w:t>
            </w:r>
          </w:p>
        </w:tc>
        <w:tc>
          <w:tcPr>
            <w:tcW w:w="1134" w:type="dxa"/>
            <w:vAlign w:val="center"/>
          </w:tcPr>
          <w:p>
            <w:pPr>
              <w:pStyle w:val="13"/>
            </w:pPr>
            <w:r>
              <w:t>80.00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3"/>
            </w:pPr>
            <w:r>
              <w:t>477.46</w:t>
            </w:r>
          </w:p>
        </w:tc>
        <w:tc>
          <w:tcPr>
            <w:tcW w:w="1134" w:type="dxa"/>
            <w:vAlign w:val="center"/>
          </w:tcPr>
          <w:p>
            <w:pPr>
              <w:pStyle w:val="13"/>
            </w:pPr>
            <w:r>
              <w:t>427.24</w:t>
            </w:r>
          </w:p>
        </w:tc>
        <w:tc>
          <w:tcPr>
            <w:tcW w:w="1134" w:type="dxa"/>
            <w:vAlign w:val="center"/>
          </w:tcPr>
          <w:p>
            <w:pPr>
              <w:pStyle w:val="13"/>
            </w:pPr>
            <w:r>
              <w:t>427.24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2"/>
            </w:pPr>
            <w:r>
              <w:t>2130211</w:t>
            </w:r>
          </w:p>
        </w:tc>
        <w:tc>
          <w:tcPr>
            <w:tcW w:w="1559" w:type="dxa"/>
            <w:vAlign w:val="center"/>
          </w:tcPr>
          <w:p>
            <w:pPr>
              <w:pStyle w:val="12"/>
            </w:pPr>
            <w:r>
              <w:t>动植物保护</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2"/>
            </w:pPr>
            <w:r>
              <w:t>2130213</w:t>
            </w:r>
          </w:p>
        </w:tc>
        <w:tc>
          <w:tcPr>
            <w:tcW w:w="1559" w:type="dxa"/>
            <w:vAlign w:val="center"/>
          </w:tcPr>
          <w:p>
            <w:pPr>
              <w:pStyle w:val="12"/>
            </w:pPr>
            <w:r>
              <w:t>执法与监督</w:t>
            </w:r>
          </w:p>
        </w:tc>
        <w:tc>
          <w:tcPr>
            <w:tcW w:w="1134" w:type="dxa"/>
            <w:vAlign w:val="center"/>
          </w:tcPr>
          <w:p>
            <w:pPr>
              <w:pStyle w:val="13"/>
            </w:pPr>
            <w:r>
              <w:t>8.53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3"/>
            </w:pPr>
            <w:r>
              <w:t>280.00</w:t>
            </w:r>
          </w:p>
        </w:tc>
        <w:tc>
          <w:tcPr>
            <w:tcW w:w="1134" w:type="dxa"/>
            <w:vAlign w:val="center"/>
          </w:tcPr>
          <w:p>
            <w:pPr>
              <w:pStyle w:val="13"/>
            </w:pPr>
            <w:r>
              <w:t>153.00</w:t>
            </w:r>
          </w:p>
        </w:tc>
        <w:tc>
          <w:tcPr>
            <w:tcW w:w="1134" w:type="dxa"/>
            <w:vAlign w:val="center"/>
          </w:tcPr>
          <w:p>
            <w:pPr>
              <w:pStyle w:val="13"/>
            </w:pPr>
            <w:r>
              <w:t>153.00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3"/>
            </w:pPr>
            <w:r>
              <w:t>610.06</w:t>
            </w:r>
          </w:p>
        </w:tc>
        <w:tc>
          <w:tcPr>
            <w:tcW w:w="1134" w:type="dxa"/>
            <w:vAlign w:val="center"/>
          </w:tcPr>
          <w:p>
            <w:pPr>
              <w:pStyle w:val="13"/>
            </w:pPr>
            <w:r>
              <w:t>500.68</w:t>
            </w:r>
          </w:p>
        </w:tc>
        <w:tc>
          <w:tcPr>
            <w:tcW w:w="1134" w:type="dxa"/>
            <w:vAlign w:val="center"/>
          </w:tcPr>
          <w:p>
            <w:pPr>
              <w:pStyle w:val="13"/>
            </w:pPr>
            <w:r>
              <w:t>500.68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2"/>
            </w:pPr>
            <w:r>
              <w:t>2130237</w:t>
            </w:r>
          </w:p>
        </w:tc>
        <w:tc>
          <w:tcPr>
            <w:tcW w:w="1559" w:type="dxa"/>
            <w:vAlign w:val="center"/>
          </w:tcPr>
          <w:p>
            <w:pPr>
              <w:pStyle w:val="12"/>
            </w:pPr>
            <w:r>
              <w:t>行业业务管理</w:t>
            </w:r>
          </w:p>
        </w:tc>
        <w:tc>
          <w:tcPr>
            <w:tcW w:w="1134" w:type="dxa"/>
            <w:vAlign w:val="center"/>
          </w:tcPr>
          <w:p>
            <w:pPr>
              <w:pStyle w:val="13"/>
            </w:pPr>
            <w:r>
              <w:t>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3"/>
            </w:pPr>
            <w:r>
              <w:t>851.28</w:t>
            </w:r>
          </w:p>
        </w:tc>
        <w:tc>
          <w:tcPr>
            <w:tcW w:w="1134" w:type="dxa"/>
            <w:vAlign w:val="center"/>
          </w:tcPr>
          <w:p>
            <w:pPr>
              <w:pStyle w:val="13"/>
            </w:pPr>
            <w:r>
              <w:t>49.03</w:t>
            </w:r>
          </w:p>
        </w:tc>
        <w:tc>
          <w:tcPr>
            <w:tcW w:w="1134" w:type="dxa"/>
            <w:vAlign w:val="center"/>
          </w:tcPr>
          <w:p>
            <w:pPr>
              <w:pStyle w:val="13"/>
            </w:pPr>
            <w:r>
              <w:t>49.03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3"/>
            </w:pPr>
            <w:r>
              <w:t>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2"/>
            </w:pPr>
            <w:r>
              <w:t>2130505</w:t>
            </w:r>
          </w:p>
        </w:tc>
        <w:tc>
          <w:tcPr>
            <w:tcW w:w="1559" w:type="dxa"/>
            <w:vAlign w:val="center"/>
          </w:tcPr>
          <w:p>
            <w:pPr>
              <w:pStyle w:val="12"/>
            </w:pPr>
            <w:r>
              <w:t>生产发展</w:t>
            </w:r>
          </w:p>
        </w:tc>
        <w:tc>
          <w:tcPr>
            <w:tcW w:w="1134" w:type="dxa"/>
            <w:vAlign w:val="center"/>
          </w:tcPr>
          <w:p>
            <w:pPr>
              <w:pStyle w:val="13"/>
            </w:pPr>
            <w:r>
              <w:t>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r>
              <w:t>26.65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12937.97</w:t>
            </w:r>
          </w:p>
        </w:tc>
        <w:tc>
          <w:tcPr>
            <w:tcW w:w="1361" w:type="dxa"/>
            <w:vAlign w:val="center"/>
          </w:tcPr>
          <w:p>
            <w:pPr>
              <w:pStyle w:val="15"/>
            </w:pPr>
            <w:r>
              <w:t>1842.44</w:t>
            </w:r>
          </w:p>
        </w:tc>
        <w:tc>
          <w:tcPr>
            <w:tcW w:w="1361" w:type="dxa"/>
            <w:vAlign w:val="center"/>
          </w:tcPr>
          <w:p>
            <w:pPr>
              <w:pStyle w:val="15"/>
            </w:pPr>
            <w:r>
              <w:t>11095.52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101.21</w:t>
            </w:r>
          </w:p>
        </w:tc>
        <w:tc>
          <w:tcPr>
            <w:tcW w:w="1361" w:type="dxa"/>
            <w:vAlign w:val="center"/>
          </w:tcPr>
          <w:p>
            <w:pPr>
              <w:pStyle w:val="13"/>
            </w:pPr>
            <w:r>
              <w:t>101.21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87.89</w:t>
            </w:r>
          </w:p>
        </w:tc>
        <w:tc>
          <w:tcPr>
            <w:tcW w:w="1361" w:type="dxa"/>
            <w:vAlign w:val="center"/>
          </w:tcPr>
          <w:p>
            <w:pPr>
              <w:pStyle w:val="13"/>
            </w:pPr>
            <w:r>
              <w:t>87.89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3"/>
            </w:pPr>
            <w:r>
              <w:t>36.02</w:t>
            </w:r>
          </w:p>
        </w:tc>
        <w:tc>
          <w:tcPr>
            <w:tcW w:w="1361" w:type="dxa"/>
            <w:vAlign w:val="center"/>
          </w:tcPr>
          <w:p>
            <w:pPr>
              <w:pStyle w:val="13"/>
            </w:pPr>
            <w:r>
              <w:t>36.02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51.87</w:t>
            </w:r>
          </w:p>
        </w:tc>
        <w:tc>
          <w:tcPr>
            <w:tcW w:w="1361" w:type="dxa"/>
            <w:vAlign w:val="center"/>
          </w:tcPr>
          <w:p>
            <w:pPr>
              <w:pStyle w:val="13"/>
            </w:pPr>
            <w:r>
              <w:t>51.87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13.33</w:t>
            </w:r>
          </w:p>
        </w:tc>
        <w:tc>
          <w:tcPr>
            <w:tcW w:w="1361" w:type="dxa"/>
            <w:vAlign w:val="center"/>
          </w:tcPr>
          <w:p>
            <w:pPr>
              <w:pStyle w:val="13"/>
            </w:pPr>
            <w:r>
              <w:t>13.33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3"/>
            </w:pPr>
            <w:r>
              <w:t>13.33</w:t>
            </w:r>
          </w:p>
        </w:tc>
        <w:tc>
          <w:tcPr>
            <w:tcW w:w="1361" w:type="dxa"/>
            <w:vAlign w:val="center"/>
          </w:tcPr>
          <w:p>
            <w:pPr>
              <w:pStyle w:val="13"/>
            </w:pPr>
            <w:r>
              <w:t>13.33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25.66</w:t>
            </w:r>
          </w:p>
        </w:tc>
        <w:tc>
          <w:tcPr>
            <w:tcW w:w="1361" w:type="dxa"/>
            <w:vAlign w:val="center"/>
          </w:tcPr>
          <w:p>
            <w:pPr>
              <w:pStyle w:val="13"/>
            </w:pPr>
            <w:r>
              <w:t>25.66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25.66</w:t>
            </w:r>
          </w:p>
        </w:tc>
        <w:tc>
          <w:tcPr>
            <w:tcW w:w="1361" w:type="dxa"/>
            <w:vAlign w:val="center"/>
          </w:tcPr>
          <w:p>
            <w:pPr>
              <w:pStyle w:val="13"/>
            </w:pPr>
            <w:r>
              <w:t>25.66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3"/>
            </w:pPr>
            <w:r>
              <w:t>8.41</w:t>
            </w:r>
          </w:p>
        </w:tc>
        <w:tc>
          <w:tcPr>
            <w:tcW w:w="1361" w:type="dxa"/>
            <w:vAlign w:val="center"/>
          </w:tcPr>
          <w:p>
            <w:pPr>
              <w:pStyle w:val="13"/>
            </w:pPr>
            <w:r>
              <w:t>8.41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3"/>
            </w:pPr>
            <w:r>
              <w:t>17.26</w:t>
            </w:r>
          </w:p>
        </w:tc>
        <w:tc>
          <w:tcPr>
            <w:tcW w:w="1361" w:type="dxa"/>
            <w:vAlign w:val="center"/>
          </w:tcPr>
          <w:p>
            <w:pPr>
              <w:pStyle w:val="13"/>
            </w:pPr>
            <w:r>
              <w:t>17.26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3"/>
            </w:pPr>
            <w:r>
              <w:t>4715.29</w:t>
            </w:r>
          </w:p>
        </w:tc>
        <w:tc>
          <w:tcPr>
            <w:tcW w:w="1361" w:type="dxa"/>
            <w:vAlign w:val="center"/>
          </w:tcPr>
          <w:p>
            <w:pPr>
              <w:pStyle w:val="13"/>
            </w:pPr>
          </w:p>
        </w:tc>
        <w:tc>
          <w:tcPr>
            <w:tcW w:w="1361" w:type="dxa"/>
            <w:vAlign w:val="center"/>
          </w:tcPr>
          <w:p>
            <w:pPr>
              <w:pStyle w:val="13"/>
            </w:pPr>
            <w:r>
              <w:t>4715.29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3"/>
            </w:pPr>
            <w:r>
              <w:t>860.48</w:t>
            </w:r>
          </w:p>
        </w:tc>
        <w:tc>
          <w:tcPr>
            <w:tcW w:w="1361" w:type="dxa"/>
            <w:vAlign w:val="center"/>
          </w:tcPr>
          <w:p>
            <w:pPr>
              <w:pStyle w:val="13"/>
            </w:pPr>
          </w:p>
        </w:tc>
        <w:tc>
          <w:tcPr>
            <w:tcW w:w="1361" w:type="dxa"/>
            <w:vAlign w:val="center"/>
          </w:tcPr>
          <w:p>
            <w:pPr>
              <w:pStyle w:val="13"/>
            </w:pPr>
            <w:r>
              <w:t>860.48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2110401</w:t>
            </w:r>
          </w:p>
        </w:tc>
        <w:tc>
          <w:tcPr>
            <w:tcW w:w="4535" w:type="dxa"/>
            <w:vAlign w:val="center"/>
          </w:tcPr>
          <w:p>
            <w:pPr>
              <w:pStyle w:val="12"/>
            </w:pPr>
            <w:r>
              <w:t>生态保护</w:t>
            </w:r>
          </w:p>
        </w:tc>
        <w:tc>
          <w:tcPr>
            <w:tcW w:w="1361" w:type="dxa"/>
            <w:vAlign w:val="center"/>
          </w:tcPr>
          <w:p>
            <w:pPr>
              <w:pStyle w:val="13"/>
            </w:pPr>
            <w:r>
              <w:t>684.00</w:t>
            </w:r>
          </w:p>
        </w:tc>
        <w:tc>
          <w:tcPr>
            <w:tcW w:w="1361" w:type="dxa"/>
            <w:vAlign w:val="center"/>
          </w:tcPr>
          <w:p>
            <w:pPr>
              <w:pStyle w:val="13"/>
            </w:pPr>
          </w:p>
        </w:tc>
        <w:tc>
          <w:tcPr>
            <w:tcW w:w="1361" w:type="dxa"/>
            <w:vAlign w:val="center"/>
          </w:tcPr>
          <w:p>
            <w:pPr>
              <w:pStyle w:val="13"/>
            </w:pPr>
            <w:r>
              <w:t>684.00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3"/>
            </w:pPr>
            <w:r>
              <w:t>176.48</w:t>
            </w:r>
          </w:p>
        </w:tc>
        <w:tc>
          <w:tcPr>
            <w:tcW w:w="1361" w:type="dxa"/>
            <w:vAlign w:val="center"/>
          </w:tcPr>
          <w:p>
            <w:pPr>
              <w:pStyle w:val="13"/>
            </w:pPr>
          </w:p>
        </w:tc>
        <w:tc>
          <w:tcPr>
            <w:tcW w:w="1361" w:type="dxa"/>
            <w:vAlign w:val="center"/>
          </w:tcPr>
          <w:p>
            <w:pPr>
              <w:pStyle w:val="13"/>
            </w:pPr>
            <w:r>
              <w:t>176.48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3"/>
            </w:pPr>
            <w:r>
              <w:t>3331.27</w:t>
            </w:r>
          </w:p>
        </w:tc>
        <w:tc>
          <w:tcPr>
            <w:tcW w:w="1361" w:type="dxa"/>
            <w:vAlign w:val="center"/>
          </w:tcPr>
          <w:p>
            <w:pPr>
              <w:pStyle w:val="13"/>
            </w:pPr>
          </w:p>
        </w:tc>
        <w:tc>
          <w:tcPr>
            <w:tcW w:w="1361" w:type="dxa"/>
            <w:vAlign w:val="center"/>
          </w:tcPr>
          <w:p>
            <w:pPr>
              <w:pStyle w:val="13"/>
            </w:pPr>
            <w:r>
              <w:t>3331.27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3"/>
            </w:pPr>
            <w:r>
              <w:t>3164.59</w:t>
            </w:r>
          </w:p>
        </w:tc>
        <w:tc>
          <w:tcPr>
            <w:tcW w:w="1361" w:type="dxa"/>
            <w:vAlign w:val="center"/>
          </w:tcPr>
          <w:p>
            <w:pPr>
              <w:pStyle w:val="13"/>
            </w:pPr>
          </w:p>
        </w:tc>
        <w:tc>
          <w:tcPr>
            <w:tcW w:w="1361" w:type="dxa"/>
            <w:vAlign w:val="center"/>
          </w:tcPr>
          <w:p>
            <w:pPr>
              <w:pStyle w:val="13"/>
            </w:pPr>
            <w:r>
              <w:t>3164.59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2110507</w:t>
            </w:r>
          </w:p>
        </w:tc>
        <w:tc>
          <w:tcPr>
            <w:tcW w:w="4535" w:type="dxa"/>
            <w:vAlign w:val="center"/>
          </w:tcPr>
          <w:p>
            <w:pPr>
              <w:pStyle w:val="12"/>
            </w:pPr>
            <w:r>
              <w:t>停伐补助</w:t>
            </w:r>
          </w:p>
        </w:tc>
        <w:tc>
          <w:tcPr>
            <w:tcW w:w="1361" w:type="dxa"/>
            <w:vAlign w:val="center"/>
          </w:tcPr>
          <w:p>
            <w:pPr>
              <w:pStyle w:val="13"/>
            </w:pPr>
            <w:r>
              <w:t>104.10</w:t>
            </w:r>
          </w:p>
        </w:tc>
        <w:tc>
          <w:tcPr>
            <w:tcW w:w="1361" w:type="dxa"/>
            <w:vAlign w:val="center"/>
          </w:tcPr>
          <w:p>
            <w:pPr>
              <w:pStyle w:val="13"/>
            </w:pPr>
          </w:p>
        </w:tc>
        <w:tc>
          <w:tcPr>
            <w:tcW w:w="1361" w:type="dxa"/>
            <w:vAlign w:val="center"/>
          </w:tcPr>
          <w:p>
            <w:pPr>
              <w:pStyle w:val="13"/>
            </w:pPr>
            <w:r>
              <w:t>104.10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2"/>
            </w:pPr>
            <w:r>
              <w:t>2110599</w:t>
            </w:r>
          </w:p>
        </w:tc>
        <w:tc>
          <w:tcPr>
            <w:tcW w:w="4535" w:type="dxa"/>
            <w:vAlign w:val="center"/>
          </w:tcPr>
          <w:p>
            <w:pPr>
              <w:pStyle w:val="12"/>
            </w:pPr>
            <w:r>
              <w:t>其他森林保护修复支出</w:t>
            </w:r>
          </w:p>
        </w:tc>
        <w:tc>
          <w:tcPr>
            <w:tcW w:w="1361" w:type="dxa"/>
            <w:vAlign w:val="center"/>
          </w:tcPr>
          <w:p>
            <w:pPr>
              <w:pStyle w:val="13"/>
            </w:pPr>
            <w:r>
              <w:t>62.58</w:t>
            </w:r>
          </w:p>
        </w:tc>
        <w:tc>
          <w:tcPr>
            <w:tcW w:w="1361" w:type="dxa"/>
            <w:vAlign w:val="center"/>
          </w:tcPr>
          <w:p>
            <w:pPr>
              <w:pStyle w:val="13"/>
            </w:pPr>
          </w:p>
        </w:tc>
        <w:tc>
          <w:tcPr>
            <w:tcW w:w="1361" w:type="dxa"/>
            <w:vAlign w:val="center"/>
          </w:tcPr>
          <w:p>
            <w:pPr>
              <w:pStyle w:val="13"/>
            </w:pPr>
            <w:r>
              <w:t>62.58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2"/>
            </w:pPr>
            <w:r>
              <w:t>21198</w:t>
            </w:r>
          </w:p>
        </w:tc>
        <w:tc>
          <w:tcPr>
            <w:tcW w:w="4535" w:type="dxa"/>
            <w:vAlign w:val="center"/>
          </w:tcPr>
          <w:p>
            <w:pPr>
              <w:pStyle w:val="12"/>
            </w:pPr>
            <w:r>
              <w:t>超长期特别国债安排的支出</w:t>
            </w:r>
          </w:p>
        </w:tc>
        <w:tc>
          <w:tcPr>
            <w:tcW w:w="1361" w:type="dxa"/>
            <w:vAlign w:val="center"/>
          </w:tcPr>
          <w:p>
            <w:pPr>
              <w:pStyle w:val="13"/>
            </w:pPr>
            <w:r>
              <w:t>523.54</w:t>
            </w:r>
          </w:p>
        </w:tc>
        <w:tc>
          <w:tcPr>
            <w:tcW w:w="1361" w:type="dxa"/>
            <w:vAlign w:val="center"/>
          </w:tcPr>
          <w:p>
            <w:pPr>
              <w:pStyle w:val="13"/>
            </w:pPr>
          </w:p>
        </w:tc>
        <w:tc>
          <w:tcPr>
            <w:tcW w:w="1361" w:type="dxa"/>
            <w:vAlign w:val="center"/>
          </w:tcPr>
          <w:p>
            <w:pPr>
              <w:pStyle w:val="13"/>
            </w:pPr>
            <w:r>
              <w:t>523.54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2"/>
            </w:pPr>
            <w:r>
              <w:t>2119803</w:t>
            </w:r>
          </w:p>
        </w:tc>
        <w:tc>
          <w:tcPr>
            <w:tcW w:w="4535" w:type="dxa"/>
            <w:vAlign w:val="center"/>
          </w:tcPr>
          <w:p>
            <w:pPr>
              <w:pStyle w:val="12"/>
            </w:pPr>
            <w:r>
              <w:t>“三北”工程建设</w:t>
            </w:r>
          </w:p>
        </w:tc>
        <w:tc>
          <w:tcPr>
            <w:tcW w:w="1361" w:type="dxa"/>
            <w:vAlign w:val="center"/>
          </w:tcPr>
          <w:p>
            <w:pPr>
              <w:pStyle w:val="13"/>
            </w:pPr>
            <w:r>
              <w:t>523.54</w:t>
            </w:r>
          </w:p>
        </w:tc>
        <w:tc>
          <w:tcPr>
            <w:tcW w:w="1361" w:type="dxa"/>
            <w:vAlign w:val="center"/>
          </w:tcPr>
          <w:p>
            <w:pPr>
              <w:pStyle w:val="13"/>
            </w:pPr>
          </w:p>
        </w:tc>
        <w:tc>
          <w:tcPr>
            <w:tcW w:w="1361" w:type="dxa"/>
            <w:vAlign w:val="center"/>
          </w:tcPr>
          <w:p>
            <w:pPr>
              <w:pStyle w:val="13"/>
            </w:pPr>
            <w:r>
              <w:t>523.54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3"/>
            </w:pPr>
            <w:r>
              <w:t>8069.14</w:t>
            </w:r>
          </w:p>
        </w:tc>
        <w:tc>
          <w:tcPr>
            <w:tcW w:w="1361" w:type="dxa"/>
            <w:vAlign w:val="center"/>
          </w:tcPr>
          <w:p>
            <w:pPr>
              <w:pStyle w:val="13"/>
            </w:pPr>
            <w:r>
              <w:t>1688.91</w:t>
            </w:r>
          </w:p>
        </w:tc>
        <w:tc>
          <w:tcPr>
            <w:tcW w:w="1361" w:type="dxa"/>
            <w:vAlign w:val="center"/>
          </w:tcPr>
          <w:p>
            <w:pPr>
              <w:pStyle w:val="13"/>
            </w:pPr>
            <w:r>
              <w:t>6380.23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3"/>
            </w:pPr>
            <w:r>
              <w:t>8061.17</w:t>
            </w:r>
          </w:p>
        </w:tc>
        <w:tc>
          <w:tcPr>
            <w:tcW w:w="1361" w:type="dxa"/>
            <w:vAlign w:val="center"/>
          </w:tcPr>
          <w:p>
            <w:pPr>
              <w:pStyle w:val="13"/>
            </w:pPr>
            <w:r>
              <w:t>1688.91</w:t>
            </w:r>
          </w:p>
        </w:tc>
        <w:tc>
          <w:tcPr>
            <w:tcW w:w="1361" w:type="dxa"/>
            <w:vAlign w:val="center"/>
          </w:tcPr>
          <w:p>
            <w:pPr>
              <w:pStyle w:val="13"/>
            </w:pPr>
            <w:r>
              <w:t>6372.26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3"/>
            </w:pPr>
            <w:r>
              <w:t>1461.53</w:t>
            </w:r>
          </w:p>
        </w:tc>
        <w:tc>
          <w:tcPr>
            <w:tcW w:w="1361" w:type="dxa"/>
            <w:vAlign w:val="center"/>
          </w:tcPr>
          <w:p>
            <w:pPr>
              <w:pStyle w:val="13"/>
            </w:pPr>
            <w:r>
              <w:t>1461.53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3"/>
            </w:pPr>
            <w:r>
              <w:t>227.38</w:t>
            </w:r>
          </w:p>
        </w:tc>
        <w:tc>
          <w:tcPr>
            <w:tcW w:w="1361" w:type="dxa"/>
            <w:vAlign w:val="center"/>
          </w:tcPr>
          <w:p>
            <w:pPr>
              <w:pStyle w:val="13"/>
            </w:pPr>
            <w:r>
              <w:t>227.38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3"/>
            </w:pPr>
            <w:r>
              <w:t>4046.93</w:t>
            </w:r>
          </w:p>
        </w:tc>
        <w:tc>
          <w:tcPr>
            <w:tcW w:w="1361" w:type="dxa"/>
            <w:vAlign w:val="center"/>
          </w:tcPr>
          <w:p>
            <w:pPr>
              <w:pStyle w:val="13"/>
            </w:pPr>
          </w:p>
        </w:tc>
        <w:tc>
          <w:tcPr>
            <w:tcW w:w="1361" w:type="dxa"/>
            <w:vAlign w:val="center"/>
          </w:tcPr>
          <w:p>
            <w:pPr>
              <w:pStyle w:val="13"/>
            </w:pPr>
            <w:r>
              <w:t>4046.93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2"/>
            </w:pPr>
            <w:r>
              <w:t>2130206</w:t>
            </w:r>
          </w:p>
        </w:tc>
        <w:tc>
          <w:tcPr>
            <w:tcW w:w="4535" w:type="dxa"/>
            <w:vAlign w:val="center"/>
          </w:tcPr>
          <w:p>
            <w:pPr>
              <w:pStyle w:val="12"/>
            </w:pPr>
            <w:r>
              <w:t>技术推广与转化</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3"/>
            </w:pPr>
            <w:r>
              <w:t>477.46</w:t>
            </w:r>
          </w:p>
        </w:tc>
        <w:tc>
          <w:tcPr>
            <w:tcW w:w="1361" w:type="dxa"/>
            <w:vAlign w:val="center"/>
          </w:tcPr>
          <w:p>
            <w:pPr>
              <w:pStyle w:val="13"/>
            </w:pPr>
          </w:p>
        </w:tc>
        <w:tc>
          <w:tcPr>
            <w:tcW w:w="1361" w:type="dxa"/>
            <w:vAlign w:val="center"/>
          </w:tcPr>
          <w:p>
            <w:pPr>
              <w:pStyle w:val="13"/>
            </w:pPr>
            <w:r>
              <w:t>477.46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2"/>
            </w:pPr>
            <w:r>
              <w:t>2130211</w:t>
            </w:r>
          </w:p>
        </w:tc>
        <w:tc>
          <w:tcPr>
            <w:tcW w:w="4535" w:type="dxa"/>
            <w:vAlign w:val="center"/>
          </w:tcPr>
          <w:p>
            <w:pPr>
              <w:pStyle w:val="12"/>
            </w:pPr>
            <w:r>
              <w:t>动植物保护</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2"/>
            </w:pPr>
            <w:r>
              <w:t>2130213</w:t>
            </w:r>
          </w:p>
        </w:tc>
        <w:tc>
          <w:tcPr>
            <w:tcW w:w="4535" w:type="dxa"/>
            <w:vAlign w:val="center"/>
          </w:tcPr>
          <w:p>
            <w:pPr>
              <w:pStyle w:val="12"/>
            </w:pPr>
            <w:r>
              <w:t>执法与监督</w:t>
            </w:r>
          </w:p>
        </w:tc>
        <w:tc>
          <w:tcPr>
            <w:tcW w:w="1361" w:type="dxa"/>
            <w:vAlign w:val="center"/>
          </w:tcPr>
          <w:p>
            <w:pPr>
              <w:pStyle w:val="13"/>
            </w:pPr>
            <w:r>
              <w:t>8.53</w:t>
            </w:r>
          </w:p>
        </w:tc>
        <w:tc>
          <w:tcPr>
            <w:tcW w:w="1361" w:type="dxa"/>
            <w:vAlign w:val="center"/>
          </w:tcPr>
          <w:p>
            <w:pPr>
              <w:pStyle w:val="13"/>
            </w:pPr>
          </w:p>
        </w:tc>
        <w:tc>
          <w:tcPr>
            <w:tcW w:w="1361" w:type="dxa"/>
            <w:vAlign w:val="center"/>
          </w:tcPr>
          <w:p>
            <w:pPr>
              <w:pStyle w:val="13"/>
            </w:pPr>
            <w:r>
              <w:t>8.53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3"/>
            </w:pPr>
            <w:r>
              <w:t>280.00</w:t>
            </w:r>
          </w:p>
        </w:tc>
        <w:tc>
          <w:tcPr>
            <w:tcW w:w="1361" w:type="dxa"/>
            <w:vAlign w:val="center"/>
          </w:tcPr>
          <w:p>
            <w:pPr>
              <w:pStyle w:val="13"/>
            </w:pPr>
          </w:p>
        </w:tc>
        <w:tc>
          <w:tcPr>
            <w:tcW w:w="1361" w:type="dxa"/>
            <w:vAlign w:val="center"/>
          </w:tcPr>
          <w:p>
            <w:pPr>
              <w:pStyle w:val="13"/>
            </w:pPr>
            <w:r>
              <w:t>280.00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3"/>
            </w:pPr>
            <w:r>
              <w:t>610.06</w:t>
            </w:r>
          </w:p>
        </w:tc>
        <w:tc>
          <w:tcPr>
            <w:tcW w:w="1361" w:type="dxa"/>
            <w:vAlign w:val="center"/>
          </w:tcPr>
          <w:p>
            <w:pPr>
              <w:pStyle w:val="13"/>
            </w:pPr>
          </w:p>
        </w:tc>
        <w:tc>
          <w:tcPr>
            <w:tcW w:w="1361" w:type="dxa"/>
            <w:vAlign w:val="center"/>
          </w:tcPr>
          <w:p>
            <w:pPr>
              <w:pStyle w:val="13"/>
            </w:pPr>
            <w:r>
              <w:t>610.06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2"/>
            </w:pPr>
            <w:r>
              <w:t>2130237</w:t>
            </w:r>
          </w:p>
        </w:tc>
        <w:tc>
          <w:tcPr>
            <w:tcW w:w="4535" w:type="dxa"/>
            <w:vAlign w:val="center"/>
          </w:tcPr>
          <w:p>
            <w:pPr>
              <w:pStyle w:val="12"/>
            </w:pPr>
            <w:r>
              <w:t>行业业务管理</w:t>
            </w:r>
          </w:p>
        </w:tc>
        <w:tc>
          <w:tcPr>
            <w:tcW w:w="1361" w:type="dxa"/>
            <w:vAlign w:val="center"/>
          </w:tcPr>
          <w:p>
            <w:pPr>
              <w:pStyle w:val="13"/>
            </w:pPr>
            <w:r>
              <w:t>16.00</w:t>
            </w:r>
          </w:p>
        </w:tc>
        <w:tc>
          <w:tcPr>
            <w:tcW w:w="1361" w:type="dxa"/>
            <w:vAlign w:val="center"/>
          </w:tcPr>
          <w:p>
            <w:pPr>
              <w:pStyle w:val="13"/>
            </w:pPr>
          </w:p>
        </w:tc>
        <w:tc>
          <w:tcPr>
            <w:tcW w:w="1361" w:type="dxa"/>
            <w:vAlign w:val="center"/>
          </w:tcPr>
          <w:p>
            <w:pPr>
              <w:pStyle w:val="13"/>
            </w:pPr>
            <w:r>
              <w:t>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3"/>
            </w:pPr>
            <w:r>
              <w:t>851.28</w:t>
            </w:r>
          </w:p>
        </w:tc>
        <w:tc>
          <w:tcPr>
            <w:tcW w:w="1361" w:type="dxa"/>
            <w:vAlign w:val="center"/>
          </w:tcPr>
          <w:p>
            <w:pPr>
              <w:pStyle w:val="13"/>
            </w:pPr>
          </w:p>
        </w:tc>
        <w:tc>
          <w:tcPr>
            <w:tcW w:w="1361" w:type="dxa"/>
            <w:vAlign w:val="center"/>
          </w:tcPr>
          <w:p>
            <w:pPr>
              <w:pStyle w:val="13"/>
            </w:pPr>
            <w:r>
              <w:t>851.28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3"/>
            </w:pPr>
            <w:r>
              <w:t>7.97</w:t>
            </w:r>
          </w:p>
        </w:tc>
        <w:tc>
          <w:tcPr>
            <w:tcW w:w="1361" w:type="dxa"/>
            <w:vAlign w:val="center"/>
          </w:tcPr>
          <w:p>
            <w:pPr>
              <w:pStyle w:val="13"/>
            </w:pPr>
          </w:p>
        </w:tc>
        <w:tc>
          <w:tcPr>
            <w:tcW w:w="1361" w:type="dxa"/>
            <w:vAlign w:val="center"/>
          </w:tcPr>
          <w:p>
            <w:pPr>
              <w:pStyle w:val="13"/>
            </w:pPr>
            <w:r>
              <w:t>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2"/>
            </w:pPr>
            <w:r>
              <w:t>2130505</w:t>
            </w:r>
          </w:p>
        </w:tc>
        <w:tc>
          <w:tcPr>
            <w:tcW w:w="4535" w:type="dxa"/>
            <w:vAlign w:val="center"/>
          </w:tcPr>
          <w:p>
            <w:pPr>
              <w:pStyle w:val="12"/>
            </w:pPr>
            <w:r>
              <w:t>生产发展</w:t>
            </w:r>
          </w:p>
        </w:tc>
        <w:tc>
          <w:tcPr>
            <w:tcW w:w="1361" w:type="dxa"/>
            <w:vAlign w:val="center"/>
          </w:tcPr>
          <w:p>
            <w:pPr>
              <w:pStyle w:val="13"/>
            </w:pPr>
            <w:r>
              <w:t>7.97</w:t>
            </w:r>
          </w:p>
        </w:tc>
        <w:tc>
          <w:tcPr>
            <w:tcW w:w="1361" w:type="dxa"/>
            <w:vAlign w:val="center"/>
          </w:tcPr>
          <w:p>
            <w:pPr>
              <w:pStyle w:val="13"/>
            </w:pPr>
          </w:p>
        </w:tc>
        <w:tc>
          <w:tcPr>
            <w:tcW w:w="1361" w:type="dxa"/>
            <w:vAlign w:val="center"/>
          </w:tcPr>
          <w:p>
            <w:pPr>
              <w:pStyle w:val="13"/>
            </w:pPr>
            <w:r>
              <w:t>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26.65</w:t>
            </w:r>
          </w:p>
        </w:tc>
        <w:tc>
          <w:tcPr>
            <w:tcW w:w="1361" w:type="dxa"/>
            <w:vAlign w:val="center"/>
          </w:tcPr>
          <w:p>
            <w:pPr>
              <w:pStyle w:val="13"/>
            </w:pPr>
            <w:r>
              <w:t>26.65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26.65</w:t>
            </w:r>
          </w:p>
        </w:tc>
        <w:tc>
          <w:tcPr>
            <w:tcW w:w="1361" w:type="dxa"/>
            <w:vAlign w:val="center"/>
          </w:tcPr>
          <w:p>
            <w:pPr>
              <w:pStyle w:val="13"/>
            </w:pPr>
            <w:r>
              <w:t>26.65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26.65</w:t>
            </w:r>
          </w:p>
        </w:tc>
        <w:tc>
          <w:tcPr>
            <w:tcW w:w="1361" w:type="dxa"/>
            <w:vAlign w:val="center"/>
          </w:tcPr>
          <w:p>
            <w:pPr>
              <w:pStyle w:val="13"/>
            </w:pPr>
            <w:r>
              <w:t>26.65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6605.03</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101.21</w:t>
            </w:r>
          </w:p>
        </w:tc>
        <w:tc>
          <w:tcPr>
            <w:tcW w:w="1474" w:type="dxa"/>
            <w:vAlign w:val="center"/>
          </w:tcPr>
          <w:p>
            <w:pPr>
              <w:pStyle w:val="13"/>
            </w:pPr>
            <w:r>
              <w:t>101.21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25.66</w:t>
            </w:r>
          </w:p>
        </w:tc>
        <w:tc>
          <w:tcPr>
            <w:tcW w:w="1474" w:type="dxa"/>
            <w:vAlign w:val="center"/>
          </w:tcPr>
          <w:p>
            <w:pPr>
              <w:pStyle w:val="13"/>
            </w:pPr>
            <w:r>
              <w:t>25.66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r>
              <w:t>4715.29</w:t>
            </w:r>
          </w:p>
        </w:tc>
        <w:tc>
          <w:tcPr>
            <w:tcW w:w="1474" w:type="dxa"/>
            <w:vAlign w:val="center"/>
          </w:tcPr>
          <w:p>
            <w:pPr>
              <w:pStyle w:val="13"/>
            </w:pPr>
            <w:r>
              <w:t>4191.75</w:t>
            </w:r>
          </w:p>
        </w:tc>
        <w:tc>
          <w:tcPr>
            <w:tcW w:w="1474" w:type="dxa"/>
            <w:vAlign w:val="center"/>
          </w:tcPr>
          <w:p>
            <w:pPr>
              <w:pStyle w:val="13"/>
            </w:pPr>
            <w:r>
              <w:t>523.54</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8069.14</w:t>
            </w:r>
          </w:p>
        </w:tc>
        <w:tc>
          <w:tcPr>
            <w:tcW w:w="1474" w:type="dxa"/>
            <w:vAlign w:val="center"/>
          </w:tcPr>
          <w:p>
            <w:pPr>
              <w:pStyle w:val="13"/>
            </w:pPr>
            <w:r>
              <w:t>8069.14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26.65</w:t>
            </w:r>
          </w:p>
        </w:tc>
        <w:tc>
          <w:tcPr>
            <w:tcW w:w="1474" w:type="dxa"/>
            <w:vAlign w:val="center"/>
          </w:tcPr>
          <w:p>
            <w:pPr>
              <w:pStyle w:val="13"/>
            </w:pPr>
            <w:r>
              <w:t>26.65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4"/>
            </w:pPr>
            <w:r>
              <w:t>本年收入合计</w:t>
            </w:r>
          </w:p>
        </w:tc>
        <w:tc>
          <w:tcPr>
            <w:tcW w:w="1474" w:type="dxa"/>
            <w:vAlign w:val="center"/>
          </w:tcPr>
          <w:p>
            <w:pPr>
              <w:pStyle w:val="15"/>
            </w:pPr>
            <w:r>
              <w:t>6605.03</w:t>
            </w:r>
          </w:p>
        </w:tc>
        <w:tc>
          <w:tcPr>
            <w:tcW w:w="3402" w:type="dxa"/>
            <w:vAlign w:val="center"/>
          </w:tcPr>
          <w:p>
            <w:pPr>
              <w:pStyle w:val="14"/>
            </w:pPr>
            <w:r>
              <w:t>本年支出合计</w:t>
            </w:r>
          </w:p>
        </w:tc>
        <w:tc>
          <w:tcPr>
            <w:tcW w:w="1474" w:type="dxa"/>
            <w:vAlign w:val="center"/>
          </w:tcPr>
          <w:p>
            <w:pPr>
              <w:pStyle w:val="15"/>
            </w:pPr>
            <w:r>
              <w:t>12937.97</w:t>
            </w:r>
          </w:p>
        </w:tc>
        <w:tc>
          <w:tcPr>
            <w:tcW w:w="1474" w:type="dxa"/>
            <w:vAlign w:val="center"/>
          </w:tcPr>
          <w:p>
            <w:pPr>
              <w:pStyle w:val="15"/>
            </w:pPr>
            <w:r>
              <w:t>12414.42</w:t>
            </w:r>
          </w:p>
        </w:tc>
        <w:tc>
          <w:tcPr>
            <w:tcW w:w="1474" w:type="dxa"/>
            <w:vAlign w:val="center"/>
          </w:tcPr>
          <w:p>
            <w:pPr>
              <w:pStyle w:val="15"/>
            </w:pPr>
            <w:r>
              <w:t>523.54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年初财政拨款结转和结余</w:t>
            </w:r>
          </w:p>
        </w:tc>
        <w:tc>
          <w:tcPr>
            <w:tcW w:w="1474" w:type="dxa"/>
            <w:vAlign w:val="center"/>
          </w:tcPr>
          <w:p>
            <w:pPr>
              <w:pStyle w:val="13"/>
            </w:pPr>
            <w:r>
              <w:t>6332.94</w:t>
            </w: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一、一般公共预算拨款</w:t>
            </w:r>
          </w:p>
        </w:tc>
        <w:tc>
          <w:tcPr>
            <w:tcW w:w="1474" w:type="dxa"/>
            <w:vAlign w:val="center"/>
          </w:tcPr>
          <w:p>
            <w:pPr>
              <w:pStyle w:val="13"/>
            </w:pPr>
            <w:r>
              <w:t>5809.39</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二、政府性基金预算拨款</w:t>
            </w:r>
          </w:p>
        </w:tc>
        <w:tc>
          <w:tcPr>
            <w:tcW w:w="1474" w:type="dxa"/>
            <w:vAlign w:val="center"/>
          </w:tcPr>
          <w:p>
            <w:pPr>
              <w:pStyle w:val="13"/>
            </w:pPr>
            <w:r>
              <w:t>523.54</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4"/>
            </w:pPr>
            <w:r>
              <w:t>收入总计</w:t>
            </w:r>
          </w:p>
        </w:tc>
        <w:tc>
          <w:tcPr>
            <w:tcW w:w="1474" w:type="dxa"/>
            <w:vAlign w:val="center"/>
          </w:tcPr>
          <w:p>
            <w:pPr>
              <w:pStyle w:val="15"/>
            </w:pPr>
            <w:r>
              <w:t>12937.97</w:t>
            </w:r>
          </w:p>
        </w:tc>
        <w:tc>
          <w:tcPr>
            <w:tcW w:w="3402" w:type="dxa"/>
            <w:vAlign w:val="center"/>
          </w:tcPr>
          <w:p>
            <w:pPr>
              <w:pStyle w:val="14"/>
            </w:pPr>
            <w:r>
              <w:t>支出总计</w:t>
            </w:r>
          </w:p>
        </w:tc>
        <w:tc>
          <w:tcPr>
            <w:tcW w:w="1474" w:type="dxa"/>
            <w:vAlign w:val="center"/>
          </w:tcPr>
          <w:p>
            <w:pPr>
              <w:pStyle w:val="15"/>
            </w:pPr>
            <w:r>
              <w:t>12937.97</w:t>
            </w:r>
          </w:p>
        </w:tc>
        <w:tc>
          <w:tcPr>
            <w:tcW w:w="1474" w:type="dxa"/>
            <w:vAlign w:val="center"/>
          </w:tcPr>
          <w:p>
            <w:pPr>
              <w:pStyle w:val="15"/>
            </w:pPr>
            <w:r>
              <w:t>12414.42</w:t>
            </w:r>
          </w:p>
        </w:tc>
        <w:tc>
          <w:tcPr>
            <w:tcW w:w="1474" w:type="dxa"/>
            <w:vAlign w:val="center"/>
          </w:tcPr>
          <w:p>
            <w:pPr>
              <w:pStyle w:val="15"/>
            </w:pPr>
            <w:r>
              <w:t>523.54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12414.42</w:t>
            </w:r>
          </w:p>
        </w:tc>
        <w:tc>
          <w:tcPr>
            <w:tcW w:w="2551" w:type="dxa"/>
            <w:vAlign w:val="center"/>
          </w:tcPr>
          <w:p>
            <w:pPr>
              <w:pStyle w:val="15"/>
            </w:pPr>
            <w:r>
              <w:t>1842.44</w:t>
            </w:r>
          </w:p>
        </w:tc>
        <w:tc>
          <w:tcPr>
            <w:tcW w:w="2551" w:type="dxa"/>
            <w:vAlign w:val="center"/>
          </w:tcPr>
          <w:p>
            <w:pPr>
              <w:pStyle w:val="15"/>
            </w:pPr>
            <w:r>
              <w:t>10571.98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101.21</w:t>
            </w:r>
          </w:p>
        </w:tc>
        <w:tc>
          <w:tcPr>
            <w:tcW w:w="2551" w:type="dxa"/>
            <w:vAlign w:val="center"/>
          </w:tcPr>
          <w:p>
            <w:pPr>
              <w:pStyle w:val="13"/>
            </w:pPr>
            <w:r>
              <w:t>101.21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87.89</w:t>
            </w:r>
          </w:p>
        </w:tc>
        <w:tc>
          <w:tcPr>
            <w:tcW w:w="2551" w:type="dxa"/>
            <w:vAlign w:val="center"/>
          </w:tcPr>
          <w:p>
            <w:pPr>
              <w:pStyle w:val="13"/>
            </w:pPr>
            <w:r>
              <w:t>87.89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3"/>
            </w:pPr>
            <w:r>
              <w:t>36.02</w:t>
            </w:r>
          </w:p>
        </w:tc>
        <w:tc>
          <w:tcPr>
            <w:tcW w:w="2551" w:type="dxa"/>
            <w:vAlign w:val="center"/>
          </w:tcPr>
          <w:p>
            <w:pPr>
              <w:pStyle w:val="13"/>
            </w:pPr>
            <w:r>
              <w:t>36.02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51.87</w:t>
            </w:r>
          </w:p>
        </w:tc>
        <w:tc>
          <w:tcPr>
            <w:tcW w:w="2551" w:type="dxa"/>
            <w:vAlign w:val="center"/>
          </w:tcPr>
          <w:p>
            <w:pPr>
              <w:pStyle w:val="13"/>
            </w:pPr>
            <w:r>
              <w:t>51.87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13.33</w:t>
            </w:r>
          </w:p>
        </w:tc>
        <w:tc>
          <w:tcPr>
            <w:tcW w:w="2551" w:type="dxa"/>
            <w:vAlign w:val="center"/>
          </w:tcPr>
          <w:p>
            <w:pPr>
              <w:pStyle w:val="13"/>
            </w:pPr>
            <w:r>
              <w:t>13.33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3"/>
            </w:pPr>
            <w:r>
              <w:t>13.33</w:t>
            </w:r>
          </w:p>
        </w:tc>
        <w:tc>
          <w:tcPr>
            <w:tcW w:w="2551" w:type="dxa"/>
            <w:vAlign w:val="center"/>
          </w:tcPr>
          <w:p>
            <w:pPr>
              <w:pStyle w:val="13"/>
            </w:pPr>
            <w:r>
              <w:t>13.33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25.66</w:t>
            </w:r>
          </w:p>
        </w:tc>
        <w:tc>
          <w:tcPr>
            <w:tcW w:w="2551" w:type="dxa"/>
            <w:vAlign w:val="center"/>
          </w:tcPr>
          <w:p>
            <w:pPr>
              <w:pStyle w:val="13"/>
            </w:pPr>
            <w:r>
              <w:t>25.66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25.66</w:t>
            </w:r>
          </w:p>
        </w:tc>
        <w:tc>
          <w:tcPr>
            <w:tcW w:w="2551" w:type="dxa"/>
            <w:vAlign w:val="center"/>
          </w:tcPr>
          <w:p>
            <w:pPr>
              <w:pStyle w:val="13"/>
            </w:pPr>
            <w:r>
              <w:t>25.66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8.41</w:t>
            </w:r>
          </w:p>
        </w:tc>
        <w:tc>
          <w:tcPr>
            <w:tcW w:w="2551" w:type="dxa"/>
            <w:vAlign w:val="center"/>
          </w:tcPr>
          <w:p>
            <w:pPr>
              <w:pStyle w:val="13"/>
            </w:pPr>
            <w:r>
              <w:t>8.41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17.26</w:t>
            </w:r>
          </w:p>
        </w:tc>
        <w:tc>
          <w:tcPr>
            <w:tcW w:w="2551" w:type="dxa"/>
            <w:vAlign w:val="center"/>
          </w:tcPr>
          <w:p>
            <w:pPr>
              <w:pStyle w:val="13"/>
            </w:pPr>
            <w:r>
              <w:t>17.26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3"/>
            </w:pPr>
            <w:r>
              <w:t>4191.75</w:t>
            </w:r>
          </w:p>
        </w:tc>
        <w:tc>
          <w:tcPr>
            <w:tcW w:w="2551" w:type="dxa"/>
            <w:vAlign w:val="center"/>
          </w:tcPr>
          <w:p>
            <w:pPr>
              <w:pStyle w:val="13"/>
            </w:pPr>
          </w:p>
        </w:tc>
        <w:tc>
          <w:tcPr>
            <w:tcW w:w="2551" w:type="dxa"/>
            <w:vAlign w:val="center"/>
          </w:tcPr>
          <w:p>
            <w:pPr>
              <w:pStyle w:val="13"/>
            </w:pPr>
            <w:r>
              <w:t>4191.75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3"/>
            </w:pPr>
            <w:r>
              <w:t>860.48</w:t>
            </w:r>
          </w:p>
        </w:tc>
        <w:tc>
          <w:tcPr>
            <w:tcW w:w="2551" w:type="dxa"/>
            <w:vAlign w:val="center"/>
          </w:tcPr>
          <w:p>
            <w:pPr>
              <w:pStyle w:val="13"/>
            </w:pPr>
          </w:p>
        </w:tc>
        <w:tc>
          <w:tcPr>
            <w:tcW w:w="2551" w:type="dxa"/>
            <w:vAlign w:val="center"/>
          </w:tcPr>
          <w:p>
            <w:pPr>
              <w:pStyle w:val="13"/>
            </w:pPr>
            <w:r>
              <w:t>860.48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2110401</w:t>
            </w:r>
          </w:p>
        </w:tc>
        <w:tc>
          <w:tcPr>
            <w:tcW w:w="4535" w:type="dxa"/>
            <w:vAlign w:val="center"/>
          </w:tcPr>
          <w:p>
            <w:pPr>
              <w:pStyle w:val="12"/>
            </w:pPr>
            <w:r>
              <w:t>生态保护</w:t>
            </w:r>
          </w:p>
        </w:tc>
        <w:tc>
          <w:tcPr>
            <w:tcW w:w="2551" w:type="dxa"/>
            <w:vAlign w:val="center"/>
          </w:tcPr>
          <w:p>
            <w:pPr>
              <w:pStyle w:val="13"/>
            </w:pPr>
            <w:r>
              <w:t>684.00</w:t>
            </w:r>
          </w:p>
        </w:tc>
        <w:tc>
          <w:tcPr>
            <w:tcW w:w="2551" w:type="dxa"/>
            <w:vAlign w:val="center"/>
          </w:tcPr>
          <w:p>
            <w:pPr>
              <w:pStyle w:val="13"/>
            </w:pPr>
          </w:p>
        </w:tc>
        <w:tc>
          <w:tcPr>
            <w:tcW w:w="2551" w:type="dxa"/>
            <w:vAlign w:val="center"/>
          </w:tcPr>
          <w:p>
            <w:pPr>
              <w:pStyle w:val="13"/>
            </w:pPr>
            <w:r>
              <w:t>684.00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3"/>
            </w:pPr>
            <w:r>
              <w:t>176.48</w:t>
            </w:r>
          </w:p>
        </w:tc>
        <w:tc>
          <w:tcPr>
            <w:tcW w:w="2551" w:type="dxa"/>
            <w:vAlign w:val="center"/>
          </w:tcPr>
          <w:p>
            <w:pPr>
              <w:pStyle w:val="13"/>
            </w:pPr>
          </w:p>
        </w:tc>
        <w:tc>
          <w:tcPr>
            <w:tcW w:w="2551" w:type="dxa"/>
            <w:vAlign w:val="center"/>
          </w:tcPr>
          <w:p>
            <w:pPr>
              <w:pStyle w:val="13"/>
            </w:pPr>
            <w:r>
              <w:t>176.48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3"/>
            </w:pPr>
            <w:r>
              <w:t>3331.27</w:t>
            </w:r>
          </w:p>
        </w:tc>
        <w:tc>
          <w:tcPr>
            <w:tcW w:w="2551" w:type="dxa"/>
            <w:vAlign w:val="center"/>
          </w:tcPr>
          <w:p>
            <w:pPr>
              <w:pStyle w:val="13"/>
            </w:pPr>
          </w:p>
        </w:tc>
        <w:tc>
          <w:tcPr>
            <w:tcW w:w="2551" w:type="dxa"/>
            <w:vAlign w:val="center"/>
          </w:tcPr>
          <w:p>
            <w:pPr>
              <w:pStyle w:val="13"/>
            </w:pPr>
            <w:r>
              <w:t>3331.27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3"/>
            </w:pPr>
            <w:r>
              <w:t>3164.59</w:t>
            </w:r>
          </w:p>
        </w:tc>
        <w:tc>
          <w:tcPr>
            <w:tcW w:w="2551" w:type="dxa"/>
            <w:vAlign w:val="center"/>
          </w:tcPr>
          <w:p>
            <w:pPr>
              <w:pStyle w:val="13"/>
            </w:pPr>
          </w:p>
        </w:tc>
        <w:tc>
          <w:tcPr>
            <w:tcW w:w="2551" w:type="dxa"/>
            <w:vAlign w:val="center"/>
          </w:tcPr>
          <w:p>
            <w:pPr>
              <w:pStyle w:val="13"/>
            </w:pPr>
            <w:r>
              <w:t>3164.59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2110507</w:t>
            </w:r>
          </w:p>
        </w:tc>
        <w:tc>
          <w:tcPr>
            <w:tcW w:w="4535" w:type="dxa"/>
            <w:vAlign w:val="center"/>
          </w:tcPr>
          <w:p>
            <w:pPr>
              <w:pStyle w:val="12"/>
            </w:pPr>
            <w:r>
              <w:t>停伐补助</w:t>
            </w:r>
          </w:p>
        </w:tc>
        <w:tc>
          <w:tcPr>
            <w:tcW w:w="2551" w:type="dxa"/>
            <w:vAlign w:val="center"/>
          </w:tcPr>
          <w:p>
            <w:pPr>
              <w:pStyle w:val="13"/>
            </w:pPr>
            <w:r>
              <w:t>104.10</w:t>
            </w:r>
          </w:p>
        </w:tc>
        <w:tc>
          <w:tcPr>
            <w:tcW w:w="2551" w:type="dxa"/>
            <w:vAlign w:val="center"/>
          </w:tcPr>
          <w:p>
            <w:pPr>
              <w:pStyle w:val="13"/>
            </w:pPr>
          </w:p>
        </w:tc>
        <w:tc>
          <w:tcPr>
            <w:tcW w:w="2551" w:type="dxa"/>
            <w:vAlign w:val="center"/>
          </w:tcPr>
          <w:p>
            <w:pPr>
              <w:pStyle w:val="13"/>
            </w:pPr>
            <w:r>
              <w:t>104.10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2110599</w:t>
            </w:r>
          </w:p>
        </w:tc>
        <w:tc>
          <w:tcPr>
            <w:tcW w:w="4535" w:type="dxa"/>
            <w:vAlign w:val="center"/>
          </w:tcPr>
          <w:p>
            <w:pPr>
              <w:pStyle w:val="12"/>
            </w:pPr>
            <w:r>
              <w:t>其他森林保护修复支出</w:t>
            </w:r>
          </w:p>
        </w:tc>
        <w:tc>
          <w:tcPr>
            <w:tcW w:w="2551" w:type="dxa"/>
            <w:vAlign w:val="center"/>
          </w:tcPr>
          <w:p>
            <w:pPr>
              <w:pStyle w:val="13"/>
            </w:pPr>
            <w:r>
              <w:t>62.58</w:t>
            </w:r>
          </w:p>
        </w:tc>
        <w:tc>
          <w:tcPr>
            <w:tcW w:w="2551" w:type="dxa"/>
            <w:vAlign w:val="center"/>
          </w:tcPr>
          <w:p>
            <w:pPr>
              <w:pStyle w:val="13"/>
            </w:pPr>
          </w:p>
        </w:tc>
        <w:tc>
          <w:tcPr>
            <w:tcW w:w="2551" w:type="dxa"/>
            <w:vAlign w:val="center"/>
          </w:tcPr>
          <w:p>
            <w:pPr>
              <w:pStyle w:val="13"/>
            </w:pPr>
            <w:r>
              <w:t>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8069.14</w:t>
            </w:r>
          </w:p>
        </w:tc>
        <w:tc>
          <w:tcPr>
            <w:tcW w:w="2551" w:type="dxa"/>
            <w:vAlign w:val="center"/>
          </w:tcPr>
          <w:p>
            <w:pPr>
              <w:pStyle w:val="13"/>
            </w:pPr>
            <w:r>
              <w:t>1688.91</w:t>
            </w:r>
          </w:p>
        </w:tc>
        <w:tc>
          <w:tcPr>
            <w:tcW w:w="2551" w:type="dxa"/>
            <w:vAlign w:val="center"/>
          </w:tcPr>
          <w:p>
            <w:pPr>
              <w:pStyle w:val="13"/>
            </w:pPr>
            <w:r>
              <w:t>6380.23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3"/>
            </w:pPr>
            <w:r>
              <w:t>8061.17</w:t>
            </w:r>
          </w:p>
        </w:tc>
        <w:tc>
          <w:tcPr>
            <w:tcW w:w="2551" w:type="dxa"/>
            <w:vAlign w:val="center"/>
          </w:tcPr>
          <w:p>
            <w:pPr>
              <w:pStyle w:val="13"/>
            </w:pPr>
            <w:r>
              <w:t>1688.91</w:t>
            </w:r>
          </w:p>
        </w:tc>
        <w:tc>
          <w:tcPr>
            <w:tcW w:w="2551" w:type="dxa"/>
            <w:vAlign w:val="center"/>
          </w:tcPr>
          <w:p>
            <w:pPr>
              <w:pStyle w:val="13"/>
            </w:pPr>
            <w:r>
              <w:t>6372.26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3"/>
            </w:pPr>
            <w:r>
              <w:t>1461.53</w:t>
            </w:r>
          </w:p>
        </w:tc>
        <w:tc>
          <w:tcPr>
            <w:tcW w:w="2551" w:type="dxa"/>
            <w:vAlign w:val="center"/>
          </w:tcPr>
          <w:p>
            <w:pPr>
              <w:pStyle w:val="13"/>
            </w:pPr>
            <w:r>
              <w:t>1461.53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3"/>
            </w:pPr>
            <w:r>
              <w:t>227.38</w:t>
            </w:r>
          </w:p>
        </w:tc>
        <w:tc>
          <w:tcPr>
            <w:tcW w:w="2551" w:type="dxa"/>
            <w:vAlign w:val="center"/>
          </w:tcPr>
          <w:p>
            <w:pPr>
              <w:pStyle w:val="13"/>
            </w:pPr>
            <w:r>
              <w:t>227.38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3"/>
            </w:pPr>
            <w:r>
              <w:t>4046.93</w:t>
            </w:r>
          </w:p>
        </w:tc>
        <w:tc>
          <w:tcPr>
            <w:tcW w:w="2551" w:type="dxa"/>
            <w:vAlign w:val="center"/>
          </w:tcPr>
          <w:p>
            <w:pPr>
              <w:pStyle w:val="13"/>
            </w:pPr>
          </w:p>
        </w:tc>
        <w:tc>
          <w:tcPr>
            <w:tcW w:w="2551" w:type="dxa"/>
            <w:vAlign w:val="center"/>
          </w:tcPr>
          <w:p>
            <w:pPr>
              <w:pStyle w:val="13"/>
            </w:pPr>
            <w:r>
              <w:t>4046.93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2130206</w:t>
            </w:r>
          </w:p>
        </w:tc>
        <w:tc>
          <w:tcPr>
            <w:tcW w:w="4535" w:type="dxa"/>
            <w:vAlign w:val="center"/>
          </w:tcPr>
          <w:p>
            <w:pPr>
              <w:pStyle w:val="12"/>
            </w:pPr>
            <w:r>
              <w:t>技术推广与转化</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3"/>
            </w:pPr>
            <w:r>
              <w:t>477.46</w:t>
            </w:r>
          </w:p>
        </w:tc>
        <w:tc>
          <w:tcPr>
            <w:tcW w:w="2551" w:type="dxa"/>
            <w:vAlign w:val="center"/>
          </w:tcPr>
          <w:p>
            <w:pPr>
              <w:pStyle w:val="13"/>
            </w:pPr>
          </w:p>
        </w:tc>
        <w:tc>
          <w:tcPr>
            <w:tcW w:w="2551" w:type="dxa"/>
            <w:vAlign w:val="center"/>
          </w:tcPr>
          <w:p>
            <w:pPr>
              <w:pStyle w:val="13"/>
            </w:pPr>
            <w:r>
              <w:t>477.46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2130211</w:t>
            </w:r>
          </w:p>
        </w:tc>
        <w:tc>
          <w:tcPr>
            <w:tcW w:w="4535" w:type="dxa"/>
            <w:vAlign w:val="center"/>
          </w:tcPr>
          <w:p>
            <w:pPr>
              <w:pStyle w:val="12"/>
            </w:pPr>
            <w:r>
              <w:t>动植物保护</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2130213</w:t>
            </w:r>
          </w:p>
        </w:tc>
        <w:tc>
          <w:tcPr>
            <w:tcW w:w="4535" w:type="dxa"/>
            <w:vAlign w:val="center"/>
          </w:tcPr>
          <w:p>
            <w:pPr>
              <w:pStyle w:val="12"/>
            </w:pPr>
            <w:r>
              <w:t>执法与监督</w:t>
            </w:r>
          </w:p>
        </w:tc>
        <w:tc>
          <w:tcPr>
            <w:tcW w:w="2551" w:type="dxa"/>
            <w:vAlign w:val="center"/>
          </w:tcPr>
          <w:p>
            <w:pPr>
              <w:pStyle w:val="13"/>
            </w:pPr>
            <w:r>
              <w:t>8.53</w:t>
            </w:r>
          </w:p>
        </w:tc>
        <w:tc>
          <w:tcPr>
            <w:tcW w:w="2551" w:type="dxa"/>
            <w:vAlign w:val="center"/>
          </w:tcPr>
          <w:p>
            <w:pPr>
              <w:pStyle w:val="13"/>
            </w:pPr>
          </w:p>
        </w:tc>
        <w:tc>
          <w:tcPr>
            <w:tcW w:w="2551" w:type="dxa"/>
            <w:vAlign w:val="center"/>
          </w:tcPr>
          <w:p>
            <w:pPr>
              <w:pStyle w:val="13"/>
            </w:pPr>
            <w:r>
              <w:t>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3"/>
            </w:pPr>
            <w:r>
              <w:t>280.00</w:t>
            </w:r>
          </w:p>
        </w:tc>
        <w:tc>
          <w:tcPr>
            <w:tcW w:w="2551" w:type="dxa"/>
            <w:vAlign w:val="center"/>
          </w:tcPr>
          <w:p>
            <w:pPr>
              <w:pStyle w:val="13"/>
            </w:pPr>
          </w:p>
        </w:tc>
        <w:tc>
          <w:tcPr>
            <w:tcW w:w="2551" w:type="dxa"/>
            <w:vAlign w:val="center"/>
          </w:tcPr>
          <w:p>
            <w:pPr>
              <w:pStyle w:val="13"/>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3"/>
            </w:pPr>
            <w:r>
              <w:t>610.06</w:t>
            </w:r>
          </w:p>
        </w:tc>
        <w:tc>
          <w:tcPr>
            <w:tcW w:w="2551" w:type="dxa"/>
            <w:vAlign w:val="center"/>
          </w:tcPr>
          <w:p>
            <w:pPr>
              <w:pStyle w:val="13"/>
            </w:pPr>
          </w:p>
        </w:tc>
        <w:tc>
          <w:tcPr>
            <w:tcW w:w="2551" w:type="dxa"/>
            <w:vAlign w:val="center"/>
          </w:tcPr>
          <w:p>
            <w:pPr>
              <w:pStyle w:val="13"/>
            </w:pPr>
            <w:r>
              <w:t>610.06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2130237</w:t>
            </w:r>
          </w:p>
        </w:tc>
        <w:tc>
          <w:tcPr>
            <w:tcW w:w="4535" w:type="dxa"/>
            <w:vAlign w:val="center"/>
          </w:tcPr>
          <w:p>
            <w:pPr>
              <w:pStyle w:val="12"/>
            </w:pPr>
            <w:r>
              <w:t>行业业务管理</w:t>
            </w:r>
          </w:p>
        </w:tc>
        <w:tc>
          <w:tcPr>
            <w:tcW w:w="2551" w:type="dxa"/>
            <w:vAlign w:val="center"/>
          </w:tcPr>
          <w:p>
            <w:pPr>
              <w:pStyle w:val="13"/>
            </w:pPr>
            <w:r>
              <w:t>16.00</w:t>
            </w:r>
          </w:p>
        </w:tc>
        <w:tc>
          <w:tcPr>
            <w:tcW w:w="2551" w:type="dxa"/>
            <w:vAlign w:val="center"/>
          </w:tcPr>
          <w:p>
            <w:pPr>
              <w:pStyle w:val="13"/>
            </w:pPr>
          </w:p>
        </w:tc>
        <w:tc>
          <w:tcPr>
            <w:tcW w:w="2551"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3"/>
            </w:pPr>
            <w:r>
              <w:t>851.28</w:t>
            </w:r>
          </w:p>
        </w:tc>
        <w:tc>
          <w:tcPr>
            <w:tcW w:w="2551" w:type="dxa"/>
            <w:vAlign w:val="center"/>
          </w:tcPr>
          <w:p>
            <w:pPr>
              <w:pStyle w:val="13"/>
            </w:pPr>
          </w:p>
        </w:tc>
        <w:tc>
          <w:tcPr>
            <w:tcW w:w="2551" w:type="dxa"/>
            <w:vAlign w:val="center"/>
          </w:tcPr>
          <w:p>
            <w:pPr>
              <w:pStyle w:val="13"/>
            </w:pPr>
            <w:r>
              <w:t>851.28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3"/>
            </w:pPr>
            <w:r>
              <w:t>7.97</w:t>
            </w:r>
          </w:p>
        </w:tc>
        <w:tc>
          <w:tcPr>
            <w:tcW w:w="2551" w:type="dxa"/>
            <w:vAlign w:val="center"/>
          </w:tcPr>
          <w:p>
            <w:pPr>
              <w:pStyle w:val="13"/>
            </w:pPr>
          </w:p>
        </w:tc>
        <w:tc>
          <w:tcPr>
            <w:tcW w:w="2551" w:type="dxa"/>
            <w:vAlign w:val="center"/>
          </w:tcPr>
          <w:p>
            <w:pPr>
              <w:pStyle w:val="13"/>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2"/>
            </w:pPr>
            <w:r>
              <w:t>2130505</w:t>
            </w:r>
          </w:p>
        </w:tc>
        <w:tc>
          <w:tcPr>
            <w:tcW w:w="4535" w:type="dxa"/>
            <w:vAlign w:val="center"/>
          </w:tcPr>
          <w:p>
            <w:pPr>
              <w:pStyle w:val="12"/>
            </w:pPr>
            <w:r>
              <w:t>生产发展</w:t>
            </w:r>
          </w:p>
        </w:tc>
        <w:tc>
          <w:tcPr>
            <w:tcW w:w="2551" w:type="dxa"/>
            <w:vAlign w:val="center"/>
          </w:tcPr>
          <w:p>
            <w:pPr>
              <w:pStyle w:val="13"/>
            </w:pPr>
            <w:r>
              <w:t>7.97</w:t>
            </w:r>
          </w:p>
        </w:tc>
        <w:tc>
          <w:tcPr>
            <w:tcW w:w="2551" w:type="dxa"/>
            <w:vAlign w:val="center"/>
          </w:tcPr>
          <w:p>
            <w:pPr>
              <w:pStyle w:val="13"/>
            </w:pPr>
          </w:p>
        </w:tc>
        <w:tc>
          <w:tcPr>
            <w:tcW w:w="2551" w:type="dxa"/>
            <w:vAlign w:val="center"/>
          </w:tcPr>
          <w:p>
            <w:pPr>
              <w:pStyle w:val="13"/>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26.65</w:t>
            </w:r>
          </w:p>
        </w:tc>
        <w:tc>
          <w:tcPr>
            <w:tcW w:w="2551" w:type="dxa"/>
            <w:vAlign w:val="center"/>
          </w:tcPr>
          <w:p>
            <w:pPr>
              <w:pStyle w:val="13"/>
            </w:pPr>
            <w:r>
              <w:t>26.65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26.65</w:t>
            </w:r>
          </w:p>
        </w:tc>
        <w:tc>
          <w:tcPr>
            <w:tcW w:w="2551" w:type="dxa"/>
            <w:vAlign w:val="center"/>
          </w:tcPr>
          <w:p>
            <w:pPr>
              <w:pStyle w:val="13"/>
            </w:pPr>
            <w:r>
              <w:t>26.65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26.65</w:t>
            </w:r>
          </w:p>
        </w:tc>
        <w:tc>
          <w:tcPr>
            <w:tcW w:w="2551" w:type="dxa"/>
            <w:vAlign w:val="center"/>
          </w:tcPr>
          <w:p>
            <w:pPr>
              <w:pStyle w:val="13"/>
            </w:pPr>
            <w:r>
              <w:t>26.65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1842.44</w:t>
            </w:r>
          </w:p>
        </w:tc>
        <w:tc>
          <w:tcPr>
            <w:tcW w:w="2551" w:type="dxa"/>
            <w:vAlign w:val="center"/>
          </w:tcPr>
          <w:p>
            <w:pPr>
              <w:pStyle w:val="15"/>
            </w:pPr>
            <w:r>
              <w:t>1661.79</w:t>
            </w:r>
          </w:p>
        </w:tc>
        <w:tc>
          <w:tcPr>
            <w:tcW w:w="2551" w:type="dxa"/>
            <w:vAlign w:val="center"/>
          </w:tcPr>
          <w:p>
            <w:pPr>
              <w:pStyle w:val="15"/>
            </w:pPr>
            <w:r>
              <w:t>180.65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1612.44</w:t>
            </w:r>
          </w:p>
        </w:tc>
        <w:tc>
          <w:tcPr>
            <w:tcW w:w="2551" w:type="dxa"/>
            <w:vAlign w:val="center"/>
          </w:tcPr>
          <w:p>
            <w:pPr>
              <w:pStyle w:val="13"/>
            </w:pPr>
            <w:r>
              <w:t>1612.44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211.94</w:t>
            </w:r>
          </w:p>
        </w:tc>
        <w:tc>
          <w:tcPr>
            <w:tcW w:w="2551" w:type="dxa"/>
            <w:vAlign w:val="center"/>
          </w:tcPr>
          <w:p>
            <w:pPr>
              <w:pStyle w:val="13"/>
            </w:pPr>
            <w:r>
              <w:t>211.94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41.16</w:t>
            </w:r>
          </w:p>
        </w:tc>
        <w:tc>
          <w:tcPr>
            <w:tcW w:w="2551" w:type="dxa"/>
            <w:vAlign w:val="center"/>
          </w:tcPr>
          <w:p>
            <w:pPr>
              <w:pStyle w:val="13"/>
            </w:pPr>
            <w:r>
              <w:t>41.16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15.54</w:t>
            </w:r>
          </w:p>
        </w:tc>
        <w:tc>
          <w:tcPr>
            <w:tcW w:w="2551" w:type="dxa"/>
            <w:vAlign w:val="center"/>
          </w:tcPr>
          <w:p>
            <w:pPr>
              <w:pStyle w:val="13"/>
            </w:pPr>
            <w:r>
              <w:t>15.54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69.96</w:t>
            </w:r>
          </w:p>
        </w:tc>
        <w:tc>
          <w:tcPr>
            <w:tcW w:w="2551" w:type="dxa"/>
            <w:vAlign w:val="center"/>
          </w:tcPr>
          <w:p>
            <w:pPr>
              <w:pStyle w:val="13"/>
            </w:pPr>
            <w:r>
              <w:t>69.96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51.87</w:t>
            </w:r>
          </w:p>
        </w:tc>
        <w:tc>
          <w:tcPr>
            <w:tcW w:w="2551" w:type="dxa"/>
            <w:vAlign w:val="center"/>
          </w:tcPr>
          <w:p>
            <w:pPr>
              <w:pStyle w:val="13"/>
            </w:pPr>
            <w:r>
              <w:t>51.87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3"/>
            </w:pPr>
            <w:r>
              <w:t>25.66</w:t>
            </w:r>
          </w:p>
        </w:tc>
        <w:tc>
          <w:tcPr>
            <w:tcW w:w="2551" w:type="dxa"/>
            <w:vAlign w:val="center"/>
          </w:tcPr>
          <w:p>
            <w:pPr>
              <w:pStyle w:val="13"/>
            </w:pPr>
            <w:r>
              <w:t>25.66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7.29</w:t>
            </w:r>
          </w:p>
        </w:tc>
        <w:tc>
          <w:tcPr>
            <w:tcW w:w="2551" w:type="dxa"/>
            <w:vAlign w:val="center"/>
          </w:tcPr>
          <w:p>
            <w:pPr>
              <w:pStyle w:val="13"/>
            </w:pPr>
            <w:r>
              <w:t>7.29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26.65</w:t>
            </w:r>
          </w:p>
        </w:tc>
        <w:tc>
          <w:tcPr>
            <w:tcW w:w="2551" w:type="dxa"/>
            <w:vAlign w:val="center"/>
          </w:tcPr>
          <w:p>
            <w:pPr>
              <w:pStyle w:val="13"/>
            </w:pPr>
            <w:r>
              <w:t>26.65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1162.37</w:t>
            </w:r>
          </w:p>
        </w:tc>
        <w:tc>
          <w:tcPr>
            <w:tcW w:w="2551" w:type="dxa"/>
            <w:vAlign w:val="center"/>
          </w:tcPr>
          <w:p>
            <w:pPr>
              <w:pStyle w:val="13"/>
            </w:pPr>
            <w:r>
              <w:t>1162.37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177.65</w:t>
            </w:r>
          </w:p>
        </w:tc>
        <w:tc>
          <w:tcPr>
            <w:tcW w:w="2551" w:type="dxa"/>
            <w:vAlign w:val="center"/>
          </w:tcPr>
          <w:p>
            <w:pPr>
              <w:pStyle w:val="13"/>
            </w:pPr>
          </w:p>
        </w:tc>
        <w:tc>
          <w:tcPr>
            <w:tcW w:w="2551" w:type="dxa"/>
            <w:vAlign w:val="center"/>
          </w:tcPr>
          <w:p>
            <w:pPr>
              <w:pStyle w:val="13"/>
            </w:pPr>
            <w:r>
              <w:t>177.65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29.78</w:t>
            </w:r>
          </w:p>
        </w:tc>
        <w:tc>
          <w:tcPr>
            <w:tcW w:w="2551" w:type="dxa"/>
            <w:vAlign w:val="center"/>
          </w:tcPr>
          <w:p>
            <w:pPr>
              <w:pStyle w:val="13"/>
            </w:pPr>
          </w:p>
        </w:tc>
        <w:tc>
          <w:tcPr>
            <w:tcW w:w="2551" w:type="dxa"/>
            <w:vAlign w:val="center"/>
          </w:tcPr>
          <w:p>
            <w:pPr>
              <w:pStyle w:val="13"/>
            </w:pPr>
            <w:r>
              <w:t>29.78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12.97</w:t>
            </w:r>
          </w:p>
        </w:tc>
        <w:tc>
          <w:tcPr>
            <w:tcW w:w="2551" w:type="dxa"/>
            <w:vAlign w:val="center"/>
          </w:tcPr>
          <w:p>
            <w:pPr>
              <w:pStyle w:val="13"/>
            </w:pPr>
          </w:p>
        </w:tc>
        <w:tc>
          <w:tcPr>
            <w:tcW w:w="2551" w:type="dxa"/>
            <w:vAlign w:val="center"/>
          </w:tcPr>
          <w:p>
            <w:pPr>
              <w:pStyle w:val="13"/>
            </w:pPr>
            <w:r>
              <w:t>12.97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3"/>
            </w:pPr>
            <w:r>
              <w:t>4.58</w:t>
            </w:r>
          </w:p>
        </w:tc>
        <w:tc>
          <w:tcPr>
            <w:tcW w:w="2551" w:type="dxa"/>
            <w:vAlign w:val="center"/>
          </w:tcPr>
          <w:p>
            <w:pPr>
              <w:pStyle w:val="13"/>
            </w:pPr>
          </w:p>
        </w:tc>
        <w:tc>
          <w:tcPr>
            <w:tcW w:w="2551" w:type="dxa"/>
            <w:vAlign w:val="center"/>
          </w:tcPr>
          <w:p>
            <w:pPr>
              <w:pStyle w:val="13"/>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30.64</w:t>
            </w:r>
          </w:p>
        </w:tc>
        <w:tc>
          <w:tcPr>
            <w:tcW w:w="2551" w:type="dxa"/>
            <w:vAlign w:val="center"/>
          </w:tcPr>
          <w:p>
            <w:pPr>
              <w:pStyle w:val="13"/>
            </w:pPr>
          </w:p>
        </w:tc>
        <w:tc>
          <w:tcPr>
            <w:tcW w:w="2551" w:type="dxa"/>
            <w:vAlign w:val="center"/>
          </w:tcPr>
          <w:p>
            <w:pPr>
              <w:pStyle w:val="13"/>
            </w:pPr>
            <w:r>
              <w:t>30.64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28.20</w:t>
            </w:r>
          </w:p>
        </w:tc>
        <w:tc>
          <w:tcPr>
            <w:tcW w:w="2551" w:type="dxa"/>
            <w:vAlign w:val="center"/>
          </w:tcPr>
          <w:p>
            <w:pPr>
              <w:pStyle w:val="13"/>
            </w:pPr>
          </w:p>
        </w:tc>
        <w:tc>
          <w:tcPr>
            <w:tcW w:w="2551" w:type="dxa"/>
            <w:vAlign w:val="center"/>
          </w:tcPr>
          <w:p>
            <w:pPr>
              <w:pStyle w:val="13"/>
            </w:pPr>
            <w:r>
              <w:t>28.20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24.21</w:t>
            </w:r>
          </w:p>
        </w:tc>
        <w:tc>
          <w:tcPr>
            <w:tcW w:w="2551" w:type="dxa"/>
            <w:vAlign w:val="center"/>
          </w:tcPr>
          <w:p>
            <w:pPr>
              <w:pStyle w:val="13"/>
            </w:pPr>
          </w:p>
        </w:tc>
        <w:tc>
          <w:tcPr>
            <w:tcW w:w="2551" w:type="dxa"/>
            <w:vAlign w:val="center"/>
          </w:tcPr>
          <w:p>
            <w:pPr>
              <w:pStyle w:val="13"/>
            </w:pPr>
            <w:r>
              <w:t>24.21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3"/>
            </w:pPr>
            <w:r>
              <w:t>9.60</w:t>
            </w:r>
          </w:p>
        </w:tc>
        <w:tc>
          <w:tcPr>
            <w:tcW w:w="2551" w:type="dxa"/>
            <w:vAlign w:val="center"/>
          </w:tcPr>
          <w:p>
            <w:pPr>
              <w:pStyle w:val="13"/>
            </w:pPr>
          </w:p>
        </w:tc>
        <w:tc>
          <w:tcPr>
            <w:tcW w:w="2551" w:type="dxa"/>
            <w:vAlign w:val="center"/>
          </w:tcPr>
          <w:p>
            <w:pPr>
              <w:pStyle w:val="13"/>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3"/>
            </w:pPr>
            <w:r>
              <w:t>2.10</w:t>
            </w:r>
          </w:p>
        </w:tc>
        <w:tc>
          <w:tcPr>
            <w:tcW w:w="2551" w:type="dxa"/>
            <w:vAlign w:val="center"/>
          </w:tcPr>
          <w:p>
            <w:pPr>
              <w:pStyle w:val="13"/>
            </w:pPr>
          </w:p>
        </w:tc>
        <w:tc>
          <w:tcPr>
            <w:tcW w:w="2551"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12.80</w:t>
            </w:r>
          </w:p>
        </w:tc>
        <w:tc>
          <w:tcPr>
            <w:tcW w:w="2551" w:type="dxa"/>
            <w:vAlign w:val="center"/>
          </w:tcPr>
          <w:p>
            <w:pPr>
              <w:pStyle w:val="13"/>
            </w:pPr>
          </w:p>
        </w:tc>
        <w:tc>
          <w:tcPr>
            <w:tcW w:w="2551" w:type="dxa"/>
            <w:vAlign w:val="center"/>
          </w:tcPr>
          <w:p>
            <w:pPr>
              <w:pStyle w:val="13"/>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14.87</w:t>
            </w:r>
          </w:p>
        </w:tc>
        <w:tc>
          <w:tcPr>
            <w:tcW w:w="2551" w:type="dxa"/>
            <w:vAlign w:val="center"/>
          </w:tcPr>
          <w:p>
            <w:pPr>
              <w:pStyle w:val="13"/>
            </w:pPr>
          </w:p>
        </w:tc>
        <w:tc>
          <w:tcPr>
            <w:tcW w:w="2551" w:type="dxa"/>
            <w:vAlign w:val="center"/>
          </w:tcPr>
          <w:p>
            <w:pPr>
              <w:pStyle w:val="13"/>
            </w:pPr>
            <w:r>
              <w:t>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49.35</w:t>
            </w:r>
          </w:p>
        </w:tc>
        <w:tc>
          <w:tcPr>
            <w:tcW w:w="2551" w:type="dxa"/>
            <w:vAlign w:val="center"/>
          </w:tcPr>
          <w:p>
            <w:pPr>
              <w:pStyle w:val="13"/>
            </w:pPr>
            <w:r>
              <w:t>49.35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3"/>
            </w:pPr>
            <w:r>
              <w:t>0.20</w:t>
            </w:r>
          </w:p>
        </w:tc>
        <w:tc>
          <w:tcPr>
            <w:tcW w:w="2551" w:type="dxa"/>
            <w:vAlign w:val="center"/>
          </w:tcPr>
          <w:p>
            <w:pPr>
              <w:pStyle w:val="13"/>
            </w:pPr>
            <w:r>
              <w:t>0.20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35.82</w:t>
            </w:r>
          </w:p>
        </w:tc>
        <w:tc>
          <w:tcPr>
            <w:tcW w:w="2551" w:type="dxa"/>
            <w:vAlign w:val="center"/>
          </w:tcPr>
          <w:p>
            <w:pPr>
              <w:pStyle w:val="13"/>
            </w:pPr>
            <w:r>
              <w:t>35.82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13.33</w:t>
            </w:r>
          </w:p>
        </w:tc>
        <w:tc>
          <w:tcPr>
            <w:tcW w:w="2551" w:type="dxa"/>
            <w:vAlign w:val="center"/>
          </w:tcPr>
          <w:p>
            <w:pPr>
              <w:pStyle w:val="13"/>
            </w:pPr>
            <w:r>
              <w:t>13.33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523.54</w:t>
            </w:r>
          </w:p>
        </w:tc>
        <w:tc>
          <w:tcPr>
            <w:tcW w:w="2551" w:type="dxa"/>
            <w:vAlign w:val="center"/>
          </w:tcPr>
          <w:p>
            <w:pPr>
              <w:pStyle w:val="15"/>
            </w:pPr>
          </w:p>
        </w:tc>
        <w:tc>
          <w:tcPr>
            <w:tcW w:w="2551" w:type="dxa"/>
            <w:vAlign w:val="center"/>
          </w:tcPr>
          <w:p>
            <w:pPr>
              <w:pStyle w:val="15"/>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3"/>
            </w:pPr>
            <w:r>
              <w:t>523.54</w:t>
            </w:r>
          </w:p>
        </w:tc>
        <w:tc>
          <w:tcPr>
            <w:tcW w:w="2551" w:type="dxa"/>
            <w:vAlign w:val="center"/>
          </w:tcPr>
          <w:p>
            <w:pPr>
              <w:pStyle w:val="13"/>
            </w:pPr>
          </w:p>
        </w:tc>
        <w:tc>
          <w:tcPr>
            <w:tcW w:w="2551" w:type="dxa"/>
            <w:vAlign w:val="center"/>
          </w:tcPr>
          <w:p>
            <w:pPr>
              <w:pStyle w:val="13"/>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21198</w:t>
            </w:r>
          </w:p>
        </w:tc>
        <w:tc>
          <w:tcPr>
            <w:tcW w:w="4535" w:type="dxa"/>
            <w:vAlign w:val="center"/>
          </w:tcPr>
          <w:p>
            <w:pPr>
              <w:pStyle w:val="12"/>
            </w:pPr>
            <w:r>
              <w:t>超长期特别国债安排的支出</w:t>
            </w:r>
          </w:p>
        </w:tc>
        <w:tc>
          <w:tcPr>
            <w:tcW w:w="2551" w:type="dxa"/>
            <w:vAlign w:val="center"/>
          </w:tcPr>
          <w:p>
            <w:pPr>
              <w:pStyle w:val="13"/>
            </w:pPr>
            <w:r>
              <w:t>523.54</w:t>
            </w:r>
          </w:p>
        </w:tc>
        <w:tc>
          <w:tcPr>
            <w:tcW w:w="2551" w:type="dxa"/>
            <w:vAlign w:val="center"/>
          </w:tcPr>
          <w:p>
            <w:pPr>
              <w:pStyle w:val="13"/>
            </w:pPr>
          </w:p>
        </w:tc>
        <w:tc>
          <w:tcPr>
            <w:tcW w:w="2551" w:type="dxa"/>
            <w:vAlign w:val="center"/>
          </w:tcPr>
          <w:p>
            <w:pPr>
              <w:pStyle w:val="13"/>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2119803</w:t>
            </w:r>
          </w:p>
        </w:tc>
        <w:tc>
          <w:tcPr>
            <w:tcW w:w="4535" w:type="dxa"/>
            <w:vAlign w:val="center"/>
          </w:tcPr>
          <w:p>
            <w:pPr>
              <w:pStyle w:val="12"/>
            </w:pPr>
            <w:r>
              <w:t>“三北”工程建设</w:t>
            </w:r>
          </w:p>
        </w:tc>
        <w:tc>
          <w:tcPr>
            <w:tcW w:w="2551" w:type="dxa"/>
            <w:vAlign w:val="center"/>
          </w:tcPr>
          <w:p>
            <w:pPr>
              <w:pStyle w:val="13"/>
            </w:pPr>
            <w:r>
              <w:t>523.54</w:t>
            </w:r>
          </w:p>
        </w:tc>
        <w:tc>
          <w:tcPr>
            <w:tcW w:w="2551" w:type="dxa"/>
            <w:vAlign w:val="center"/>
          </w:tcPr>
          <w:p>
            <w:pPr>
              <w:pStyle w:val="13"/>
            </w:pPr>
          </w:p>
        </w:tc>
        <w:tc>
          <w:tcPr>
            <w:tcW w:w="2551" w:type="dxa"/>
            <w:vAlign w:val="center"/>
          </w:tcPr>
          <w:p>
            <w:pPr>
              <w:pStyle w:val="13"/>
            </w:pPr>
            <w:r>
              <w:t>523.54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4"/>
            </w:pPr>
            <w:r>
              <w:t>合计</w:t>
            </w:r>
          </w:p>
        </w:tc>
        <w:tc>
          <w:tcPr>
            <w:tcW w:w="2381" w:type="dxa"/>
            <w:vAlign w:val="center"/>
          </w:tcPr>
          <w:p>
            <w:pPr>
              <w:pStyle w:val="15"/>
            </w:pPr>
            <w:r>
              <w:t>13.80</w:t>
            </w:r>
          </w:p>
        </w:tc>
        <w:tc>
          <w:tcPr>
            <w:tcW w:w="2381" w:type="dxa"/>
            <w:vAlign w:val="center"/>
          </w:tcPr>
          <w:p>
            <w:pPr>
              <w:pStyle w:val="15"/>
            </w:pPr>
            <w:r>
              <w:t>13.80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2"/>
            </w:pPr>
            <w:r>
              <w:t>“三公”经费小计</w:t>
            </w:r>
          </w:p>
        </w:tc>
        <w:tc>
          <w:tcPr>
            <w:tcW w:w="2381" w:type="dxa"/>
            <w:vAlign w:val="center"/>
          </w:tcPr>
          <w:p>
            <w:pPr>
              <w:pStyle w:val="13"/>
            </w:pPr>
            <w:r>
              <w:t>13.80</w:t>
            </w:r>
          </w:p>
        </w:tc>
        <w:tc>
          <w:tcPr>
            <w:tcW w:w="2381" w:type="dxa"/>
            <w:vAlign w:val="center"/>
          </w:tcPr>
          <w:p>
            <w:pPr>
              <w:pStyle w:val="13"/>
            </w:pPr>
            <w:r>
              <w:t>13.80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2"/>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2"/>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2"/>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2"/>
            </w:pPr>
            <w:r>
              <w:t>二、公务用车购置及运维费</w:t>
            </w:r>
          </w:p>
        </w:tc>
        <w:tc>
          <w:tcPr>
            <w:tcW w:w="2381" w:type="dxa"/>
            <w:vAlign w:val="center"/>
          </w:tcPr>
          <w:p>
            <w:pPr>
              <w:pStyle w:val="13"/>
            </w:pPr>
            <w:r>
              <w:t>12.80</w:t>
            </w:r>
          </w:p>
        </w:tc>
        <w:tc>
          <w:tcPr>
            <w:tcW w:w="2381" w:type="dxa"/>
            <w:vAlign w:val="center"/>
          </w:tcPr>
          <w:p>
            <w:pPr>
              <w:pStyle w:val="13"/>
            </w:pPr>
            <w:r>
              <w:t>12.80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2"/>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2"/>
            </w:pPr>
            <w:r>
              <w:t xml:space="preserve">          公务用车运行维护费</w:t>
            </w:r>
          </w:p>
        </w:tc>
        <w:tc>
          <w:tcPr>
            <w:tcW w:w="2381" w:type="dxa"/>
            <w:vAlign w:val="center"/>
          </w:tcPr>
          <w:p>
            <w:pPr>
              <w:pStyle w:val="13"/>
            </w:pPr>
            <w:r>
              <w:t>12.80</w:t>
            </w:r>
          </w:p>
        </w:tc>
        <w:tc>
          <w:tcPr>
            <w:tcW w:w="2381" w:type="dxa"/>
            <w:vAlign w:val="center"/>
          </w:tcPr>
          <w:p>
            <w:pPr>
              <w:pStyle w:val="13"/>
            </w:pPr>
            <w:r>
              <w:t>12.80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2"/>
            </w:pPr>
            <w:r>
              <w:t>三、公务接待费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青龙满族自治县林业局本级2026年单位预算信息公开情况说明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按照《中华人民共和国预算法》、《地方预决算公开操作规程》和《关于进一步推进预算公开工作的实施意见》规定，现将青龙满族自治县林业局本级2026年单位预算公开如下：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全县林业及其生态保护修复的监督管理。贯彻执行国家、省、市关于林业及其生态保护修复的政策、规划、地方标准，起草相关政府规章草案。组织开展全县森林、草原、湿地和陆生野生动植物资源动态监测与评价。</w:t>
      </w:r>
    </w:p>
    <w:p>
      <w:pPr>
        <w:pStyle w:val="17"/>
      </w:pPr>
      <w:r>
        <w:t>(二)组织全县林业生态保护修复和造林绿化工作。组织实施林业重点生态保护修复工程，指导公益林和商品林的培育，指导林业有应对气候变化的相关工作。</w:t>
      </w:r>
    </w:p>
    <w:p>
      <w:pPr>
        <w:pStyle w:val="17"/>
      </w:pPr>
      <w:r>
        <w:t>(三)负责全县森林、草原、湿地资源的监督管理。组织编制森林采伐限额,经县政府同意并按程序上报,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17"/>
      </w:pPr>
      <w:r>
        <w:t>(四)负责监督管理全县荒漠化防治工作。组织开展荒漠调查，组织拟订全县防沙治沙及沙化土地封禁保护区建设规划，贯彻实施上级相关地方标准和规定，监督管理沙化土地的开发利用，组织沙尘暴灾害预测预报和应急处置。</w:t>
      </w:r>
    </w:p>
    <w:p>
      <w:pPr>
        <w:pStyle w:val="17"/>
      </w:pPr>
      <w:r>
        <w:t>(五)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17"/>
      </w:pPr>
      <w:r>
        <w:t>(六)负责监督管理全县各类自然保护地。拟订全县各类自然保护地规划和相关地方标准。负责自然保护地的自然资源资产管理和国土空间用途管制。提出新建、调整各类县级以上自然保护地的审核建议并按程序报批，组织审核世界自然遗产的申报，会同有关部门审核世界自然与文化双重遗产的申报。负责全县生物多样性保护相关工作。</w:t>
      </w:r>
    </w:p>
    <w:p>
      <w:pPr>
        <w:pStyle w:val="17"/>
      </w:pPr>
      <w:r>
        <w:t>（七）负责推进全县林业改革相关工作。拟订集体林权制度、大改革意见并监督实施。拟订农村林业发展、维护林业经营者合法权益的政策措施,指导监督农村林地承包经营工作。开展退耕还林，负责天然林保护工作。</w:t>
      </w:r>
    </w:p>
    <w:p>
      <w:pPr>
        <w:pStyle w:val="17"/>
      </w:pPr>
      <w:r>
        <w:t>(八)拟订全县林业资源优化配置及木材利用政策，拟订相关林业产业地方标准并监督实施，组织、指导林产品质量监督，指导巩固生态、林业产业脱贫成果衔接乡村振兴相关工作。</w:t>
      </w:r>
    </w:p>
    <w:p>
      <w:pPr>
        <w:pStyle w:val="17"/>
      </w:pPr>
      <w:r>
        <w:t>(九)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17"/>
      </w:pPr>
      <w:r>
        <w:t>(十)负责全县经济林(水果除外，下同)、桑柞蚕、花卉行业的管理工作。负责经济林、桑柞蚕、花卉行业的结构调整和相关基地建设，负责经济林、桑柞蚕、花卉的品种改良、品质提高和标准化生产工作。监督管理果品质量安全，负责果品生产环节监管和果品质量安全检测。</w:t>
      </w:r>
    </w:p>
    <w:p>
      <w:pPr>
        <w:pStyle w:val="17"/>
      </w:pPr>
      <w:r>
        <w:t>(十一)负责林业适用技术应用和科技成果推广工作。负责谋划林下经济等林业产业项目，指导全县林业系统多种经营，推动林业产业发展。</w:t>
      </w:r>
    </w:p>
    <w:p>
      <w:pPr>
        <w:pStyle w:val="17"/>
      </w:pPr>
      <w:r>
        <w:t>(十二)负责相关行政执法监管工作。拟订林业和草原系统行政执法的政策法规，协调、监督、指导全县林业和草原行政综合执法工作。负责所属国有林场和自然保护区的行政综合执法工作，协调与属地乡镇行政综合执法关系，组织指导林业和草原生态环境损害赔偿工作。</w:t>
      </w:r>
    </w:p>
    <w:p>
      <w:pPr>
        <w:pStyle w:val="17"/>
      </w:pPr>
      <w:r>
        <w:t>(十三)负责落实行业管理责任,指导全县落实林木所有者、经营者主体责任，组织指导林业系统开展森林防火宣传教育和林木管护工作。负责落实国有林场和自然保护地综合防灾减灾规划相关要求，组织指导国有林场和自然保护地森林火灾防治规划编制并监督实施，贯彻落实相关防护标准，指导国有林场和自然保护地开展防火巡护、火源管理、防火设施建设等工作。组织指导国有林场和自然保护地森林防火宣传教育、预警监测、督促检查等防火工作。</w:t>
      </w:r>
    </w:p>
    <w:p>
      <w:pPr>
        <w:pStyle w:val="17"/>
      </w:pPr>
      <w:r>
        <w:t>(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17"/>
      </w:pPr>
      <w:r>
        <w:t>(十五)负责全县林业科技、教育和外事工作，指导全县林业人才队伍建设，组织实施林业国际交流与合作事务。</w:t>
      </w:r>
    </w:p>
    <w:p>
      <w:pPr>
        <w:pStyle w:val="17"/>
      </w:pPr>
      <w:r>
        <w:t>(十六)负责全面推行林长制有关工作。</w:t>
      </w:r>
    </w:p>
    <w:p>
      <w:pPr>
        <w:pStyle w:val="17"/>
      </w:pPr>
      <w:r>
        <w:t>(十七)落实行业主管部门的安全生产监管职责，各股室落实各自分管领域的安全生产监管职责。</w:t>
      </w:r>
    </w:p>
    <w:p>
      <w:pPr>
        <w:pStyle w:val="17"/>
      </w:pPr>
      <w:r>
        <w:t>行业招商引资和项目建设工作。</w:t>
      </w:r>
    </w:p>
    <w:p>
      <w:pPr>
        <w:pStyle w:val="17"/>
      </w:pPr>
      <w:r>
        <w:t>(十九)完成县委、县政府交办的其他任务。第五条转变职能。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青龙满族自治县林业局本级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12937.97万元，其中：一般公共预算收入6605.03万元，基金预算收入0.00万元，国有资本经营预算收入0.00万元，财政专户核拨收入0.00万元，单位资金收入0.00万元，上年结转结余6332.94万元。</w:t>
      </w:r>
    </w:p>
    <w:p>
      <w:pPr>
        <w:pStyle w:val="18"/>
      </w:pPr>
      <w:r>
        <w:t>2、支出说明</w:t>
      </w:r>
    </w:p>
    <w:p>
      <w:pPr>
        <w:pStyle w:val="18"/>
      </w:pPr>
      <w:bookmarkStart w:id="1" w:name="OLE_LINK3"/>
      <w:r>
        <w:t>收支预算总表支出栏、基本支出表、项目支出表按经济分类和支出功能分类科目编制，反映青龙满族自治县林业局本级年度单位预算中支出预算的总体情况。2026年支出预算12937.97万元，其中基本支出1842.44万元，包括人员经费1661.79万元和日常公用经费180.65万元；项目支出11095.52万元，</w:t>
      </w:r>
      <w:r>
        <w:rPr>
          <w:rFonts w:hint="eastAsia"/>
          <w:lang w:val="en-US" w:eastAsia="zh-CN"/>
        </w:rPr>
        <w:t>主要</w:t>
      </w:r>
      <w:r>
        <w:t>为关于提前下达2026年森林草原防火视频监控服务采购省级补助资金的通知（冀财资环[2025]64号）</w:t>
      </w:r>
      <w:r>
        <w:rPr>
          <w:rFonts w:hint="eastAsia"/>
          <w:lang w:val="en-US" w:eastAsia="zh-CN"/>
        </w:rPr>
        <w:t>242万元、</w:t>
      </w:r>
      <w:r>
        <w:t>关于提前下达2026年省级风景名胜资源保护资金的通知-秦皇岛北戴河风景名胜区祖山景区天女峰至乌龙谷巡护步道项目（冀财资环[2025]63号）</w:t>
      </w:r>
      <w:r>
        <w:rPr>
          <w:rFonts w:hint="eastAsia"/>
          <w:lang w:val="en-US" w:eastAsia="zh-CN"/>
        </w:rPr>
        <w:t>90万元、</w:t>
      </w:r>
      <w:r>
        <w:t>防火经费</w:t>
      </w:r>
      <w:r>
        <w:rPr>
          <w:rFonts w:hint="eastAsia"/>
          <w:lang w:val="en-US" w:eastAsia="zh-CN"/>
        </w:rPr>
        <w:t>20万元</w:t>
      </w:r>
      <w:r>
        <w:t>、</w:t>
      </w:r>
      <w:r>
        <w:rPr>
          <w:rFonts w:hint="eastAsia"/>
          <w:lang w:val="en-US" w:eastAsia="zh-CN"/>
        </w:rPr>
        <w:t>2026年义务</w:t>
      </w:r>
      <w:r>
        <w:t>植树</w:t>
      </w:r>
      <w:r>
        <w:rPr>
          <w:rFonts w:hint="eastAsia"/>
          <w:lang w:val="en-US" w:eastAsia="zh-CN"/>
        </w:rPr>
        <w:t>1.2万元</w:t>
      </w:r>
      <w:r>
        <w:t>、林长制工作经费</w:t>
      </w:r>
      <w:r>
        <w:rPr>
          <w:rFonts w:hint="eastAsia"/>
          <w:lang w:val="en-US" w:eastAsia="zh-CN"/>
        </w:rPr>
        <w:t>0.6万元和结转项目</w:t>
      </w:r>
      <w:r>
        <w:t>等支出。预计下年使用的单位资金结余0.00万元。委托业务费共计安排1852.98万元，主要用于因技术原因确需对外委托的辅助</w:t>
      </w:r>
      <w:bookmarkStart w:id="4" w:name="_GoBack"/>
      <w:bookmarkEnd w:id="4"/>
      <w:r>
        <w:t>性工作和确有必要对外委托开展咨询、评审、规划等工作。</w:t>
      </w:r>
    </w:p>
    <w:bookmarkEnd w:id="1"/>
    <w:p>
      <w:pPr>
        <w:pStyle w:val="18"/>
      </w:pPr>
      <w:r>
        <w:t>3、比上年增减情况</w:t>
      </w:r>
    </w:p>
    <w:p>
      <w:pPr>
        <w:pStyle w:val="18"/>
      </w:pPr>
      <w:r>
        <w:t>2026年预算收支安排12937.97万元，较2025年预算减少2618.23万元，其中：基本支出增加773.97万元，主要为人员</w:t>
      </w:r>
      <w:r>
        <w:rPr>
          <w:rFonts w:hint="eastAsia"/>
          <w:lang w:val="en-US" w:eastAsia="zh-CN"/>
        </w:rPr>
        <w:t>和日常支出</w:t>
      </w:r>
      <w:r>
        <w:t>增加。项目支出减少3392.20万元，主要为项目减少。预计下年使用的单位资金结余增加0.00万元。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ind w:firstLine="840" w:firstLineChars="300"/>
        <w:jc w:val="left"/>
        <w:outlineLvl w:val="5"/>
        <w:rPr>
          <w:rFonts w:hint="eastAsia"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2026年，我单位机关运行经费共计安排180.65万元，主要用于办公费29.78万元，印刷费12.97万元，水费4.58万元，电费30.64万元，邮电费2.5万元，取暖费28.2万元，差旅费24.21万元，维修（护）费9.60万元，公务接待费1.00万元，劳务费4.40万元，委托业务费2.10万元，公务用车运行维护费12.80万元，其他交通费用14.87万元</w:t>
      </w:r>
      <w:r>
        <w:rPr>
          <w:rFonts w:hint="eastAsia" w:eastAsia="方正仿宋_GBK" w:cs="Times New Roman"/>
          <w:sz w:val="28"/>
          <w:szCs w:val="20"/>
          <w:lang w:val="en-US" w:eastAsia="zh-CN" w:bidi="ar-SA"/>
        </w:rPr>
        <w:t>办公设备购置3万元</w:t>
      </w:r>
      <w:r>
        <w:rPr>
          <w:rFonts w:hint="eastAsia" w:ascii="Times New Roman" w:hAnsi="Times New Roman" w:eastAsia="方正仿宋_GBK" w:cs="Times New Roman"/>
          <w:sz w:val="28"/>
          <w:szCs w:val="20"/>
          <w:lang w:val="en-US" w:eastAsia="zh-CN" w:bidi="ar-SA"/>
        </w:rPr>
        <w:t>。</w:t>
      </w:r>
    </w:p>
    <w:p>
      <w:pPr>
        <w:numPr>
          <w:ilvl w:val="0"/>
          <w:numId w:val="0"/>
        </w:numPr>
        <w:spacing w:before="10" w:after="10" w:line="240" w:lineRule="auto"/>
        <w:ind w:firstLine="640" w:firstLineChars="200"/>
        <w:jc w:val="left"/>
        <w:outlineLvl w:val="5"/>
        <w:rPr>
          <w:rFonts w:hint="eastAsia" w:ascii="黑体" w:hAnsi="黑体" w:eastAsia="黑体" w:cs="黑体"/>
          <w:color w:val="000000"/>
          <w:sz w:val="32"/>
        </w:rPr>
      </w:pPr>
      <w:r>
        <w:rPr>
          <w:rFonts w:hint="eastAsia" w:ascii="黑体" w:hAnsi="黑体" w:eastAsia="黑体" w:cs="黑体"/>
          <w:color w:val="000000"/>
          <w:sz w:val="32"/>
        </w:rPr>
        <w:t>四、财政拨款“三公”经费预算情况及增减变化原因</w:t>
      </w:r>
    </w:p>
    <w:p>
      <w:pPr>
        <w:spacing w:before="10" w:after="10" w:line="240" w:lineRule="auto"/>
        <w:ind w:firstLine="640"/>
        <w:jc w:val="left"/>
        <w:outlineLvl w:val="5"/>
        <w:rPr>
          <w:rFonts w:hint="eastAsia"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2026年，我部门财政拨款“三公”经费预算安排13.8万元，其中因公出国（境）费0.00万元，同比无变化，原因是无因公出国（境）安排；公务用车购置及运维费12.800万元（其中：公务用车购置费为0.00万元，公务用车运维费12.8万元)；</w:t>
      </w:r>
      <w:r>
        <w:rPr>
          <w:rFonts w:hint="eastAsia" w:eastAsia="方正仿宋_GBK" w:cs="Times New Roman"/>
          <w:sz w:val="28"/>
          <w:szCs w:val="20"/>
          <w:lang w:val="en-US" w:eastAsia="zh-CN" w:bidi="ar-SA"/>
        </w:rPr>
        <w:t>同比上年增加1.6万元，主要原因是油费上涨，保险费增加。</w:t>
      </w:r>
      <w:r>
        <w:rPr>
          <w:rFonts w:hint="eastAsia" w:ascii="Times New Roman" w:hAnsi="Times New Roman" w:eastAsia="方正仿宋_GBK" w:cs="Times New Roman"/>
          <w:sz w:val="28"/>
          <w:szCs w:val="20"/>
          <w:lang w:val="en-US" w:eastAsia="zh-CN" w:bidi="ar-SA"/>
        </w:rPr>
        <w:t>公务接待费</w:t>
      </w:r>
      <w:r>
        <w:rPr>
          <w:rFonts w:hint="eastAsia" w:eastAsia="方正仿宋_GBK" w:cs="Times New Roman"/>
          <w:sz w:val="28"/>
          <w:szCs w:val="20"/>
          <w:lang w:val="en-US" w:eastAsia="zh-CN" w:bidi="ar-SA"/>
        </w:rPr>
        <w:t>1.00</w:t>
      </w:r>
      <w:r>
        <w:rPr>
          <w:rFonts w:hint="eastAsia" w:ascii="Times New Roman" w:hAnsi="Times New Roman" w:eastAsia="方正仿宋_GBK" w:cs="Times New Roman"/>
          <w:sz w:val="28"/>
          <w:szCs w:val="20"/>
          <w:lang w:val="en-US" w:eastAsia="zh-CN" w:bidi="ar-SA"/>
        </w:rPr>
        <w:t>万元</w:t>
      </w:r>
      <w:r>
        <w:rPr>
          <w:rFonts w:hint="eastAsia" w:eastAsia="方正仿宋_GBK" w:cs="Times New Roman"/>
          <w:sz w:val="28"/>
          <w:szCs w:val="20"/>
          <w:lang w:val="en-US" w:eastAsia="zh-CN" w:bidi="ar-SA"/>
        </w:rPr>
        <w:t>，同比上年增加1万元，主要原因是工作需要</w:t>
      </w:r>
      <w:r>
        <w:rPr>
          <w:rFonts w:hint="eastAsia" w:ascii="Times New Roman" w:hAnsi="Times New Roman" w:eastAsia="方正仿宋_GBK" w:cs="Times New Roman"/>
          <w:sz w:val="28"/>
          <w:szCs w:val="20"/>
          <w:lang w:val="en-US" w:eastAsia="zh-CN" w:bidi="ar-SA"/>
        </w:rPr>
        <w:t>。</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firstLine="640"/>
        <w:jc w:val="left"/>
        <w:outlineLvl w:val="5"/>
        <w:rPr>
          <w:rFonts w:ascii="黑体" w:hAnsi="黑体" w:eastAsia="黑体" w:cs="黑体"/>
          <w:color w:val="000000"/>
          <w:sz w:val="32"/>
        </w:rPr>
      </w:pPr>
    </w:p>
    <w:p>
      <w:pPr>
        <w:numPr>
          <w:ilvl w:val="0"/>
          <w:numId w:val="0"/>
        </w:numPr>
        <w:spacing w:before="10" w:after="10" w:line="240" w:lineRule="auto"/>
        <w:ind w:firstLine="1120" w:firstLineChars="400"/>
        <w:jc w:val="left"/>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p>
    <w:p>
      <w:pPr>
        <w:spacing w:before="0" w:after="0"/>
        <w:ind w:firstLine="560"/>
        <w:jc w:val="left"/>
        <w:outlineLvl w:val="9"/>
      </w:pPr>
      <w:r>
        <w:rPr>
          <w:rFonts w:ascii="方正仿宋_GBK" w:hAnsi="方正仿宋_GBK" w:eastAsia="方正仿宋_GBK" w:cs="方正仿宋_GBK"/>
          <w:b/>
          <w:color w:val="000000"/>
          <w:sz w:val="28"/>
        </w:rPr>
        <w:t>1、2021-2024年造林绿化验收资金绩效目标表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13032125P00329910001B</w:t>
            </w:r>
          </w:p>
        </w:tc>
        <w:tc>
          <w:tcPr>
            <w:tcW w:w="2835" w:type="dxa"/>
            <w:vAlign w:val="center"/>
          </w:tcPr>
          <w:p>
            <w:pPr>
              <w:pStyle w:val="10"/>
            </w:pPr>
            <w:r>
              <w:t>项目名称</w:t>
            </w:r>
          </w:p>
        </w:tc>
        <w:tc>
          <w:tcPr>
            <w:tcW w:w="6095" w:type="dxa"/>
            <w:gridSpan w:val="3"/>
            <w:vAlign w:val="center"/>
          </w:tcPr>
          <w:p>
            <w:pPr>
              <w:pStyle w:val="12"/>
            </w:pPr>
            <w:r>
              <w:t>2021-2024年造林绿化验收资金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项目金额16万元，其中财政拨款16万元，主要用于开展造林绿化验收工作，达到为发放造林绿化补助提供依据的效果。</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1.通过开展造林绿化验收工作，达到为发放造林绿化补助提供依据的效果。</w:t>
            </w:r>
            <w:r>
              <w:tab/>
            </w:r>
            <w:r>
              <w:tab/>
            </w:r>
            <w:r>
              <w:tab/>
            </w:r>
            <w:r>
              <w:tab/>
            </w:r>
          </w:p>
          <w:p>
            <w:pPr>
              <w:pStyle w:val="12"/>
            </w:pPr>
            <w:r>
              <w:t>2.通过开展造林绿化验收工作，达到监控造林绿化成果，保证造林绿化面积的效果。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验收人工造林亩数</w:t>
            </w:r>
          </w:p>
        </w:tc>
        <w:tc>
          <w:tcPr>
            <w:tcW w:w="5386" w:type="dxa"/>
            <w:vAlign w:val="center"/>
          </w:tcPr>
          <w:p>
            <w:pPr>
              <w:pStyle w:val="12"/>
            </w:pPr>
            <w:r>
              <w:t>验收2023年度造林绿化亩数(第二次)，验收2024年人工造林（第一次）</w:t>
            </w:r>
          </w:p>
        </w:tc>
        <w:tc>
          <w:tcPr>
            <w:tcW w:w="2268" w:type="dxa"/>
            <w:vAlign w:val="center"/>
          </w:tcPr>
          <w:p>
            <w:pPr>
              <w:pStyle w:val="12"/>
            </w:pPr>
            <w:r>
              <w:t>3.9万亩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验收封山育林亩数</w:t>
            </w:r>
          </w:p>
        </w:tc>
        <w:tc>
          <w:tcPr>
            <w:tcW w:w="5386" w:type="dxa"/>
            <w:vAlign w:val="center"/>
          </w:tcPr>
          <w:p>
            <w:pPr>
              <w:pStyle w:val="12"/>
            </w:pPr>
            <w:r>
              <w:t>验收2024年封山育林亩数</w:t>
            </w:r>
          </w:p>
        </w:tc>
        <w:tc>
          <w:tcPr>
            <w:tcW w:w="2268" w:type="dxa"/>
            <w:vAlign w:val="center"/>
          </w:tcPr>
          <w:p>
            <w:pPr>
              <w:pStyle w:val="12"/>
            </w:pPr>
            <w:r>
              <w:t>4万亩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造林密度</w:t>
            </w:r>
          </w:p>
        </w:tc>
        <w:tc>
          <w:tcPr>
            <w:tcW w:w="5386" w:type="dxa"/>
            <w:vAlign w:val="center"/>
          </w:tcPr>
          <w:p>
            <w:pPr>
              <w:pStyle w:val="12"/>
            </w:pPr>
            <w:r>
              <w:t>反映每亩苗木株数</w:t>
            </w:r>
          </w:p>
        </w:tc>
        <w:tc>
          <w:tcPr>
            <w:tcW w:w="2268" w:type="dxa"/>
            <w:vAlign w:val="center"/>
          </w:tcPr>
          <w:p>
            <w:pPr>
              <w:pStyle w:val="12"/>
            </w:pPr>
            <w:r>
              <w:t>≥56株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苗木成活率</w:t>
            </w:r>
          </w:p>
        </w:tc>
        <w:tc>
          <w:tcPr>
            <w:tcW w:w="5386" w:type="dxa"/>
            <w:vAlign w:val="center"/>
          </w:tcPr>
          <w:p>
            <w:pPr>
              <w:pStyle w:val="12"/>
            </w:pPr>
            <w:r>
              <w:t>反映造林苗木的成活率</w:t>
            </w:r>
          </w:p>
        </w:tc>
        <w:tc>
          <w:tcPr>
            <w:tcW w:w="2268" w:type="dxa"/>
            <w:vAlign w:val="center"/>
          </w:tcPr>
          <w:p>
            <w:pPr>
              <w:pStyle w:val="12"/>
            </w:pPr>
            <w:r>
              <w:t>≥85百分比</w:t>
            </w:r>
          </w:p>
        </w:tc>
        <w:tc>
          <w:tcPr>
            <w:tcW w:w="1276" w:type="dxa"/>
            <w:vAlign w:val="center"/>
          </w:tcPr>
          <w:p>
            <w:pPr>
              <w:pStyle w:val="12"/>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验收完成时间</w:t>
            </w:r>
          </w:p>
        </w:tc>
        <w:tc>
          <w:tcPr>
            <w:tcW w:w="5386" w:type="dxa"/>
            <w:vAlign w:val="center"/>
          </w:tcPr>
          <w:p>
            <w:pPr>
              <w:pStyle w:val="12"/>
            </w:pPr>
            <w:r>
              <w:t>按合同约定完成验收工作</w:t>
            </w:r>
          </w:p>
        </w:tc>
        <w:tc>
          <w:tcPr>
            <w:tcW w:w="2268" w:type="dxa"/>
            <w:vAlign w:val="center"/>
          </w:tcPr>
          <w:p>
            <w:pPr>
              <w:pStyle w:val="12"/>
            </w:pPr>
            <w:r>
              <w:t>年底前</w:t>
            </w:r>
          </w:p>
        </w:tc>
        <w:tc>
          <w:tcPr>
            <w:tcW w:w="1276" w:type="dxa"/>
            <w:vAlign w:val="center"/>
          </w:tcPr>
          <w:p>
            <w:pPr>
              <w:pStyle w:val="12"/>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按合同付验收费2023年、2024年人工验收费用</w:t>
            </w:r>
          </w:p>
        </w:tc>
        <w:tc>
          <w:tcPr>
            <w:tcW w:w="2268" w:type="dxa"/>
            <w:vAlign w:val="center"/>
          </w:tcPr>
          <w:p>
            <w:pPr>
              <w:pStyle w:val="12"/>
            </w:pPr>
            <w:r>
              <w:t>≤16万元</w:t>
            </w:r>
          </w:p>
        </w:tc>
        <w:tc>
          <w:tcPr>
            <w:tcW w:w="1276" w:type="dxa"/>
            <w:vAlign w:val="center"/>
          </w:tcPr>
          <w:p>
            <w:pPr>
              <w:pStyle w:val="12"/>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按合同付2024年封山育林验收费用</w:t>
            </w:r>
          </w:p>
        </w:tc>
        <w:tc>
          <w:tcPr>
            <w:tcW w:w="2268" w:type="dxa"/>
            <w:vAlign w:val="center"/>
          </w:tcPr>
          <w:p>
            <w:pPr>
              <w:pStyle w:val="12"/>
            </w:pPr>
            <w:r>
              <w:t>≤7.4万元</w:t>
            </w:r>
          </w:p>
        </w:tc>
        <w:tc>
          <w:tcPr>
            <w:tcW w:w="1276" w:type="dxa"/>
            <w:vAlign w:val="center"/>
          </w:tcPr>
          <w:p>
            <w:pPr>
              <w:pStyle w:val="12"/>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增加林地面积</w:t>
            </w:r>
          </w:p>
        </w:tc>
        <w:tc>
          <w:tcPr>
            <w:tcW w:w="5386" w:type="dxa"/>
            <w:vAlign w:val="center"/>
          </w:tcPr>
          <w:p>
            <w:pPr>
              <w:pStyle w:val="12"/>
            </w:pPr>
            <w:r>
              <w:t>通过验收有利于监控造林绿化成果，保证造林绿化面积</w:t>
            </w:r>
          </w:p>
        </w:tc>
        <w:tc>
          <w:tcPr>
            <w:tcW w:w="2268" w:type="dxa"/>
            <w:vAlign w:val="center"/>
          </w:tcPr>
          <w:p>
            <w:pPr>
              <w:pStyle w:val="12"/>
            </w:pPr>
            <w:r>
              <w:t>7.9万亩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通过验收后提高的提高森林覆盖率</w:t>
            </w:r>
          </w:p>
        </w:tc>
        <w:tc>
          <w:tcPr>
            <w:tcW w:w="2268" w:type="dxa"/>
            <w:vAlign w:val="center"/>
          </w:tcPr>
          <w:p>
            <w:pPr>
              <w:pStyle w:val="12"/>
            </w:pPr>
            <w:r>
              <w:t>≥1.5百分比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群众对当年造林绿化工作的整体满意度</w:t>
            </w:r>
          </w:p>
        </w:tc>
        <w:tc>
          <w:tcPr>
            <w:tcW w:w="2268" w:type="dxa"/>
            <w:vAlign w:val="center"/>
          </w:tcPr>
          <w:p>
            <w:pPr>
              <w:pStyle w:val="12"/>
            </w:pPr>
            <w:r>
              <w:t>≥90百分比</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2、2025年义务植树经费绩效目标表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13032125P00011610015B</w:t>
            </w:r>
          </w:p>
        </w:tc>
        <w:tc>
          <w:tcPr>
            <w:tcW w:w="2835" w:type="dxa"/>
            <w:vAlign w:val="center"/>
          </w:tcPr>
          <w:p>
            <w:pPr>
              <w:pStyle w:val="10"/>
            </w:pPr>
            <w:r>
              <w:t>项目名称</w:t>
            </w:r>
          </w:p>
        </w:tc>
        <w:tc>
          <w:tcPr>
            <w:tcW w:w="6095" w:type="dxa"/>
            <w:gridSpan w:val="3"/>
            <w:vAlign w:val="center"/>
          </w:tcPr>
          <w:p>
            <w:pPr>
              <w:pStyle w:val="12"/>
            </w:pPr>
            <w:r>
              <w:t>2025年义务植树经费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2.13</w:t>
            </w:r>
          </w:p>
        </w:tc>
        <w:tc>
          <w:tcPr>
            <w:tcW w:w="2835" w:type="dxa"/>
            <w:vAlign w:val="center"/>
          </w:tcPr>
          <w:p>
            <w:pPr>
              <w:pStyle w:val="10"/>
            </w:pPr>
            <w:r>
              <w:t>其中：财政    资金</w:t>
            </w:r>
          </w:p>
        </w:tc>
        <w:tc>
          <w:tcPr>
            <w:tcW w:w="2551" w:type="dxa"/>
            <w:vAlign w:val="center"/>
          </w:tcPr>
          <w:p>
            <w:pPr>
              <w:pStyle w:val="12"/>
            </w:pPr>
            <w:r>
              <w:t>2.13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项目金额2.125万元，其中财政拨款2.125万元，主要用于开展义务植树活动，实现动员全县适龄公民完成义务植树任务，宣传义务植树意义，生态建设人人有责。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1.通过开展义务植树活动，提高我县城市品位，努力打造生态宜居园林城市，在全县掀起全民义务植树高潮，实现义务植树6000株。</w:t>
            </w:r>
            <w:r>
              <w:tab/>
            </w:r>
            <w:r>
              <w:tab/>
            </w:r>
            <w:r>
              <w:tab/>
            </w:r>
            <w:r>
              <w:tab/>
            </w:r>
          </w:p>
          <w:p>
            <w:pPr>
              <w:pStyle w:val="12"/>
            </w:pPr>
          </w:p>
          <w:p>
            <w:pPr>
              <w:pStyle w:val="12"/>
            </w:pPr>
            <w:r>
              <w:t>2.通过开展义务植树活动，实现动员全县适龄公民完成义务植树任务，宣传义务植树意义，生态建设人人有责。</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义务植树苗木数量</w:t>
            </w:r>
          </w:p>
        </w:tc>
        <w:tc>
          <w:tcPr>
            <w:tcW w:w="5386" w:type="dxa"/>
            <w:vAlign w:val="center"/>
          </w:tcPr>
          <w:p>
            <w:pPr>
              <w:pStyle w:val="12"/>
            </w:pPr>
            <w:r>
              <w:t>用于义务植树苗木树量</w:t>
            </w:r>
          </w:p>
        </w:tc>
        <w:tc>
          <w:tcPr>
            <w:tcW w:w="2268" w:type="dxa"/>
            <w:vAlign w:val="center"/>
          </w:tcPr>
          <w:p>
            <w:pPr>
              <w:pStyle w:val="12"/>
            </w:pPr>
            <w:r>
              <w:t>≥6000株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宣传活动的次数</w:t>
            </w:r>
          </w:p>
        </w:tc>
        <w:tc>
          <w:tcPr>
            <w:tcW w:w="5386" w:type="dxa"/>
            <w:vAlign w:val="center"/>
          </w:tcPr>
          <w:p>
            <w:pPr>
              <w:pStyle w:val="12"/>
            </w:pPr>
            <w:r>
              <w:t>宣传活动的次数</w:t>
            </w:r>
          </w:p>
        </w:tc>
        <w:tc>
          <w:tcPr>
            <w:tcW w:w="2268" w:type="dxa"/>
            <w:vAlign w:val="center"/>
          </w:tcPr>
          <w:p>
            <w:pPr>
              <w:pStyle w:val="12"/>
            </w:pPr>
            <w:r>
              <w:t>≥8次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成活率</w:t>
            </w:r>
          </w:p>
        </w:tc>
        <w:tc>
          <w:tcPr>
            <w:tcW w:w="5386" w:type="dxa"/>
            <w:vAlign w:val="center"/>
          </w:tcPr>
          <w:p>
            <w:pPr>
              <w:pStyle w:val="12"/>
            </w:pPr>
            <w:r>
              <w:t>成活株占义务植树总数的比率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知晓率</w:t>
            </w:r>
          </w:p>
        </w:tc>
        <w:tc>
          <w:tcPr>
            <w:tcW w:w="5386" w:type="dxa"/>
            <w:vAlign w:val="center"/>
          </w:tcPr>
          <w:p>
            <w:pPr>
              <w:pStyle w:val="12"/>
            </w:pPr>
            <w:r>
              <w:t>宣传对象对义务植树活动的知晓率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义务植树工作的完成时间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树苗的单价</w:t>
            </w:r>
          </w:p>
        </w:tc>
        <w:tc>
          <w:tcPr>
            <w:tcW w:w="2268" w:type="dxa"/>
            <w:vAlign w:val="center"/>
          </w:tcPr>
          <w:p>
            <w:pPr>
              <w:pStyle w:val="12"/>
            </w:pPr>
            <w:r>
              <w:t>≤3元/株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宣传活动的单位成本</w:t>
            </w:r>
          </w:p>
        </w:tc>
        <w:tc>
          <w:tcPr>
            <w:tcW w:w="2268" w:type="dxa"/>
            <w:vAlign w:val="center"/>
          </w:tcPr>
          <w:p>
            <w:pPr>
              <w:pStyle w:val="12"/>
            </w:pPr>
            <w:r>
              <w:t>≤1500元/次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植树面积</w:t>
            </w:r>
          </w:p>
        </w:tc>
        <w:tc>
          <w:tcPr>
            <w:tcW w:w="5386" w:type="dxa"/>
            <w:vAlign w:val="center"/>
          </w:tcPr>
          <w:p>
            <w:pPr>
              <w:pStyle w:val="12"/>
            </w:pPr>
            <w:r>
              <w:t>完成植树面积占总面积比例</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森林覆盖率</w:t>
            </w:r>
          </w:p>
        </w:tc>
        <w:tc>
          <w:tcPr>
            <w:tcW w:w="5386" w:type="dxa"/>
            <w:vAlign w:val="center"/>
          </w:tcPr>
          <w:p>
            <w:pPr>
              <w:pStyle w:val="12"/>
            </w:pPr>
            <w:r>
              <w:t>提高森林覆盖率</w:t>
            </w:r>
          </w:p>
        </w:tc>
        <w:tc>
          <w:tcPr>
            <w:tcW w:w="2268" w:type="dxa"/>
            <w:vAlign w:val="center"/>
          </w:tcPr>
          <w:p>
            <w:pPr>
              <w:pStyle w:val="12"/>
            </w:pPr>
            <w:r>
              <w:t>≥0.01百分比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3、2026年义务植树绩效目标表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13032126P00011610275K</w:t>
            </w:r>
          </w:p>
        </w:tc>
        <w:tc>
          <w:tcPr>
            <w:tcW w:w="2835" w:type="dxa"/>
            <w:vAlign w:val="center"/>
          </w:tcPr>
          <w:p>
            <w:pPr>
              <w:pStyle w:val="10"/>
            </w:pPr>
            <w:r>
              <w:t>项目名称</w:t>
            </w:r>
          </w:p>
        </w:tc>
        <w:tc>
          <w:tcPr>
            <w:tcW w:w="6095" w:type="dxa"/>
            <w:gridSpan w:val="3"/>
            <w:vAlign w:val="center"/>
          </w:tcPr>
          <w:p>
            <w:pPr>
              <w:pStyle w:val="12"/>
            </w:pPr>
            <w:r>
              <w:t>2026年义务植树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预算安排1.2万元，其中财政拨款1.2万元。主要用于开展义务植树活动，提高我县城市品位，努力打造生态宜居园林城市，在全县掀起全民义务植树高潮，实现义务植树6000株。</w:t>
            </w:r>
            <w:r>
              <w:tab/>
            </w:r>
            <w:r>
              <w:tab/>
            </w:r>
            <w:r>
              <w:tab/>
            </w:r>
            <w:r>
              <w:tab/>
            </w:r>
            <w:r>
              <w:tab/>
            </w:r>
            <w:r>
              <w:tab/>
            </w:r>
          </w:p>
          <w:p>
            <w:pPr>
              <w:pStyle w:val="12"/>
            </w:pP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1.通过开展义务植树活动，实现动员全县适龄公民完成义务植树任务，宣传义务植树意义，生态建设人人有责</w:t>
            </w:r>
          </w:p>
          <w:p>
            <w:pPr>
              <w:pStyle w:val="12"/>
            </w:pPr>
          </w:p>
          <w:p>
            <w:pPr>
              <w:pStyle w:val="12"/>
            </w:pPr>
            <w:r>
              <w:t>2.通过开展义务植树活动，提高我县城市品位，努力打造生态宜居园林城市，在全县掀起全民义务植树高潮，实现义务植树6000株。</w:t>
            </w:r>
            <w:r>
              <w:tab/>
            </w:r>
            <w:r>
              <w:tab/>
            </w:r>
            <w:r>
              <w:tab/>
            </w:r>
            <w:r>
              <w:tab/>
            </w:r>
            <w:r>
              <w:tab/>
            </w:r>
            <w:r>
              <w:tab/>
            </w:r>
          </w:p>
          <w:p>
            <w:pPr>
              <w:pStyle w:val="12"/>
            </w:pP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义务植树苗木数量</w:t>
            </w:r>
          </w:p>
        </w:tc>
        <w:tc>
          <w:tcPr>
            <w:tcW w:w="5386" w:type="dxa"/>
            <w:vAlign w:val="center"/>
          </w:tcPr>
          <w:p>
            <w:pPr>
              <w:pStyle w:val="12"/>
            </w:pPr>
            <w:r>
              <w:t>用于义务植树苗木树量</w:t>
            </w:r>
          </w:p>
        </w:tc>
        <w:tc>
          <w:tcPr>
            <w:tcW w:w="2268" w:type="dxa"/>
            <w:vAlign w:val="center"/>
          </w:tcPr>
          <w:p>
            <w:pPr>
              <w:pStyle w:val="12"/>
            </w:pPr>
            <w:r>
              <w:t>≥6000株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宣传活动的次数</w:t>
            </w:r>
          </w:p>
        </w:tc>
        <w:tc>
          <w:tcPr>
            <w:tcW w:w="5386" w:type="dxa"/>
            <w:vAlign w:val="center"/>
          </w:tcPr>
          <w:p>
            <w:pPr>
              <w:pStyle w:val="12"/>
            </w:pPr>
            <w:r>
              <w:t>宣传活动的次数</w:t>
            </w:r>
          </w:p>
        </w:tc>
        <w:tc>
          <w:tcPr>
            <w:tcW w:w="2268" w:type="dxa"/>
            <w:vAlign w:val="center"/>
          </w:tcPr>
          <w:p>
            <w:pPr>
              <w:pStyle w:val="12"/>
            </w:pPr>
            <w:r>
              <w:t>≥8次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成活率</w:t>
            </w:r>
          </w:p>
        </w:tc>
        <w:tc>
          <w:tcPr>
            <w:tcW w:w="5386" w:type="dxa"/>
            <w:vAlign w:val="center"/>
          </w:tcPr>
          <w:p>
            <w:pPr>
              <w:pStyle w:val="12"/>
            </w:pPr>
            <w:r>
              <w:t>成活株占义务植树总数的比率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知晓率</w:t>
            </w:r>
          </w:p>
        </w:tc>
        <w:tc>
          <w:tcPr>
            <w:tcW w:w="5386" w:type="dxa"/>
            <w:vAlign w:val="center"/>
          </w:tcPr>
          <w:p>
            <w:pPr>
              <w:pStyle w:val="12"/>
            </w:pPr>
            <w:r>
              <w:t>宣传对象对义务植树活动的知晓率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义务植树工作的完成时间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树苗的单价</w:t>
            </w:r>
          </w:p>
        </w:tc>
        <w:tc>
          <w:tcPr>
            <w:tcW w:w="2268" w:type="dxa"/>
            <w:vAlign w:val="center"/>
          </w:tcPr>
          <w:p>
            <w:pPr>
              <w:pStyle w:val="12"/>
            </w:pPr>
            <w:r>
              <w:t>≤3元/株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宣传活动的单位成本</w:t>
            </w:r>
          </w:p>
        </w:tc>
        <w:tc>
          <w:tcPr>
            <w:tcW w:w="2268" w:type="dxa"/>
            <w:vAlign w:val="center"/>
          </w:tcPr>
          <w:p>
            <w:pPr>
              <w:pStyle w:val="12"/>
            </w:pPr>
            <w:r>
              <w:t>≤1500元/次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植树面积</w:t>
            </w:r>
          </w:p>
        </w:tc>
        <w:tc>
          <w:tcPr>
            <w:tcW w:w="5386" w:type="dxa"/>
            <w:vAlign w:val="center"/>
          </w:tcPr>
          <w:p>
            <w:pPr>
              <w:pStyle w:val="12"/>
            </w:pPr>
            <w:r>
              <w:t>完成植树面积占总面积比例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森林覆盖率</w:t>
            </w:r>
          </w:p>
        </w:tc>
        <w:tc>
          <w:tcPr>
            <w:tcW w:w="5386" w:type="dxa"/>
            <w:vAlign w:val="center"/>
          </w:tcPr>
          <w:p>
            <w:pPr>
              <w:pStyle w:val="12"/>
            </w:pPr>
            <w:r>
              <w:t>提高森林覆盖率</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4、保护地发展规划（都山自然保护区、青龙湖国家湿地公园、南山森林公园）绩效目标表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13032125P00329910003J</w:t>
            </w:r>
          </w:p>
        </w:tc>
        <w:tc>
          <w:tcPr>
            <w:tcW w:w="2835" w:type="dxa"/>
            <w:vAlign w:val="center"/>
          </w:tcPr>
          <w:p>
            <w:pPr>
              <w:pStyle w:val="10"/>
            </w:pPr>
            <w:r>
              <w:t>项目名称</w:t>
            </w:r>
          </w:p>
        </w:tc>
        <w:tc>
          <w:tcPr>
            <w:tcW w:w="6095" w:type="dxa"/>
            <w:gridSpan w:val="3"/>
            <w:vAlign w:val="center"/>
          </w:tcPr>
          <w:p>
            <w:pPr>
              <w:pStyle w:val="12"/>
            </w:pPr>
            <w:r>
              <w:t>保护地发展规划（都山自然保护区、青龙湖国家湿地公园、南山森林公园）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项目金额20万元，其中财政拨款20万元，主要用于开展此项活动，有效地开发利用都山自然保护区、青龙湖国家湿地公园、南山森林公园等保护地资源。</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1.通过开展此项活动，有效地开发利用都山自然保护区、青龙湖国家湿地公园、南山森林公园等保护地资源。</w:t>
            </w:r>
          </w:p>
          <w:p>
            <w:pPr>
              <w:pStyle w:val="12"/>
            </w:pPr>
            <w:r>
              <w:t>2.通过开展此项活动，有效地保护都山自然保护区、青龙湖国家湿地公园、南山森林公园等保护地。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编制调查面积</w:t>
            </w:r>
          </w:p>
        </w:tc>
        <w:tc>
          <w:tcPr>
            <w:tcW w:w="5386" w:type="dxa"/>
            <w:vAlign w:val="center"/>
          </w:tcPr>
          <w:p>
            <w:pPr>
              <w:pStyle w:val="12"/>
            </w:pPr>
            <w:r>
              <w:t>编制调查面积</w:t>
            </w:r>
          </w:p>
        </w:tc>
        <w:tc>
          <w:tcPr>
            <w:tcW w:w="2268" w:type="dxa"/>
            <w:vAlign w:val="center"/>
          </w:tcPr>
          <w:p>
            <w:pPr>
              <w:pStyle w:val="12"/>
            </w:pPr>
            <w:r>
              <w:t>≥4705公顷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规划编制成果数量</w:t>
            </w:r>
          </w:p>
        </w:tc>
        <w:tc>
          <w:tcPr>
            <w:tcW w:w="5386" w:type="dxa"/>
            <w:vAlign w:val="center"/>
          </w:tcPr>
          <w:p>
            <w:pPr>
              <w:pStyle w:val="12"/>
            </w:pPr>
            <w:r>
              <w:t>规划编制成果数量情况</w:t>
            </w:r>
          </w:p>
        </w:tc>
        <w:tc>
          <w:tcPr>
            <w:tcW w:w="2268" w:type="dxa"/>
            <w:vAlign w:val="center"/>
          </w:tcPr>
          <w:p>
            <w:pPr>
              <w:pStyle w:val="12"/>
            </w:pPr>
            <w:r>
              <w:t>≥1本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反映规划成果验收合格情况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规划编制时间</w:t>
            </w:r>
          </w:p>
        </w:tc>
        <w:tc>
          <w:tcPr>
            <w:tcW w:w="5386" w:type="dxa"/>
            <w:vAlign w:val="center"/>
          </w:tcPr>
          <w:p>
            <w:pPr>
              <w:pStyle w:val="12"/>
            </w:pPr>
            <w:r>
              <w:t>总体规划编制成果完成时间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规划编制费</w:t>
            </w:r>
          </w:p>
        </w:tc>
        <w:tc>
          <w:tcPr>
            <w:tcW w:w="5386" w:type="dxa"/>
            <w:vAlign w:val="center"/>
          </w:tcPr>
          <w:p>
            <w:pPr>
              <w:pStyle w:val="12"/>
            </w:pPr>
            <w:r>
              <w:t>聘请第三方机构规划编制费用</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自然保护区后续发展指导性</w:t>
            </w:r>
          </w:p>
        </w:tc>
        <w:tc>
          <w:tcPr>
            <w:tcW w:w="5386" w:type="dxa"/>
            <w:vAlign w:val="center"/>
          </w:tcPr>
          <w:p>
            <w:pPr>
              <w:pStyle w:val="12"/>
            </w:pPr>
            <w:r>
              <w:t>自然保护区后续发展指导作用</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规划期蓄积增长量</w:t>
            </w:r>
          </w:p>
        </w:tc>
        <w:tc>
          <w:tcPr>
            <w:tcW w:w="5386" w:type="dxa"/>
            <w:vAlign w:val="center"/>
          </w:tcPr>
          <w:p>
            <w:pPr>
              <w:pStyle w:val="12"/>
            </w:pPr>
            <w:r>
              <w:t>规划期林木蓄积增长量</w:t>
            </w:r>
          </w:p>
        </w:tc>
        <w:tc>
          <w:tcPr>
            <w:tcW w:w="2268" w:type="dxa"/>
            <w:vAlign w:val="center"/>
          </w:tcPr>
          <w:p>
            <w:pPr>
              <w:pStyle w:val="12"/>
            </w:pPr>
            <w:r>
              <w:t>≥155531立方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对保护区发展影响</w:t>
            </w:r>
          </w:p>
        </w:tc>
        <w:tc>
          <w:tcPr>
            <w:tcW w:w="5386" w:type="dxa"/>
            <w:vAlign w:val="center"/>
          </w:tcPr>
          <w:p>
            <w:pPr>
              <w:pStyle w:val="12"/>
            </w:pPr>
            <w:r>
              <w:t>对保护区发展影响</w:t>
            </w:r>
          </w:p>
        </w:tc>
        <w:tc>
          <w:tcPr>
            <w:tcW w:w="2268" w:type="dxa"/>
            <w:vAlign w:val="center"/>
          </w:tcPr>
          <w:p>
            <w:pPr>
              <w:pStyle w:val="12"/>
            </w:pPr>
            <w:r>
              <w:t>≥9年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通过问卷调查。满意和比较满意的对象占比率</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5、保护地总体规划（都山自然保护区、青龙湖国家湿地公园、南山森林公园）编制费绩效目标表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13032126P00011610278E</w:t>
            </w:r>
          </w:p>
        </w:tc>
        <w:tc>
          <w:tcPr>
            <w:tcW w:w="2835" w:type="dxa"/>
            <w:vAlign w:val="center"/>
          </w:tcPr>
          <w:p>
            <w:pPr>
              <w:pStyle w:val="10"/>
            </w:pPr>
            <w:r>
              <w:t>项目名称</w:t>
            </w:r>
          </w:p>
        </w:tc>
        <w:tc>
          <w:tcPr>
            <w:tcW w:w="6095" w:type="dxa"/>
            <w:gridSpan w:val="3"/>
            <w:vAlign w:val="center"/>
          </w:tcPr>
          <w:p>
            <w:pPr>
              <w:pStyle w:val="12"/>
            </w:pPr>
            <w:r>
              <w:t>保护地总体规划（都山自然保护区、青龙湖国家湿地公园、南山森林公园）编制费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预算安排40万元，其中财政拨款40万元。主要用于开展此项活动，有效地开发利用都山自然保护区、青龙湖国家湿地公园、南山森林公园等保护地资源。</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1.通过开展此项活动，有效地保护都山自然保护区、青龙湖国家湿地公园、南山森林公园等保护地。</w:t>
            </w:r>
            <w:r>
              <w:tab/>
            </w:r>
            <w:r>
              <w:tab/>
            </w:r>
            <w:r>
              <w:tab/>
            </w:r>
            <w:r>
              <w:tab/>
            </w:r>
            <w:r>
              <w:tab/>
            </w:r>
            <w:r>
              <w:tab/>
            </w:r>
          </w:p>
          <w:p>
            <w:pPr>
              <w:pStyle w:val="12"/>
            </w:pPr>
          </w:p>
          <w:p>
            <w:pPr>
              <w:pStyle w:val="12"/>
            </w:pPr>
            <w:r>
              <w:t>2.通过开展此项活动，有效地开发利用都山自然保护区、青龙湖国家湿地公园、南山森林公园等保护地资源。</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编制调查面积</w:t>
            </w:r>
          </w:p>
        </w:tc>
        <w:tc>
          <w:tcPr>
            <w:tcW w:w="5386" w:type="dxa"/>
            <w:vAlign w:val="center"/>
          </w:tcPr>
          <w:p>
            <w:pPr>
              <w:pStyle w:val="12"/>
            </w:pPr>
            <w:r>
              <w:t>编制调查面积</w:t>
            </w:r>
          </w:p>
        </w:tc>
        <w:tc>
          <w:tcPr>
            <w:tcW w:w="2268" w:type="dxa"/>
            <w:vAlign w:val="center"/>
          </w:tcPr>
          <w:p>
            <w:pPr>
              <w:pStyle w:val="12"/>
            </w:pPr>
            <w:r>
              <w:t>≥4705公顷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规划编制成果数量</w:t>
            </w:r>
          </w:p>
        </w:tc>
        <w:tc>
          <w:tcPr>
            <w:tcW w:w="5386" w:type="dxa"/>
            <w:vAlign w:val="center"/>
          </w:tcPr>
          <w:p>
            <w:pPr>
              <w:pStyle w:val="12"/>
            </w:pPr>
            <w:r>
              <w:t>规划编制成果数量情况</w:t>
            </w:r>
          </w:p>
        </w:tc>
        <w:tc>
          <w:tcPr>
            <w:tcW w:w="2268" w:type="dxa"/>
            <w:vAlign w:val="center"/>
          </w:tcPr>
          <w:p>
            <w:pPr>
              <w:pStyle w:val="12"/>
            </w:pPr>
            <w:r>
              <w:t>≥1本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反映规划成果验收合格情况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规划编制时间</w:t>
            </w:r>
          </w:p>
        </w:tc>
        <w:tc>
          <w:tcPr>
            <w:tcW w:w="5386" w:type="dxa"/>
            <w:vAlign w:val="center"/>
          </w:tcPr>
          <w:p>
            <w:pPr>
              <w:pStyle w:val="12"/>
            </w:pPr>
            <w:r>
              <w:t>总体规划编制成果完成时间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规划编制费</w:t>
            </w:r>
          </w:p>
        </w:tc>
        <w:tc>
          <w:tcPr>
            <w:tcW w:w="5386" w:type="dxa"/>
            <w:vAlign w:val="center"/>
          </w:tcPr>
          <w:p>
            <w:pPr>
              <w:pStyle w:val="12"/>
            </w:pPr>
            <w:r>
              <w:t>聘请第三方机构规划编制费用</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自然保护区后续发展指导性</w:t>
            </w:r>
          </w:p>
        </w:tc>
        <w:tc>
          <w:tcPr>
            <w:tcW w:w="5386" w:type="dxa"/>
            <w:vAlign w:val="center"/>
          </w:tcPr>
          <w:p>
            <w:pPr>
              <w:pStyle w:val="12"/>
            </w:pPr>
            <w:r>
              <w:t>自然保护区后续发展指导作用</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规划期蓄积增长量</w:t>
            </w:r>
          </w:p>
        </w:tc>
        <w:tc>
          <w:tcPr>
            <w:tcW w:w="5386" w:type="dxa"/>
            <w:vAlign w:val="center"/>
          </w:tcPr>
          <w:p>
            <w:pPr>
              <w:pStyle w:val="12"/>
            </w:pPr>
            <w:r>
              <w:t>规划期林木蓄积增长量</w:t>
            </w:r>
          </w:p>
        </w:tc>
        <w:tc>
          <w:tcPr>
            <w:tcW w:w="2268" w:type="dxa"/>
            <w:vAlign w:val="center"/>
          </w:tcPr>
          <w:p>
            <w:pPr>
              <w:pStyle w:val="12"/>
            </w:pPr>
            <w:r>
              <w:t>≥155531立方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对保护区发展影响</w:t>
            </w:r>
          </w:p>
        </w:tc>
        <w:tc>
          <w:tcPr>
            <w:tcW w:w="5386" w:type="dxa"/>
            <w:vAlign w:val="center"/>
          </w:tcPr>
          <w:p>
            <w:pPr>
              <w:pStyle w:val="12"/>
            </w:pPr>
            <w:r>
              <w:t>对保护区发展影响</w:t>
            </w:r>
          </w:p>
        </w:tc>
        <w:tc>
          <w:tcPr>
            <w:tcW w:w="2268" w:type="dxa"/>
            <w:vAlign w:val="center"/>
          </w:tcPr>
          <w:p>
            <w:pPr>
              <w:pStyle w:val="12"/>
            </w:pPr>
            <w:r>
              <w:t>≥9年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通过问卷调查。满意和比较满意的对象占比率</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6、大龙腰果场人员工资和社保缴费绩效目标表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13032126P000113100312</w:t>
            </w:r>
          </w:p>
        </w:tc>
        <w:tc>
          <w:tcPr>
            <w:tcW w:w="2835" w:type="dxa"/>
            <w:vAlign w:val="center"/>
          </w:tcPr>
          <w:p>
            <w:pPr>
              <w:pStyle w:val="10"/>
            </w:pPr>
            <w:r>
              <w:t>项目名称</w:t>
            </w:r>
          </w:p>
        </w:tc>
        <w:tc>
          <w:tcPr>
            <w:tcW w:w="6095" w:type="dxa"/>
            <w:gridSpan w:val="3"/>
            <w:vAlign w:val="center"/>
          </w:tcPr>
          <w:p>
            <w:pPr>
              <w:pStyle w:val="12"/>
            </w:pPr>
            <w:r>
              <w:t>大龙腰果场人员工资和社保缴费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9.03</w:t>
            </w:r>
          </w:p>
        </w:tc>
        <w:tc>
          <w:tcPr>
            <w:tcW w:w="2835" w:type="dxa"/>
            <w:vAlign w:val="center"/>
          </w:tcPr>
          <w:p>
            <w:pPr>
              <w:pStyle w:val="10"/>
            </w:pPr>
            <w:r>
              <w:t>其中：财政    资金</w:t>
            </w:r>
          </w:p>
        </w:tc>
        <w:tc>
          <w:tcPr>
            <w:tcW w:w="2551" w:type="dxa"/>
            <w:vAlign w:val="center"/>
          </w:tcPr>
          <w:p>
            <w:pPr>
              <w:pStyle w:val="12"/>
            </w:pPr>
            <w:r>
              <w:t>9.03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预算安排9.03万元，其中财政拨款9.03万元。主要用于发放大龙腰果场遗留问题资金，实现解决大龙腰人员的补助支出。</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1.通过发放大龙腰果场遗留问题资金，实现解决遗属人员的补助支出。</w:t>
            </w:r>
            <w:r>
              <w:tab/>
            </w:r>
            <w:r>
              <w:tab/>
            </w:r>
            <w:r>
              <w:tab/>
            </w:r>
            <w:r>
              <w:tab/>
            </w:r>
            <w:r>
              <w:tab/>
            </w:r>
            <w:r>
              <w:tab/>
            </w:r>
          </w:p>
          <w:p>
            <w:pPr>
              <w:pStyle w:val="12"/>
            </w:pPr>
          </w:p>
          <w:p>
            <w:pPr>
              <w:pStyle w:val="12"/>
            </w:pPr>
            <w:r>
              <w:t>2.通过发放大龙腰果场遗留问题资金，实现解决在职人员各项保险缴费。</w:t>
            </w:r>
            <w:r>
              <w:tab/>
            </w:r>
            <w:r>
              <w:tab/>
            </w:r>
            <w:r>
              <w:tab/>
            </w:r>
          </w:p>
          <w:p>
            <w:pPr>
              <w:pStyle w:val="12"/>
            </w:pPr>
          </w:p>
          <w:p>
            <w:pPr>
              <w:pStyle w:val="12"/>
            </w:pPr>
            <w:r>
              <w:t>3.通过发放大龙腰果场遗留问题资金，实现解决退休人员退休费的支出。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在职人员人数</w:t>
            </w:r>
          </w:p>
        </w:tc>
        <w:tc>
          <w:tcPr>
            <w:tcW w:w="5386" w:type="dxa"/>
            <w:vAlign w:val="center"/>
          </w:tcPr>
          <w:p>
            <w:pPr>
              <w:pStyle w:val="12"/>
            </w:pPr>
            <w:r>
              <w:t>用于在职人员保险费支出的人数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退休人员人数</w:t>
            </w:r>
          </w:p>
        </w:tc>
        <w:tc>
          <w:tcPr>
            <w:tcW w:w="5386" w:type="dxa"/>
            <w:vAlign w:val="center"/>
          </w:tcPr>
          <w:p>
            <w:pPr>
              <w:pStyle w:val="12"/>
            </w:pPr>
            <w:r>
              <w:t>用于退休人员退休费支出的人数</w:t>
            </w:r>
          </w:p>
        </w:tc>
        <w:tc>
          <w:tcPr>
            <w:tcW w:w="2268" w:type="dxa"/>
            <w:vAlign w:val="center"/>
          </w:tcPr>
          <w:p>
            <w:pPr>
              <w:pStyle w:val="12"/>
            </w:pPr>
            <w:r>
              <w:t>6人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遗属人数</w:t>
            </w:r>
          </w:p>
        </w:tc>
        <w:tc>
          <w:tcPr>
            <w:tcW w:w="5386" w:type="dxa"/>
            <w:vAlign w:val="center"/>
          </w:tcPr>
          <w:p>
            <w:pPr>
              <w:pStyle w:val="12"/>
            </w:pPr>
            <w:r>
              <w:t>用于遗属补助的人数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反映各项支出计算的准确率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各项支出缴纳、发放的及时率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遗属补助支出</w:t>
            </w:r>
          </w:p>
        </w:tc>
        <w:tc>
          <w:tcPr>
            <w:tcW w:w="5386" w:type="dxa"/>
            <w:vAlign w:val="center"/>
          </w:tcPr>
          <w:p>
            <w:pPr>
              <w:pStyle w:val="12"/>
            </w:pPr>
            <w:r>
              <w:t>用于遗属补助支出</w:t>
            </w:r>
          </w:p>
        </w:tc>
        <w:tc>
          <w:tcPr>
            <w:tcW w:w="2268" w:type="dxa"/>
            <w:vAlign w:val="center"/>
          </w:tcPr>
          <w:p>
            <w:pPr>
              <w:pStyle w:val="12"/>
            </w:pPr>
            <w:r>
              <w:t>≤1.5万元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持续开展工作运转率</w:t>
            </w:r>
          </w:p>
        </w:tc>
        <w:tc>
          <w:tcPr>
            <w:tcW w:w="5386" w:type="dxa"/>
            <w:vAlign w:val="center"/>
          </w:tcPr>
          <w:p>
            <w:pPr>
              <w:pStyle w:val="12"/>
            </w:pPr>
            <w:r>
              <w:t>持续开展工作运转率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13032125P003306100038</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81.92</w:t>
            </w:r>
          </w:p>
        </w:tc>
        <w:tc>
          <w:tcPr>
            <w:tcW w:w="2835" w:type="dxa"/>
            <w:vAlign w:val="center"/>
          </w:tcPr>
          <w:p>
            <w:pPr>
              <w:pStyle w:val="10"/>
            </w:pPr>
            <w:r>
              <w:t>其中：财政    资金</w:t>
            </w:r>
          </w:p>
        </w:tc>
        <w:tc>
          <w:tcPr>
            <w:tcW w:w="2551" w:type="dxa"/>
            <w:vAlign w:val="center"/>
          </w:tcPr>
          <w:p>
            <w:pPr>
              <w:pStyle w:val="12"/>
            </w:pPr>
            <w:r>
              <w:t>81.92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项目金额81.92144万元，其中财政拨款81.92144万元，主要用于开展防火工作，进行宣传、培训，达到提高群众防火意识和队员扑火技能，提升工作效率的效果。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1.通过开展防火工作，进行宣传、培训，达到提高群众防火意识和队员扑火技能，提升工作效率的效果。</w:t>
            </w:r>
            <w:r>
              <w:tab/>
            </w:r>
            <w:r>
              <w:tab/>
            </w:r>
          </w:p>
          <w:p>
            <w:pPr>
              <w:pStyle w:val="12"/>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对森林消防队员培训的次数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对群众进行防火宣传的次数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宣传覆盖的乡镇数的比率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需要重新喷字粉刷防火碑牌验收合格率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2026年年底前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视频监控维保和光纤租赁费成本</w:t>
            </w:r>
          </w:p>
        </w:tc>
        <w:tc>
          <w:tcPr>
            <w:tcW w:w="5386" w:type="dxa"/>
            <w:vAlign w:val="center"/>
          </w:tcPr>
          <w:p>
            <w:pPr>
              <w:pStyle w:val="12"/>
            </w:pPr>
            <w:r>
              <w:t>视频监控维保和光纤租赁费成本</w:t>
            </w:r>
          </w:p>
        </w:tc>
        <w:tc>
          <w:tcPr>
            <w:tcW w:w="2268" w:type="dxa"/>
            <w:vAlign w:val="center"/>
          </w:tcPr>
          <w:p>
            <w:pPr>
              <w:pStyle w:val="12"/>
            </w:pPr>
            <w:r>
              <w:t>≤20000元/个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13032125P003306100643</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预算安排120万元，其中财政拨款120万元，主要用于开展防火工作，进行宣传、培训，达到提高群众防火意识和队员扑火技能，提升工作效率的效果。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1.通过开展防火工作，对森林防火设施的维修及保养，保证防火设施的正常运转，达到将火灾隐患降到最低的效果。</w:t>
            </w:r>
            <w:r>
              <w:tab/>
            </w:r>
            <w:r>
              <w:tab/>
            </w:r>
            <w:r>
              <w:tab/>
            </w:r>
            <w:r>
              <w:tab/>
            </w:r>
            <w:r>
              <w:tab/>
            </w:r>
            <w:r>
              <w:tab/>
            </w:r>
          </w:p>
          <w:p>
            <w:pPr>
              <w:pStyle w:val="12"/>
            </w:pPr>
          </w:p>
          <w:p>
            <w:pPr>
              <w:pStyle w:val="12"/>
            </w:pPr>
            <w:r>
              <w:t>2.通过开展防火工作，进行宣传、培训，达到提高群众防火意识和队员扑火技能，提升工作效率的效果。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对森林消防队员培训的次数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对群众进行防火宣传的次数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宣传覆盖的乡镇数的比率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需要重新喷字粉刷防火碑牌验收合格率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2026年年底前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视频监控维保和光纤租赁费成本</w:t>
            </w:r>
          </w:p>
        </w:tc>
        <w:tc>
          <w:tcPr>
            <w:tcW w:w="5386" w:type="dxa"/>
            <w:vAlign w:val="center"/>
          </w:tcPr>
          <w:p>
            <w:pPr>
              <w:pStyle w:val="12"/>
            </w:pPr>
            <w:r>
              <w:t>视频监控维保和光纤租赁费成本</w:t>
            </w:r>
          </w:p>
        </w:tc>
        <w:tc>
          <w:tcPr>
            <w:tcW w:w="2268" w:type="dxa"/>
            <w:vAlign w:val="center"/>
          </w:tcPr>
          <w:p>
            <w:pPr>
              <w:pStyle w:val="12"/>
            </w:pPr>
            <w:r>
              <w:t>≤20000元/个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9、关于提前下达2025年省级财政衔接推进乡村振兴补助资金预算的通知-冀财农【2024】112号-青龙板栗产业品牌建设项目（板栗价格指数发布）绩效目标表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13032125P00328310128C</w:t>
            </w:r>
          </w:p>
        </w:tc>
        <w:tc>
          <w:tcPr>
            <w:tcW w:w="2835" w:type="dxa"/>
            <w:vAlign w:val="center"/>
          </w:tcPr>
          <w:p>
            <w:pPr>
              <w:pStyle w:val="10"/>
            </w:pPr>
            <w:r>
              <w:t>项目名称</w:t>
            </w:r>
          </w:p>
        </w:tc>
        <w:tc>
          <w:tcPr>
            <w:tcW w:w="6095" w:type="dxa"/>
            <w:gridSpan w:val="3"/>
            <w:vAlign w:val="center"/>
          </w:tcPr>
          <w:p>
            <w:pPr>
              <w:pStyle w:val="12"/>
            </w:pPr>
            <w:r>
              <w:t>关于提前下达2025年省级财政衔接推进乡村振兴补助资金预算的通知-冀财农【2024】112号-青龙板栗产业品牌建设项目（板栗价格指数发布）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预算安排1.2万元，其中财政拨款1.2万元，主要用于增加栗农和电商经济收入，加快强县富民进程。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1.增加栗农和电商经济收入，加快强县富民进程。   </w:t>
            </w:r>
          </w:p>
          <w:p>
            <w:pPr>
              <w:pStyle w:val="12"/>
            </w:pPr>
            <w:r>
              <w:t>2.拓宽青龙板栗宣传渠道，大力提升青龙板栗知名度、影响力和品牌形象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发布板栗产业发展指数</w:t>
            </w:r>
          </w:p>
        </w:tc>
        <w:tc>
          <w:tcPr>
            <w:tcW w:w="5386" w:type="dxa"/>
            <w:vAlign w:val="center"/>
          </w:tcPr>
          <w:p>
            <w:pPr>
              <w:pStyle w:val="12"/>
            </w:pPr>
            <w:r>
              <w:t>发布青龙板栗日常信息次数</w:t>
            </w:r>
          </w:p>
        </w:tc>
        <w:tc>
          <w:tcPr>
            <w:tcW w:w="2268" w:type="dxa"/>
            <w:vAlign w:val="center"/>
          </w:tcPr>
          <w:p>
            <w:pPr>
              <w:pStyle w:val="12"/>
            </w:pPr>
            <w:r>
              <w:t>≥30次</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举办青龙板栗产业沙龙或产业专家研讨会</w:t>
            </w:r>
          </w:p>
        </w:tc>
        <w:tc>
          <w:tcPr>
            <w:tcW w:w="5386" w:type="dxa"/>
            <w:vAlign w:val="center"/>
          </w:tcPr>
          <w:p>
            <w:pPr>
              <w:pStyle w:val="12"/>
            </w:pPr>
            <w:r>
              <w:t>举办青龙板栗产业沙龙或产业专家研讨会次数</w:t>
            </w:r>
          </w:p>
        </w:tc>
        <w:tc>
          <w:tcPr>
            <w:tcW w:w="2268" w:type="dxa"/>
            <w:vAlign w:val="center"/>
          </w:tcPr>
          <w:p>
            <w:pPr>
              <w:pStyle w:val="12"/>
            </w:pPr>
            <w:r>
              <w:t>≥1次</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开展“我为家乡农产品代言”海报活动</w:t>
            </w:r>
          </w:p>
        </w:tc>
        <w:tc>
          <w:tcPr>
            <w:tcW w:w="5386" w:type="dxa"/>
            <w:vAlign w:val="center"/>
          </w:tcPr>
          <w:p>
            <w:pPr>
              <w:pStyle w:val="12"/>
            </w:pPr>
            <w:r>
              <w:t>开展“我为家乡农产品代言”海报活动次数</w:t>
            </w:r>
          </w:p>
        </w:tc>
        <w:tc>
          <w:tcPr>
            <w:tcW w:w="2268" w:type="dxa"/>
            <w:vAlign w:val="center"/>
          </w:tcPr>
          <w:p>
            <w:pPr>
              <w:pStyle w:val="12"/>
            </w:pPr>
            <w:r>
              <w:t>≥4次</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对县领导开展访谈</w:t>
            </w:r>
          </w:p>
        </w:tc>
        <w:tc>
          <w:tcPr>
            <w:tcW w:w="5386" w:type="dxa"/>
            <w:vAlign w:val="center"/>
          </w:tcPr>
          <w:p>
            <w:pPr>
              <w:pStyle w:val="12"/>
            </w:pPr>
            <w:r>
              <w:t>对县领导开展访谈次数</w:t>
            </w:r>
          </w:p>
        </w:tc>
        <w:tc>
          <w:tcPr>
            <w:tcW w:w="2268" w:type="dxa"/>
            <w:vAlign w:val="center"/>
          </w:tcPr>
          <w:p>
            <w:pPr>
              <w:pStyle w:val="12"/>
            </w:pPr>
            <w:r>
              <w:t>≥1次</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通过中国经济信息社有限公司发布有价值信息的县域企业</w:t>
            </w:r>
          </w:p>
        </w:tc>
        <w:tc>
          <w:tcPr>
            <w:tcW w:w="5386" w:type="dxa"/>
            <w:vAlign w:val="center"/>
          </w:tcPr>
          <w:p>
            <w:pPr>
              <w:pStyle w:val="12"/>
            </w:pPr>
            <w:r>
              <w:t>中国经济信息社有限公司发布有价值信息的县域企业数</w:t>
            </w:r>
          </w:p>
        </w:tc>
        <w:tc>
          <w:tcPr>
            <w:tcW w:w="2268" w:type="dxa"/>
            <w:vAlign w:val="center"/>
          </w:tcPr>
          <w:p>
            <w:pPr>
              <w:pStyle w:val="12"/>
            </w:pPr>
            <w:r>
              <w:t>≥2家</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指数相关服务、数据采集、宣传报道、组织活动等完成情况（依照方案）</w:t>
            </w:r>
          </w:p>
        </w:tc>
        <w:tc>
          <w:tcPr>
            <w:tcW w:w="5386" w:type="dxa"/>
            <w:vAlign w:val="center"/>
          </w:tcPr>
          <w:p>
            <w:pPr>
              <w:pStyle w:val="12"/>
            </w:pPr>
            <w:r>
              <w:t>指数相关服务、数据采集、宣传报道、组织活动等完成情况（依照方案）</w:t>
            </w:r>
          </w:p>
        </w:tc>
        <w:tc>
          <w:tcPr>
            <w:tcW w:w="2268" w:type="dxa"/>
            <w:vAlign w:val="center"/>
          </w:tcPr>
          <w:p>
            <w:pPr>
              <w:pStyle w:val="12"/>
            </w:pPr>
            <w:r>
              <w:t>100百分比</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项目建设内容各阶段工作开展情况(依照方案)</w:t>
            </w:r>
          </w:p>
        </w:tc>
        <w:tc>
          <w:tcPr>
            <w:tcW w:w="5386" w:type="dxa"/>
            <w:vAlign w:val="center"/>
          </w:tcPr>
          <w:p>
            <w:pPr>
              <w:pStyle w:val="12"/>
            </w:pPr>
            <w:r>
              <w:t>项目建设内容各阶段工作完成时间(依照方案)</w:t>
            </w:r>
          </w:p>
        </w:tc>
        <w:tc>
          <w:tcPr>
            <w:tcW w:w="2268" w:type="dxa"/>
            <w:vAlign w:val="center"/>
          </w:tcPr>
          <w:p>
            <w:pPr>
              <w:pStyle w:val="12"/>
            </w:pPr>
            <w:r>
              <w:t>11月底</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指数相关服务</w:t>
            </w:r>
          </w:p>
        </w:tc>
        <w:tc>
          <w:tcPr>
            <w:tcW w:w="5386" w:type="dxa"/>
            <w:vAlign w:val="center"/>
          </w:tcPr>
          <w:p>
            <w:pPr>
              <w:pStyle w:val="12"/>
            </w:pPr>
            <w:r>
              <w:t>指数相关服务的成本</w:t>
            </w:r>
          </w:p>
        </w:tc>
        <w:tc>
          <w:tcPr>
            <w:tcW w:w="2268" w:type="dxa"/>
            <w:vAlign w:val="center"/>
          </w:tcPr>
          <w:p>
            <w:pPr>
              <w:pStyle w:val="12"/>
            </w:pPr>
            <w:r>
              <w:t>1.2万元</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不断提高青龙板栗知名度，促进优质板栗消费者认知度的建立与提升，从而带动青龙板栗的销售，提高企业收益，进一步提升农民收入。</w:t>
            </w:r>
          </w:p>
        </w:tc>
        <w:tc>
          <w:tcPr>
            <w:tcW w:w="5386" w:type="dxa"/>
            <w:vAlign w:val="center"/>
          </w:tcPr>
          <w:p>
            <w:pPr>
              <w:pStyle w:val="12"/>
            </w:pPr>
            <w:r>
              <w:t>不断提高青龙板栗知名度，促进优质板栗消费者认知度的建立与提升，从而带动青龙板栗的销售，提高企业收益，进一步提升农民收入的乡镇。</w:t>
            </w:r>
          </w:p>
        </w:tc>
        <w:tc>
          <w:tcPr>
            <w:tcW w:w="2268" w:type="dxa"/>
            <w:vAlign w:val="center"/>
          </w:tcPr>
          <w:p>
            <w:pPr>
              <w:pStyle w:val="12"/>
            </w:pPr>
            <w:r>
              <w:t>24个乡镇</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提高板栗价格，促进栗农增收</w:t>
            </w:r>
          </w:p>
        </w:tc>
        <w:tc>
          <w:tcPr>
            <w:tcW w:w="5386" w:type="dxa"/>
            <w:vAlign w:val="center"/>
          </w:tcPr>
          <w:p>
            <w:pPr>
              <w:pStyle w:val="12"/>
            </w:pPr>
            <w:r>
              <w:t>每斤板栗销售额提升多少钱</w:t>
            </w:r>
          </w:p>
        </w:tc>
        <w:tc>
          <w:tcPr>
            <w:tcW w:w="2268" w:type="dxa"/>
            <w:vAlign w:val="center"/>
          </w:tcPr>
          <w:p>
            <w:pPr>
              <w:pStyle w:val="12"/>
            </w:pPr>
            <w:r>
              <w:t>≤1元/斤</w:t>
            </w:r>
          </w:p>
        </w:tc>
        <w:tc>
          <w:tcPr>
            <w:tcW w:w="1276" w:type="dxa"/>
            <w:vAlign w:val="center"/>
          </w:tcPr>
          <w:p>
            <w:pPr>
              <w:pStyle w:val="12"/>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收益对象满意度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10、关于提前下达2025年省级风景名胜资源保护资金的通知-秦皇岛北戴河风景名胜区祖山景区提升改造（一期）天女峰分景区设施环境综合整治项目（冀财资环[2024]98号）绩效目标表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13032124P00329810002T</w:t>
            </w:r>
          </w:p>
        </w:tc>
        <w:tc>
          <w:tcPr>
            <w:tcW w:w="2835" w:type="dxa"/>
            <w:vAlign w:val="center"/>
          </w:tcPr>
          <w:p>
            <w:pPr>
              <w:pStyle w:val="10"/>
            </w:pPr>
            <w:r>
              <w:t>项目名称</w:t>
            </w:r>
          </w:p>
        </w:tc>
        <w:tc>
          <w:tcPr>
            <w:tcW w:w="6095" w:type="dxa"/>
            <w:gridSpan w:val="3"/>
            <w:vAlign w:val="center"/>
          </w:tcPr>
          <w:p>
            <w:pPr>
              <w:pStyle w:val="12"/>
            </w:pPr>
            <w:r>
              <w:t>关于提前下达2025年省级风景名胜资源保护资金的通知-秦皇岛北戴河风景名胜区祖山景区提升改造（一期）天女峰分景区设施环境综合整治项目（冀财资环[2024]98号）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41.48</w:t>
            </w:r>
          </w:p>
        </w:tc>
        <w:tc>
          <w:tcPr>
            <w:tcW w:w="2835" w:type="dxa"/>
            <w:vAlign w:val="center"/>
          </w:tcPr>
          <w:p>
            <w:pPr>
              <w:pStyle w:val="10"/>
            </w:pPr>
            <w:r>
              <w:t>其中：财政    资金</w:t>
            </w:r>
          </w:p>
        </w:tc>
        <w:tc>
          <w:tcPr>
            <w:tcW w:w="2551" w:type="dxa"/>
            <w:vAlign w:val="center"/>
          </w:tcPr>
          <w:p>
            <w:pPr>
              <w:pStyle w:val="12"/>
            </w:pPr>
            <w:r>
              <w:t>41.48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项目金额41.48万元，其中财政拨款41.48万元，主要用于祖山景区防火通道修缮拓宽，提高保护风景名胜区内林业资源能力。</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1.通过祖山景区防火通道修缮拓宽，提高保护风景名胜区内林业资源能力。</w:t>
            </w:r>
            <w:r>
              <w:tab/>
            </w:r>
            <w:r>
              <w:tab/>
            </w:r>
            <w:r>
              <w:tab/>
            </w:r>
            <w:r>
              <w:tab/>
            </w:r>
            <w:r>
              <w:tab/>
            </w:r>
          </w:p>
          <w:p>
            <w:pPr>
              <w:pStyle w:val="12"/>
            </w:pPr>
            <w:r>
              <w:t>2.通过祖山景区防火通道修缮拓宽，提升景区综合防火能力。</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通道路面宽度</w:t>
            </w:r>
          </w:p>
        </w:tc>
        <w:tc>
          <w:tcPr>
            <w:tcW w:w="5386" w:type="dxa"/>
            <w:vAlign w:val="center"/>
          </w:tcPr>
          <w:p>
            <w:pPr>
              <w:pStyle w:val="12"/>
            </w:pPr>
            <w:r>
              <w:t>通道路面宽度</w:t>
            </w:r>
          </w:p>
        </w:tc>
        <w:tc>
          <w:tcPr>
            <w:tcW w:w="2268" w:type="dxa"/>
            <w:vAlign w:val="center"/>
          </w:tcPr>
          <w:p>
            <w:pPr>
              <w:pStyle w:val="12"/>
            </w:pPr>
            <w:r>
              <w:t>≥5公里</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反映工程中符合质量验收标准的数量占总量的比值</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反映项目完成时间</w:t>
            </w:r>
          </w:p>
        </w:tc>
        <w:tc>
          <w:tcPr>
            <w:tcW w:w="2268" w:type="dxa"/>
            <w:vAlign w:val="center"/>
          </w:tcPr>
          <w:p>
            <w:pPr>
              <w:pStyle w:val="12"/>
            </w:pPr>
            <w:r>
              <w:t>2026年5月前</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工程款费用</w:t>
            </w:r>
          </w:p>
        </w:tc>
        <w:tc>
          <w:tcPr>
            <w:tcW w:w="5386" w:type="dxa"/>
            <w:vAlign w:val="center"/>
          </w:tcPr>
          <w:p>
            <w:pPr>
              <w:pStyle w:val="12"/>
            </w:pPr>
            <w:r>
              <w:t>反映项目资金用于支付防火通道工程专款金额</w:t>
            </w:r>
          </w:p>
        </w:tc>
        <w:tc>
          <w:tcPr>
            <w:tcW w:w="2268" w:type="dxa"/>
            <w:vAlign w:val="center"/>
          </w:tcPr>
          <w:p>
            <w:pPr>
              <w:pStyle w:val="12"/>
            </w:pPr>
            <w:r>
              <w:t>≤41.48万元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火灾发生次数</w:t>
            </w:r>
          </w:p>
        </w:tc>
        <w:tc>
          <w:tcPr>
            <w:tcW w:w="5386" w:type="dxa"/>
            <w:vAlign w:val="center"/>
          </w:tcPr>
          <w:p>
            <w:pPr>
              <w:pStyle w:val="12"/>
            </w:pPr>
            <w:r>
              <w:t>通过项目实施，生态环境质量逐渐提升，降低发生火灾比率</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减少财产损失威胁</w:t>
            </w:r>
          </w:p>
        </w:tc>
        <w:tc>
          <w:tcPr>
            <w:tcW w:w="5386" w:type="dxa"/>
            <w:vAlign w:val="center"/>
          </w:tcPr>
          <w:p>
            <w:pPr>
              <w:pStyle w:val="12"/>
            </w:pPr>
            <w:r>
              <w:t>通过项目实施，减少游客财产损失，不发生较大财产损失事件</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游客增长率</w:t>
            </w:r>
          </w:p>
        </w:tc>
        <w:tc>
          <w:tcPr>
            <w:tcW w:w="5386" w:type="dxa"/>
            <w:vAlign w:val="center"/>
          </w:tcPr>
          <w:p>
            <w:pPr>
              <w:pStyle w:val="12"/>
            </w:pPr>
            <w:r>
              <w:t>通过项目实施，游客数量逐渐提升的比率</w:t>
            </w:r>
          </w:p>
        </w:tc>
        <w:tc>
          <w:tcPr>
            <w:tcW w:w="2268" w:type="dxa"/>
            <w:vAlign w:val="center"/>
          </w:tcPr>
          <w:p>
            <w:pPr>
              <w:pStyle w:val="12"/>
            </w:pPr>
            <w:r>
              <w:t>≥10%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受益群众满意、基本满意数量占总数的比例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11、关于提前下达2025年省级林业改革发展补助资金的通知-林果花卉产业发展补助（冀财资环[2024]113号）绩效目标表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13032125P003299100169</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关于提前下达2025年省级林业改革发展补助资金的通知-林果花卉产业发展补助（冀财资环[2024]113号）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127.00</w:t>
            </w:r>
          </w:p>
        </w:tc>
        <w:tc>
          <w:tcPr>
            <w:tcW w:w="2835" w:type="dxa"/>
            <w:vAlign w:val="center"/>
          </w:tcPr>
          <w:p>
            <w:pPr>
              <w:pStyle w:val="10"/>
            </w:pPr>
            <w:r>
              <w:t>其中：财政    资金</w:t>
            </w:r>
          </w:p>
        </w:tc>
        <w:tc>
          <w:tcPr>
            <w:tcW w:w="2551" w:type="dxa"/>
            <w:vAlign w:val="center"/>
          </w:tcPr>
          <w:p>
            <w:pPr>
              <w:pStyle w:val="12"/>
            </w:pPr>
            <w:r>
              <w:t>127.00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项目金额127万元，其中财政拨款127万元，主要用于生态栗园建设项目，发展优质高产高效高标准生态栗园示范基地1270亩。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1.通过生态栗园建设项目，带动部分附近劳动力就业。</w:t>
            </w:r>
          </w:p>
          <w:p>
            <w:pPr>
              <w:pStyle w:val="12"/>
            </w:pPr>
            <w:r>
              <w:t>2.通过生态栗园建设项目，发展优质高产高效高标准生态栗园示范基地1270亩。</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经营主体数量</w:t>
            </w:r>
          </w:p>
        </w:tc>
        <w:tc>
          <w:tcPr>
            <w:tcW w:w="5386" w:type="dxa"/>
            <w:vAlign w:val="center"/>
          </w:tcPr>
          <w:p>
            <w:pPr>
              <w:pStyle w:val="12"/>
            </w:pPr>
            <w:r>
              <w:t>项目扶持的经营主体数量</w:t>
            </w:r>
          </w:p>
          <w:p>
            <w:pPr>
              <w:pStyle w:val="12"/>
            </w:pPr>
          </w:p>
        </w:tc>
        <w:tc>
          <w:tcPr>
            <w:tcW w:w="2268" w:type="dxa"/>
            <w:vAlign w:val="center"/>
          </w:tcPr>
          <w:p>
            <w:pPr>
              <w:pStyle w:val="12"/>
            </w:pPr>
            <w:r>
              <w:t>≥5个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项目新（改）建总体规模</w:t>
            </w:r>
          </w:p>
        </w:tc>
        <w:tc>
          <w:tcPr>
            <w:tcW w:w="2268" w:type="dxa"/>
            <w:vAlign w:val="center"/>
          </w:tcPr>
          <w:p>
            <w:pPr>
              <w:pStyle w:val="12"/>
            </w:pPr>
            <w:r>
              <w:t>≥1698亩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技术推广培训次数</w:t>
            </w:r>
          </w:p>
        </w:tc>
        <w:tc>
          <w:tcPr>
            <w:tcW w:w="5386" w:type="dxa"/>
            <w:vAlign w:val="center"/>
          </w:tcPr>
          <w:p>
            <w:pPr>
              <w:pStyle w:val="12"/>
            </w:pPr>
            <w:r>
              <w:t>反映技术推广培训次数</w:t>
            </w:r>
          </w:p>
        </w:tc>
        <w:tc>
          <w:tcPr>
            <w:tcW w:w="2268" w:type="dxa"/>
            <w:vAlign w:val="center"/>
          </w:tcPr>
          <w:p>
            <w:pPr>
              <w:pStyle w:val="12"/>
            </w:pPr>
            <w:r>
              <w:t>≥5次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建设任务完成率</w:t>
            </w:r>
          </w:p>
        </w:tc>
        <w:tc>
          <w:tcPr>
            <w:tcW w:w="5386" w:type="dxa"/>
            <w:vAlign w:val="center"/>
          </w:tcPr>
          <w:p>
            <w:pPr>
              <w:pStyle w:val="12"/>
            </w:pPr>
            <w:r>
              <w:t>反应建设任务完成率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反映项目验收合格率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反映工作完成及时性</w:t>
            </w:r>
          </w:p>
        </w:tc>
        <w:tc>
          <w:tcPr>
            <w:tcW w:w="2268" w:type="dxa"/>
            <w:vAlign w:val="center"/>
          </w:tcPr>
          <w:p>
            <w:pPr>
              <w:pStyle w:val="12"/>
            </w:pPr>
            <w:r>
              <w:t>≤12月</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每亩投资的成本</w:t>
            </w:r>
          </w:p>
        </w:tc>
        <w:tc>
          <w:tcPr>
            <w:tcW w:w="5386" w:type="dxa"/>
            <w:vAlign w:val="center"/>
          </w:tcPr>
          <w:p>
            <w:pPr>
              <w:pStyle w:val="12"/>
            </w:pPr>
            <w:r>
              <w:t>反映每亩投资的成本</w:t>
            </w:r>
          </w:p>
        </w:tc>
        <w:tc>
          <w:tcPr>
            <w:tcW w:w="2268" w:type="dxa"/>
            <w:vAlign w:val="center"/>
          </w:tcPr>
          <w:p>
            <w:pPr>
              <w:pStyle w:val="12"/>
            </w:pPr>
            <w:r>
              <w:t>≥2000元/亩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亩增经济效益</w:t>
            </w:r>
          </w:p>
        </w:tc>
        <w:tc>
          <w:tcPr>
            <w:tcW w:w="5386" w:type="dxa"/>
            <w:vAlign w:val="center"/>
          </w:tcPr>
          <w:p>
            <w:pPr>
              <w:pStyle w:val="12"/>
            </w:pPr>
            <w:r>
              <w:t>反映亩增经济效益</w:t>
            </w:r>
          </w:p>
        </w:tc>
        <w:tc>
          <w:tcPr>
            <w:tcW w:w="2268" w:type="dxa"/>
            <w:vAlign w:val="center"/>
          </w:tcPr>
          <w:p>
            <w:pPr>
              <w:pStyle w:val="12"/>
            </w:pPr>
            <w:r>
              <w:t>≥300元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带动就业人数（人）</w:t>
            </w:r>
          </w:p>
        </w:tc>
        <w:tc>
          <w:tcPr>
            <w:tcW w:w="5386" w:type="dxa"/>
            <w:vAlign w:val="center"/>
          </w:tcPr>
          <w:p>
            <w:pPr>
              <w:pStyle w:val="12"/>
            </w:pPr>
            <w:r>
              <w:t>反映带动就业人数（人）</w:t>
            </w:r>
          </w:p>
        </w:tc>
        <w:tc>
          <w:tcPr>
            <w:tcW w:w="2268" w:type="dxa"/>
            <w:vAlign w:val="center"/>
          </w:tcPr>
          <w:p>
            <w:pPr>
              <w:pStyle w:val="12"/>
            </w:pPr>
            <w:r>
              <w:t>≥1000人</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12、关于提前下达2025年省级林业改革发展补助资金的通知-造林绿化重点工程奖补-村庄绿化提升村（冀财资环[2024]113号）绩效目标表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13032125P00329910013E</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关于提前下达2025年省级林业改革发展补助资金的通知-造林绿化重点工程奖补-村庄绿化提升村（冀财资环[2024]113号）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项目金额24万元，其中财政拨款24万元，主要用于提升村庄绿化质量，打造适宜人居环境。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1.实施乡村振兴，提高人民群众幸福指数。</w:t>
            </w:r>
          </w:p>
          <w:p>
            <w:pPr>
              <w:pStyle w:val="12"/>
            </w:pPr>
            <w:r>
              <w:t>2.提升村庄绿化质量，打造适宜人居环境。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完成省级下达12个村全部任务</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苗木成活率</w:t>
            </w:r>
          </w:p>
        </w:tc>
        <w:tc>
          <w:tcPr>
            <w:tcW w:w="5386" w:type="dxa"/>
            <w:vAlign w:val="center"/>
          </w:tcPr>
          <w:p>
            <w:pPr>
              <w:pStyle w:val="12"/>
            </w:pPr>
            <w:r>
              <w:t>反映绿化质量</w:t>
            </w:r>
          </w:p>
        </w:tc>
        <w:tc>
          <w:tcPr>
            <w:tcW w:w="2268" w:type="dxa"/>
            <w:vAlign w:val="center"/>
          </w:tcPr>
          <w:p>
            <w:pPr>
              <w:pStyle w:val="12"/>
            </w:pPr>
            <w:r>
              <w:t>≥85%</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涉及全县12个村</w:t>
            </w:r>
          </w:p>
        </w:tc>
        <w:tc>
          <w:tcPr>
            <w:tcW w:w="2268" w:type="dxa"/>
            <w:vAlign w:val="center"/>
          </w:tcPr>
          <w:p>
            <w:pPr>
              <w:pStyle w:val="12"/>
            </w:pPr>
            <w:r>
              <w:t>≥100%</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村庄绿化质量显著提升</w:t>
            </w:r>
          </w:p>
        </w:tc>
        <w:tc>
          <w:tcPr>
            <w:tcW w:w="5386" w:type="dxa"/>
            <w:vAlign w:val="center"/>
          </w:tcPr>
          <w:p>
            <w:pPr>
              <w:pStyle w:val="12"/>
            </w:pPr>
            <w:r>
              <w:t>增加村庄绿化面积和质量</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增加造林面积，改善人居环境</w:t>
            </w:r>
          </w:p>
        </w:tc>
        <w:tc>
          <w:tcPr>
            <w:tcW w:w="5386" w:type="dxa"/>
            <w:vAlign w:val="center"/>
          </w:tcPr>
          <w:p>
            <w:pPr>
              <w:pStyle w:val="12"/>
            </w:pPr>
            <w:r>
              <w:t>提高村庄绿化率</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提高人民群众幸福指数</w:t>
            </w:r>
          </w:p>
        </w:tc>
        <w:tc>
          <w:tcPr>
            <w:tcW w:w="5386" w:type="dxa"/>
            <w:vAlign w:val="center"/>
          </w:tcPr>
          <w:p>
            <w:pPr>
              <w:pStyle w:val="12"/>
            </w:pPr>
            <w:r>
              <w:t>提高人民群众幸福指数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13、关于提前下达2025年省级林业改革发展补助资金的通知-造林绿化重点工程奖补-古树名木抢救复壮（冀财资环[2024]113号）绩效目标表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13032125P003299100117</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关于提前下达2025年省级林业改革发展补助资金的通知-造林绿化重点工程奖补-古树名木抢救复壮（冀财资环[2024]113号）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项目金额18万元，其中财政拨款18万元，主要用于开展古树名木复壮抢救工作，促进古树正常生长。</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1.通过开展古树名木复壮抢救工作，提升人民幸福感。</w:t>
            </w:r>
          </w:p>
          <w:p>
            <w:pPr>
              <w:pStyle w:val="12"/>
            </w:pPr>
            <w:r>
              <w:t>2.通过开展古树名木复壮抢救工作，促进古树正常生长。</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≥4株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2026年12月底前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5万/株</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3万/株</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14、关于提前下达2025年省级林业改革发展补助资金的通知-造林绿化重点工程奖补-省级森林乡村奖补（冀财资环[2024]113号）绩效目标表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13032125P00329910012T</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关于提前下达2025年省级林业改革发展补助资金的通知-造林绿化重点工程奖补-省级森林乡村奖补（冀财资环[2024]113号）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项目金额60万元，其中财政拨款60万元，主要用于创建森林乡村，打造适宜人居环境。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1.实施乡村振兴，提高人民群众幸福指数。</w:t>
            </w:r>
          </w:p>
          <w:p>
            <w:pPr>
              <w:pStyle w:val="12"/>
            </w:pPr>
            <w:r>
              <w:t>2.创建森林乡村，打造适宜人居环境。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完成省级下达6个村全部任务</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苗木成活率</w:t>
            </w:r>
          </w:p>
        </w:tc>
        <w:tc>
          <w:tcPr>
            <w:tcW w:w="5386" w:type="dxa"/>
            <w:vAlign w:val="center"/>
          </w:tcPr>
          <w:p>
            <w:pPr>
              <w:pStyle w:val="12"/>
            </w:pPr>
            <w:r>
              <w:t>反映绿化质量</w:t>
            </w:r>
          </w:p>
        </w:tc>
        <w:tc>
          <w:tcPr>
            <w:tcW w:w="2268" w:type="dxa"/>
            <w:vAlign w:val="center"/>
          </w:tcPr>
          <w:p>
            <w:pPr>
              <w:pStyle w:val="12"/>
            </w:pPr>
            <w:r>
              <w:t>≥85%</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涉及全县3个村</w:t>
            </w:r>
          </w:p>
        </w:tc>
        <w:tc>
          <w:tcPr>
            <w:tcW w:w="2268" w:type="dxa"/>
            <w:vAlign w:val="center"/>
          </w:tcPr>
          <w:p>
            <w:pPr>
              <w:pStyle w:val="12"/>
            </w:pPr>
            <w:r>
              <w:t>≥100%</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提升乡村绿化面积和质量</w:t>
            </w:r>
          </w:p>
        </w:tc>
        <w:tc>
          <w:tcPr>
            <w:tcW w:w="5386" w:type="dxa"/>
            <w:vAlign w:val="center"/>
          </w:tcPr>
          <w:p>
            <w:pPr>
              <w:pStyle w:val="12"/>
            </w:pPr>
            <w:r>
              <w:t>增加林地面积</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10万元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≤10万元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提升森林乡村品质</w:t>
            </w:r>
          </w:p>
        </w:tc>
        <w:tc>
          <w:tcPr>
            <w:tcW w:w="5386" w:type="dxa"/>
            <w:vAlign w:val="center"/>
          </w:tcPr>
          <w:p>
            <w:pPr>
              <w:pStyle w:val="12"/>
            </w:pPr>
            <w:r>
              <w:t>有效提高乡村绿化率</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提高人民群众幸福指数</w:t>
            </w:r>
          </w:p>
        </w:tc>
        <w:tc>
          <w:tcPr>
            <w:tcW w:w="5386" w:type="dxa"/>
            <w:vAlign w:val="center"/>
          </w:tcPr>
          <w:p>
            <w:pPr>
              <w:pStyle w:val="12"/>
            </w:pPr>
            <w:r>
              <w:t>提高人民群众幸福指数</w:t>
            </w:r>
          </w:p>
        </w:tc>
        <w:tc>
          <w:tcPr>
            <w:tcW w:w="2268" w:type="dxa"/>
            <w:vAlign w:val="center"/>
          </w:tcPr>
          <w:p>
            <w:pPr>
              <w:pStyle w:val="12"/>
            </w:pPr>
            <w:r>
              <w:t>≥90%</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15、关于提前下达2025年省级林业改革发展补助资金的通知-造林绿化重点工程奖补-省重点工程奖补（冀财资环[2024]113号）绩效目标表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13032125P00329910010K</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关于提前下达2025年省级林业改革发展补助资金的通知-造林绿化重点工程奖补-省重点工程奖补（冀财资环[2024]113号）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2100.00</w:t>
            </w:r>
          </w:p>
        </w:tc>
        <w:tc>
          <w:tcPr>
            <w:tcW w:w="2835" w:type="dxa"/>
            <w:vAlign w:val="center"/>
          </w:tcPr>
          <w:p>
            <w:pPr>
              <w:pStyle w:val="10"/>
            </w:pPr>
            <w:r>
              <w:t>其中：财政    资金</w:t>
            </w:r>
          </w:p>
        </w:tc>
        <w:tc>
          <w:tcPr>
            <w:tcW w:w="2551" w:type="dxa"/>
            <w:vAlign w:val="center"/>
          </w:tcPr>
          <w:p>
            <w:pPr>
              <w:pStyle w:val="12"/>
            </w:pPr>
            <w:r>
              <w:t>2100.00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项目金额2100万元，其中财政拨款2100万元，主要用于开展植树造林工作，提高森林覆盖率，改善生态环境。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1.通过开展植树造林工作，提高森林覆盖率，改善生态环境。</w:t>
            </w:r>
          </w:p>
          <w:p>
            <w:pPr>
              <w:pStyle w:val="12"/>
            </w:pPr>
            <w:r>
              <w:t>2.通过开展植树造林工作，造林绿化1.4万亩，达到水土保持，促进国土绿化进程。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植树造林面积</w:t>
            </w:r>
          </w:p>
        </w:tc>
        <w:tc>
          <w:tcPr>
            <w:tcW w:w="5386" w:type="dxa"/>
            <w:vAlign w:val="center"/>
          </w:tcPr>
          <w:p>
            <w:pPr>
              <w:pStyle w:val="12"/>
            </w:pPr>
            <w:r>
              <w:t>完成植树面积</w:t>
            </w:r>
          </w:p>
        </w:tc>
        <w:tc>
          <w:tcPr>
            <w:tcW w:w="2268" w:type="dxa"/>
            <w:vAlign w:val="center"/>
          </w:tcPr>
          <w:p>
            <w:pPr>
              <w:pStyle w:val="12"/>
            </w:pPr>
            <w:r>
              <w:t>≥1.4万亩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造林验收时间</w:t>
            </w:r>
          </w:p>
        </w:tc>
        <w:tc>
          <w:tcPr>
            <w:tcW w:w="5386" w:type="dxa"/>
            <w:vAlign w:val="center"/>
          </w:tcPr>
          <w:p>
            <w:pPr>
              <w:pStyle w:val="12"/>
            </w:pPr>
            <w:r>
              <w:t>第三验收完成时间</w:t>
            </w: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亩造林补助标准</w:t>
            </w:r>
          </w:p>
        </w:tc>
        <w:tc>
          <w:tcPr>
            <w:tcW w:w="5386" w:type="dxa"/>
            <w:vAlign w:val="center"/>
          </w:tcPr>
          <w:p>
            <w:pPr>
              <w:pStyle w:val="12"/>
            </w:pPr>
            <w:r>
              <w:t>人工造林每亩补助标准</w:t>
            </w:r>
          </w:p>
        </w:tc>
        <w:tc>
          <w:tcPr>
            <w:tcW w:w="2268" w:type="dxa"/>
            <w:vAlign w:val="center"/>
          </w:tcPr>
          <w:p>
            <w:pPr>
              <w:pStyle w:val="12"/>
            </w:pPr>
            <w:r>
              <w:t>1500元/亩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通过开展植树造林工作，提高森林覆盖率</w:t>
            </w:r>
          </w:p>
        </w:tc>
        <w:tc>
          <w:tcPr>
            <w:tcW w:w="2268" w:type="dxa"/>
            <w:vAlign w:val="center"/>
          </w:tcPr>
          <w:p>
            <w:pPr>
              <w:pStyle w:val="12"/>
            </w:pPr>
            <w:r>
              <w:t>≥0.49%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16、关于提前下达2025年中央财政林业草原改革发展资金预算的通知-全国性林草湿荒监测（普查）（冀财资环[2024]106号）绩效目标表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13032124P003298100190</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关于提前下达2025年中央财政林业草原改革发展资金预算的通知-全国性林草湿荒监测（普查）（冀财资环[2024]106号）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22.25</w:t>
            </w:r>
          </w:p>
        </w:tc>
        <w:tc>
          <w:tcPr>
            <w:tcW w:w="2835" w:type="dxa"/>
            <w:vAlign w:val="center"/>
          </w:tcPr>
          <w:p>
            <w:pPr>
              <w:pStyle w:val="10"/>
            </w:pPr>
            <w:r>
              <w:t>其中：财政    资金</w:t>
            </w:r>
          </w:p>
        </w:tc>
        <w:tc>
          <w:tcPr>
            <w:tcW w:w="2551" w:type="dxa"/>
            <w:vAlign w:val="center"/>
          </w:tcPr>
          <w:p>
            <w:pPr>
              <w:pStyle w:val="12"/>
            </w:pPr>
            <w:r>
              <w:t>22.25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项目金额22.25万元，其中财政拨款22.25万元，主要用于通过项目实施，对碳达峰碳中和提供有力支撑。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1.通过项目实施，对碳达峰碳中和提供有力支撑。</w:t>
            </w:r>
          </w:p>
          <w:p>
            <w:pPr>
              <w:pStyle w:val="12"/>
            </w:pPr>
            <w:r>
              <w:t>2.通过项目实施，对碳达峰碳中和提供有力支撑。</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地类对接</w:t>
            </w:r>
          </w:p>
        </w:tc>
        <w:tc>
          <w:tcPr>
            <w:tcW w:w="5386" w:type="dxa"/>
            <w:vAlign w:val="center"/>
          </w:tcPr>
          <w:p>
            <w:pPr>
              <w:pStyle w:val="12"/>
            </w:pPr>
            <w:r>
              <w:t>根据下发任务获得</w:t>
            </w:r>
          </w:p>
        </w:tc>
        <w:tc>
          <w:tcPr>
            <w:tcW w:w="2268" w:type="dxa"/>
            <w:vAlign w:val="center"/>
          </w:tcPr>
          <w:p>
            <w:pPr>
              <w:pStyle w:val="12"/>
            </w:pPr>
            <w:r>
              <w:t>102149个</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外业举证</w:t>
            </w:r>
          </w:p>
        </w:tc>
        <w:tc>
          <w:tcPr>
            <w:tcW w:w="5386" w:type="dxa"/>
            <w:vAlign w:val="center"/>
          </w:tcPr>
          <w:p>
            <w:pPr>
              <w:pStyle w:val="12"/>
            </w:pPr>
            <w:r>
              <w:t>根据下发任务获得</w:t>
            </w:r>
          </w:p>
        </w:tc>
        <w:tc>
          <w:tcPr>
            <w:tcW w:w="2268" w:type="dxa"/>
            <w:vAlign w:val="center"/>
          </w:tcPr>
          <w:p>
            <w:pPr>
              <w:pStyle w:val="12"/>
            </w:pPr>
            <w:r>
              <w:t>≥376个</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数据库建设</w:t>
            </w:r>
          </w:p>
        </w:tc>
        <w:tc>
          <w:tcPr>
            <w:tcW w:w="5386" w:type="dxa"/>
            <w:vAlign w:val="center"/>
          </w:tcPr>
          <w:p>
            <w:pPr>
              <w:pStyle w:val="12"/>
            </w:pPr>
            <w:r>
              <w:t>根据下发任务获得</w:t>
            </w:r>
          </w:p>
        </w:tc>
        <w:tc>
          <w:tcPr>
            <w:tcW w:w="2268" w:type="dxa"/>
            <w:vAlign w:val="center"/>
          </w:tcPr>
          <w:p>
            <w:pPr>
              <w:pStyle w:val="12"/>
            </w:pPr>
            <w:r>
              <w:t>≥1项</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通过省市级审核通过率</w:t>
            </w:r>
          </w:p>
        </w:tc>
        <w:tc>
          <w:tcPr>
            <w:tcW w:w="5386" w:type="dxa"/>
            <w:vAlign w:val="center"/>
          </w:tcPr>
          <w:p>
            <w:pPr>
              <w:pStyle w:val="12"/>
            </w:pPr>
            <w:r>
              <w:t>通过省市级审核</w:t>
            </w:r>
          </w:p>
        </w:tc>
        <w:tc>
          <w:tcPr>
            <w:tcW w:w="2268" w:type="dxa"/>
            <w:vAlign w:val="center"/>
          </w:tcPr>
          <w:p>
            <w:pPr>
              <w:pStyle w:val="12"/>
            </w:pPr>
            <w:r>
              <w:t>≥100百分比</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现势性、真实性、准确性</w:t>
            </w:r>
          </w:p>
        </w:tc>
        <w:tc>
          <w:tcPr>
            <w:tcW w:w="5386" w:type="dxa"/>
            <w:vAlign w:val="center"/>
          </w:tcPr>
          <w:p>
            <w:pPr>
              <w:pStyle w:val="12"/>
            </w:pPr>
            <w:r>
              <w:t>按时完成任务</w:t>
            </w:r>
          </w:p>
        </w:tc>
        <w:tc>
          <w:tcPr>
            <w:tcW w:w="2268" w:type="dxa"/>
            <w:vAlign w:val="center"/>
          </w:tcPr>
          <w:p>
            <w:pPr>
              <w:pStyle w:val="12"/>
            </w:pPr>
            <w:r>
              <w:t>及时完成</w:t>
            </w:r>
          </w:p>
        </w:tc>
        <w:tc>
          <w:tcPr>
            <w:tcW w:w="1276" w:type="dxa"/>
            <w:vAlign w:val="center"/>
          </w:tcPr>
          <w:p>
            <w:pPr>
              <w:pStyle w:val="12"/>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项目预算费用</w:t>
            </w:r>
          </w:p>
        </w:tc>
        <w:tc>
          <w:tcPr>
            <w:tcW w:w="5386" w:type="dxa"/>
            <w:vAlign w:val="center"/>
          </w:tcPr>
          <w:p>
            <w:pPr>
              <w:pStyle w:val="12"/>
            </w:pPr>
            <w:r>
              <w:t>满足项目所需费用</w:t>
            </w:r>
          </w:p>
        </w:tc>
        <w:tc>
          <w:tcPr>
            <w:tcW w:w="2268" w:type="dxa"/>
            <w:vAlign w:val="center"/>
          </w:tcPr>
          <w:p>
            <w:pPr>
              <w:pStyle w:val="12"/>
            </w:pPr>
            <w:r>
              <w:t>≤22.25万元</w:t>
            </w:r>
          </w:p>
        </w:tc>
        <w:tc>
          <w:tcPr>
            <w:tcW w:w="1276" w:type="dxa"/>
            <w:vAlign w:val="center"/>
          </w:tcPr>
          <w:p>
            <w:pPr>
              <w:pStyle w:val="12"/>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科学保护、数据共享</w:t>
            </w:r>
          </w:p>
        </w:tc>
        <w:tc>
          <w:tcPr>
            <w:tcW w:w="5386" w:type="dxa"/>
            <w:vAlign w:val="center"/>
          </w:tcPr>
          <w:p>
            <w:pPr>
              <w:pStyle w:val="12"/>
            </w:pPr>
            <w:r>
              <w:t>实现碳达峰碳中和</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保护林草湿资源</w:t>
            </w:r>
          </w:p>
        </w:tc>
        <w:tc>
          <w:tcPr>
            <w:tcW w:w="5386" w:type="dxa"/>
            <w:vAlign w:val="center"/>
          </w:tcPr>
          <w:p>
            <w:pPr>
              <w:pStyle w:val="12"/>
            </w:pPr>
            <w:r>
              <w:t>实现动态监测掌握变化情况</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17、关于提前下达2025年中央财政林业草原生态保护恢复资金预算的通知-非国有林管护补助-国家级公益林-（冀财资环[2024]84号）绩效目标表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13032124P00329810014X</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关于提前下达2025年中央财政林业草原生态保护恢复资金预算的通知-非国有林管护补助-国家级公益林-（冀财资环[2024]84号）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508.38</w:t>
            </w:r>
          </w:p>
        </w:tc>
        <w:tc>
          <w:tcPr>
            <w:tcW w:w="2835" w:type="dxa"/>
            <w:vAlign w:val="center"/>
          </w:tcPr>
          <w:p>
            <w:pPr>
              <w:pStyle w:val="10"/>
            </w:pPr>
            <w:r>
              <w:t>其中：财政    资金</w:t>
            </w:r>
          </w:p>
        </w:tc>
        <w:tc>
          <w:tcPr>
            <w:tcW w:w="2551" w:type="dxa"/>
            <w:vAlign w:val="center"/>
          </w:tcPr>
          <w:p>
            <w:pPr>
              <w:pStyle w:val="12"/>
            </w:pPr>
            <w:r>
              <w:t>508.38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项目金额508.3827万元，其中财政拨款508.3827万元，主要用于通过项目实施，开展公益林管护，促进全县林业经济健康发展。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1.通过项目实施，开展公益林管护，促进全县林业经济健康发展。</w:t>
            </w:r>
          </w:p>
          <w:p>
            <w:pPr>
              <w:pStyle w:val="12"/>
            </w:pPr>
            <w:r>
              <w:t>2.通过项目实施，开展公益林管护,确保森林资源系统生态安全和物种多样性。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国家公益林专职管护人员管护费</w:t>
            </w:r>
          </w:p>
        </w:tc>
        <w:tc>
          <w:tcPr>
            <w:tcW w:w="2268" w:type="dxa"/>
            <w:vAlign w:val="center"/>
          </w:tcPr>
          <w:p>
            <w:pPr>
              <w:pStyle w:val="12"/>
            </w:pPr>
            <w:r>
              <w:t>≥295人</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≥47.76万亩</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≤5百分比</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护林员工资达标率</w:t>
            </w:r>
          </w:p>
        </w:tc>
        <w:tc>
          <w:tcPr>
            <w:tcW w:w="5386" w:type="dxa"/>
            <w:vAlign w:val="center"/>
          </w:tcPr>
          <w:p>
            <w:pPr>
              <w:pStyle w:val="12"/>
            </w:pPr>
            <w:r>
              <w:t>实际支付国家公益林专职管护人员管护费与应支付国家公益林专职管护人员管护费的比率</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集体及个人补助标准达标率</w:t>
            </w:r>
          </w:p>
        </w:tc>
        <w:tc>
          <w:tcPr>
            <w:tcW w:w="5386" w:type="dxa"/>
            <w:vAlign w:val="center"/>
          </w:tcPr>
          <w:p>
            <w:pPr>
              <w:pStyle w:val="12"/>
            </w:pPr>
            <w:r>
              <w:t>集体及个人补助标准达标率</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护林员工资发放时间</w:t>
            </w:r>
          </w:p>
        </w:tc>
        <w:tc>
          <w:tcPr>
            <w:tcW w:w="5386" w:type="dxa"/>
            <w:vAlign w:val="center"/>
          </w:tcPr>
          <w:p>
            <w:pPr>
              <w:pStyle w:val="12"/>
            </w:pPr>
            <w:r>
              <w:t>护林员工资发放时间</w:t>
            </w:r>
          </w:p>
        </w:tc>
        <w:tc>
          <w:tcPr>
            <w:tcW w:w="2268" w:type="dxa"/>
            <w:vAlign w:val="center"/>
          </w:tcPr>
          <w:p>
            <w:pPr>
              <w:pStyle w:val="12"/>
            </w:pPr>
            <w:r>
              <w:t>每月一次</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集体及个人补助拨付时间</w:t>
            </w:r>
          </w:p>
        </w:tc>
        <w:tc>
          <w:tcPr>
            <w:tcW w:w="5386" w:type="dxa"/>
            <w:vAlign w:val="center"/>
          </w:tcPr>
          <w:p>
            <w:pPr>
              <w:pStyle w:val="12"/>
            </w:pPr>
            <w:r>
              <w:t>集体及个人补助拨付时间</w:t>
            </w:r>
          </w:p>
        </w:tc>
        <w:tc>
          <w:tcPr>
            <w:tcW w:w="2268" w:type="dxa"/>
            <w:vAlign w:val="center"/>
          </w:tcPr>
          <w:p>
            <w:pPr>
              <w:pStyle w:val="12"/>
            </w:pPr>
            <w:r>
              <w:t>2026年每半年一次</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集体及个人补助标准</w:t>
            </w:r>
          </w:p>
        </w:tc>
        <w:tc>
          <w:tcPr>
            <w:tcW w:w="5386" w:type="dxa"/>
            <w:vAlign w:val="center"/>
          </w:tcPr>
          <w:p>
            <w:pPr>
              <w:pStyle w:val="12"/>
            </w:pPr>
            <w:r>
              <w:t>支付林权权利人每亩生态补偿补助费用</w:t>
            </w:r>
          </w:p>
        </w:tc>
        <w:tc>
          <w:tcPr>
            <w:tcW w:w="2268" w:type="dxa"/>
            <w:vAlign w:val="center"/>
          </w:tcPr>
          <w:p>
            <w:pPr>
              <w:pStyle w:val="12"/>
            </w:pPr>
            <w:r>
              <w:t>≤9.6元/亩（集体和个人）</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18、关于提前下达2025年中央财政林业草原生态保护恢复资金预算的通知-非国有林管护补助-天然商品林-（冀财资环[2024]84号）绩效目标表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13032124P00329810015H</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关于提前下达2025年中央财政林业草原生态保护恢复资金预算的通知-非国有林管护补助-天然商品林-（冀财资环[2024]84号）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254.14</w:t>
            </w:r>
          </w:p>
        </w:tc>
        <w:tc>
          <w:tcPr>
            <w:tcW w:w="2835" w:type="dxa"/>
            <w:vAlign w:val="center"/>
          </w:tcPr>
          <w:p>
            <w:pPr>
              <w:pStyle w:val="10"/>
            </w:pPr>
            <w:r>
              <w:t>其中：财政    资金</w:t>
            </w:r>
          </w:p>
        </w:tc>
        <w:tc>
          <w:tcPr>
            <w:tcW w:w="2551" w:type="dxa"/>
            <w:vAlign w:val="center"/>
          </w:tcPr>
          <w:p>
            <w:pPr>
              <w:pStyle w:val="12"/>
            </w:pPr>
            <w:r>
              <w:t>254.14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项目金额254.14万元，其中财政拨款254.14万元，主要用于通过项目实施，实施天然林保护工程，提高全县森林覆盖率。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1.通过项目实施，实施天然林保护工程，提高全县森林覆盖率。</w:t>
            </w:r>
          </w:p>
          <w:p>
            <w:pPr>
              <w:pStyle w:val="12"/>
            </w:pPr>
            <w:r>
              <w:t>2.通过项目实施，实施天然林保护工程，有效促进林业产业结构优化，维持生态平衡。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管护天然林面积</w:t>
            </w:r>
          </w:p>
        </w:tc>
        <w:tc>
          <w:tcPr>
            <w:tcW w:w="5386" w:type="dxa"/>
            <w:vAlign w:val="center"/>
          </w:tcPr>
          <w:p>
            <w:pPr>
              <w:pStyle w:val="12"/>
            </w:pPr>
            <w:r>
              <w:t>需要购买管护服务及建设的亩数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经济补偿亩数</w:t>
            </w:r>
          </w:p>
        </w:tc>
        <w:tc>
          <w:tcPr>
            <w:tcW w:w="5386" w:type="dxa"/>
            <w:vAlign w:val="center"/>
          </w:tcPr>
          <w:p>
            <w:pPr>
              <w:pStyle w:val="12"/>
            </w:pPr>
            <w:r>
              <w:t>需要经济补偿亩数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护林员人数</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天然林管护达标率</w:t>
            </w:r>
          </w:p>
        </w:tc>
        <w:tc>
          <w:tcPr>
            <w:tcW w:w="5386" w:type="dxa"/>
            <w:vAlign w:val="center"/>
          </w:tcPr>
          <w:p>
            <w:pPr>
              <w:pStyle w:val="12"/>
            </w:pPr>
            <w:r>
              <w:t>天然林管护达标率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护林员工作考核达标率</w:t>
            </w:r>
          </w:p>
        </w:tc>
        <w:tc>
          <w:tcPr>
            <w:tcW w:w="5386" w:type="dxa"/>
            <w:vAlign w:val="center"/>
          </w:tcPr>
          <w:p>
            <w:pPr>
              <w:pStyle w:val="12"/>
            </w:pPr>
            <w:r>
              <w:t>护林员工作考核达标率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补助发放合规达标率</w:t>
            </w:r>
          </w:p>
        </w:tc>
        <w:tc>
          <w:tcPr>
            <w:tcW w:w="5386" w:type="dxa"/>
            <w:vAlign w:val="center"/>
          </w:tcPr>
          <w:p>
            <w:pPr>
              <w:pStyle w:val="12"/>
            </w:pPr>
            <w:r>
              <w:t>合法合规准确进行补助资金的发放</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管护工作完成及时性</w:t>
            </w:r>
          </w:p>
        </w:tc>
        <w:tc>
          <w:tcPr>
            <w:tcW w:w="5386" w:type="dxa"/>
            <w:vAlign w:val="center"/>
          </w:tcPr>
          <w:p>
            <w:pPr>
              <w:pStyle w:val="12"/>
            </w:pPr>
            <w:r>
              <w:t>按计划及时完成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补偿的单位成本</w:t>
            </w:r>
          </w:p>
        </w:tc>
        <w:tc>
          <w:tcPr>
            <w:tcW w:w="5386" w:type="dxa"/>
            <w:vAlign w:val="center"/>
          </w:tcPr>
          <w:p>
            <w:pPr>
              <w:pStyle w:val="12"/>
            </w:pPr>
            <w:r>
              <w:t>补偿的单位成本，其中桃林口库区的补助资金为15.75元/亩，其他为9.6元/亩</w:t>
            </w:r>
          </w:p>
        </w:tc>
        <w:tc>
          <w:tcPr>
            <w:tcW w:w="2268" w:type="dxa"/>
            <w:vAlign w:val="center"/>
          </w:tcPr>
          <w:p>
            <w:pPr>
              <w:pStyle w:val="12"/>
            </w:pPr>
            <w:r>
              <w:t>≤16元/亩（集体和个人）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全县森林覆盖率</w:t>
            </w:r>
          </w:p>
        </w:tc>
        <w:tc>
          <w:tcPr>
            <w:tcW w:w="5386" w:type="dxa"/>
            <w:vAlign w:val="center"/>
          </w:tcPr>
          <w:p>
            <w:pPr>
              <w:pStyle w:val="12"/>
            </w:pPr>
            <w:r>
              <w:t>全县森林覆盖率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19、关于提前下达2025年中央财政林业草原生态保护恢复资金预算的通知-古树名木抢救复壮补助-（冀财资环[2024]84号）绩效目标表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13032124P00329810017Q</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关于提前下达2025年中央财政林业草原生态保护恢复资金预算的通知-古树名木抢救复壮补助-（冀财资环[2024]84号）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项目金额12万元，其中财政拨款12万元，主要用于开展古树名木复壮抢救工作，提升人民幸福感。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1.通过开展古树名木复壮抢救工作，提升人民幸福感。</w:t>
            </w:r>
          </w:p>
          <w:p>
            <w:pPr>
              <w:pStyle w:val="12"/>
            </w:pPr>
            <w:r>
              <w:t>2.通过开展古树名木复壮抢救工作，促进古树正常生长。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≥2株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2026年12月底前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6万/株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20、关于提前下达2025年中央财政林业草原生态保护恢复资金预算的通知-国有林管护补助-国家级公益林-（冀财资环[2024]84号）绩效目标表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13032124P003298100017</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关于提前下达2025年中央财政林业草原生态保护恢复资金预算的通知-国有林管护补助-国家级公益林-（冀财资环[2024]84号）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4.44</w:t>
            </w:r>
          </w:p>
        </w:tc>
        <w:tc>
          <w:tcPr>
            <w:tcW w:w="2835" w:type="dxa"/>
            <w:vAlign w:val="center"/>
          </w:tcPr>
          <w:p>
            <w:pPr>
              <w:pStyle w:val="10"/>
            </w:pPr>
            <w:r>
              <w:t>其中：财政    资金</w:t>
            </w:r>
          </w:p>
        </w:tc>
        <w:tc>
          <w:tcPr>
            <w:tcW w:w="2551" w:type="dxa"/>
            <w:vAlign w:val="center"/>
          </w:tcPr>
          <w:p>
            <w:pPr>
              <w:pStyle w:val="12"/>
            </w:pPr>
            <w:r>
              <w:t>4.44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项目金额4.435万元，其中财政拨款4.435万元，主要用于通过项目实施，开展公益林管护，促进国有林场持续健康发展。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1.通过项目实施，开展公益林管护，促进国有林场持续健康发展。</w:t>
            </w:r>
          </w:p>
          <w:p>
            <w:pPr>
              <w:pStyle w:val="12"/>
            </w:pPr>
            <w:r>
              <w:t>2.通过项目实施，开展公益林管护,确保森林资源系统生态安全和物种多样性得到保护。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≥10.62万亩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巡查管护及时性</w:t>
            </w:r>
          </w:p>
        </w:tc>
        <w:tc>
          <w:tcPr>
            <w:tcW w:w="5386" w:type="dxa"/>
            <w:vAlign w:val="center"/>
          </w:tcPr>
          <w:p>
            <w:pPr>
              <w:pStyle w:val="12"/>
            </w:pPr>
            <w:r>
              <w:t>按照文件要求及工作计划开展巡查管护工作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保障林区巡查、巡护能力和减少火灾隐患</w:t>
            </w:r>
          </w:p>
        </w:tc>
        <w:tc>
          <w:tcPr>
            <w:tcW w:w="5386" w:type="dxa"/>
            <w:vAlign w:val="center"/>
          </w:tcPr>
          <w:p>
            <w:pPr>
              <w:pStyle w:val="12"/>
            </w:pPr>
            <w:r>
              <w:t>维修防火通道、塌方治理、六清营林房改造及营林区用品</w:t>
            </w:r>
          </w:p>
        </w:tc>
        <w:tc>
          <w:tcPr>
            <w:tcW w:w="2268" w:type="dxa"/>
            <w:vAlign w:val="center"/>
          </w:tcPr>
          <w:p>
            <w:pPr>
              <w:pStyle w:val="12"/>
            </w:pPr>
            <w:r>
              <w:t>≥4.44万元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保障森林防火安全</w:t>
            </w:r>
          </w:p>
        </w:tc>
        <w:tc>
          <w:tcPr>
            <w:tcW w:w="5386" w:type="dxa"/>
            <w:vAlign w:val="center"/>
          </w:tcPr>
          <w:p>
            <w:pPr>
              <w:pStyle w:val="12"/>
            </w:pPr>
            <w:r>
              <w:t>保障森林防火安全，保障森林绿化成果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保障国有林绿化成果</w:t>
            </w:r>
          </w:p>
        </w:tc>
        <w:tc>
          <w:tcPr>
            <w:tcW w:w="5386" w:type="dxa"/>
            <w:vAlign w:val="center"/>
          </w:tcPr>
          <w:p>
            <w:pPr>
              <w:pStyle w:val="12"/>
            </w:pPr>
            <w:r>
              <w:t>保障营林区森林绿化成果和林业生态安全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是否促进生态效益可持续</w:t>
            </w:r>
          </w:p>
        </w:tc>
        <w:tc>
          <w:tcPr>
            <w:tcW w:w="5386" w:type="dxa"/>
            <w:vAlign w:val="center"/>
          </w:tcPr>
          <w:p>
            <w:pPr>
              <w:pStyle w:val="12"/>
            </w:pPr>
            <w:r>
              <w:t>有效遏制重大森林火灾的发生和蔓延</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21、关于提前下达2025年中央财政林业草原生态保护恢复资金预算的通知-全面停止天然林商业性采伐补助-（冀财资环[2024]84号）绩效目标表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13032124P003298100165</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关于提前下达2025年中央财政林业草原生态保护恢复资金预算的通知-全面停止天然林商业性采伐补助-（冀财资环[2024]84号）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104.10</w:t>
            </w:r>
          </w:p>
        </w:tc>
        <w:tc>
          <w:tcPr>
            <w:tcW w:w="2835" w:type="dxa"/>
            <w:vAlign w:val="center"/>
          </w:tcPr>
          <w:p>
            <w:pPr>
              <w:pStyle w:val="10"/>
            </w:pPr>
            <w:r>
              <w:t>其中：财政    资金</w:t>
            </w:r>
          </w:p>
        </w:tc>
        <w:tc>
          <w:tcPr>
            <w:tcW w:w="2551" w:type="dxa"/>
            <w:vAlign w:val="center"/>
          </w:tcPr>
          <w:p>
            <w:pPr>
              <w:pStyle w:val="12"/>
            </w:pPr>
            <w:r>
              <w:t>104.10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项目金额104.10412万元，其中财政拨款104.10412万元，主要用于通过项目实施，加强天然林系统修复，解决项目人工、机械和材料等费用支出。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1.通过项目实施，加强天然林系统修复，解决项目人工、机械和材料等费用支出。</w:t>
            </w:r>
          </w:p>
          <w:p>
            <w:pPr>
              <w:pStyle w:val="12"/>
            </w:pPr>
            <w:r>
              <w:t>2.通过项目实施，加强天然林保护管理，提高森林覆盖率，改善生态环境。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天然林保护管理和天然林系统修复费用支出占比</w:t>
            </w:r>
          </w:p>
        </w:tc>
        <w:tc>
          <w:tcPr>
            <w:tcW w:w="5386" w:type="dxa"/>
            <w:vAlign w:val="center"/>
          </w:tcPr>
          <w:p>
            <w:pPr>
              <w:pStyle w:val="12"/>
            </w:pPr>
            <w:r>
              <w:t>用于天然林保护管理和天然林林系统修复费用支出占总资金的比例</w:t>
            </w:r>
          </w:p>
        </w:tc>
        <w:tc>
          <w:tcPr>
            <w:tcW w:w="2268" w:type="dxa"/>
            <w:vAlign w:val="center"/>
          </w:tcPr>
          <w:p>
            <w:pPr>
              <w:pStyle w:val="12"/>
            </w:pPr>
            <w:r>
              <w:t>≥100百分比</w:t>
            </w:r>
          </w:p>
        </w:tc>
        <w:tc>
          <w:tcPr>
            <w:tcW w:w="1276" w:type="dxa"/>
            <w:vAlign w:val="center"/>
          </w:tcPr>
          <w:p>
            <w:pPr>
              <w:pStyle w:val="12"/>
            </w:pPr>
            <w:r>
              <w:t>管护方案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实际完成工程量占计划完成工程量的比率</w:t>
            </w:r>
          </w:p>
        </w:tc>
        <w:tc>
          <w:tcPr>
            <w:tcW w:w="2268" w:type="dxa"/>
            <w:vAlign w:val="center"/>
          </w:tcPr>
          <w:p>
            <w:pPr>
              <w:pStyle w:val="12"/>
            </w:pPr>
            <w:r>
              <w:t>≥98百分比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国有天然林停伐蓄积</w:t>
            </w:r>
          </w:p>
        </w:tc>
        <w:tc>
          <w:tcPr>
            <w:tcW w:w="5386" w:type="dxa"/>
            <w:vAlign w:val="center"/>
          </w:tcPr>
          <w:p>
            <w:pPr>
              <w:pStyle w:val="12"/>
            </w:pPr>
            <w:r>
              <w:t>两个国有林场停伐蓄积</w:t>
            </w:r>
          </w:p>
        </w:tc>
        <w:tc>
          <w:tcPr>
            <w:tcW w:w="2268" w:type="dxa"/>
            <w:vAlign w:val="center"/>
          </w:tcPr>
          <w:p>
            <w:pPr>
              <w:pStyle w:val="12"/>
            </w:pPr>
            <w:r>
              <w:t>3372立方米</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停伐补贴达标率</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及时发放天然林停伐管护补助给两个林场</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反映按招标文件及招标合同金额控制在预算范围内</w:t>
            </w:r>
          </w:p>
        </w:tc>
        <w:tc>
          <w:tcPr>
            <w:tcW w:w="2268" w:type="dxa"/>
            <w:vAlign w:val="center"/>
          </w:tcPr>
          <w:p>
            <w:pPr>
              <w:pStyle w:val="12"/>
            </w:pPr>
            <w:r>
              <w:t>≤104.1万元</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提高就业</w:t>
            </w:r>
          </w:p>
        </w:tc>
        <w:tc>
          <w:tcPr>
            <w:tcW w:w="5386" w:type="dxa"/>
            <w:vAlign w:val="center"/>
          </w:tcPr>
          <w:p>
            <w:pPr>
              <w:pStyle w:val="12"/>
            </w:pPr>
            <w:r>
              <w:t>提高就业率，解决群众就业问题</w:t>
            </w:r>
          </w:p>
        </w:tc>
        <w:tc>
          <w:tcPr>
            <w:tcW w:w="2268" w:type="dxa"/>
            <w:vAlign w:val="center"/>
          </w:tcPr>
          <w:p>
            <w:pPr>
              <w:pStyle w:val="12"/>
            </w:pPr>
            <w:r>
              <w:t>100百分比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通过天然林停伐补助,确保森林资源系统生态安全和物种多样性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22、关于提前下达2026年森林草原防火视频监控服务采购省级补助资金的通知（冀财资环[2025]64号）绩效目标表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13032126P00330610091A</w:t>
            </w:r>
          </w:p>
        </w:tc>
        <w:tc>
          <w:tcPr>
            <w:tcW w:w="2835" w:type="dxa"/>
            <w:vAlign w:val="center"/>
          </w:tcPr>
          <w:p>
            <w:pPr>
              <w:pStyle w:val="10"/>
            </w:pPr>
            <w:r>
              <w:t>项目名称</w:t>
            </w:r>
          </w:p>
        </w:tc>
        <w:tc>
          <w:tcPr>
            <w:tcW w:w="6095" w:type="dxa"/>
            <w:gridSpan w:val="3"/>
            <w:vAlign w:val="center"/>
          </w:tcPr>
          <w:p>
            <w:pPr>
              <w:pStyle w:val="12"/>
            </w:pPr>
            <w:r>
              <w:t>关于提前下达2026年森林草原防火视频监控服务采购省级补助资金的通知（冀财资环[2025]64号）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242.00</w:t>
            </w:r>
          </w:p>
        </w:tc>
        <w:tc>
          <w:tcPr>
            <w:tcW w:w="2835" w:type="dxa"/>
            <w:vAlign w:val="center"/>
          </w:tcPr>
          <w:p>
            <w:pPr>
              <w:pStyle w:val="10"/>
            </w:pPr>
            <w:r>
              <w:t>其中：财政    资金</w:t>
            </w:r>
          </w:p>
        </w:tc>
        <w:tc>
          <w:tcPr>
            <w:tcW w:w="2551" w:type="dxa"/>
            <w:vAlign w:val="center"/>
          </w:tcPr>
          <w:p>
            <w:pPr>
              <w:pStyle w:val="12"/>
            </w:pPr>
            <w:r>
              <w:t>242.00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预算安排242万元，其中财政拨款242万元，主要用于购买森林防火视频监控系统服务，在全县范围内进行林业防火监控，实现及时发现火情。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1.通过开展此项工作，购买森林防火视频监控系统服务，在全县范围内进行林业防火监控，实现及时发现火情。</w:t>
            </w:r>
          </w:p>
          <w:p>
            <w:pPr>
              <w:pStyle w:val="12"/>
            </w:pPr>
            <w:r>
              <w:t>2.通过开展此项工作，视频监控系统服务，提高日常火灾预警能力，达到降低火灾损失的效果。</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服务的企业数</w:t>
            </w:r>
          </w:p>
        </w:tc>
        <w:tc>
          <w:tcPr>
            <w:tcW w:w="5386" w:type="dxa"/>
            <w:vAlign w:val="center"/>
          </w:tcPr>
          <w:p>
            <w:pPr>
              <w:pStyle w:val="12"/>
            </w:pPr>
            <w:r>
              <w:t>用于提供森林防火视频监控系统服务企业数</w:t>
            </w:r>
          </w:p>
        </w:tc>
        <w:tc>
          <w:tcPr>
            <w:tcW w:w="2268" w:type="dxa"/>
            <w:vAlign w:val="center"/>
          </w:tcPr>
          <w:p>
            <w:pPr>
              <w:pStyle w:val="12"/>
            </w:pPr>
            <w:r>
              <w:t>1家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建设监控系统数</w:t>
            </w:r>
          </w:p>
        </w:tc>
        <w:tc>
          <w:tcPr>
            <w:tcW w:w="5386" w:type="dxa"/>
            <w:vAlign w:val="center"/>
          </w:tcPr>
          <w:p>
            <w:pPr>
              <w:pStyle w:val="12"/>
            </w:pPr>
            <w:r>
              <w:t>用于提供森林防火视频监控系统服务的数量</w:t>
            </w:r>
          </w:p>
        </w:tc>
        <w:tc>
          <w:tcPr>
            <w:tcW w:w="2268" w:type="dxa"/>
            <w:vAlign w:val="center"/>
          </w:tcPr>
          <w:p>
            <w:pPr>
              <w:pStyle w:val="12"/>
            </w:pPr>
            <w:r>
              <w:t>174套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提供防火视频监控系统合格率</w:t>
            </w:r>
          </w:p>
        </w:tc>
        <w:tc>
          <w:tcPr>
            <w:tcW w:w="5386" w:type="dxa"/>
            <w:vAlign w:val="center"/>
          </w:tcPr>
          <w:p>
            <w:pPr>
              <w:pStyle w:val="12"/>
            </w:pPr>
            <w:r>
              <w:t>提供防火视频监控系统合格率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2023年10月底前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≤500万元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及时发现火情</w:t>
            </w:r>
          </w:p>
        </w:tc>
        <w:tc>
          <w:tcPr>
            <w:tcW w:w="5386" w:type="dxa"/>
            <w:vAlign w:val="center"/>
          </w:tcPr>
          <w:p>
            <w:pPr>
              <w:pStyle w:val="12"/>
            </w:pPr>
            <w:r>
              <w:t>减少出现较大以上火灾</w:t>
            </w:r>
          </w:p>
        </w:tc>
        <w:tc>
          <w:tcPr>
            <w:tcW w:w="2268" w:type="dxa"/>
            <w:vAlign w:val="center"/>
          </w:tcPr>
          <w:p>
            <w:pPr>
              <w:pStyle w:val="12"/>
            </w:pPr>
            <w:r>
              <w:t>≤1500亩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避免伤亡事故</w:t>
            </w:r>
          </w:p>
        </w:tc>
        <w:tc>
          <w:tcPr>
            <w:tcW w:w="5386" w:type="dxa"/>
            <w:vAlign w:val="center"/>
          </w:tcPr>
          <w:p>
            <w:pPr>
              <w:pStyle w:val="12"/>
            </w:pPr>
            <w:r>
              <w:t>避免出现重大伤亡事故</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23、关于提前下达2026年省级风景名胜资源保护资金的通知-秦皇岛北戴河风景名胜区祖山景区天女峰至乌龙谷巡护步道项目（冀财资环[2025]63号）绩效目标表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13032126P00329810041K</w:t>
            </w:r>
          </w:p>
        </w:tc>
        <w:tc>
          <w:tcPr>
            <w:tcW w:w="2835" w:type="dxa"/>
            <w:vAlign w:val="center"/>
          </w:tcPr>
          <w:p>
            <w:pPr>
              <w:pStyle w:val="10"/>
            </w:pPr>
            <w:r>
              <w:t>项目名称</w:t>
            </w:r>
          </w:p>
        </w:tc>
        <w:tc>
          <w:tcPr>
            <w:tcW w:w="6095" w:type="dxa"/>
            <w:gridSpan w:val="3"/>
            <w:vAlign w:val="center"/>
          </w:tcPr>
          <w:p>
            <w:pPr>
              <w:pStyle w:val="12"/>
            </w:pPr>
            <w:bookmarkStart w:id="2" w:name="OLE_LINK1"/>
            <w:r>
              <w:t>关于提前下达2026年省级风景名胜资源保护资金的通知-秦皇岛北戴河风景名胜区祖山景区天女峰至乌龙谷巡护步道项目（冀财资环[2025]63号）</w:t>
            </w:r>
            <w:bookmarkEnd w:id="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预算安排90万元，其中财政拨款90万元，主要用于通过项目实施，能有效缓解主游线路客流压力，极大提升景区接待能力，提升景区整体吸引力。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1.通过项目实施，能有效缓解主游线路客流压力，极大提升景区接待能力，提升景区整体吸引力。</w:t>
            </w:r>
          </w:p>
          <w:p>
            <w:pPr>
              <w:pStyle w:val="12"/>
            </w:pPr>
            <w:r>
              <w:t>2.通过项目实施，既提升巡护效率和覆盖面，又方便了游客，可极大消除降低安全隐患。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道路长度</w:t>
            </w:r>
          </w:p>
        </w:tc>
        <w:tc>
          <w:tcPr>
            <w:tcW w:w="5386" w:type="dxa"/>
            <w:vAlign w:val="center"/>
          </w:tcPr>
          <w:p>
            <w:pPr>
              <w:pStyle w:val="12"/>
            </w:pPr>
            <w:r>
              <w:t>天女峰至乌龙谷步道长度</w:t>
            </w:r>
          </w:p>
        </w:tc>
        <w:tc>
          <w:tcPr>
            <w:tcW w:w="2268" w:type="dxa"/>
            <w:vAlign w:val="center"/>
          </w:tcPr>
          <w:p>
            <w:pPr>
              <w:pStyle w:val="12"/>
            </w:pPr>
            <w:r>
              <w:t>2100米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道路宽度</w:t>
            </w:r>
          </w:p>
        </w:tc>
        <w:tc>
          <w:tcPr>
            <w:tcW w:w="5386" w:type="dxa"/>
            <w:vAlign w:val="center"/>
          </w:tcPr>
          <w:p>
            <w:pPr>
              <w:pStyle w:val="12"/>
            </w:pPr>
            <w:r>
              <w:t>天女峰至乌龙谷步道宽度</w:t>
            </w:r>
          </w:p>
        </w:tc>
        <w:tc>
          <w:tcPr>
            <w:tcW w:w="2268" w:type="dxa"/>
            <w:vAlign w:val="center"/>
          </w:tcPr>
          <w:p>
            <w:pPr>
              <w:pStyle w:val="12"/>
            </w:pPr>
            <w:r>
              <w:t>1.5米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严格把控材料采购、施工过程监控和成品检验</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项目完成时间</w:t>
            </w:r>
          </w:p>
        </w:tc>
        <w:tc>
          <w:tcPr>
            <w:tcW w:w="2268" w:type="dxa"/>
            <w:vAlign w:val="center"/>
          </w:tcPr>
          <w:p>
            <w:pPr>
              <w:pStyle w:val="12"/>
            </w:pPr>
            <w:r>
              <w:t>2026年10月底</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控制在预算成本内</w:t>
            </w:r>
          </w:p>
        </w:tc>
        <w:tc>
          <w:tcPr>
            <w:tcW w:w="2268" w:type="dxa"/>
            <w:vAlign w:val="center"/>
          </w:tcPr>
          <w:p>
            <w:pPr>
              <w:pStyle w:val="12"/>
            </w:pPr>
            <w:r>
              <w:t>≤90万元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对环境的影响</w:t>
            </w:r>
          </w:p>
        </w:tc>
        <w:tc>
          <w:tcPr>
            <w:tcW w:w="5386" w:type="dxa"/>
            <w:vAlign w:val="center"/>
          </w:tcPr>
          <w:p>
            <w:pPr>
              <w:pStyle w:val="12"/>
            </w:pPr>
            <w:r>
              <w:t>提升巡查效率，扩大巡查范围，保护生态环境</w:t>
            </w:r>
          </w:p>
        </w:tc>
        <w:tc>
          <w:tcPr>
            <w:tcW w:w="2268" w:type="dxa"/>
            <w:vAlign w:val="center"/>
          </w:tcPr>
          <w:p>
            <w:pPr>
              <w:pStyle w:val="12"/>
            </w:pPr>
            <w:r>
              <w:t>≥90%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游客增长率</w:t>
            </w:r>
          </w:p>
        </w:tc>
        <w:tc>
          <w:tcPr>
            <w:tcW w:w="5386" w:type="dxa"/>
            <w:vAlign w:val="center"/>
          </w:tcPr>
          <w:p>
            <w:pPr>
              <w:pStyle w:val="12"/>
            </w:pPr>
            <w:r>
              <w:t>游客增长率</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24、关于提前下达2026年省级林业改革发展补助资金的通知-2025年“三北”工程超长期特别国债项目省级配套（冀财资环[2025]68号）绩效目标表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13032126P00329910023Q</w:t>
            </w:r>
          </w:p>
        </w:tc>
        <w:tc>
          <w:tcPr>
            <w:tcW w:w="2835" w:type="dxa"/>
            <w:vAlign w:val="center"/>
          </w:tcPr>
          <w:p>
            <w:pPr>
              <w:pStyle w:val="10"/>
            </w:pPr>
            <w:r>
              <w:t>项目名称</w:t>
            </w:r>
          </w:p>
        </w:tc>
        <w:tc>
          <w:tcPr>
            <w:tcW w:w="6095" w:type="dxa"/>
            <w:gridSpan w:val="3"/>
            <w:vAlign w:val="center"/>
          </w:tcPr>
          <w:p>
            <w:pPr>
              <w:pStyle w:val="12"/>
            </w:pPr>
            <w:r>
              <w:t>关于提前下达2026年省级林业改革发展补助资金的通知-2025年“三北”工程超长期特别国债项目省级配套（冀财资环[2025]68号）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205.60</w:t>
            </w:r>
          </w:p>
        </w:tc>
        <w:tc>
          <w:tcPr>
            <w:tcW w:w="2835" w:type="dxa"/>
            <w:vAlign w:val="center"/>
          </w:tcPr>
          <w:p>
            <w:pPr>
              <w:pStyle w:val="10"/>
            </w:pPr>
            <w:r>
              <w:t>其中：财政    资金</w:t>
            </w:r>
          </w:p>
        </w:tc>
        <w:tc>
          <w:tcPr>
            <w:tcW w:w="2551" w:type="dxa"/>
            <w:vAlign w:val="center"/>
          </w:tcPr>
          <w:p>
            <w:pPr>
              <w:pStyle w:val="12"/>
            </w:pPr>
            <w:r>
              <w:t>205.60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预算安排205.6万元，其中财政拨款205.6万元，主要用于开展植树造林工作，造林绿化0.76万亩，封山育林2万亩，达到水土保持，促进国土绿化进程。</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1.通过开展植树造林工作，提高森林覆盖率，改善生态环境。</w:t>
            </w:r>
            <w:r>
              <w:tab/>
            </w:r>
            <w:r>
              <w:tab/>
            </w:r>
            <w:r>
              <w:tab/>
            </w:r>
            <w:r>
              <w:tab/>
            </w:r>
            <w:r>
              <w:tab/>
            </w:r>
            <w:r>
              <w:tab/>
            </w:r>
          </w:p>
          <w:p>
            <w:pPr>
              <w:pStyle w:val="12"/>
            </w:pPr>
          </w:p>
          <w:p>
            <w:pPr>
              <w:pStyle w:val="12"/>
            </w:pPr>
            <w:r>
              <w:t>2.通过开展植树造林工作，造林绿化0.76万亩，封山育林2万亩，达到水土保持，促进国土绿化进程。</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植树造林面积</w:t>
            </w:r>
          </w:p>
        </w:tc>
        <w:tc>
          <w:tcPr>
            <w:tcW w:w="5386" w:type="dxa"/>
            <w:vAlign w:val="center"/>
          </w:tcPr>
          <w:p>
            <w:pPr>
              <w:pStyle w:val="12"/>
            </w:pPr>
            <w:r>
              <w:t>完成植树面积</w:t>
            </w:r>
          </w:p>
        </w:tc>
        <w:tc>
          <w:tcPr>
            <w:tcW w:w="2268" w:type="dxa"/>
            <w:vAlign w:val="center"/>
          </w:tcPr>
          <w:p>
            <w:pPr>
              <w:pStyle w:val="12"/>
            </w:pPr>
            <w:r>
              <w:t>≥0.76万亩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封山育林面积</w:t>
            </w:r>
          </w:p>
        </w:tc>
        <w:tc>
          <w:tcPr>
            <w:tcW w:w="5386" w:type="dxa"/>
            <w:vAlign w:val="center"/>
          </w:tcPr>
          <w:p>
            <w:pPr>
              <w:pStyle w:val="12"/>
            </w:pPr>
            <w:r>
              <w:t>完成封山育林面积</w:t>
            </w:r>
          </w:p>
        </w:tc>
        <w:tc>
          <w:tcPr>
            <w:tcW w:w="2268" w:type="dxa"/>
            <w:vAlign w:val="center"/>
          </w:tcPr>
          <w:p>
            <w:pPr>
              <w:pStyle w:val="12"/>
            </w:pPr>
            <w:r>
              <w:t>≥2万亩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人工造林补助标准按政策执行100%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造林验收时间</w:t>
            </w:r>
          </w:p>
        </w:tc>
        <w:tc>
          <w:tcPr>
            <w:tcW w:w="5386" w:type="dxa"/>
            <w:vAlign w:val="center"/>
          </w:tcPr>
          <w:p>
            <w:pPr>
              <w:pStyle w:val="12"/>
            </w:pPr>
            <w:r>
              <w:t>第三验收完成时间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造林补助标准</w:t>
            </w:r>
          </w:p>
        </w:tc>
        <w:tc>
          <w:tcPr>
            <w:tcW w:w="5386" w:type="dxa"/>
            <w:vAlign w:val="center"/>
          </w:tcPr>
          <w:p>
            <w:pPr>
              <w:pStyle w:val="12"/>
            </w:pPr>
            <w:r>
              <w:t>占项目总投资比例</w:t>
            </w:r>
          </w:p>
        </w:tc>
        <w:tc>
          <w:tcPr>
            <w:tcW w:w="2268" w:type="dxa"/>
            <w:vAlign w:val="center"/>
          </w:tcPr>
          <w:p>
            <w:pPr>
              <w:pStyle w:val="12"/>
            </w:pPr>
            <w:r>
              <w:t>占项目总投资比例10%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提升森林覆盖率</w:t>
            </w:r>
          </w:p>
        </w:tc>
        <w:tc>
          <w:tcPr>
            <w:tcW w:w="5386" w:type="dxa"/>
            <w:vAlign w:val="center"/>
          </w:tcPr>
          <w:p>
            <w:pPr>
              <w:pStyle w:val="12"/>
            </w:pPr>
            <w:r>
              <w:t>提升森林覆盖率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25、关于提前下达2026年省级林业改革发展补助资金的通知-林果花卉产业发展补助（冀财资环[2025]68号）绩效目标表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13032126P00329910026K</w:t>
            </w:r>
          </w:p>
        </w:tc>
        <w:tc>
          <w:tcPr>
            <w:tcW w:w="2835" w:type="dxa"/>
            <w:vAlign w:val="center"/>
          </w:tcPr>
          <w:p>
            <w:pPr>
              <w:pStyle w:val="10"/>
            </w:pPr>
            <w:r>
              <w:t>项目名称</w:t>
            </w:r>
          </w:p>
        </w:tc>
        <w:tc>
          <w:tcPr>
            <w:tcW w:w="6095" w:type="dxa"/>
            <w:gridSpan w:val="3"/>
            <w:vAlign w:val="center"/>
          </w:tcPr>
          <w:p>
            <w:pPr>
              <w:pStyle w:val="12"/>
            </w:pPr>
            <w:r>
              <w:t>关于提前下达2026年省级林业改革发展补助资金的通知-林果花卉产业发展补助（冀财资环[2025]68号）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153.00</w:t>
            </w:r>
          </w:p>
        </w:tc>
        <w:tc>
          <w:tcPr>
            <w:tcW w:w="2835" w:type="dxa"/>
            <w:vAlign w:val="center"/>
          </w:tcPr>
          <w:p>
            <w:pPr>
              <w:pStyle w:val="10"/>
            </w:pPr>
            <w:r>
              <w:t>其中：财政    资金</w:t>
            </w:r>
          </w:p>
        </w:tc>
        <w:tc>
          <w:tcPr>
            <w:tcW w:w="2551" w:type="dxa"/>
            <w:vAlign w:val="center"/>
          </w:tcPr>
          <w:p>
            <w:pPr>
              <w:pStyle w:val="12"/>
            </w:pPr>
            <w:r>
              <w:t>153.00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预算安排153万元，其中财政拨款153万元，主要用于通过经济林提质增效建设项目，改建优质高产高效高标准生态果园总面积1700亩。</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1.通过经济林提质增效建设项目，改建优质高产高效高标准生态果园总面积1700亩。</w:t>
            </w:r>
            <w:r>
              <w:tab/>
            </w:r>
            <w:r>
              <w:tab/>
            </w:r>
            <w:r>
              <w:tab/>
            </w:r>
            <w:r>
              <w:tab/>
            </w:r>
            <w:r>
              <w:tab/>
            </w:r>
            <w:r>
              <w:tab/>
            </w:r>
            <w:r>
              <w:tab/>
            </w:r>
            <w:r>
              <w:tab/>
            </w:r>
            <w:r>
              <w:tab/>
            </w:r>
            <w:r>
              <w:tab/>
            </w:r>
          </w:p>
          <w:p>
            <w:pPr>
              <w:pStyle w:val="12"/>
            </w:pPr>
            <w:r>
              <w:t>2.通过经济林提质增效建设项目，带动部分附近劳动力就业。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经营主体数量</w:t>
            </w:r>
          </w:p>
        </w:tc>
        <w:tc>
          <w:tcPr>
            <w:tcW w:w="5386" w:type="dxa"/>
            <w:vAlign w:val="center"/>
          </w:tcPr>
          <w:p>
            <w:pPr>
              <w:pStyle w:val="12"/>
            </w:pPr>
            <w:r>
              <w:t>项目扶持的经营主体数量</w:t>
            </w:r>
          </w:p>
        </w:tc>
        <w:tc>
          <w:tcPr>
            <w:tcW w:w="2268" w:type="dxa"/>
            <w:vAlign w:val="center"/>
          </w:tcPr>
          <w:p>
            <w:pPr>
              <w:pStyle w:val="12"/>
            </w:pPr>
            <w:r>
              <w:t>≥5个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项目改建总体规模</w:t>
            </w:r>
          </w:p>
        </w:tc>
        <w:tc>
          <w:tcPr>
            <w:tcW w:w="2268" w:type="dxa"/>
            <w:vAlign w:val="center"/>
          </w:tcPr>
          <w:p>
            <w:pPr>
              <w:pStyle w:val="12"/>
            </w:pPr>
            <w:r>
              <w:t>≥1700亩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技术推广培训次数</w:t>
            </w:r>
          </w:p>
        </w:tc>
        <w:tc>
          <w:tcPr>
            <w:tcW w:w="5386" w:type="dxa"/>
            <w:vAlign w:val="center"/>
          </w:tcPr>
          <w:p>
            <w:pPr>
              <w:pStyle w:val="12"/>
            </w:pPr>
            <w:r>
              <w:t>反映技术推广培训次数</w:t>
            </w:r>
          </w:p>
        </w:tc>
        <w:tc>
          <w:tcPr>
            <w:tcW w:w="2268" w:type="dxa"/>
            <w:vAlign w:val="center"/>
          </w:tcPr>
          <w:p>
            <w:pPr>
              <w:pStyle w:val="12"/>
            </w:pPr>
            <w:r>
              <w:t>≥5次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建设任务完成率</w:t>
            </w:r>
          </w:p>
        </w:tc>
        <w:tc>
          <w:tcPr>
            <w:tcW w:w="5386" w:type="dxa"/>
            <w:vAlign w:val="center"/>
          </w:tcPr>
          <w:p>
            <w:pPr>
              <w:pStyle w:val="12"/>
            </w:pPr>
            <w:r>
              <w:t>反应建设任务完成率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反映项目验收合格率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反映工作完成及时性</w:t>
            </w:r>
          </w:p>
        </w:tc>
        <w:tc>
          <w:tcPr>
            <w:tcW w:w="2268" w:type="dxa"/>
            <w:vAlign w:val="center"/>
          </w:tcPr>
          <w:p>
            <w:pPr>
              <w:pStyle w:val="12"/>
            </w:pPr>
            <w:r>
              <w:t>≤12月</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每亩投资的成本</w:t>
            </w:r>
          </w:p>
        </w:tc>
        <w:tc>
          <w:tcPr>
            <w:tcW w:w="5386" w:type="dxa"/>
            <w:vAlign w:val="center"/>
          </w:tcPr>
          <w:p>
            <w:pPr>
              <w:pStyle w:val="12"/>
            </w:pPr>
            <w:r>
              <w:t>反映每亩投资的成本</w:t>
            </w:r>
          </w:p>
        </w:tc>
        <w:tc>
          <w:tcPr>
            <w:tcW w:w="2268" w:type="dxa"/>
            <w:vAlign w:val="center"/>
          </w:tcPr>
          <w:p>
            <w:pPr>
              <w:pStyle w:val="12"/>
            </w:pPr>
            <w:r>
              <w:t>≥1000元/亩</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亩增经济效益</w:t>
            </w:r>
          </w:p>
        </w:tc>
        <w:tc>
          <w:tcPr>
            <w:tcW w:w="5386" w:type="dxa"/>
            <w:vAlign w:val="center"/>
          </w:tcPr>
          <w:p>
            <w:pPr>
              <w:pStyle w:val="12"/>
            </w:pPr>
            <w:r>
              <w:t>反映亩增经济效益</w:t>
            </w:r>
          </w:p>
        </w:tc>
        <w:tc>
          <w:tcPr>
            <w:tcW w:w="2268" w:type="dxa"/>
            <w:vAlign w:val="center"/>
          </w:tcPr>
          <w:p>
            <w:pPr>
              <w:pStyle w:val="12"/>
            </w:pPr>
            <w:r>
              <w:t>≥300元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带动就业人数（人）</w:t>
            </w:r>
          </w:p>
        </w:tc>
        <w:tc>
          <w:tcPr>
            <w:tcW w:w="5386" w:type="dxa"/>
            <w:vAlign w:val="center"/>
          </w:tcPr>
          <w:p>
            <w:pPr>
              <w:pStyle w:val="12"/>
            </w:pPr>
            <w:r>
              <w:t>反映带动就业人数（人）</w:t>
            </w:r>
          </w:p>
        </w:tc>
        <w:tc>
          <w:tcPr>
            <w:tcW w:w="2268" w:type="dxa"/>
            <w:vAlign w:val="center"/>
          </w:tcPr>
          <w:p>
            <w:pPr>
              <w:pStyle w:val="12"/>
            </w:pPr>
            <w:r>
              <w:t>≥500人</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26、关于提前下达2026年省级林业改革发展补助资金的通知-造林绿化重点工程奖补-村庄绿化提升村（冀财资环[2025]68号）绩效目标表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13032126P003299100250</w:t>
            </w:r>
          </w:p>
        </w:tc>
        <w:tc>
          <w:tcPr>
            <w:tcW w:w="2835" w:type="dxa"/>
            <w:vAlign w:val="center"/>
          </w:tcPr>
          <w:p>
            <w:pPr>
              <w:pStyle w:val="10"/>
            </w:pPr>
            <w:r>
              <w:t>项目名称</w:t>
            </w:r>
          </w:p>
        </w:tc>
        <w:tc>
          <w:tcPr>
            <w:tcW w:w="6095" w:type="dxa"/>
            <w:gridSpan w:val="3"/>
            <w:vAlign w:val="center"/>
          </w:tcPr>
          <w:p>
            <w:pPr>
              <w:pStyle w:val="12"/>
            </w:pPr>
            <w:r>
              <w:t>关于提前下达2026年省级林业改革发展补助资金的通知-造林绿化重点工程奖补-村庄绿化提升村（冀财资环[2025]68号）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预算安排36万元，其中财政拨款36万元，主要用于提升村庄绿化质量，打造适宜人居环境。</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1.提升村庄绿化质量，打造适宜人居环境。</w:t>
            </w:r>
            <w:r>
              <w:tab/>
            </w:r>
            <w:r>
              <w:tab/>
            </w:r>
            <w:r>
              <w:tab/>
            </w:r>
            <w:r>
              <w:tab/>
            </w:r>
            <w:r>
              <w:tab/>
            </w:r>
            <w:r>
              <w:tab/>
            </w:r>
          </w:p>
          <w:p>
            <w:pPr>
              <w:pStyle w:val="12"/>
            </w:pPr>
          </w:p>
          <w:p>
            <w:pPr>
              <w:pStyle w:val="12"/>
            </w:pPr>
            <w:r>
              <w:t>2.实施乡村振兴，提高人民群众幸福指数。</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任务完成情况</w:t>
            </w:r>
          </w:p>
        </w:tc>
        <w:tc>
          <w:tcPr>
            <w:tcW w:w="5386" w:type="dxa"/>
            <w:vAlign w:val="center"/>
          </w:tcPr>
          <w:p>
            <w:pPr>
              <w:pStyle w:val="12"/>
            </w:pPr>
            <w:r>
              <w:t>完成省级下达12个村全部任务</w:t>
            </w:r>
          </w:p>
        </w:tc>
        <w:tc>
          <w:tcPr>
            <w:tcW w:w="2268" w:type="dxa"/>
            <w:vAlign w:val="center"/>
          </w:tcPr>
          <w:p>
            <w:pPr>
              <w:pStyle w:val="12"/>
            </w:pPr>
            <w:r>
              <w:t>≥36万元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苗木成活率</w:t>
            </w:r>
          </w:p>
        </w:tc>
        <w:tc>
          <w:tcPr>
            <w:tcW w:w="5386" w:type="dxa"/>
            <w:vAlign w:val="center"/>
          </w:tcPr>
          <w:p>
            <w:pPr>
              <w:pStyle w:val="12"/>
            </w:pPr>
            <w:r>
              <w:t>反映绿化质量</w:t>
            </w:r>
          </w:p>
        </w:tc>
        <w:tc>
          <w:tcPr>
            <w:tcW w:w="2268" w:type="dxa"/>
            <w:vAlign w:val="center"/>
          </w:tcPr>
          <w:p>
            <w:pPr>
              <w:pStyle w:val="12"/>
            </w:pPr>
            <w:r>
              <w:t>≥85%</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涉及全县18个村</w:t>
            </w:r>
          </w:p>
        </w:tc>
        <w:tc>
          <w:tcPr>
            <w:tcW w:w="2268" w:type="dxa"/>
            <w:vAlign w:val="center"/>
          </w:tcPr>
          <w:p>
            <w:pPr>
              <w:pStyle w:val="12"/>
            </w:pPr>
            <w:r>
              <w:t>100%</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村庄绿化质量显著提升</w:t>
            </w:r>
          </w:p>
        </w:tc>
        <w:tc>
          <w:tcPr>
            <w:tcW w:w="5386" w:type="dxa"/>
            <w:vAlign w:val="center"/>
          </w:tcPr>
          <w:p>
            <w:pPr>
              <w:pStyle w:val="12"/>
            </w:pPr>
            <w:r>
              <w:t>增加村庄绿化面积和质量</w:t>
            </w:r>
          </w:p>
        </w:tc>
        <w:tc>
          <w:tcPr>
            <w:tcW w:w="2268" w:type="dxa"/>
            <w:vAlign w:val="center"/>
          </w:tcPr>
          <w:p>
            <w:pPr>
              <w:pStyle w:val="12"/>
            </w:pPr>
            <w:r>
              <w:t>≥36万元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≥95%</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增加造林面积，改善人居环境</w:t>
            </w:r>
          </w:p>
        </w:tc>
        <w:tc>
          <w:tcPr>
            <w:tcW w:w="5386" w:type="dxa"/>
            <w:vAlign w:val="center"/>
          </w:tcPr>
          <w:p>
            <w:pPr>
              <w:pStyle w:val="12"/>
            </w:pPr>
            <w:r>
              <w:t>提高村庄绿化率</w:t>
            </w:r>
          </w:p>
        </w:tc>
        <w:tc>
          <w:tcPr>
            <w:tcW w:w="2268" w:type="dxa"/>
            <w:vAlign w:val="center"/>
          </w:tcPr>
          <w:p>
            <w:pPr>
              <w:pStyle w:val="12"/>
            </w:pPr>
            <w:r>
              <w:t>≥95%</w:t>
            </w:r>
          </w:p>
        </w:tc>
        <w:tc>
          <w:tcPr>
            <w:tcW w:w="1276" w:type="dxa"/>
            <w:vAlign w:val="center"/>
          </w:tcPr>
          <w:p>
            <w:pPr>
              <w:pStyle w:val="12"/>
            </w:pPr>
            <w:r>
              <w:t>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提高人民群众幸福指数</w:t>
            </w:r>
          </w:p>
        </w:tc>
        <w:tc>
          <w:tcPr>
            <w:tcW w:w="5386" w:type="dxa"/>
            <w:vAlign w:val="center"/>
          </w:tcPr>
          <w:p>
            <w:pPr>
              <w:pStyle w:val="12"/>
            </w:pPr>
            <w:r>
              <w:t>提高人民群众幸福指数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27、关于提前下达2026年省级林业改革发展补助资金的通知-造林绿化重点工程奖补-森林质量精准提升（冀财资环[2025]68号）绩效目标表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13032126P00329910024C</w:t>
            </w:r>
          </w:p>
        </w:tc>
        <w:tc>
          <w:tcPr>
            <w:tcW w:w="2835" w:type="dxa"/>
            <w:vAlign w:val="center"/>
          </w:tcPr>
          <w:p>
            <w:pPr>
              <w:pStyle w:val="10"/>
            </w:pPr>
            <w:r>
              <w:t>项目名称</w:t>
            </w:r>
          </w:p>
        </w:tc>
        <w:tc>
          <w:tcPr>
            <w:tcW w:w="6095" w:type="dxa"/>
            <w:gridSpan w:val="3"/>
            <w:vAlign w:val="center"/>
          </w:tcPr>
          <w:p>
            <w:pPr>
              <w:pStyle w:val="12"/>
            </w:pPr>
            <w:r>
              <w:t>关于提前下达2026年省级林业改革发展补助资金的通知-造林绿化重点工程奖补-森林质量精准提升（冀财资环[2025]68号）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预算安排800万元，其中财政拨款800万元，主要用于实施森林质量精准提升面积2万亩，既改善了生态环境，又增加了当地的大量就业机会，使农户收入得到了增加。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1.通过实施森林质量精准提升面积2万亩，既改善了生态环境，又增加了当地的大量就业机会，使农户收入得到了增加。</w:t>
            </w:r>
            <w:r>
              <w:tab/>
            </w:r>
            <w:r>
              <w:tab/>
            </w:r>
            <w:r>
              <w:tab/>
            </w:r>
            <w:r>
              <w:tab/>
            </w:r>
            <w:r>
              <w:tab/>
            </w:r>
            <w:r>
              <w:tab/>
            </w:r>
          </w:p>
          <w:p>
            <w:pPr>
              <w:pStyle w:val="12"/>
            </w:pPr>
            <w:r>
              <w:t>2.通过实施森林质量精准提升面积2万亩，使森林林分得到了优化，又增强了生态功能并实现了森林可持续经营。</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森林质量精准提升面积</w:t>
            </w:r>
          </w:p>
        </w:tc>
        <w:tc>
          <w:tcPr>
            <w:tcW w:w="5386" w:type="dxa"/>
            <w:vAlign w:val="center"/>
          </w:tcPr>
          <w:p>
            <w:pPr>
              <w:pStyle w:val="12"/>
            </w:pPr>
            <w:r>
              <w:t>完成抚育面积</w:t>
            </w:r>
          </w:p>
        </w:tc>
        <w:tc>
          <w:tcPr>
            <w:tcW w:w="2268" w:type="dxa"/>
            <w:vAlign w:val="center"/>
          </w:tcPr>
          <w:p>
            <w:pPr>
              <w:pStyle w:val="12"/>
            </w:pPr>
            <w:r>
              <w:t>2万亩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森林质量精准提升完成</w:t>
            </w:r>
          </w:p>
        </w:tc>
        <w:tc>
          <w:tcPr>
            <w:tcW w:w="5386" w:type="dxa"/>
            <w:vAlign w:val="center"/>
          </w:tcPr>
          <w:p>
            <w:pPr>
              <w:pStyle w:val="12"/>
            </w:pPr>
            <w:r>
              <w:t>森林质量精准提升完成率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森林质量精准提升补助标准按政策执行</w:t>
            </w:r>
          </w:p>
        </w:tc>
        <w:tc>
          <w:tcPr>
            <w:tcW w:w="2268" w:type="dxa"/>
            <w:vAlign w:val="center"/>
          </w:tcPr>
          <w:p>
            <w:pPr>
              <w:pStyle w:val="12"/>
            </w:pPr>
            <w:r>
              <w:t>800万元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森林质量精准提升完成时间</w:t>
            </w:r>
          </w:p>
        </w:tc>
        <w:tc>
          <w:tcPr>
            <w:tcW w:w="5386" w:type="dxa"/>
            <w:vAlign w:val="center"/>
          </w:tcPr>
          <w:p>
            <w:pPr>
              <w:pStyle w:val="12"/>
            </w:pPr>
            <w:r>
              <w:t>森林质量精准提升完成时间</w:t>
            </w:r>
          </w:p>
        </w:tc>
        <w:tc>
          <w:tcPr>
            <w:tcW w:w="2268" w:type="dxa"/>
            <w:vAlign w:val="center"/>
          </w:tcPr>
          <w:p>
            <w:pPr>
              <w:pStyle w:val="12"/>
            </w:pPr>
            <w:r>
              <w:t>2026年11月底前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验收时间</w:t>
            </w:r>
          </w:p>
        </w:tc>
        <w:tc>
          <w:tcPr>
            <w:tcW w:w="5386" w:type="dxa"/>
            <w:vAlign w:val="center"/>
          </w:tcPr>
          <w:p>
            <w:pPr>
              <w:pStyle w:val="12"/>
            </w:pPr>
            <w:r>
              <w:t>聘请第三方进行验收</w:t>
            </w:r>
          </w:p>
        </w:tc>
        <w:tc>
          <w:tcPr>
            <w:tcW w:w="2268" w:type="dxa"/>
            <w:vAlign w:val="center"/>
          </w:tcPr>
          <w:p>
            <w:pPr>
              <w:pStyle w:val="12"/>
            </w:pPr>
            <w:r>
              <w:t>2026年12月底前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亩补助标准</w:t>
            </w:r>
          </w:p>
        </w:tc>
        <w:tc>
          <w:tcPr>
            <w:tcW w:w="5386" w:type="dxa"/>
            <w:vAlign w:val="center"/>
          </w:tcPr>
          <w:p>
            <w:pPr>
              <w:pStyle w:val="12"/>
            </w:pPr>
            <w:r>
              <w:t>森林质量精准提升每亩补助标准</w:t>
            </w:r>
          </w:p>
        </w:tc>
        <w:tc>
          <w:tcPr>
            <w:tcW w:w="2268" w:type="dxa"/>
            <w:vAlign w:val="center"/>
          </w:tcPr>
          <w:p>
            <w:pPr>
              <w:pStyle w:val="12"/>
            </w:pPr>
            <w:r>
              <w:t>≤400元/亩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森林质量精准提升项目创造了大量就业机会</w:t>
            </w:r>
          </w:p>
        </w:tc>
        <w:tc>
          <w:tcPr>
            <w:tcW w:w="5386" w:type="dxa"/>
            <w:vAlign w:val="center"/>
          </w:tcPr>
          <w:p>
            <w:pPr>
              <w:pStyle w:val="12"/>
            </w:pPr>
            <w:r>
              <w:t>森林质量精准提升项目区提供农户就业，增加居民收入</w:t>
            </w:r>
          </w:p>
        </w:tc>
        <w:tc>
          <w:tcPr>
            <w:tcW w:w="2268" w:type="dxa"/>
            <w:vAlign w:val="center"/>
          </w:tcPr>
          <w:p>
            <w:pPr>
              <w:pStyle w:val="12"/>
            </w:pPr>
            <w:r>
              <w:t>≤300人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森林质量精准提升项目优化了森林林分</w:t>
            </w:r>
          </w:p>
        </w:tc>
        <w:tc>
          <w:tcPr>
            <w:tcW w:w="5386" w:type="dxa"/>
            <w:vAlign w:val="center"/>
          </w:tcPr>
          <w:p>
            <w:pPr>
              <w:pStyle w:val="12"/>
            </w:pPr>
            <w:r>
              <w:t>增加了木材产出，实现了农户增收</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森林质量精准提升项目增强生态系统服务功能</w:t>
            </w:r>
          </w:p>
        </w:tc>
        <w:tc>
          <w:tcPr>
            <w:tcW w:w="5386" w:type="dxa"/>
            <w:vAlign w:val="center"/>
          </w:tcPr>
          <w:p>
            <w:pPr>
              <w:pStyle w:val="12"/>
            </w:pPr>
            <w:r>
              <w:t>增强了水源涵养、防风固沙、减少水土流失，改善了生态环境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28、关于提前下达2026年中央财政林业草原改革发展资金预算的通知-林草科技推广示范补助（冀财资环[2025]69号）绩效目标表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13032126P00329910028T</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关于提前下达2026年中央财政林业草原改革发展资金预算的通知-林草科技推广示范补助（冀财资环[2025]69号）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预算安排40万元，其中财政拨款40万元，主要用于完成青龙满自治县建立板栗良种及配套栽培技术示范基地2块，面积1104亩。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1.通过项目实施，完成青龙满自治县建立板栗良种及配套栽培技术示范基地2块，面积1104亩。</w:t>
            </w:r>
          </w:p>
          <w:p>
            <w:pPr>
              <w:pStyle w:val="12"/>
            </w:pPr>
            <w:r>
              <w:t>2.通过项目实施，产量&gt;200kg/亩，等级果率&gt;85%。辐射区面积20000亩，培训果农1500人次，发放资料2000册。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示范基地数量</w:t>
            </w:r>
          </w:p>
        </w:tc>
        <w:tc>
          <w:tcPr>
            <w:tcW w:w="5386" w:type="dxa"/>
            <w:vAlign w:val="center"/>
          </w:tcPr>
          <w:p>
            <w:pPr>
              <w:pStyle w:val="12"/>
            </w:pPr>
            <w:r>
              <w:t>建设示范基地</w:t>
            </w:r>
          </w:p>
        </w:tc>
        <w:tc>
          <w:tcPr>
            <w:tcW w:w="2268" w:type="dxa"/>
            <w:vAlign w:val="center"/>
          </w:tcPr>
          <w:p>
            <w:pPr>
              <w:pStyle w:val="12"/>
            </w:pPr>
            <w:r>
              <w:t>2块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示范基地面积</w:t>
            </w:r>
          </w:p>
        </w:tc>
        <w:tc>
          <w:tcPr>
            <w:tcW w:w="5386" w:type="dxa"/>
            <w:vAlign w:val="center"/>
          </w:tcPr>
          <w:p>
            <w:pPr>
              <w:pStyle w:val="12"/>
            </w:pPr>
            <w:r>
              <w:t>建设示范基地面积</w:t>
            </w:r>
          </w:p>
        </w:tc>
        <w:tc>
          <w:tcPr>
            <w:tcW w:w="2268" w:type="dxa"/>
            <w:vAlign w:val="center"/>
          </w:tcPr>
          <w:p>
            <w:pPr>
              <w:pStyle w:val="12"/>
            </w:pPr>
            <w:r>
              <w:t>1104亩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辐射带动区面积</w:t>
            </w:r>
          </w:p>
        </w:tc>
        <w:tc>
          <w:tcPr>
            <w:tcW w:w="5386" w:type="dxa"/>
            <w:vAlign w:val="center"/>
          </w:tcPr>
          <w:p>
            <w:pPr>
              <w:pStyle w:val="12"/>
            </w:pPr>
            <w:r>
              <w:t>辐射带动区面积</w:t>
            </w:r>
          </w:p>
        </w:tc>
        <w:tc>
          <w:tcPr>
            <w:tcW w:w="2268" w:type="dxa"/>
            <w:vAlign w:val="center"/>
          </w:tcPr>
          <w:p>
            <w:pPr>
              <w:pStyle w:val="12"/>
            </w:pPr>
            <w:r>
              <w:t>2000亩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示范基地产量</w:t>
            </w:r>
          </w:p>
        </w:tc>
        <w:tc>
          <w:tcPr>
            <w:tcW w:w="5386" w:type="dxa"/>
            <w:vAlign w:val="center"/>
          </w:tcPr>
          <w:p>
            <w:pPr>
              <w:pStyle w:val="12"/>
            </w:pPr>
            <w:r>
              <w:t>示范基地产量</w:t>
            </w:r>
          </w:p>
        </w:tc>
        <w:tc>
          <w:tcPr>
            <w:tcW w:w="2268" w:type="dxa"/>
            <w:vAlign w:val="center"/>
          </w:tcPr>
          <w:p>
            <w:pPr>
              <w:pStyle w:val="12"/>
            </w:pPr>
            <w:r>
              <w:t>≥200kg/亩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示范基地等级果率</w:t>
            </w:r>
          </w:p>
        </w:tc>
        <w:tc>
          <w:tcPr>
            <w:tcW w:w="5386" w:type="dxa"/>
            <w:vAlign w:val="center"/>
          </w:tcPr>
          <w:p>
            <w:pPr>
              <w:pStyle w:val="12"/>
            </w:pPr>
            <w:r>
              <w:t>示范基地等级果率</w:t>
            </w:r>
          </w:p>
        </w:tc>
        <w:tc>
          <w:tcPr>
            <w:tcW w:w="2268" w:type="dxa"/>
            <w:vAlign w:val="center"/>
          </w:tcPr>
          <w:p>
            <w:pPr>
              <w:pStyle w:val="12"/>
            </w:pPr>
            <w:r>
              <w:t>≥85百分比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成果示范推广成本</w:t>
            </w:r>
          </w:p>
        </w:tc>
        <w:tc>
          <w:tcPr>
            <w:tcW w:w="5386" w:type="dxa"/>
            <w:vAlign w:val="center"/>
          </w:tcPr>
          <w:p>
            <w:pPr>
              <w:pStyle w:val="12"/>
            </w:pPr>
            <w:r>
              <w:t>成果示范推广成本</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新增经济效益数量</w:t>
            </w:r>
          </w:p>
        </w:tc>
        <w:tc>
          <w:tcPr>
            <w:tcW w:w="5386" w:type="dxa"/>
            <w:vAlign w:val="center"/>
          </w:tcPr>
          <w:p>
            <w:pPr>
              <w:pStyle w:val="12"/>
            </w:pPr>
            <w:r>
              <w:t>新增经济效益</w:t>
            </w:r>
          </w:p>
        </w:tc>
        <w:tc>
          <w:tcPr>
            <w:tcW w:w="2268" w:type="dxa"/>
            <w:vAlign w:val="center"/>
          </w:tcPr>
          <w:p>
            <w:pPr>
              <w:pStyle w:val="12"/>
            </w:pPr>
            <w:r>
              <w:t>≥847.63万元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果农生产积极性</w:t>
            </w:r>
          </w:p>
        </w:tc>
        <w:tc>
          <w:tcPr>
            <w:tcW w:w="5386" w:type="dxa"/>
            <w:vAlign w:val="center"/>
          </w:tcPr>
          <w:p>
            <w:pPr>
              <w:pStyle w:val="12"/>
            </w:pPr>
            <w:r>
              <w:t>果农生产积极性提高</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果农等服务对象满意度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29、关于提前下达2026年中央财政林业草原改革发展资金预算的通知-林草有害生物防治-冀财资环[2025]69号绩效目标表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13032125P00329910027Q</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关于提前下达2026年中央财政林业草原改革发展资金预算的通知-林草有害生物防治-冀财资环[2025]69号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150.44</w:t>
            </w:r>
          </w:p>
        </w:tc>
        <w:tc>
          <w:tcPr>
            <w:tcW w:w="2835" w:type="dxa"/>
            <w:vAlign w:val="center"/>
          </w:tcPr>
          <w:p>
            <w:pPr>
              <w:pStyle w:val="10"/>
            </w:pPr>
            <w:r>
              <w:t>其中：财政    资金</w:t>
            </w:r>
          </w:p>
        </w:tc>
        <w:tc>
          <w:tcPr>
            <w:tcW w:w="2551" w:type="dxa"/>
            <w:vAlign w:val="center"/>
          </w:tcPr>
          <w:p>
            <w:pPr>
              <w:pStyle w:val="12"/>
            </w:pPr>
            <w:r>
              <w:t>150.44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150.44万元，其中财政拨款150.44万元，主要用于开展全县松树松材线虫病日常巡查、普查，草地、其它林地病虫害日常监测调查，美国白蛾、松毛虫、红脂大小蠹、板栗等其它林业有害生物监测、调查、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1.通过开展林业有害生物防治，促进林业健康发展，保障林业生态安全。</w:t>
            </w:r>
          </w:p>
          <w:p>
            <w:pPr>
              <w:pStyle w:val="12"/>
            </w:pPr>
            <w:r>
              <w:t>2.通过项目实施，开展全县松树松材线虫病日常巡查、普查，草地、其它林地病虫害日常监测调查，美国白蛾、松毛虫、红脂大小蠹、板栗等其它林业有害生物监测、调查、防治。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美国白蛾发生2.6万亩</w:t>
            </w:r>
          </w:p>
        </w:tc>
        <w:tc>
          <w:tcPr>
            <w:tcW w:w="5386" w:type="dxa"/>
            <w:vAlign w:val="center"/>
          </w:tcPr>
          <w:p>
            <w:pPr>
              <w:pStyle w:val="12"/>
            </w:pPr>
            <w:r>
              <w:t>完成防治3.8万亩</w:t>
            </w:r>
          </w:p>
        </w:tc>
        <w:tc>
          <w:tcPr>
            <w:tcW w:w="2268" w:type="dxa"/>
            <w:vAlign w:val="center"/>
          </w:tcPr>
          <w:p>
            <w:pPr>
              <w:pStyle w:val="12"/>
            </w:pPr>
            <w:r>
              <w:t>≥3.8万亩</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松树松材线虫病普查、日常巡查</w:t>
            </w:r>
          </w:p>
        </w:tc>
        <w:tc>
          <w:tcPr>
            <w:tcW w:w="5386" w:type="dxa"/>
            <w:vAlign w:val="center"/>
          </w:tcPr>
          <w:p>
            <w:pPr>
              <w:pStyle w:val="12"/>
            </w:pPr>
            <w:r>
              <w:t>完成43.01万亩普查</w:t>
            </w:r>
          </w:p>
        </w:tc>
        <w:tc>
          <w:tcPr>
            <w:tcW w:w="2268" w:type="dxa"/>
            <w:vAlign w:val="center"/>
          </w:tcPr>
          <w:p>
            <w:pPr>
              <w:pStyle w:val="12"/>
            </w:pPr>
            <w:r>
              <w:t>≥43.01万亩</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其它林地病虫害日常监测调查</w:t>
            </w:r>
          </w:p>
        </w:tc>
        <w:tc>
          <w:tcPr>
            <w:tcW w:w="5386" w:type="dxa"/>
            <w:vAlign w:val="center"/>
          </w:tcPr>
          <w:p>
            <w:pPr>
              <w:pStyle w:val="12"/>
            </w:pPr>
            <w:r>
              <w:t>完成35万亩监测调查</w:t>
            </w:r>
          </w:p>
        </w:tc>
        <w:tc>
          <w:tcPr>
            <w:tcW w:w="2268" w:type="dxa"/>
            <w:vAlign w:val="center"/>
          </w:tcPr>
          <w:p>
            <w:pPr>
              <w:pStyle w:val="12"/>
            </w:pPr>
            <w:r>
              <w:t>≥35万亩</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5386" w:type="dxa"/>
            <w:vAlign w:val="center"/>
          </w:tcPr>
          <w:p>
            <w:pPr>
              <w:pStyle w:val="12"/>
            </w:pPr>
            <w:r>
              <w:t>无公害防治百分比</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松材线虫病普查、监测率</w:t>
            </w:r>
          </w:p>
        </w:tc>
        <w:tc>
          <w:tcPr>
            <w:tcW w:w="5386" w:type="dxa"/>
            <w:vAlign w:val="center"/>
          </w:tcPr>
          <w:p>
            <w:pPr>
              <w:pStyle w:val="12"/>
            </w:pPr>
            <w:r>
              <w:t>普查百分比</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美国白蛾防治完成时间</w:t>
            </w:r>
          </w:p>
        </w:tc>
        <w:tc>
          <w:tcPr>
            <w:tcW w:w="5386" w:type="dxa"/>
            <w:vAlign w:val="center"/>
          </w:tcPr>
          <w:p>
            <w:pPr>
              <w:pStyle w:val="12"/>
            </w:pPr>
            <w:r>
              <w:t>防治完成时间</w:t>
            </w:r>
          </w:p>
        </w:tc>
        <w:tc>
          <w:tcPr>
            <w:tcW w:w="2268" w:type="dxa"/>
            <w:vAlign w:val="center"/>
          </w:tcPr>
          <w:p>
            <w:pPr>
              <w:pStyle w:val="12"/>
            </w:pPr>
            <w:r>
              <w:t>2026年10月底</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松材线虫病普查、日常巡查完成时间</w:t>
            </w:r>
          </w:p>
        </w:tc>
        <w:tc>
          <w:tcPr>
            <w:tcW w:w="5386" w:type="dxa"/>
            <w:vAlign w:val="center"/>
          </w:tcPr>
          <w:p>
            <w:pPr>
              <w:pStyle w:val="12"/>
            </w:pPr>
            <w:r>
              <w:t>巡查、普查完成时间</w:t>
            </w:r>
          </w:p>
        </w:tc>
        <w:tc>
          <w:tcPr>
            <w:tcW w:w="2268" w:type="dxa"/>
            <w:vAlign w:val="center"/>
          </w:tcPr>
          <w:p>
            <w:pPr>
              <w:pStyle w:val="12"/>
            </w:pPr>
            <w:r>
              <w:t>2026年12月底前</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防治用工费</w:t>
            </w:r>
          </w:p>
        </w:tc>
        <w:tc>
          <w:tcPr>
            <w:tcW w:w="5386" w:type="dxa"/>
            <w:vAlign w:val="center"/>
          </w:tcPr>
          <w:p>
            <w:pPr>
              <w:pStyle w:val="12"/>
            </w:pPr>
            <w:r>
              <w:t>300.00元天/人</w:t>
            </w:r>
          </w:p>
        </w:tc>
        <w:tc>
          <w:tcPr>
            <w:tcW w:w="2268" w:type="dxa"/>
            <w:vAlign w:val="center"/>
          </w:tcPr>
          <w:p>
            <w:pPr>
              <w:pStyle w:val="12"/>
            </w:pPr>
            <w:r>
              <w:t>2026年12月底</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购置灭幼脲</w:t>
            </w:r>
          </w:p>
        </w:tc>
        <w:tc>
          <w:tcPr>
            <w:tcW w:w="5386" w:type="dxa"/>
            <w:vAlign w:val="center"/>
          </w:tcPr>
          <w:p>
            <w:pPr>
              <w:pStyle w:val="12"/>
            </w:pPr>
            <w:r>
              <w:t>3万/吨</w:t>
            </w:r>
          </w:p>
        </w:tc>
        <w:tc>
          <w:tcPr>
            <w:tcW w:w="2268" w:type="dxa"/>
            <w:vAlign w:val="center"/>
          </w:tcPr>
          <w:p>
            <w:pPr>
              <w:pStyle w:val="12"/>
            </w:pPr>
            <w:r>
              <w:t>2026年11月底</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无公害防治成效</w:t>
            </w:r>
          </w:p>
        </w:tc>
        <w:tc>
          <w:tcPr>
            <w:tcW w:w="5386" w:type="dxa"/>
            <w:vAlign w:val="center"/>
          </w:tcPr>
          <w:p>
            <w:pPr>
              <w:pStyle w:val="12"/>
            </w:pPr>
            <w:r>
              <w:t>通过开展林业有害生物防治，成效明显。</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保障森林生态安全</w:t>
            </w:r>
          </w:p>
        </w:tc>
        <w:tc>
          <w:tcPr>
            <w:tcW w:w="5386" w:type="dxa"/>
            <w:vAlign w:val="center"/>
          </w:tcPr>
          <w:p>
            <w:pPr>
              <w:pStyle w:val="12"/>
            </w:pPr>
            <w:r>
              <w:t>保障森林生态安全</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95%</w:t>
            </w:r>
          </w:p>
        </w:tc>
        <w:tc>
          <w:tcPr>
            <w:tcW w:w="1276" w:type="dxa"/>
            <w:vAlign w:val="center"/>
          </w:tcPr>
          <w:p>
            <w:pPr>
              <w:pStyle w:val="12"/>
            </w:pPr>
            <w:r>
              <w:t>群众满意度调查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30、关于提前下达2026年中央财政林业草原改革发展资金预算的通知-森林草原防火（冀财资环[2025]69号）绩效目标表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13032126P003299100277</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关于提前下达2026年中央财政林业草原改革发展资金预算的通知-森林草原防火（冀财资环[2025]69号）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82.50</w:t>
            </w:r>
          </w:p>
        </w:tc>
        <w:tc>
          <w:tcPr>
            <w:tcW w:w="2835" w:type="dxa"/>
            <w:vAlign w:val="center"/>
          </w:tcPr>
          <w:p>
            <w:pPr>
              <w:pStyle w:val="10"/>
            </w:pPr>
            <w:r>
              <w:t>其中：财政    资金</w:t>
            </w:r>
          </w:p>
        </w:tc>
        <w:tc>
          <w:tcPr>
            <w:tcW w:w="2551" w:type="dxa"/>
            <w:vAlign w:val="center"/>
          </w:tcPr>
          <w:p>
            <w:pPr>
              <w:pStyle w:val="12"/>
            </w:pPr>
            <w:r>
              <w:t>82.50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预算安排82.5万，其中财政拨款82.5万元，主要用于对防灭火道路进行维修维护，更好发挥应急道路的作用。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1.通过项目实施，对防灭火道路进行维修维护，更好发挥应急道路的作用。</w:t>
            </w:r>
          </w:p>
          <w:p>
            <w:pPr>
              <w:pStyle w:val="12"/>
            </w:pPr>
            <w:r>
              <w:t>2.通过项目实施，降低火灾受害率。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道路长度</w:t>
            </w:r>
          </w:p>
        </w:tc>
        <w:tc>
          <w:tcPr>
            <w:tcW w:w="5386" w:type="dxa"/>
            <w:vAlign w:val="center"/>
          </w:tcPr>
          <w:p>
            <w:pPr>
              <w:pStyle w:val="12"/>
            </w:pPr>
            <w:r>
              <w:t>防灭火道路长度</w:t>
            </w:r>
          </w:p>
        </w:tc>
        <w:tc>
          <w:tcPr>
            <w:tcW w:w="2268" w:type="dxa"/>
            <w:vAlign w:val="center"/>
          </w:tcPr>
          <w:p>
            <w:pPr>
              <w:pStyle w:val="12"/>
            </w:pPr>
            <w:r>
              <w:t>137.5公里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道路条数</w:t>
            </w:r>
          </w:p>
        </w:tc>
        <w:tc>
          <w:tcPr>
            <w:tcW w:w="5386" w:type="dxa"/>
            <w:vAlign w:val="center"/>
          </w:tcPr>
          <w:p>
            <w:pPr>
              <w:pStyle w:val="12"/>
            </w:pPr>
            <w:r>
              <w:t>维护维修道路条数</w:t>
            </w:r>
          </w:p>
        </w:tc>
        <w:tc>
          <w:tcPr>
            <w:tcW w:w="2268" w:type="dxa"/>
            <w:vAlign w:val="center"/>
          </w:tcPr>
          <w:p>
            <w:pPr>
              <w:pStyle w:val="12"/>
            </w:pPr>
            <w:r>
              <w:t>≥2条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工程合格率</w:t>
            </w:r>
          </w:p>
        </w:tc>
        <w:tc>
          <w:tcPr>
            <w:tcW w:w="5386" w:type="dxa"/>
            <w:vAlign w:val="center"/>
          </w:tcPr>
          <w:p>
            <w:pPr>
              <w:pStyle w:val="12"/>
            </w:pPr>
            <w:r>
              <w:t>道路工程验收合格率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道路修建完成时间</w:t>
            </w:r>
          </w:p>
        </w:tc>
        <w:tc>
          <w:tcPr>
            <w:tcW w:w="2268" w:type="dxa"/>
            <w:vAlign w:val="center"/>
          </w:tcPr>
          <w:p>
            <w:pPr>
              <w:pStyle w:val="12"/>
            </w:pPr>
            <w:r>
              <w:t>2026年年底</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可控成本</w:t>
            </w:r>
          </w:p>
        </w:tc>
        <w:tc>
          <w:tcPr>
            <w:tcW w:w="5386" w:type="dxa"/>
            <w:vAlign w:val="center"/>
          </w:tcPr>
          <w:p>
            <w:pPr>
              <w:pStyle w:val="12"/>
            </w:pPr>
            <w:r>
              <w:t>总投资控制成本</w:t>
            </w:r>
          </w:p>
        </w:tc>
        <w:tc>
          <w:tcPr>
            <w:tcW w:w="2268" w:type="dxa"/>
            <w:vAlign w:val="center"/>
          </w:tcPr>
          <w:p>
            <w:pPr>
              <w:pStyle w:val="12"/>
            </w:pPr>
            <w:r>
              <w:t>≤82.5万元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巡护人员作业效率提升率</w:t>
            </w:r>
          </w:p>
        </w:tc>
        <w:tc>
          <w:tcPr>
            <w:tcW w:w="5386" w:type="dxa"/>
            <w:vAlign w:val="center"/>
          </w:tcPr>
          <w:p>
            <w:pPr>
              <w:pStyle w:val="12"/>
            </w:pPr>
            <w:r>
              <w:t>巡护人员作业效率提升率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防灭火减灾持续效应</w:t>
            </w:r>
          </w:p>
        </w:tc>
        <w:tc>
          <w:tcPr>
            <w:tcW w:w="5386" w:type="dxa"/>
            <w:vAlign w:val="center"/>
          </w:tcPr>
          <w:p>
            <w:pPr>
              <w:pStyle w:val="12"/>
            </w:pPr>
            <w:r>
              <w:t>有效提高防灭火效率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31、关于提前下达2026年中央财政林业草原生态保护恢复资金预算的通知-非国有林生态保护补偿-国家级公益林-冀财资环[2025]61号绩效目标表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13032125P00329810029A</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关于提前下达2026年中央财政林业草原生态保护恢复资金预算的通知-非国有林生态保护补偿-国家级公益林-冀财资环[2025]61号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1337.47</w:t>
            </w:r>
          </w:p>
        </w:tc>
        <w:tc>
          <w:tcPr>
            <w:tcW w:w="2835" w:type="dxa"/>
            <w:vAlign w:val="center"/>
          </w:tcPr>
          <w:p>
            <w:pPr>
              <w:pStyle w:val="10"/>
            </w:pPr>
            <w:r>
              <w:t>其中：财政    资金</w:t>
            </w:r>
          </w:p>
        </w:tc>
        <w:tc>
          <w:tcPr>
            <w:tcW w:w="2551" w:type="dxa"/>
            <w:vAlign w:val="center"/>
          </w:tcPr>
          <w:p>
            <w:pPr>
              <w:pStyle w:val="12"/>
            </w:pPr>
            <w:r>
              <w:t>1337.47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预算安排1337.467万元，其中财政拨款1337.467万元，主要用于开展公益林管护，确保森林资源系统生态安全和物种多样性。</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300000%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1.通过项目实施，开展公益林管护，确保森林资源系统生态安全和物种多样性。</w:t>
            </w:r>
            <w:r>
              <w:tab/>
            </w:r>
            <w:r>
              <w:tab/>
            </w:r>
            <w:r>
              <w:tab/>
            </w:r>
            <w:r>
              <w:tab/>
            </w:r>
            <w:r>
              <w:tab/>
            </w:r>
            <w:r>
              <w:tab/>
            </w:r>
          </w:p>
          <w:p>
            <w:pPr>
              <w:pStyle w:val="12"/>
            </w:pPr>
          </w:p>
          <w:p>
            <w:pPr>
              <w:pStyle w:val="12"/>
            </w:pPr>
            <w:r>
              <w:t>2.通过项目实施，开展公益林管护，促进全县林业经济健康发展。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林权权利人委托政府购买各项服务费用</w:t>
            </w:r>
          </w:p>
        </w:tc>
        <w:tc>
          <w:tcPr>
            <w:tcW w:w="5386" w:type="dxa"/>
            <w:vAlign w:val="center"/>
          </w:tcPr>
          <w:p>
            <w:pPr>
              <w:pStyle w:val="12"/>
            </w:pPr>
            <w:r>
              <w:t>国家公益林专职管护人员管护费、监测费、设备费等</w:t>
            </w:r>
          </w:p>
        </w:tc>
        <w:tc>
          <w:tcPr>
            <w:tcW w:w="2268" w:type="dxa"/>
            <w:vAlign w:val="center"/>
          </w:tcPr>
          <w:p>
            <w:pPr>
              <w:pStyle w:val="12"/>
            </w:pPr>
            <w:r>
              <w:t>≤534.99万元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国家公益林管护亩数</w:t>
            </w:r>
          </w:p>
        </w:tc>
        <w:tc>
          <w:tcPr>
            <w:tcW w:w="5386" w:type="dxa"/>
            <w:vAlign w:val="center"/>
          </w:tcPr>
          <w:p>
            <w:pPr>
              <w:pStyle w:val="12"/>
            </w:pPr>
            <w:r>
              <w:t>国家公益林管护亩数</w:t>
            </w:r>
          </w:p>
        </w:tc>
        <w:tc>
          <w:tcPr>
            <w:tcW w:w="2268" w:type="dxa"/>
            <w:vAlign w:val="center"/>
          </w:tcPr>
          <w:p>
            <w:pPr>
              <w:pStyle w:val="12"/>
            </w:pPr>
            <w:r>
              <w:t>≥84.19万亩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工资达标率</w:t>
            </w:r>
          </w:p>
        </w:tc>
        <w:tc>
          <w:tcPr>
            <w:tcW w:w="5386" w:type="dxa"/>
            <w:vAlign w:val="center"/>
          </w:tcPr>
          <w:p>
            <w:pPr>
              <w:pStyle w:val="12"/>
            </w:pPr>
            <w:r>
              <w:t>实际支付国家公益林专职管护人员工资与应支付国家公益林专职管护人员工资的比率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集体及个人补偿拨付达标率</w:t>
            </w:r>
          </w:p>
        </w:tc>
        <w:tc>
          <w:tcPr>
            <w:tcW w:w="5386" w:type="dxa"/>
            <w:vAlign w:val="center"/>
          </w:tcPr>
          <w:p>
            <w:pPr>
              <w:pStyle w:val="12"/>
            </w:pPr>
            <w:r>
              <w:t>集体及个人补偿拨付达标率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专职管护人员工资发放时间</w:t>
            </w:r>
          </w:p>
        </w:tc>
        <w:tc>
          <w:tcPr>
            <w:tcW w:w="5386" w:type="dxa"/>
            <w:vAlign w:val="center"/>
          </w:tcPr>
          <w:p>
            <w:pPr>
              <w:pStyle w:val="12"/>
            </w:pPr>
            <w:r>
              <w:t>专职管护人员工资发放时间</w:t>
            </w:r>
          </w:p>
        </w:tc>
        <w:tc>
          <w:tcPr>
            <w:tcW w:w="2268" w:type="dxa"/>
            <w:vAlign w:val="center"/>
          </w:tcPr>
          <w:p>
            <w:pPr>
              <w:pStyle w:val="12"/>
            </w:pPr>
            <w:r>
              <w:t>每月一次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林权权利人补偿拨付时间</w:t>
            </w:r>
          </w:p>
        </w:tc>
        <w:tc>
          <w:tcPr>
            <w:tcW w:w="5386" w:type="dxa"/>
            <w:vAlign w:val="center"/>
          </w:tcPr>
          <w:p>
            <w:pPr>
              <w:pStyle w:val="12"/>
            </w:pPr>
            <w:r>
              <w:t>集体及个人补偿拨付时间</w:t>
            </w:r>
          </w:p>
        </w:tc>
        <w:tc>
          <w:tcPr>
            <w:tcW w:w="2268" w:type="dxa"/>
            <w:vAlign w:val="center"/>
          </w:tcPr>
          <w:p>
            <w:pPr>
              <w:pStyle w:val="12"/>
            </w:pPr>
            <w:r>
              <w:t>2026年每半年一次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落实生态效益补偿额度</w:t>
            </w:r>
          </w:p>
        </w:tc>
        <w:tc>
          <w:tcPr>
            <w:tcW w:w="5386" w:type="dxa"/>
            <w:vAlign w:val="center"/>
          </w:tcPr>
          <w:p>
            <w:pPr>
              <w:pStyle w:val="12"/>
            </w:pPr>
            <w:r>
              <w:t>桃林口库区为16元/亩，其他为9.6元/亩</w:t>
            </w:r>
          </w:p>
        </w:tc>
        <w:tc>
          <w:tcPr>
            <w:tcW w:w="2268" w:type="dxa"/>
            <w:vAlign w:val="center"/>
          </w:tcPr>
          <w:p>
            <w:pPr>
              <w:pStyle w:val="12"/>
            </w:pPr>
            <w:r>
              <w:t>≥9.6元/亩（集体和个人）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通过公益林管护，确保森林资源生态安全</w:t>
            </w:r>
          </w:p>
        </w:tc>
        <w:tc>
          <w:tcPr>
            <w:tcW w:w="5386" w:type="dxa"/>
            <w:vAlign w:val="center"/>
          </w:tcPr>
          <w:p>
            <w:pPr>
              <w:pStyle w:val="12"/>
            </w:pPr>
            <w:r>
              <w:t>维持生态平衡、保护生物多样性、提高林地水源涵养能力</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解决专职管护人员就业，带动经济社会发展</w:t>
            </w:r>
          </w:p>
        </w:tc>
        <w:tc>
          <w:tcPr>
            <w:tcW w:w="5386" w:type="dxa"/>
            <w:vAlign w:val="center"/>
          </w:tcPr>
          <w:p>
            <w:pPr>
              <w:pStyle w:val="12"/>
            </w:pPr>
            <w:r>
              <w:t>通过发放管护费，带动当地经济社会发展，解决专职管护人员就地就业脱贫问题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32、关于提前下达2026年中央财政林业草原生态保护恢复资金预算的通知-非国有林生态保护补偿-天然商品林-冀财资环[2025]61号绩效目标表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13032125P00329810030M</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关于提前下达2026年中央财政林业草原生态保护恢复资金预算的通知-非国有林生态保护补偿-天然商品林-冀财资环[2025]61号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504.37</w:t>
            </w:r>
          </w:p>
        </w:tc>
        <w:tc>
          <w:tcPr>
            <w:tcW w:w="2835" w:type="dxa"/>
            <w:vAlign w:val="center"/>
          </w:tcPr>
          <w:p>
            <w:pPr>
              <w:pStyle w:val="10"/>
            </w:pPr>
            <w:r>
              <w:t>其中：财政    资金</w:t>
            </w:r>
          </w:p>
        </w:tc>
        <w:tc>
          <w:tcPr>
            <w:tcW w:w="2551" w:type="dxa"/>
            <w:vAlign w:val="center"/>
          </w:tcPr>
          <w:p>
            <w:pPr>
              <w:pStyle w:val="12"/>
            </w:pPr>
            <w:r>
              <w:t>504.37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预算安排504.3701万元，其中财政拨款504.3701万元，主要用于实施天然林保护工程，有效促进林业产业结构优化，维持生态平衡。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1.通过项目实施，实施天然林保护工程，有效促进林业产业结构优化，维持生态平衡。</w:t>
            </w:r>
            <w:r>
              <w:tab/>
            </w:r>
            <w:r>
              <w:tab/>
            </w:r>
            <w:r>
              <w:tab/>
            </w:r>
            <w:r>
              <w:tab/>
            </w:r>
            <w:r>
              <w:tab/>
            </w:r>
            <w:r>
              <w:tab/>
            </w:r>
          </w:p>
          <w:p>
            <w:pPr>
              <w:pStyle w:val="12"/>
            </w:pPr>
          </w:p>
          <w:p>
            <w:pPr>
              <w:pStyle w:val="12"/>
            </w:pPr>
            <w:r>
              <w:t>2.通过项目实施，实施天然林保护工程，提高全县森林覆盖率。</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管护天然林面积</w:t>
            </w:r>
          </w:p>
        </w:tc>
        <w:tc>
          <w:tcPr>
            <w:tcW w:w="5386" w:type="dxa"/>
            <w:vAlign w:val="center"/>
          </w:tcPr>
          <w:p>
            <w:pPr>
              <w:pStyle w:val="12"/>
            </w:pPr>
            <w:r>
              <w:t>林权权利人委托政府购买管护服务亩数</w:t>
            </w:r>
          </w:p>
        </w:tc>
        <w:tc>
          <w:tcPr>
            <w:tcW w:w="2268" w:type="dxa"/>
            <w:vAlign w:val="center"/>
          </w:tcPr>
          <w:p>
            <w:pPr>
              <w:pStyle w:val="12"/>
            </w:pPr>
            <w:r>
              <w:t>≥34.23万亩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停伐奖励亩数</w:t>
            </w:r>
          </w:p>
        </w:tc>
        <w:tc>
          <w:tcPr>
            <w:tcW w:w="5386" w:type="dxa"/>
            <w:vAlign w:val="center"/>
          </w:tcPr>
          <w:p>
            <w:pPr>
              <w:pStyle w:val="12"/>
            </w:pPr>
            <w:r>
              <w:t>需要停伐奖励亩数</w:t>
            </w:r>
          </w:p>
        </w:tc>
        <w:tc>
          <w:tcPr>
            <w:tcW w:w="2268" w:type="dxa"/>
            <w:vAlign w:val="center"/>
          </w:tcPr>
          <w:p>
            <w:pPr>
              <w:pStyle w:val="12"/>
            </w:pPr>
            <w:r>
              <w:t>≥34.23万亩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天然林管护达标率</w:t>
            </w:r>
          </w:p>
        </w:tc>
        <w:tc>
          <w:tcPr>
            <w:tcW w:w="5386" w:type="dxa"/>
            <w:vAlign w:val="center"/>
          </w:tcPr>
          <w:p>
            <w:pPr>
              <w:pStyle w:val="12"/>
            </w:pPr>
            <w:r>
              <w:t>天然林管护达标率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停伐奖励发放合规达标率</w:t>
            </w:r>
          </w:p>
        </w:tc>
        <w:tc>
          <w:tcPr>
            <w:tcW w:w="5386" w:type="dxa"/>
            <w:vAlign w:val="center"/>
          </w:tcPr>
          <w:p>
            <w:pPr>
              <w:pStyle w:val="12"/>
            </w:pPr>
            <w:r>
              <w:t>合法合规准确进行停伐奖励的发放</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管护工作完成及时性</w:t>
            </w:r>
          </w:p>
        </w:tc>
        <w:tc>
          <w:tcPr>
            <w:tcW w:w="5386" w:type="dxa"/>
            <w:vAlign w:val="center"/>
          </w:tcPr>
          <w:p>
            <w:pPr>
              <w:pStyle w:val="12"/>
            </w:pPr>
            <w:r>
              <w:t>按计划及时完成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管护设施</w:t>
            </w:r>
          </w:p>
        </w:tc>
        <w:tc>
          <w:tcPr>
            <w:tcW w:w="5386" w:type="dxa"/>
            <w:vAlign w:val="center"/>
          </w:tcPr>
          <w:p>
            <w:pPr>
              <w:pStyle w:val="12"/>
            </w:pPr>
            <w:r>
              <w:t>管护设施建设</w:t>
            </w:r>
          </w:p>
        </w:tc>
        <w:tc>
          <w:tcPr>
            <w:tcW w:w="2268" w:type="dxa"/>
            <w:vAlign w:val="center"/>
          </w:tcPr>
          <w:p>
            <w:pPr>
              <w:pStyle w:val="12"/>
            </w:pPr>
            <w:r>
              <w:t>29万元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落实停伐奖励额度</w:t>
            </w:r>
          </w:p>
        </w:tc>
        <w:tc>
          <w:tcPr>
            <w:tcW w:w="5386" w:type="dxa"/>
            <w:vAlign w:val="center"/>
          </w:tcPr>
          <w:p>
            <w:pPr>
              <w:pStyle w:val="12"/>
            </w:pPr>
            <w:r>
              <w:t>桃林口库区为16元/亩，其他为9.6元/亩</w:t>
            </w:r>
          </w:p>
        </w:tc>
        <w:tc>
          <w:tcPr>
            <w:tcW w:w="2268" w:type="dxa"/>
            <w:vAlign w:val="center"/>
          </w:tcPr>
          <w:p>
            <w:pPr>
              <w:pStyle w:val="12"/>
            </w:pPr>
            <w:r>
              <w:t>≥9.6元/亩（集体和个人）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解决专职管护人员就业，带动经济社会发展</w:t>
            </w:r>
          </w:p>
        </w:tc>
        <w:tc>
          <w:tcPr>
            <w:tcW w:w="5386" w:type="dxa"/>
            <w:vAlign w:val="center"/>
          </w:tcPr>
          <w:p>
            <w:pPr>
              <w:pStyle w:val="12"/>
            </w:pPr>
            <w:r>
              <w:t>通过发放工资，带动当地经济社会发展，解决专职管护人员就地就业脱贫问题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通过天然林管护，确保森林资源生态安全</w:t>
            </w:r>
          </w:p>
        </w:tc>
        <w:tc>
          <w:tcPr>
            <w:tcW w:w="5386" w:type="dxa"/>
            <w:vAlign w:val="center"/>
          </w:tcPr>
          <w:p>
            <w:pPr>
              <w:pStyle w:val="12"/>
            </w:pPr>
            <w:r>
              <w:t>维持生态平衡、保护生物多样性、提高林地水源涵养能力</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33、关于提前下达2026年中央财政林业草原生态保护恢复资金预算的通知-古树名木抢救复壮补助（冀财资环[2025]61号）绩效目标表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13032126P003298100400</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关于提前下达2026年中央财政林业草原生态保护恢复资金预算的通知-古树名木抢救复壮补助（冀财资环[2025]61号）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预算安排15万元，其中财政拨款15万元，主要用于开展古树名木复壮抢救工作，促进古树正常生长。</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1.通过开展古树名木复壮抢救工作，促进古树正常生长。</w:t>
            </w:r>
            <w:r>
              <w:tab/>
            </w:r>
          </w:p>
          <w:p>
            <w:pPr>
              <w:pStyle w:val="12"/>
            </w:pPr>
            <w:r>
              <w:t>2.通过开展古树名木复壮抢救工作，提升人民幸福感。</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≥3株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2026年12月底前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5万/株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34、关于提前下达2026年中央财政林业草原生态保护恢复资金预算的通知-生态护林员补助-冀财资环[2025]61号绩效目标表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13032125P003298100319</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关于提前下达2026年中央财政林业草原生态保护恢复资金预算的通知-生态护林员补助-冀财资环[2025]61号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684.00</w:t>
            </w:r>
          </w:p>
        </w:tc>
        <w:tc>
          <w:tcPr>
            <w:tcW w:w="2835" w:type="dxa"/>
            <w:vAlign w:val="center"/>
          </w:tcPr>
          <w:p>
            <w:pPr>
              <w:pStyle w:val="10"/>
            </w:pPr>
            <w:r>
              <w:t>其中：财政    资金</w:t>
            </w:r>
          </w:p>
        </w:tc>
        <w:tc>
          <w:tcPr>
            <w:tcW w:w="2551" w:type="dxa"/>
            <w:vAlign w:val="center"/>
          </w:tcPr>
          <w:p>
            <w:pPr>
              <w:pStyle w:val="12"/>
            </w:pPr>
            <w:r>
              <w:t>684.00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预算安排684万元，其中财政拨款684万元。主要用于项目助推脱贫攻坚,避免规模性返贫。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1.通过项目实施，加强森林资源保护预期目标。</w:t>
            </w:r>
          </w:p>
          <w:p>
            <w:pPr>
              <w:pStyle w:val="12"/>
            </w:pPr>
            <w:r>
              <w:t>2.通过项目实施，项目助推脱贫攻坚,避免规模性返贫。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聘用生态护林员</w:t>
            </w:r>
          </w:p>
        </w:tc>
        <w:tc>
          <w:tcPr>
            <w:tcW w:w="5386" w:type="dxa"/>
            <w:vAlign w:val="center"/>
          </w:tcPr>
          <w:p>
            <w:pPr>
              <w:pStyle w:val="12"/>
            </w:pPr>
            <w:r>
              <w:t>反映治理地质灾害隐患点数量</w:t>
            </w:r>
          </w:p>
        </w:tc>
        <w:tc>
          <w:tcPr>
            <w:tcW w:w="2268" w:type="dxa"/>
            <w:vAlign w:val="center"/>
          </w:tcPr>
          <w:p>
            <w:pPr>
              <w:pStyle w:val="12"/>
            </w:pPr>
            <w:r>
              <w:t>≥1368人</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合格率</w:t>
            </w:r>
          </w:p>
        </w:tc>
        <w:tc>
          <w:tcPr>
            <w:tcW w:w="5386" w:type="dxa"/>
            <w:vAlign w:val="center"/>
          </w:tcPr>
          <w:p>
            <w:pPr>
              <w:pStyle w:val="12"/>
            </w:pPr>
            <w:r>
              <w:t>生态护林员选聘合格率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专款专用率</w:t>
            </w:r>
          </w:p>
        </w:tc>
        <w:tc>
          <w:tcPr>
            <w:tcW w:w="5386" w:type="dxa"/>
            <w:vAlign w:val="center"/>
          </w:tcPr>
          <w:p>
            <w:pPr>
              <w:pStyle w:val="12"/>
            </w:pPr>
            <w:r>
              <w:t>护林员专款专用率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每季度发放一次，全部用于管护费支出</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护林员工资发放</w:t>
            </w:r>
          </w:p>
        </w:tc>
        <w:tc>
          <w:tcPr>
            <w:tcW w:w="2268" w:type="dxa"/>
            <w:vAlign w:val="center"/>
          </w:tcPr>
          <w:p>
            <w:pPr>
              <w:pStyle w:val="12"/>
            </w:pPr>
            <w:r>
              <w:t>≥684万元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帮助建档立卡脱贫家庭户稳定增收</w:t>
            </w:r>
          </w:p>
        </w:tc>
        <w:tc>
          <w:tcPr>
            <w:tcW w:w="5386" w:type="dxa"/>
            <w:vAlign w:val="center"/>
          </w:tcPr>
          <w:p>
            <w:pPr>
              <w:pStyle w:val="12"/>
            </w:pPr>
            <w:r>
              <w:t>生态护林员年人均增收</w:t>
            </w:r>
          </w:p>
        </w:tc>
        <w:tc>
          <w:tcPr>
            <w:tcW w:w="2268" w:type="dxa"/>
            <w:vAlign w:val="center"/>
          </w:tcPr>
          <w:p>
            <w:pPr>
              <w:pStyle w:val="12"/>
            </w:pPr>
            <w:r>
              <w:t>≥5000元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森林管护和护林防火工作起到了一定作用</w:t>
            </w:r>
          </w:p>
        </w:tc>
        <w:tc>
          <w:tcPr>
            <w:tcW w:w="5386" w:type="dxa"/>
            <w:vAlign w:val="center"/>
          </w:tcPr>
          <w:p>
            <w:pPr>
              <w:pStyle w:val="12"/>
            </w:pPr>
            <w:r>
              <w:t>森林管护和护林防火工作起到了一定作用</w:t>
            </w:r>
          </w:p>
          <w:p>
            <w:pPr>
              <w:pStyle w:val="12"/>
            </w:pPr>
          </w:p>
        </w:tc>
        <w:tc>
          <w:tcPr>
            <w:tcW w:w="2268" w:type="dxa"/>
            <w:vAlign w:val="center"/>
          </w:tcPr>
          <w:p>
            <w:pPr>
              <w:pStyle w:val="12"/>
            </w:pPr>
            <w:r>
              <w:t>≥90%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5386" w:type="dxa"/>
            <w:vAlign w:val="center"/>
          </w:tcPr>
          <w:p>
            <w:pPr>
              <w:pStyle w:val="12"/>
            </w:pPr>
            <w:r>
              <w:t>受益群众满意、基本满意数量占总数的比例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35、关于下达2025年超长期特别国债（三北工程）（第二批）支出预算的通知（冀财资环【2025】25号-河北省青龙河流域燕山山地南部生态综合治理项目）绩效目标表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13032125P00010410003M</w:t>
            </w:r>
          </w:p>
        </w:tc>
        <w:tc>
          <w:tcPr>
            <w:tcW w:w="2835" w:type="dxa"/>
            <w:vAlign w:val="center"/>
          </w:tcPr>
          <w:p>
            <w:pPr>
              <w:pStyle w:val="10"/>
            </w:pPr>
            <w:r>
              <w:t>项目名称</w:t>
            </w:r>
          </w:p>
        </w:tc>
        <w:tc>
          <w:tcPr>
            <w:tcW w:w="6095" w:type="dxa"/>
            <w:gridSpan w:val="3"/>
            <w:vAlign w:val="center"/>
          </w:tcPr>
          <w:p>
            <w:pPr>
              <w:pStyle w:val="12"/>
            </w:pPr>
            <w:r>
              <w:t>关于下达2025年超长期特别国债（三北工程）（第二批）支出预算的通知（冀财资环【2025】25号-河北省青龙河流域燕山山地南部生态综合治理项目）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523.54</w:t>
            </w:r>
          </w:p>
        </w:tc>
        <w:tc>
          <w:tcPr>
            <w:tcW w:w="2835" w:type="dxa"/>
            <w:vAlign w:val="center"/>
          </w:tcPr>
          <w:p>
            <w:pPr>
              <w:pStyle w:val="10"/>
            </w:pPr>
            <w:r>
              <w:t>其中：财政    资金</w:t>
            </w:r>
          </w:p>
        </w:tc>
        <w:tc>
          <w:tcPr>
            <w:tcW w:w="2551" w:type="dxa"/>
            <w:vAlign w:val="center"/>
          </w:tcPr>
          <w:p>
            <w:pPr>
              <w:pStyle w:val="12"/>
            </w:pPr>
            <w:r>
              <w:t>523.54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w:t>
            </w:r>
          </w:p>
          <w:p>
            <w:pPr>
              <w:pStyle w:val="12"/>
            </w:pPr>
            <w:r>
              <w:t>2.涉密涉密涉密涉密涉密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涉密涉密涉密涉密涉密</w:t>
            </w:r>
          </w:p>
        </w:tc>
        <w:tc>
          <w:tcPr>
            <w:tcW w:w="5386" w:type="dxa"/>
            <w:vAlign w:val="center"/>
          </w:tcPr>
          <w:p>
            <w:pPr>
              <w:pStyle w:val="12"/>
            </w:pPr>
            <w:r>
              <w:t>涉密涉密涉密涉密涉密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36、关于下达2025年中央财政林业草原改革发展资金预算的通知-林草科技推广示范补助-冀财资环【2025】22号绩效目标表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13032125P003299100213</w:t>
            </w:r>
          </w:p>
        </w:tc>
        <w:tc>
          <w:tcPr>
            <w:tcW w:w="2835" w:type="dxa"/>
            <w:vAlign w:val="center"/>
          </w:tcPr>
          <w:p>
            <w:pPr>
              <w:pStyle w:val="10"/>
            </w:pPr>
            <w:r>
              <w:t>项目名称</w:t>
            </w:r>
          </w:p>
        </w:tc>
        <w:tc>
          <w:tcPr>
            <w:tcW w:w="6095" w:type="dxa"/>
            <w:gridSpan w:val="3"/>
            <w:vAlign w:val="center"/>
          </w:tcPr>
          <w:p>
            <w:pPr>
              <w:pStyle w:val="12"/>
            </w:pPr>
            <w:r>
              <w:t>关于下达2025年中央财政林业草原改革发展资金预算的通知-林草科技推广示范补助-冀财资环【2025】22号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预算安排40万元，其中财政拨款40万元，主要用于完成青龙满自治县建立板栗良种及配套栽培技术示范基地2块，面积1104亩。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1.通过项目实施，产量&gt;200kg/亩，等级果率&gt;85%。辐射区面积20000亩，培训果农1500人次，发放资料2000册。</w:t>
            </w:r>
          </w:p>
          <w:p>
            <w:pPr>
              <w:pStyle w:val="12"/>
            </w:pPr>
            <w:r>
              <w:t>2.通过项目实施，完成青龙满自治县建立板栗良种及配套栽培技术示范基地2块，面积1104亩。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示范基地数量</w:t>
            </w:r>
          </w:p>
        </w:tc>
        <w:tc>
          <w:tcPr>
            <w:tcW w:w="5386" w:type="dxa"/>
            <w:vAlign w:val="center"/>
          </w:tcPr>
          <w:p>
            <w:pPr>
              <w:pStyle w:val="12"/>
            </w:pPr>
            <w:r>
              <w:t>建设示范基地</w:t>
            </w:r>
          </w:p>
        </w:tc>
        <w:tc>
          <w:tcPr>
            <w:tcW w:w="2268" w:type="dxa"/>
            <w:vAlign w:val="center"/>
          </w:tcPr>
          <w:p>
            <w:pPr>
              <w:pStyle w:val="12"/>
            </w:pPr>
            <w:r>
              <w:t>2块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示范基地面积</w:t>
            </w:r>
          </w:p>
        </w:tc>
        <w:tc>
          <w:tcPr>
            <w:tcW w:w="5386" w:type="dxa"/>
            <w:vAlign w:val="center"/>
          </w:tcPr>
          <w:p>
            <w:pPr>
              <w:pStyle w:val="12"/>
            </w:pPr>
            <w:r>
              <w:t>建设示范基地面积</w:t>
            </w:r>
          </w:p>
        </w:tc>
        <w:tc>
          <w:tcPr>
            <w:tcW w:w="2268" w:type="dxa"/>
            <w:vAlign w:val="center"/>
          </w:tcPr>
          <w:p>
            <w:pPr>
              <w:pStyle w:val="12"/>
            </w:pPr>
            <w:r>
              <w:t>1104亩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辐射带动区面积</w:t>
            </w:r>
          </w:p>
        </w:tc>
        <w:tc>
          <w:tcPr>
            <w:tcW w:w="5386" w:type="dxa"/>
            <w:vAlign w:val="center"/>
          </w:tcPr>
          <w:p>
            <w:pPr>
              <w:pStyle w:val="12"/>
            </w:pPr>
            <w:r>
              <w:t>辐射带动区面积</w:t>
            </w:r>
          </w:p>
        </w:tc>
        <w:tc>
          <w:tcPr>
            <w:tcW w:w="2268" w:type="dxa"/>
            <w:vAlign w:val="center"/>
          </w:tcPr>
          <w:p>
            <w:pPr>
              <w:pStyle w:val="12"/>
            </w:pPr>
            <w:r>
              <w:t>2000亩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示范基地产量</w:t>
            </w:r>
          </w:p>
        </w:tc>
        <w:tc>
          <w:tcPr>
            <w:tcW w:w="5386" w:type="dxa"/>
            <w:vAlign w:val="center"/>
          </w:tcPr>
          <w:p>
            <w:pPr>
              <w:pStyle w:val="12"/>
            </w:pPr>
            <w:r>
              <w:t>示范基地产量</w:t>
            </w:r>
          </w:p>
        </w:tc>
        <w:tc>
          <w:tcPr>
            <w:tcW w:w="2268" w:type="dxa"/>
            <w:vAlign w:val="center"/>
          </w:tcPr>
          <w:p>
            <w:pPr>
              <w:pStyle w:val="12"/>
            </w:pPr>
            <w:r>
              <w:t>≥200kg/亩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示范基地等级果率</w:t>
            </w:r>
          </w:p>
        </w:tc>
        <w:tc>
          <w:tcPr>
            <w:tcW w:w="5386" w:type="dxa"/>
            <w:vAlign w:val="center"/>
          </w:tcPr>
          <w:p>
            <w:pPr>
              <w:pStyle w:val="12"/>
            </w:pPr>
            <w:r>
              <w:t>示范基地等级果率</w:t>
            </w:r>
          </w:p>
        </w:tc>
        <w:tc>
          <w:tcPr>
            <w:tcW w:w="2268" w:type="dxa"/>
            <w:vAlign w:val="center"/>
          </w:tcPr>
          <w:p>
            <w:pPr>
              <w:pStyle w:val="12"/>
            </w:pPr>
            <w:r>
              <w:t>≥85百分比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成果示范推广成本</w:t>
            </w:r>
          </w:p>
        </w:tc>
        <w:tc>
          <w:tcPr>
            <w:tcW w:w="5386" w:type="dxa"/>
            <w:vAlign w:val="center"/>
          </w:tcPr>
          <w:p>
            <w:pPr>
              <w:pStyle w:val="12"/>
            </w:pPr>
            <w:r>
              <w:t>成果示范推广成本</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新增经济效益数量</w:t>
            </w:r>
          </w:p>
        </w:tc>
        <w:tc>
          <w:tcPr>
            <w:tcW w:w="5386" w:type="dxa"/>
            <w:vAlign w:val="center"/>
          </w:tcPr>
          <w:p>
            <w:pPr>
              <w:pStyle w:val="12"/>
            </w:pPr>
            <w:r>
              <w:t>新增经济效益</w:t>
            </w:r>
          </w:p>
        </w:tc>
        <w:tc>
          <w:tcPr>
            <w:tcW w:w="2268" w:type="dxa"/>
            <w:vAlign w:val="center"/>
          </w:tcPr>
          <w:p>
            <w:pPr>
              <w:pStyle w:val="12"/>
            </w:pPr>
            <w:r>
              <w:t>≥847.63万元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果农生产积极性</w:t>
            </w:r>
          </w:p>
        </w:tc>
        <w:tc>
          <w:tcPr>
            <w:tcW w:w="5386" w:type="dxa"/>
            <w:vAlign w:val="center"/>
          </w:tcPr>
          <w:p>
            <w:pPr>
              <w:pStyle w:val="12"/>
            </w:pPr>
            <w:r>
              <w:t>果农生产积极性提高</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果农等服务对象满意度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37、关于下达2025年中央财政林业草原改革发展资金预算的通知-林业有害生物防治-冀财资环【2025】22号绩效目标表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13032125P00329910020F</w:t>
            </w:r>
          </w:p>
        </w:tc>
        <w:tc>
          <w:tcPr>
            <w:tcW w:w="2835" w:type="dxa"/>
            <w:vAlign w:val="center"/>
          </w:tcPr>
          <w:p>
            <w:pPr>
              <w:pStyle w:val="10"/>
            </w:pPr>
            <w:r>
              <w:t>项目名称</w:t>
            </w:r>
          </w:p>
        </w:tc>
        <w:tc>
          <w:tcPr>
            <w:tcW w:w="6095" w:type="dxa"/>
            <w:gridSpan w:val="3"/>
            <w:vAlign w:val="center"/>
          </w:tcPr>
          <w:p>
            <w:pPr>
              <w:pStyle w:val="12"/>
            </w:pPr>
            <w:r>
              <w:t>关于下达2025年中央财政林业草原改革发展资金预算的通知-林业有害生物防治-冀财资环【2025】22号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预算安排20万元，其中财政拨款20万元，主要用于通过组织开展全县松树钻蛀类害虫系统调查，全面掌握主要松树钻蛀类害虫种类和发生现状，科学指导，精准防控。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1.通过开展松树钻蛀类害虫系统调查，促进松林健康生长，保障林业生态安全。</w:t>
            </w:r>
          </w:p>
          <w:p>
            <w:pPr>
              <w:pStyle w:val="12"/>
            </w:pPr>
            <w:r>
              <w:t>2.通过组织开展全县松树钻蛀类害虫系统调查，全面掌握主要松树钻蛀类害虫种类和发生现状，科学指导，精准防控。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松树钻蛀类害虫调查面积</w:t>
            </w:r>
          </w:p>
        </w:tc>
        <w:tc>
          <w:tcPr>
            <w:tcW w:w="5386" w:type="dxa"/>
            <w:vAlign w:val="center"/>
          </w:tcPr>
          <w:p>
            <w:pPr>
              <w:pStyle w:val="12"/>
            </w:pPr>
            <w:r>
              <w:t>完成调查43.01万亩</w:t>
            </w:r>
          </w:p>
        </w:tc>
        <w:tc>
          <w:tcPr>
            <w:tcW w:w="2268" w:type="dxa"/>
            <w:vAlign w:val="center"/>
          </w:tcPr>
          <w:p>
            <w:pPr>
              <w:pStyle w:val="12"/>
            </w:pPr>
            <w:r>
              <w:t>≥43.01万亩</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松树钻蛀类害虫调查小班数量</w:t>
            </w:r>
          </w:p>
        </w:tc>
        <w:tc>
          <w:tcPr>
            <w:tcW w:w="5386" w:type="dxa"/>
            <w:vAlign w:val="center"/>
          </w:tcPr>
          <w:p>
            <w:pPr>
              <w:pStyle w:val="12"/>
            </w:pPr>
            <w:r>
              <w:t>13293个</w:t>
            </w:r>
          </w:p>
        </w:tc>
        <w:tc>
          <w:tcPr>
            <w:tcW w:w="2268" w:type="dxa"/>
            <w:vAlign w:val="center"/>
          </w:tcPr>
          <w:p>
            <w:pPr>
              <w:pStyle w:val="12"/>
            </w:pPr>
            <w:r>
              <w:t>≥13293个</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松树钻蛀类害虫调查类数</w:t>
            </w:r>
          </w:p>
        </w:tc>
        <w:tc>
          <w:tcPr>
            <w:tcW w:w="5386" w:type="dxa"/>
            <w:vAlign w:val="center"/>
          </w:tcPr>
          <w:p>
            <w:pPr>
              <w:pStyle w:val="12"/>
            </w:pPr>
            <w:r>
              <w:t>完成调查6类</w:t>
            </w:r>
          </w:p>
        </w:tc>
        <w:tc>
          <w:tcPr>
            <w:tcW w:w="2268" w:type="dxa"/>
            <w:vAlign w:val="center"/>
          </w:tcPr>
          <w:p>
            <w:pPr>
              <w:pStyle w:val="12"/>
            </w:pPr>
            <w:r>
              <w:t>≥6类</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无公害监测率</w:t>
            </w:r>
          </w:p>
        </w:tc>
        <w:tc>
          <w:tcPr>
            <w:tcW w:w="5386" w:type="dxa"/>
            <w:vAlign w:val="center"/>
          </w:tcPr>
          <w:p>
            <w:pPr>
              <w:pStyle w:val="12"/>
            </w:pPr>
            <w:r>
              <w:t>无公害监测百分比</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钻蛀类调查率</w:t>
            </w:r>
          </w:p>
        </w:tc>
        <w:tc>
          <w:tcPr>
            <w:tcW w:w="5386" w:type="dxa"/>
            <w:vAlign w:val="center"/>
          </w:tcPr>
          <w:p>
            <w:pPr>
              <w:pStyle w:val="12"/>
            </w:pPr>
            <w:r>
              <w:t>调查百分比</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松树钻蛀类害虫调查准备时间</w:t>
            </w:r>
          </w:p>
        </w:tc>
        <w:tc>
          <w:tcPr>
            <w:tcW w:w="5386" w:type="dxa"/>
            <w:vAlign w:val="center"/>
          </w:tcPr>
          <w:p>
            <w:pPr>
              <w:pStyle w:val="12"/>
            </w:pPr>
            <w:r>
              <w:t>完成时间</w:t>
            </w:r>
          </w:p>
        </w:tc>
        <w:tc>
          <w:tcPr>
            <w:tcW w:w="2268" w:type="dxa"/>
            <w:vAlign w:val="center"/>
          </w:tcPr>
          <w:p>
            <w:pPr>
              <w:pStyle w:val="12"/>
            </w:pPr>
            <w:r>
              <w:t>2026年6月底</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松树钻蛀类害虫调查实施时间</w:t>
            </w:r>
          </w:p>
        </w:tc>
        <w:tc>
          <w:tcPr>
            <w:tcW w:w="5386" w:type="dxa"/>
            <w:vAlign w:val="center"/>
          </w:tcPr>
          <w:p>
            <w:pPr>
              <w:pStyle w:val="12"/>
            </w:pPr>
            <w:r>
              <w:t>完成时间</w:t>
            </w:r>
          </w:p>
        </w:tc>
        <w:tc>
          <w:tcPr>
            <w:tcW w:w="2268" w:type="dxa"/>
            <w:vAlign w:val="center"/>
          </w:tcPr>
          <w:p>
            <w:pPr>
              <w:pStyle w:val="12"/>
            </w:pPr>
            <w:r>
              <w:t>2026年10月</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调查用工费</w:t>
            </w:r>
          </w:p>
        </w:tc>
        <w:tc>
          <w:tcPr>
            <w:tcW w:w="5386" w:type="dxa"/>
            <w:vAlign w:val="center"/>
          </w:tcPr>
          <w:p>
            <w:pPr>
              <w:pStyle w:val="12"/>
            </w:pPr>
            <w:r>
              <w:t>300.00元天/人</w:t>
            </w:r>
          </w:p>
        </w:tc>
        <w:tc>
          <w:tcPr>
            <w:tcW w:w="2268" w:type="dxa"/>
            <w:vAlign w:val="center"/>
          </w:tcPr>
          <w:p>
            <w:pPr>
              <w:pStyle w:val="12"/>
            </w:pPr>
            <w:r>
              <w:t>2026年10月</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购置监测诱捕器</w:t>
            </w:r>
          </w:p>
        </w:tc>
        <w:tc>
          <w:tcPr>
            <w:tcW w:w="5386" w:type="dxa"/>
            <w:vAlign w:val="center"/>
          </w:tcPr>
          <w:p>
            <w:pPr>
              <w:pStyle w:val="12"/>
            </w:pPr>
            <w:r>
              <w:t>80.00元/套</w:t>
            </w:r>
          </w:p>
        </w:tc>
        <w:tc>
          <w:tcPr>
            <w:tcW w:w="2268" w:type="dxa"/>
            <w:vAlign w:val="center"/>
          </w:tcPr>
          <w:p>
            <w:pPr>
              <w:pStyle w:val="12"/>
            </w:pPr>
            <w:r>
              <w:t>2026年10月</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无公害调查成效</w:t>
            </w:r>
          </w:p>
        </w:tc>
        <w:tc>
          <w:tcPr>
            <w:tcW w:w="5386" w:type="dxa"/>
            <w:vAlign w:val="center"/>
          </w:tcPr>
          <w:p>
            <w:pPr>
              <w:pStyle w:val="12"/>
            </w:pPr>
            <w:r>
              <w:t>通过开展松树钻蛀类害虫调查，监测、防控成效明显。</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森林可持续绿色发展</w:t>
            </w:r>
          </w:p>
        </w:tc>
        <w:tc>
          <w:tcPr>
            <w:tcW w:w="5386" w:type="dxa"/>
            <w:vAlign w:val="center"/>
          </w:tcPr>
          <w:p>
            <w:pPr>
              <w:pStyle w:val="12"/>
            </w:pPr>
            <w:r>
              <w:t>绿色森林覆盖率</w:t>
            </w:r>
          </w:p>
        </w:tc>
        <w:tc>
          <w:tcPr>
            <w:tcW w:w="2268" w:type="dxa"/>
            <w:vAlign w:val="center"/>
          </w:tcPr>
          <w:p>
            <w:pPr>
              <w:pStyle w:val="12"/>
            </w:pPr>
            <w:r>
              <w:t>100%</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群众满意度调查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38、关于下达2025年中央财政林业草原生态保护恢复资金预算的通知-非国有林生态保护补偿-国家级公益林-（冀财资环【2025】21号）绩效目标表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13032125P00329810025U</w:t>
            </w:r>
          </w:p>
        </w:tc>
        <w:tc>
          <w:tcPr>
            <w:tcW w:w="2835" w:type="dxa"/>
            <w:vAlign w:val="center"/>
          </w:tcPr>
          <w:p>
            <w:pPr>
              <w:pStyle w:val="10"/>
            </w:pPr>
            <w:r>
              <w:t>项目名称</w:t>
            </w:r>
          </w:p>
        </w:tc>
        <w:tc>
          <w:tcPr>
            <w:tcW w:w="6095" w:type="dxa"/>
            <w:gridSpan w:val="3"/>
            <w:vAlign w:val="center"/>
          </w:tcPr>
          <w:p>
            <w:pPr>
              <w:pStyle w:val="12"/>
            </w:pPr>
            <w:r>
              <w:t>关于下达2025年中央财政林业草原生态保护恢复资金预算的通知-非国有林生态保护补偿-国家级公益林-（冀财资环【2025】21号）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393.43</w:t>
            </w:r>
          </w:p>
        </w:tc>
        <w:tc>
          <w:tcPr>
            <w:tcW w:w="2835" w:type="dxa"/>
            <w:vAlign w:val="center"/>
          </w:tcPr>
          <w:p>
            <w:pPr>
              <w:pStyle w:val="10"/>
            </w:pPr>
            <w:r>
              <w:t>其中：财政    资金</w:t>
            </w:r>
          </w:p>
        </w:tc>
        <w:tc>
          <w:tcPr>
            <w:tcW w:w="2551" w:type="dxa"/>
            <w:vAlign w:val="center"/>
          </w:tcPr>
          <w:p>
            <w:pPr>
              <w:pStyle w:val="12"/>
            </w:pPr>
            <w:r>
              <w:t>393.43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预算安排393.434276万元，其中财政拨款393.434276万元，主要用于开展公益林管护,确保森林资源系统生态安全和物种多样性。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1.通过项目实施，开展公益林管护,确保森林资源系统生态安全和物种多样性。</w:t>
            </w:r>
          </w:p>
          <w:p>
            <w:pPr>
              <w:pStyle w:val="12"/>
            </w:pPr>
            <w:r>
              <w:t>2.通过项目实施，开展公益林管护，促进全县林业经济健康发展。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国家公益林专职管护人员管护费</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≥47.76万亩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护林员工资达标率</w:t>
            </w:r>
          </w:p>
        </w:tc>
        <w:tc>
          <w:tcPr>
            <w:tcW w:w="5386" w:type="dxa"/>
            <w:vAlign w:val="center"/>
          </w:tcPr>
          <w:p>
            <w:pPr>
              <w:pStyle w:val="12"/>
            </w:pPr>
            <w:r>
              <w:t>实际支付国家公益林专职管护人员管护费与应支付国家公益林专职管护人员管护费的比率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集体及个人补助标准达标率</w:t>
            </w:r>
          </w:p>
        </w:tc>
        <w:tc>
          <w:tcPr>
            <w:tcW w:w="5386" w:type="dxa"/>
            <w:vAlign w:val="center"/>
          </w:tcPr>
          <w:p>
            <w:pPr>
              <w:pStyle w:val="12"/>
            </w:pPr>
            <w:r>
              <w:t>集体及个人补助标准达标率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护林员工资发放时间</w:t>
            </w:r>
          </w:p>
        </w:tc>
        <w:tc>
          <w:tcPr>
            <w:tcW w:w="5386" w:type="dxa"/>
            <w:vAlign w:val="center"/>
          </w:tcPr>
          <w:p>
            <w:pPr>
              <w:pStyle w:val="12"/>
            </w:pPr>
            <w:r>
              <w:t>护林员工资发放时间</w:t>
            </w:r>
          </w:p>
        </w:tc>
        <w:tc>
          <w:tcPr>
            <w:tcW w:w="2268" w:type="dxa"/>
            <w:vAlign w:val="center"/>
          </w:tcPr>
          <w:p>
            <w:pPr>
              <w:pStyle w:val="12"/>
            </w:pPr>
            <w:r>
              <w:t>每月一次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集体及个人补助拨付时间</w:t>
            </w:r>
          </w:p>
        </w:tc>
        <w:tc>
          <w:tcPr>
            <w:tcW w:w="5386" w:type="dxa"/>
            <w:vAlign w:val="center"/>
          </w:tcPr>
          <w:p>
            <w:pPr>
              <w:pStyle w:val="12"/>
            </w:pPr>
            <w:r>
              <w:t>集体及个人补助拨付时间</w:t>
            </w:r>
          </w:p>
        </w:tc>
        <w:tc>
          <w:tcPr>
            <w:tcW w:w="2268" w:type="dxa"/>
            <w:vAlign w:val="center"/>
          </w:tcPr>
          <w:p>
            <w:pPr>
              <w:pStyle w:val="12"/>
            </w:pPr>
            <w:r>
              <w:t>2026年每半年一次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集体及个人补助标准</w:t>
            </w:r>
          </w:p>
        </w:tc>
        <w:tc>
          <w:tcPr>
            <w:tcW w:w="5386" w:type="dxa"/>
            <w:vAlign w:val="center"/>
          </w:tcPr>
          <w:p>
            <w:pPr>
              <w:pStyle w:val="12"/>
            </w:pPr>
            <w:r>
              <w:t>支付林权权利人每亩生态补偿补助费用</w:t>
            </w:r>
          </w:p>
        </w:tc>
        <w:tc>
          <w:tcPr>
            <w:tcW w:w="2268" w:type="dxa"/>
            <w:vAlign w:val="center"/>
          </w:tcPr>
          <w:p>
            <w:pPr>
              <w:pStyle w:val="12"/>
            </w:pPr>
            <w:r>
              <w:t>≤9.6元/亩（集体和个人）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39、关于下达2025年中央财政林业草原生态保护恢复资金预算的通知-非国有林生态保护补偿-天然商品林-（冀财资环【2025】21号）绩效目标表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13032125P00329810026F</w:t>
            </w:r>
          </w:p>
        </w:tc>
        <w:tc>
          <w:tcPr>
            <w:tcW w:w="2835" w:type="dxa"/>
            <w:vAlign w:val="center"/>
          </w:tcPr>
          <w:p>
            <w:pPr>
              <w:pStyle w:val="10"/>
            </w:pPr>
            <w:r>
              <w:t>项目名称</w:t>
            </w:r>
          </w:p>
        </w:tc>
        <w:tc>
          <w:tcPr>
            <w:tcW w:w="6095" w:type="dxa"/>
            <w:gridSpan w:val="3"/>
            <w:vAlign w:val="center"/>
          </w:tcPr>
          <w:p>
            <w:pPr>
              <w:pStyle w:val="12"/>
            </w:pPr>
            <w:r>
              <w:t>关于下达2025年中央财政林业草原生态保护恢复资金预算的通知-非国有林生态保护补偿-天然商品林-（冀财资环【2025】21号）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115.34</w:t>
            </w:r>
          </w:p>
        </w:tc>
        <w:tc>
          <w:tcPr>
            <w:tcW w:w="2835" w:type="dxa"/>
            <w:vAlign w:val="center"/>
          </w:tcPr>
          <w:p>
            <w:pPr>
              <w:pStyle w:val="10"/>
            </w:pPr>
            <w:r>
              <w:t>其中：财政    资金</w:t>
            </w:r>
          </w:p>
        </w:tc>
        <w:tc>
          <w:tcPr>
            <w:tcW w:w="2551" w:type="dxa"/>
            <w:vAlign w:val="center"/>
          </w:tcPr>
          <w:p>
            <w:pPr>
              <w:pStyle w:val="12"/>
            </w:pPr>
            <w:r>
              <w:t>115.34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预算安排115.33934万元，其中财政拨款115.33934万元，主要用于实施天然林保护工程，有效促进林业产业结构优化，维持生态平衡。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1.通过项目实施，实施天然林保护工程，有效促进林业产业结构优化，维持生态平衡。</w:t>
            </w:r>
          </w:p>
          <w:p>
            <w:pPr>
              <w:pStyle w:val="12"/>
            </w:pPr>
            <w:r>
              <w:t>2.通过项目实施，实施天然林保护工程，提高全县森林覆盖率。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管护天然林面积</w:t>
            </w:r>
          </w:p>
        </w:tc>
        <w:tc>
          <w:tcPr>
            <w:tcW w:w="5386" w:type="dxa"/>
            <w:vAlign w:val="center"/>
          </w:tcPr>
          <w:p>
            <w:pPr>
              <w:pStyle w:val="12"/>
            </w:pPr>
            <w:r>
              <w:t>需要购买管护服务及建设的亩数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经济补偿亩数</w:t>
            </w:r>
          </w:p>
        </w:tc>
        <w:tc>
          <w:tcPr>
            <w:tcW w:w="5386" w:type="dxa"/>
            <w:vAlign w:val="center"/>
          </w:tcPr>
          <w:p>
            <w:pPr>
              <w:pStyle w:val="12"/>
            </w:pPr>
            <w:r>
              <w:t>需要经济补偿亩数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护林员人数</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天然林管护达标率</w:t>
            </w:r>
          </w:p>
        </w:tc>
        <w:tc>
          <w:tcPr>
            <w:tcW w:w="5386" w:type="dxa"/>
            <w:vAlign w:val="center"/>
          </w:tcPr>
          <w:p>
            <w:pPr>
              <w:pStyle w:val="12"/>
            </w:pPr>
            <w:r>
              <w:t>天然林管护达标率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护林员工作考核达标率</w:t>
            </w:r>
          </w:p>
        </w:tc>
        <w:tc>
          <w:tcPr>
            <w:tcW w:w="5386" w:type="dxa"/>
            <w:vAlign w:val="center"/>
          </w:tcPr>
          <w:p>
            <w:pPr>
              <w:pStyle w:val="12"/>
            </w:pPr>
            <w:r>
              <w:t>护林员工作考核达标率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补助发放合规达标率</w:t>
            </w:r>
          </w:p>
        </w:tc>
        <w:tc>
          <w:tcPr>
            <w:tcW w:w="5386" w:type="dxa"/>
            <w:vAlign w:val="center"/>
          </w:tcPr>
          <w:p>
            <w:pPr>
              <w:pStyle w:val="12"/>
            </w:pPr>
            <w:r>
              <w:t>合法合规准确进行补助资金的发放</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管护工作完成及时性</w:t>
            </w:r>
          </w:p>
        </w:tc>
        <w:tc>
          <w:tcPr>
            <w:tcW w:w="5386" w:type="dxa"/>
            <w:vAlign w:val="center"/>
          </w:tcPr>
          <w:p>
            <w:pPr>
              <w:pStyle w:val="12"/>
            </w:pPr>
            <w:r>
              <w:t>按计划及时完成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补偿的单位成本</w:t>
            </w:r>
          </w:p>
        </w:tc>
        <w:tc>
          <w:tcPr>
            <w:tcW w:w="5386" w:type="dxa"/>
            <w:vAlign w:val="center"/>
          </w:tcPr>
          <w:p>
            <w:pPr>
              <w:pStyle w:val="12"/>
            </w:pPr>
            <w:r>
              <w:t>补偿的单位成本，其中桃林口库区的补助资金为15.75元/亩，其他为9.6元/亩</w:t>
            </w:r>
          </w:p>
        </w:tc>
        <w:tc>
          <w:tcPr>
            <w:tcW w:w="2268" w:type="dxa"/>
            <w:vAlign w:val="center"/>
          </w:tcPr>
          <w:p>
            <w:pPr>
              <w:pStyle w:val="12"/>
            </w:pPr>
            <w:r>
              <w:t>≤16元/亩（集体和个人）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全县森林覆盖率</w:t>
            </w:r>
          </w:p>
        </w:tc>
        <w:tc>
          <w:tcPr>
            <w:tcW w:w="5386" w:type="dxa"/>
            <w:vAlign w:val="center"/>
          </w:tcPr>
          <w:p>
            <w:pPr>
              <w:pStyle w:val="12"/>
            </w:pPr>
            <w:r>
              <w:t>全县森林覆盖率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40、关于下达2025年中央财政林业草原生态保护恢复资金预算的通知-古树名木抢救复壮补助-（冀财资环【2025】21号）绩效目标表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13032125P003298100273</w:t>
            </w:r>
          </w:p>
        </w:tc>
        <w:tc>
          <w:tcPr>
            <w:tcW w:w="2835" w:type="dxa"/>
            <w:vAlign w:val="center"/>
          </w:tcPr>
          <w:p>
            <w:pPr>
              <w:pStyle w:val="10"/>
            </w:pPr>
            <w:r>
              <w:t>项目名称</w:t>
            </w:r>
          </w:p>
        </w:tc>
        <w:tc>
          <w:tcPr>
            <w:tcW w:w="6095" w:type="dxa"/>
            <w:gridSpan w:val="3"/>
            <w:vAlign w:val="center"/>
          </w:tcPr>
          <w:p>
            <w:pPr>
              <w:pStyle w:val="12"/>
            </w:pPr>
            <w:r>
              <w:t>关于下达2025年中央财政林业草原生态保护恢复资金预算的通知-古树名木抢救复壮补助-（冀财资环【2025】21号）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预算安排18万元，其中财政拨款18万元，主要用于通过开展古树名木复壮抢救工作，促进古树正常生长。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1.通过开展古树名木复壮抢救工作，促进古树正常生长。</w:t>
            </w:r>
          </w:p>
          <w:p>
            <w:pPr>
              <w:pStyle w:val="12"/>
            </w:pPr>
            <w:r>
              <w:t>2.通过开展古树名木复壮抢救工作，提升人民幸福感。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≥3株</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≥100百分比</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2025年12月底前</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≥100百分比</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6万/株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≥100百分比</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≥90百分比</w:t>
            </w:r>
          </w:p>
        </w:tc>
        <w:tc>
          <w:tcPr>
            <w:tcW w:w="1276" w:type="dxa"/>
            <w:vAlign w:val="center"/>
          </w:tcPr>
          <w:p>
            <w:pPr>
              <w:pStyle w:val="12"/>
            </w:pPr>
            <w:r>
              <w:t>年度工作计划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≥90百分比</w:t>
            </w:r>
          </w:p>
        </w:tc>
        <w:tc>
          <w:tcPr>
            <w:tcW w:w="1276" w:type="dxa"/>
            <w:vAlign w:val="center"/>
          </w:tcPr>
          <w:p>
            <w:pPr>
              <w:pStyle w:val="12"/>
            </w:pPr>
            <w:r>
              <w:t>调查问卷</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41、关于下达2025年中央财政林业草原生态保护恢复资金预算的通知-国有林管护补助-国家级公益林-（冀财资环【2025】21号）绩效目标表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13032125P003298100248</w:t>
            </w:r>
          </w:p>
        </w:tc>
        <w:tc>
          <w:tcPr>
            <w:tcW w:w="2835" w:type="dxa"/>
            <w:vAlign w:val="center"/>
          </w:tcPr>
          <w:p>
            <w:pPr>
              <w:pStyle w:val="10"/>
            </w:pPr>
            <w:r>
              <w:t>项目名称</w:t>
            </w:r>
          </w:p>
        </w:tc>
        <w:tc>
          <w:tcPr>
            <w:tcW w:w="6095" w:type="dxa"/>
            <w:gridSpan w:val="3"/>
            <w:vAlign w:val="center"/>
          </w:tcPr>
          <w:p>
            <w:pPr>
              <w:pStyle w:val="12"/>
            </w:pPr>
            <w:r>
              <w:t>关于下达2025年中央财政林业草原生态保护恢复资金预算的通知-国有林管护补助-国家级公益林-（冀财资环【2025】21号）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47.02</w:t>
            </w:r>
          </w:p>
        </w:tc>
        <w:tc>
          <w:tcPr>
            <w:tcW w:w="2835" w:type="dxa"/>
            <w:vAlign w:val="center"/>
          </w:tcPr>
          <w:p>
            <w:pPr>
              <w:pStyle w:val="10"/>
            </w:pPr>
            <w:r>
              <w:t>其中：财政    资金</w:t>
            </w:r>
          </w:p>
        </w:tc>
        <w:tc>
          <w:tcPr>
            <w:tcW w:w="2551" w:type="dxa"/>
            <w:vAlign w:val="center"/>
          </w:tcPr>
          <w:p>
            <w:pPr>
              <w:pStyle w:val="12"/>
            </w:pPr>
            <w:r>
              <w:t>47.02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预算安排47.0181万元，其中财政拨款47.0181万元，主要用于开展公益林管护,确保森林资源系统生态安全和物种多样性得到保护。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1.通过项目实施，开展公益林管护,确保森林资源系统生态安全和物种多样性得到保护。</w:t>
            </w:r>
          </w:p>
          <w:p>
            <w:pPr>
              <w:pStyle w:val="12"/>
            </w:pPr>
            <w:r>
              <w:t>2.通过项目实施，开展公益林管护，促进国有林场持续健康发展。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≥7.12万亩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巡查管护及时性</w:t>
            </w:r>
          </w:p>
        </w:tc>
        <w:tc>
          <w:tcPr>
            <w:tcW w:w="5386" w:type="dxa"/>
            <w:vAlign w:val="center"/>
          </w:tcPr>
          <w:p>
            <w:pPr>
              <w:pStyle w:val="12"/>
            </w:pPr>
            <w:r>
              <w:t>按照文件要求及工作计划开展巡查管护工作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保障林区巡查、巡护能力和减少火灾隐患</w:t>
            </w:r>
          </w:p>
        </w:tc>
        <w:tc>
          <w:tcPr>
            <w:tcW w:w="5386" w:type="dxa"/>
            <w:vAlign w:val="center"/>
          </w:tcPr>
          <w:p>
            <w:pPr>
              <w:pStyle w:val="12"/>
            </w:pPr>
            <w:r>
              <w:t>维修防火通道、塌方治理、六清营林房改造及营林区用品</w:t>
            </w:r>
          </w:p>
        </w:tc>
        <w:tc>
          <w:tcPr>
            <w:tcW w:w="2268" w:type="dxa"/>
            <w:vAlign w:val="center"/>
          </w:tcPr>
          <w:p>
            <w:pPr>
              <w:pStyle w:val="12"/>
            </w:pPr>
            <w:r>
              <w:t>≥47.01万元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保障森林防火安全</w:t>
            </w:r>
          </w:p>
        </w:tc>
        <w:tc>
          <w:tcPr>
            <w:tcW w:w="5386" w:type="dxa"/>
            <w:vAlign w:val="center"/>
          </w:tcPr>
          <w:p>
            <w:pPr>
              <w:pStyle w:val="12"/>
            </w:pPr>
            <w:r>
              <w:t>保障森林防火安全，保障森林绿化成果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保障国有林绿化成果</w:t>
            </w:r>
          </w:p>
        </w:tc>
        <w:tc>
          <w:tcPr>
            <w:tcW w:w="5386" w:type="dxa"/>
            <w:vAlign w:val="center"/>
          </w:tcPr>
          <w:p>
            <w:pPr>
              <w:pStyle w:val="12"/>
            </w:pPr>
            <w:r>
              <w:t>保障营林区森林绿化成果和林业生态安全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是否促进生态效益可持续</w:t>
            </w:r>
          </w:p>
        </w:tc>
        <w:tc>
          <w:tcPr>
            <w:tcW w:w="5386" w:type="dxa"/>
            <w:vAlign w:val="center"/>
          </w:tcPr>
          <w:p>
            <w:pPr>
              <w:pStyle w:val="12"/>
            </w:pPr>
            <w:r>
              <w:t>有效遏制重大森林火灾的发生和蔓延</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42、关于下达2025年中央财政林业草原生态保护恢复资金预算的通知-森林修复(含森林可持续经营补助)-（冀财资环[2025]21号）绩效目标表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13032125P00329810028N</w:t>
            </w:r>
          </w:p>
        </w:tc>
        <w:tc>
          <w:tcPr>
            <w:tcW w:w="2835" w:type="dxa"/>
            <w:vAlign w:val="center"/>
          </w:tcPr>
          <w:p>
            <w:pPr>
              <w:pStyle w:val="10"/>
            </w:pPr>
            <w:r>
              <w:t>项目名称</w:t>
            </w:r>
          </w:p>
        </w:tc>
        <w:tc>
          <w:tcPr>
            <w:tcW w:w="6095" w:type="dxa"/>
            <w:gridSpan w:val="3"/>
            <w:vAlign w:val="center"/>
          </w:tcPr>
          <w:p>
            <w:pPr>
              <w:pStyle w:val="12"/>
            </w:pPr>
            <w:r>
              <w:t>关于下达2025年中央财政林业草原生态保护恢复资金预算的通知-森林修复(含森林可持续经营补助)-（冀财资环[2025]21号）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62.58</w:t>
            </w:r>
          </w:p>
        </w:tc>
        <w:tc>
          <w:tcPr>
            <w:tcW w:w="2835" w:type="dxa"/>
            <w:vAlign w:val="center"/>
          </w:tcPr>
          <w:p>
            <w:pPr>
              <w:pStyle w:val="10"/>
            </w:pPr>
            <w:r>
              <w:t>其中：财政    资金</w:t>
            </w:r>
          </w:p>
        </w:tc>
        <w:tc>
          <w:tcPr>
            <w:tcW w:w="2551" w:type="dxa"/>
            <w:vAlign w:val="center"/>
          </w:tcPr>
          <w:p>
            <w:pPr>
              <w:pStyle w:val="12"/>
            </w:pPr>
            <w:r>
              <w:t>62.58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预算安排62.58万元，其中财政拨款62.58万元，主要用于加强天然林保护管理，提高森林覆盖率，改善生态环境。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1.通过项目实施，加强天然林保护管理，提高森林覆盖率，改善生态环境。</w:t>
            </w:r>
          </w:p>
          <w:p>
            <w:pPr>
              <w:pStyle w:val="12"/>
            </w:pPr>
            <w:r>
              <w:t>2.通过项目实施，加强天然林系统修复，解决项目人工、机械和材料等费用支出。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天然林保护管理和天然林系统修复费用支出占比</w:t>
            </w:r>
          </w:p>
        </w:tc>
        <w:tc>
          <w:tcPr>
            <w:tcW w:w="5386" w:type="dxa"/>
            <w:vAlign w:val="center"/>
          </w:tcPr>
          <w:p>
            <w:pPr>
              <w:pStyle w:val="12"/>
            </w:pPr>
            <w:r>
              <w:t>用于天然林保护管理和天然林林系统修复费用支出占总资金的比例</w:t>
            </w:r>
          </w:p>
        </w:tc>
        <w:tc>
          <w:tcPr>
            <w:tcW w:w="2268" w:type="dxa"/>
            <w:vAlign w:val="center"/>
          </w:tcPr>
          <w:p>
            <w:pPr>
              <w:pStyle w:val="12"/>
            </w:pPr>
            <w:r>
              <w:t>≥100百分比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实际完成工程量占计划完成工程量的比率</w:t>
            </w:r>
          </w:p>
        </w:tc>
        <w:tc>
          <w:tcPr>
            <w:tcW w:w="2268" w:type="dxa"/>
            <w:vAlign w:val="center"/>
          </w:tcPr>
          <w:p>
            <w:pPr>
              <w:pStyle w:val="12"/>
            </w:pPr>
            <w:r>
              <w:t>≥98百分比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国有天然林停伐蓄积</w:t>
            </w:r>
          </w:p>
        </w:tc>
        <w:tc>
          <w:tcPr>
            <w:tcW w:w="5386" w:type="dxa"/>
            <w:vAlign w:val="center"/>
          </w:tcPr>
          <w:p>
            <w:pPr>
              <w:pStyle w:val="12"/>
            </w:pPr>
            <w:r>
              <w:t>两个国有林场停伐蓄积</w:t>
            </w:r>
          </w:p>
        </w:tc>
        <w:tc>
          <w:tcPr>
            <w:tcW w:w="2268" w:type="dxa"/>
            <w:vAlign w:val="center"/>
          </w:tcPr>
          <w:p>
            <w:pPr>
              <w:pStyle w:val="12"/>
            </w:pPr>
            <w:r>
              <w:t>3372立方米</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停伐补贴达标率</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及时发放天然林停伐管护补助给两个林场</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反映按招标文件及招标合同金额控制在预算范围内</w:t>
            </w:r>
          </w:p>
        </w:tc>
        <w:tc>
          <w:tcPr>
            <w:tcW w:w="2268" w:type="dxa"/>
            <w:vAlign w:val="center"/>
          </w:tcPr>
          <w:p>
            <w:pPr>
              <w:pStyle w:val="12"/>
            </w:pPr>
            <w:r>
              <w:t>≤62.58万元</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提高就业</w:t>
            </w:r>
          </w:p>
        </w:tc>
        <w:tc>
          <w:tcPr>
            <w:tcW w:w="5386" w:type="dxa"/>
            <w:vAlign w:val="center"/>
          </w:tcPr>
          <w:p>
            <w:pPr>
              <w:pStyle w:val="12"/>
            </w:pPr>
            <w:r>
              <w:t>提高就业率，解决群众就业问题</w:t>
            </w:r>
          </w:p>
        </w:tc>
        <w:tc>
          <w:tcPr>
            <w:tcW w:w="2268" w:type="dxa"/>
            <w:vAlign w:val="center"/>
          </w:tcPr>
          <w:p>
            <w:pPr>
              <w:pStyle w:val="12"/>
            </w:pPr>
            <w:r>
              <w:t>100百分比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通过天然林停伐补助,确保森林资源系统生态安全和物种多样性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≥95百分比</w:t>
            </w:r>
          </w:p>
        </w:tc>
        <w:tc>
          <w:tcPr>
            <w:tcW w:w="1276" w:type="dxa"/>
            <w:vAlign w:val="center"/>
          </w:tcPr>
          <w:p>
            <w:pPr>
              <w:pStyle w:val="12"/>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43、关于下达2025年中央财政衔接推进乡村振兴补助资金预算的通知（冀财农【2025】34号）-2025年板栗绿色食品原料基础建设项目绩效目标表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13032125P00328310160Y</w:t>
            </w:r>
          </w:p>
        </w:tc>
        <w:tc>
          <w:tcPr>
            <w:tcW w:w="2835" w:type="dxa"/>
            <w:vAlign w:val="center"/>
          </w:tcPr>
          <w:p>
            <w:pPr>
              <w:pStyle w:val="10"/>
            </w:pPr>
            <w:r>
              <w:t>项目名称</w:t>
            </w:r>
          </w:p>
        </w:tc>
        <w:tc>
          <w:tcPr>
            <w:tcW w:w="6095" w:type="dxa"/>
            <w:gridSpan w:val="3"/>
            <w:vAlign w:val="center"/>
          </w:tcPr>
          <w:p>
            <w:pPr>
              <w:pStyle w:val="12"/>
            </w:pPr>
            <w:r>
              <w:t>关于下达2025年中央财政衔接推进乡村振兴补助资金预算的通知（冀财农【2025】34号）-2025年板栗绿色食品原料基础建设项目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6.77</w:t>
            </w:r>
          </w:p>
        </w:tc>
        <w:tc>
          <w:tcPr>
            <w:tcW w:w="2835" w:type="dxa"/>
            <w:vAlign w:val="center"/>
          </w:tcPr>
          <w:p>
            <w:pPr>
              <w:pStyle w:val="10"/>
            </w:pPr>
            <w:r>
              <w:t>其中：财政    资金</w:t>
            </w:r>
          </w:p>
        </w:tc>
        <w:tc>
          <w:tcPr>
            <w:tcW w:w="2551" w:type="dxa"/>
            <w:vAlign w:val="center"/>
          </w:tcPr>
          <w:p>
            <w:pPr>
              <w:pStyle w:val="12"/>
            </w:pPr>
            <w:r>
              <w:t>6.77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预算安排6.77万元，其中财政拨款6.77万元，主要用于通过项目实施，带动全县其他农作物标准化生产水平整体跃升。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1.通过项目实施，带动全县其他农作物标准化生产水平整体跃升。</w:t>
            </w:r>
          </w:p>
          <w:p>
            <w:pPr>
              <w:pStyle w:val="12"/>
            </w:pPr>
            <w:r>
              <w:t>2.通过项目实施，提升产地板栗等农产品的质量效益。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基地管理制度</w:t>
            </w:r>
          </w:p>
        </w:tc>
        <w:tc>
          <w:tcPr>
            <w:tcW w:w="5386" w:type="dxa"/>
            <w:vAlign w:val="center"/>
          </w:tcPr>
          <w:p>
            <w:pPr>
              <w:pStyle w:val="12"/>
            </w:pPr>
            <w:r>
              <w:t>建立完善基地建设管理制度</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基地内实现良种（苗木）</w:t>
            </w:r>
          </w:p>
        </w:tc>
        <w:tc>
          <w:tcPr>
            <w:tcW w:w="5386" w:type="dxa"/>
            <w:vAlign w:val="center"/>
          </w:tcPr>
          <w:p>
            <w:pPr>
              <w:pStyle w:val="12"/>
            </w:pPr>
            <w:r>
              <w:t>基地内实现良种（苗木）</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完好率</w:t>
            </w:r>
          </w:p>
        </w:tc>
        <w:tc>
          <w:tcPr>
            <w:tcW w:w="5386" w:type="dxa"/>
            <w:vAlign w:val="center"/>
          </w:tcPr>
          <w:p>
            <w:pPr>
              <w:pStyle w:val="12"/>
            </w:pPr>
            <w:r>
              <w:t>田间道路、灌溉设施完好率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标准化技术培训</w:t>
            </w:r>
          </w:p>
        </w:tc>
        <w:tc>
          <w:tcPr>
            <w:tcW w:w="5386" w:type="dxa"/>
            <w:vAlign w:val="center"/>
          </w:tcPr>
          <w:p>
            <w:pPr>
              <w:pStyle w:val="12"/>
            </w:pPr>
            <w:r>
              <w:t>标准化技术规程培训覆盖农户比例</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按时支付基地费用</w:t>
            </w:r>
          </w:p>
        </w:tc>
        <w:tc>
          <w:tcPr>
            <w:tcW w:w="5386" w:type="dxa"/>
            <w:vAlign w:val="center"/>
          </w:tcPr>
          <w:p>
            <w:pPr>
              <w:pStyle w:val="12"/>
            </w:pPr>
            <w:r>
              <w:t>按时支付基地相关费用</w:t>
            </w:r>
          </w:p>
        </w:tc>
        <w:tc>
          <w:tcPr>
            <w:tcW w:w="2268" w:type="dxa"/>
            <w:vAlign w:val="center"/>
          </w:tcPr>
          <w:p>
            <w:pPr>
              <w:pStyle w:val="12"/>
            </w:pPr>
            <w:r>
              <w:t>2026年12月底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提升竞争力</w:t>
            </w:r>
          </w:p>
        </w:tc>
        <w:tc>
          <w:tcPr>
            <w:tcW w:w="5386" w:type="dxa"/>
            <w:vAlign w:val="center"/>
          </w:tcPr>
          <w:p>
            <w:pPr>
              <w:pStyle w:val="12"/>
            </w:pPr>
            <w:r>
              <w:t>培育壮大龙头企业，拓展销售渠道</w:t>
            </w:r>
          </w:p>
        </w:tc>
        <w:tc>
          <w:tcPr>
            <w:tcW w:w="2268" w:type="dxa"/>
            <w:vAlign w:val="center"/>
          </w:tcPr>
          <w:p>
            <w:pPr>
              <w:pStyle w:val="12"/>
            </w:pPr>
            <w:r>
              <w:t>≥2户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增加经济收入</w:t>
            </w:r>
          </w:p>
        </w:tc>
        <w:tc>
          <w:tcPr>
            <w:tcW w:w="5386" w:type="dxa"/>
            <w:vAlign w:val="center"/>
          </w:tcPr>
          <w:p>
            <w:pPr>
              <w:pStyle w:val="12"/>
            </w:pPr>
            <w:r>
              <w:t>提高对周边基地和农户经济收入</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44、河北省财政厅关于调整2025年第一批预算内基建投资预算的通知-冀财建[2025]220号绩效目标表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13032125P00010710004A</w:t>
            </w:r>
          </w:p>
        </w:tc>
        <w:tc>
          <w:tcPr>
            <w:tcW w:w="2835" w:type="dxa"/>
            <w:vAlign w:val="center"/>
          </w:tcPr>
          <w:p>
            <w:pPr>
              <w:pStyle w:val="10"/>
            </w:pPr>
            <w:r>
              <w:t>项目名称</w:t>
            </w:r>
          </w:p>
        </w:tc>
        <w:tc>
          <w:tcPr>
            <w:tcW w:w="6095" w:type="dxa"/>
            <w:gridSpan w:val="3"/>
            <w:vAlign w:val="center"/>
          </w:tcPr>
          <w:p>
            <w:pPr>
              <w:pStyle w:val="12"/>
            </w:pPr>
            <w:r>
              <w:t>河北省财政厅关于调整2025年第一批预算内基建投资预算的通知-冀财建[2025]220号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预算安排800万元，其中财政拨款800万元，主要用于开展植树造林工作，提高森林覆盖率，改善生态环境。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1.通过开展植树造林工作，提高森林覆盖率，改善生态环境。</w:t>
            </w:r>
          </w:p>
          <w:p>
            <w:pPr>
              <w:pStyle w:val="12"/>
            </w:pPr>
            <w:r>
              <w:t>2.通过开展植树造林工作，造林绿化4万亩，达到水土保持，促进国土绿化进程。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植树造林面积</w:t>
            </w:r>
          </w:p>
        </w:tc>
        <w:tc>
          <w:tcPr>
            <w:tcW w:w="5386" w:type="dxa"/>
            <w:vAlign w:val="center"/>
          </w:tcPr>
          <w:p>
            <w:pPr>
              <w:pStyle w:val="12"/>
            </w:pPr>
            <w:r>
              <w:t>完成植树面积</w:t>
            </w:r>
          </w:p>
        </w:tc>
        <w:tc>
          <w:tcPr>
            <w:tcW w:w="2268" w:type="dxa"/>
            <w:vAlign w:val="center"/>
          </w:tcPr>
          <w:p>
            <w:pPr>
              <w:pStyle w:val="12"/>
            </w:pPr>
            <w:r>
              <w:t>≥4万亩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造林验收时间</w:t>
            </w:r>
          </w:p>
        </w:tc>
        <w:tc>
          <w:tcPr>
            <w:tcW w:w="5386" w:type="dxa"/>
            <w:vAlign w:val="center"/>
          </w:tcPr>
          <w:p>
            <w:pPr>
              <w:pStyle w:val="12"/>
            </w:pPr>
            <w:r>
              <w:t>第三验收完成时间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亩造林补助标准</w:t>
            </w:r>
          </w:p>
        </w:tc>
        <w:tc>
          <w:tcPr>
            <w:tcW w:w="5386" w:type="dxa"/>
            <w:vAlign w:val="center"/>
          </w:tcPr>
          <w:p>
            <w:pPr>
              <w:pStyle w:val="12"/>
            </w:pPr>
            <w:r>
              <w:t>人工造林每亩补助标准</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通过开展植树造林工作，提高森林覆盖率</w:t>
            </w:r>
          </w:p>
        </w:tc>
        <w:tc>
          <w:tcPr>
            <w:tcW w:w="2268" w:type="dxa"/>
            <w:vAlign w:val="center"/>
          </w:tcPr>
          <w:p>
            <w:pPr>
              <w:pStyle w:val="12"/>
            </w:pPr>
            <w:r>
              <w:t>≥0.49%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防止火灾发生</w:t>
            </w:r>
          </w:p>
        </w:tc>
        <w:tc>
          <w:tcPr>
            <w:tcW w:w="5386" w:type="dxa"/>
            <w:vAlign w:val="center"/>
          </w:tcPr>
          <w:p>
            <w:pPr>
              <w:pStyle w:val="12"/>
            </w:pPr>
            <w:r>
              <w:t>通过开展造林绿化，提高绿化率，防止火灾发生。</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45、解决祖山景区经营体制改革遗留问题资金绩效目标表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13032126P00011310032M</w:t>
            </w:r>
          </w:p>
        </w:tc>
        <w:tc>
          <w:tcPr>
            <w:tcW w:w="2835" w:type="dxa"/>
            <w:vAlign w:val="center"/>
          </w:tcPr>
          <w:p>
            <w:pPr>
              <w:pStyle w:val="10"/>
            </w:pPr>
            <w:r>
              <w:t>项目名称</w:t>
            </w:r>
          </w:p>
        </w:tc>
        <w:tc>
          <w:tcPr>
            <w:tcW w:w="6095" w:type="dxa"/>
            <w:gridSpan w:val="3"/>
            <w:vAlign w:val="center"/>
          </w:tcPr>
          <w:p>
            <w:pPr>
              <w:pStyle w:val="12"/>
            </w:pPr>
            <w:r>
              <w:t>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预算安排60万元，其中财政拨款60万元。主要用于及时解决索道项目遗留问题。</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1.通过项目实施，完成祖山景区1条索道所有权购买。</w:t>
            </w:r>
            <w:r>
              <w:tab/>
            </w:r>
            <w:r>
              <w:tab/>
            </w:r>
            <w:r>
              <w:tab/>
            </w:r>
            <w:r>
              <w:tab/>
            </w:r>
            <w:r>
              <w:tab/>
            </w:r>
            <w:r>
              <w:tab/>
            </w:r>
          </w:p>
          <w:p>
            <w:pPr>
              <w:pStyle w:val="12"/>
            </w:pPr>
          </w:p>
          <w:p>
            <w:pPr>
              <w:pStyle w:val="12"/>
            </w:pPr>
            <w:r>
              <w:t>2.通过项目实施，及时解决索道项目遗留问题。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索道的长度</w:t>
            </w:r>
          </w:p>
        </w:tc>
        <w:tc>
          <w:tcPr>
            <w:tcW w:w="5386" w:type="dxa"/>
            <w:vAlign w:val="center"/>
          </w:tcPr>
          <w:p>
            <w:pPr>
              <w:pStyle w:val="12"/>
            </w:pPr>
            <w:r>
              <w:t>所购1条索道的公里数</w:t>
            </w:r>
          </w:p>
        </w:tc>
        <w:tc>
          <w:tcPr>
            <w:tcW w:w="2268" w:type="dxa"/>
            <w:vAlign w:val="center"/>
          </w:tcPr>
          <w:p>
            <w:pPr>
              <w:pStyle w:val="12"/>
            </w:pPr>
            <w:r>
              <w:t>5公里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购买索道的条数</w:t>
            </w:r>
          </w:p>
        </w:tc>
        <w:tc>
          <w:tcPr>
            <w:tcW w:w="5386" w:type="dxa"/>
            <w:vAlign w:val="center"/>
          </w:tcPr>
          <w:p>
            <w:pPr>
              <w:pStyle w:val="12"/>
            </w:pPr>
            <w:r>
              <w:t>购买索道的数量</w:t>
            </w:r>
          </w:p>
        </w:tc>
        <w:tc>
          <w:tcPr>
            <w:tcW w:w="2268" w:type="dxa"/>
            <w:vAlign w:val="center"/>
          </w:tcPr>
          <w:p>
            <w:pPr>
              <w:pStyle w:val="12"/>
            </w:pPr>
            <w:r>
              <w:t>1条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按时支付相关人员费用</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购买索道支付的准确率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完成尾款支付时限</w:t>
            </w:r>
          </w:p>
        </w:tc>
        <w:tc>
          <w:tcPr>
            <w:tcW w:w="2268" w:type="dxa"/>
            <w:vAlign w:val="center"/>
          </w:tcPr>
          <w:p>
            <w:pPr>
              <w:pStyle w:val="12"/>
            </w:pPr>
            <w:r>
              <w:t>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按预算进行成本控制，并按预算计划进行资金的拨付。</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经济影响</w:t>
            </w:r>
          </w:p>
        </w:tc>
        <w:tc>
          <w:tcPr>
            <w:tcW w:w="5386" w:type="dxa"/>
            <w:vAlign w:val="center"/>
          </w:tcPr>
          <w:p>
            <w:pPr>
              <w:pStyle w:val="12"/>
            </w:pPr>
            <w:r>
              <w:t>通过所有权的购买，统一了所有权，提高了景区索道经济收入，游客人数增加比列</w:t>
            </w:r>
          </w:p>
        </w:tc>
        <w:tc>
          <w:tcPr>
            <w:tcW w:w="2268" w:type="dxa"/>
            <w:vAlign w:val="center"/>
          </w:tcPr>
          <w:p>
            <w:pPr>
              <w:pStyle w:val="12"/>
            </w:pPr>
            <w:r>
              <w:t>≤5百分比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w:t>
            </w:r>
          </w:p>
        </w:tc>
        <w:tc>
          <w:tcPr>
            <w:tcW w:w="5386" w:type="dxa"/>
            <w:vAlign w:val="center"/>
          </w:tcPr>
          <w:p>
            <w:pPr>
              <w:pStyle w:val="12"/>
            </w:pPr>
            <w:r>
              <w:t>统一了所有权，有利于经营管理，提高了景区的服务水平。</w:t>
            </w:r>
          </w:p>
        </w:tc>
        <w:tc>
          <w:tcPr>
            <w:tcW w:w="2268" w:type="dxa"/>
            <w:vAlign w:val="center"/>
          </w:tcPr>
          <w:p>
            <w:pPr>
              <w:pStyle w:val="12"/>
            </w:pPr>
            <w:r>
              <w:t>≥90提高服务水平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≥90百分比</w:t>
            </w:r>
          </w:p>
        </w:tc>
        <w:tc>
          <w:tcPr>
            <w:tcW w:w="1276" w:type="dxa"/>
            <w:vAlign w:val="center"/>
          </w:tcPr>
          <w:p>
            <w:pPr>
              <w:pStyle w:val="12"/>
            </w:pPr>
            <w:r>
              <w:t>社会调查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46、林长制工作经费绩效目标表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13032125P003285100021</w:t>
            </w:r>
          </w:p>
        </w:tc>
        <w:tc>
          <w:tcPr>
            <w:tcW w:w="2835" w:type="dxa"/>
            <w:vAlign w:val="center"/>
          </w:tcPr>
          <w:p>
            <w:pPr>
              <w:pStyle w:val="10"/>
            </w:pPr>
            <w:r>
              <w:t>项目名称</w:t>
            </w:r>
          </w:p>
        </w:tc>
        <w:tc>
          <w:tcPr>
            <w:tcW w:w="6095" w:type="dxa"/>
            <w:gridSpan w:val="3"/>
            <w:vAlign w:val="center"/>
          </w:tcPr>
          <w:p>
            <w:pPr>
              <w:pStyle w:val="12"/>
            </w:pPr>
            <w:bookmarkStart w:id="3" w:name="OLE_LINK2"/>
            <w:r>
              <w:t>林长制工作经费</w:t>
            </w:r>
            <w:bookmarkEnd w:id="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项目金额0.6万元，其中财政拨款0.6万元，主要用于开展全面推行林长制工作，森林生态环境显著改善，森林资源管理能力和水平规模提升，基本实现保护优先，协调发展，绿色惠民的目标。</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1.通过开展全面推行林长制工作，森林生态环境显著改善，森林资源管理能力和水平规模提升，基本实现保护优先，协调发展，绿色惠民的目标。</w:t>
            </w:r>
            <w:r>
              <w:tab/>
            </w:r>
            <w:r>
              <w:tab/>
            </w:r>
            <w:r>
              <w:tab/>
            </w:r>
            <w:r>
              <w:tab/>
            </w:r>
            <w:r>
              <w:tab/>
            </w:r>
            <w:r>
              <w:tab/>
            </w:r>
          </w:p>
          <w:p>
            <w:pPr>
              <w:pStyle w:val="12"/>
            </w:pPr>
            <w:r>
              <w:t>2.通过开展全面推行林长制工作，全面完成林业增绿增效行动计划，实现森林面积和蓄积量持续稳定增长，森林资源得到有效保护和合理利用，基本形成布局合理，结构优化，功能完善的森林生态体系。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国家、省、市林长制考核</w:t>
            </w:r>
          </w:p>
        </w:tc>
        <w:tc>
          <w:tcPr>
            <w:tcW w:w="5386" w:type="dxa"/>
            <w:vAlign w:val="center"/>
          </w:tcPr>
          <w:p>
            <w:pPr>
              <w:pStyle w:val="12"/>
            </w:pPr>
            <w:r>
              <w:t>反映国家、省、市林长制考核检查次数</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396个行政村县乡三级林长制监管平台、信息发布平台</w:t>
            </w:r>
          </w:p>
        </w:tc>
        <w:tc>
          <w:tcPr>
            <w:tcW w:w="5386" w:type="dxa"/>
            <w:vAlign w:val="center"/>
          </w:tcPr>
          <w:p>
            <w:pPr>
              <w:pStyle w:val="12"/>
            </w:pPr>
            <w:r>
              <w:t>反映县乡村三级林长制监管平台、信息发布平台建设维护个数</w:t>
            </w:r>
          </w:p>
        </w:tc>
        <w:tc>
          <w:tcPr>
            <w:tcW w:w="2268" w:type="dxa"/>
            <w:vAlign w:val="center"/>
          </w:tcPr>
          <w:p>
            <w:pPr>
              <w:pStyle w:val="12"/>
            </w:pPr>
            <w:r>
              <w:t>≥2个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林草湿资源调查监测</w:t>
            </w:r>
          </w:p>
        </w:tc>
        <w:tc>
          <w:tcPr>
            <w:tcW w:w="5386" w:type="dxa"/>
            <w:vAlign w:val="center"/>
          </w:tcPr>
          <w:p>
            <w:pPr>
              <w:pStyle w:val="12"/>
            </w:pPr>
            <w:r>
              <w:t>反映林草湿资源调查监测次数</w:t>
            </w:r>
          </w:p>
        </w:tc>
        <w:tc>
          <w:tcPr>
            <w:tcW w:w="2268" w:type="dxa"/>
            <w:vAlign w:val="center"/>
          </w:tcPr>
          <w:p>
            <w:pPr>
              <w:pStyle w:val="12"/>
            </w:pPr>
            <w:r>
              <w:t>≥3次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护林员培训</w:t>
            </w:r>
          </w:p>
        </w:tc>
        <w:tc>
          <w:tcPr>
            <w:tcW w:w="5386" w:type="dxa"/>
            <w:vAlign w:val="center"/>
          </w:tcPr>
          <w:p>
            <w:pPr>
              <w:pStyle w:val="12"/>
            </w:pPr>
            <w:r>
              <w:t>反映提升护林员管护水平</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林草资源调查监测完工及时率</w:t>
            </w:r>
          </w:p>
        </w:tc>
        <w:tc>
          <w:tcPr>
            <w:tcW w:w="5386" w:type="dxa"/>
            <w:vAlign w:val="center"/>
          </w:tcPr>
          <w:p>
            <w:pPr>
              <w:pStyle w:val="12"/>
            </w:pPr>
            <w:r>
              <w:t>项目在规定期限内完成的比率</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各级林长、协作单位人员、护林员会议、培训</w:t>
            </w:r>
          </w:p>
        </w:tc>
        <w:tc>
          <w:tcPr>
            <w:tcW w:w="5386" w:type="dxa"/>
            <w:vAlign w:val="center"/>
          </w:tcPr>
          <w:p>
            <w:pPr>
              <w:pStyle w:val="12"/>
            </w:pPr>
            <w:r>
              <w:t>反映各级林长、协作单位人员、护林员会议、培训成本</w:t>
            </w:r>
          </w:p>
        </w:tc>
        <w:tc>
          <w:tcPr>
            <w:tcW w:w="2268" w:type="dxa"/>
            <w:vAlign w:val="center"/>
          </w:tcPr>
          <w:p>
            <w:pPr>
              <w:pStyle w:val="12"/>
            </w:pPr>
            <w:r>
              <w:t>≤0.6万元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县乡两级林长制监管平台、信息发布平台建设维护成本</w:t>
            </w:r>
          </w:p>
        </w:tc>
        <w:tc>
          <w:tcPr>
            <w:tcW w:w="5386" w:type="dxa"/>
            <w:vAlign w:val="center"/>
          </w:tcPr>
          <w:p>
            <w:pPr>
              <w:pStyle w:val="12"/>
            </w:pPr>
            <w:r>
              <w:t>反映县乡两级林长制监管平台、信息发布平台建设维护成本</w:t>
            </w:r>
          </w:p>
        </w:tc>
        <w:tc>
          <w:tcPr>
            <w:tcW w:w="2268" w:type="dxa"/>
            <w:vAlign w:val="center"/>
          </w:tcPr>
          <w:p>
            <w:pPr>
              <w:pStyle w:val="12"/>
            </w:pPr>
            <w:r>
              <w:t>≤0.6万元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反映全面推行林长制工作对森林资源保护带来的长期效果</w:t>
            </w:r>
          </w:p>
        </w:tc>
        <w:tc>
          <w:tcPr>
            <w:tcW w:w="5386" w:type="dxa"/>
            <w:vAlign w:val="center"/>
          </w:tcPr>
          <w:p>
            <w:pPr>
              <w:pStyle w:val="12"/>
            </w:pPr>
            <w:r>
              <w:t>反映全面推行林长制工作对森林资源保护带来的长期效果</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相关工作人员满意人数占总人数比率</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47、林长制工作经费绩效目标表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13032126P000116102811</w:t>
            </w:r>
          </w:p>
        </w:tc>
        <w:tc>
          <w:tcPr>
            <w:tcW w:w="2835" w:type="dxa"/>
            <w:vAlign w:val="center"/>
          </w:tcPr>
          <w:p>
            <w:pPr>
              <w:pStyle w:val="10"/>
            </w:pPr>
            <w:r>
              <w:t>项目名称</w:t>
            </w:r>
          </w:p>
        </w:tc>
        <w:tc>
          <w:tcPr>
            <w:tcW w:w="6095" w:type="dxa"/>
            <w:gridSpan w:val="3"/>
            <w:vAlign w:val="center"/>
          </w:tcPr>
          <w:p>
            <w:pPr>
              <w:pStyle w:val="12"/>
            </w:pPr>
            <w:r>
              <w:t>林长制工作经费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万元，其中财政拨款8万元。主要用于开展全面推行林长制工作，全面完成林业增绿增效行动计划，实现森林面积和蓄积量持续稳定增长，森林资源得到有效保护和合理利用，基本形成布局合理，结构优化，功能完善的森林生态体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1.通过开展全面推行林长制工作，全面完成林业增绿增效行动计划，实现森林面积和蓄积量持续稳定增长，森林资源得到有效保护和合理利用，基本形成布局合理，结构优化，功能完善的森林生态体系。</w:t>
            </w:r>
            <w:r>
              <w:tab/>
            </w:r>
            <w:r>
              <w:tab/>
            </w:r>
            <w:r>
              <w:tab/>
            </w:r>
            <w:r>
              <w:tab/>
            </w:r>
            <w:r>
              <w:tab/>
            </w:r>
            <w:r>
              <w:tab/>
            </w:r>
          </w:p>
          <w:p>
            <w:pPr>
              <w:pStyle w:val="12"/>
            </w:pPr>
          </w:p>
          <w:p>
            <w:pPr>
              <w:pStyle w:val="12"/>
            </w:pPr>
            <w:r>
              <w:t>2.通过开展全面推行林长制工作，森林生态环境显著改善，森林资源管理能力和水平规模提升，基本实现保护优先，协调发展，绿色惠民的目标。</w:t>
            </w:r>
            <w:r>
              <w:tab/>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国家、省、市林长制考核</w:t>
            </w:r>
          </w:p>
        </w:tc>
        <w:tc>
          <w:tcPr>
            <w:tcW w:w="5386" w:type="dxa"/>
            <w:vAlign w:val="center"/>
          </w:tcPr>
          <w:p>
            <w:pPr>
              <w:pStyle w:val="12"/>
            </w:pPr>
            <w:r>
              <w:t>反映国家、省、市林长制考核检查次数</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396个行政村县乡三级林长制监管平台、信息发布平台</w:t>
            </w:r>
          </w:p>
        </w:tc>
        <w:tc>
          <w:tcPr>
            <w:tcW w:w="5386" w:type="dxa"/>
            <w:vAlign w:val="center"/>
          </w:tcPr>
          <w:p>
            <w:pPr>
              <w:pStyle w:val="12"/>
            </w:pPr>
            <w:r>
              <w:t>反映县乡村三级林长制监管平台、信息发布平台建设维护个数</w:t>
            </w:r>
          </w:p>
        </w:tc>
        <w:tc>
          <w:tcPr>
            <w:tcW w:w="2268" w:type="dxa"/>
            <w:vAlign w:val="center"/>
          </w:tcPr>
          <w:p>
            <w:pPr>
              <w:pStyle w:val="12"/>
            </w:pPr>
            <w:r>
              <w:t>≥2个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林草湿资源调查监测</w:t>
            </w:r>
          </w:p>
        </w:tc>
        <w:tc>
          <w:tcPr>
            <w:tcW w:w="5386" w:type="dxa"/>
            <w:vAlign w:val="center"/>
          </w:tcPr>
          <w:p>
            <w:pPr>
              <w:pStyle w:val="12"/>
            </w:pPr>
            <w:r>
              <w:t>反映林草湿资源调查监测次数</w:t>
            </w:r>
          </w:p>
        </w:tc>
        <w:tc>
          <w:tcPr>
            <w:tcW w:w="2268" w:type="dxa"/>
            <w:vAlign w:val="center"/>
          </w:tcPr>
          <w:p>
            <w:pPr>
              <w:pStyle w:val="12"/>
            </w:pPr>
            <w:r>
              <w:t>≥3次</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护林员培训</w:t>
            </w:r>
          </w:p>
        </w:tc>
        <w:tc>
          <w:tcPr>
            <w:tcW w:w="5386" w:type="dxa"/>
            <w:vAlign w:val="center"/>
          </w:tcPr>
          <w:p>
            <w:pPr>
              <w:pStyle w:val="12"/>
            </w:pPr>
            <w:r>
              <w:t>反映提升护林员管护水平</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林草资源调查监测完工及时率</w:t>
            </w:r>
          </w:p>
        </w:tc>
        <w:tc>
          <w:tcPr>
            <w:tcW w:w="5386" w:type="dxa"/>
            <w:vAlign w:val="center"/>
          </w:tcPr>
          <w:p>
            <w:pPr>
              <w:pStyle w:val="12"/>
            </w:pPr>
            <w:r>
              <w:t>项目在规定期限内完成的比率</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各级林长、协作单位人员、护林员会议、培训</w:t>
            </w:r>
          </w:p>
        </w:tc>
        <w:tc>
          <w:tcPr>
            <w:tcW w:w="5386" w:type="dxa"/>
            <w:vAlign w:val="center"/>
          </w:tcPr>
          <w:p>
            <w:pPr>
              <w:pStyle w:val="12"/>
            </w:pPr>
            <w:r>
              <w:t>反映各级林长、协作单位人员、护林员会议、培训成本</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县乡两级林长制监管平台、信息发布平台建设维护成本</w:t>
            </w:r>
          </w:p>
        </w:tc>
        <w:tc>
          <w:tcPr>
            <w:tcW w:w="5386" w:type="dxa"/>
            <w:vAlign w:val="center"/>
          </w:tcPr>
          <w:p>
            <w:pPr>
              <w:pStyle w:val="12"/>
            </w:pPr>
            <w:r>
              <w:t>反映县乡两级林长制监管平台、信息发布平台建设维护成本</w:t>
            </w:r>
          </w:p>
        </w:tc>
        <w:tc>
          <w:tcPr>
            <w:tcW w:w="2268" w:type="dxa"/>
            <w:vAlign w:val="center"/>
          </w:tcPr>
          <w:p>
            <w:pPr>
              <w:pStyle w:val="12"/>
            </w:pPr>
            <w:r>
              <w:t>≤6万元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反映全面推行林长制工作对森林资源保护带来的长期效果</w:t>
            </w:r>
          </w:p>
        </w:tc>
        <w:tc>
          <w:tcPr>
            <w:tcW w:w="5386" w:type="dxa"/>
            <w:vAlign w:val="center"/>
          </w:tcPr>
          <w:p>
            <w:pPr>
              <w:pStyle w:val="12"/>
            </w:pPr>
            <w:r>
              <w:t>反映全面推行林长制工作对森林资源保护带来的长期效果</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相关工作人员满意人数占总人数比率</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48、林业违法案件鉴定费绩效目标表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13032125P00011610185P</w:t>
            </w:r>
          </w:p>
        </w:tc>
        <w:tc>
          <w:tcPr>
            <w:tcW w:w="2835" w:type="dxa"/>
            <w:vAlign w:val="center"/>
          </w:tcPr>
          <w:p>
            <w:pPr>
              <w:pStyle w:val="10"/>
            </w:pPr>
            <w:r>
              <w:t>项目名称</w:t>
            </w:r>
          </w:p>
        </w:tc>
        <w:tc>
          <w:tcPr>
            <w:tcW w:w="6095" w:type="dxa"/>
            <w:gridSpan w:val="3"/>
            <w:vAlign w:val="center"/>
          </w:tcPr>
          <w:p>
            <w:pPr>
              <w:pStyle w:val="12"/>
            </w:pPr>
            <w:r>
              <w:t>林业违法案件鉴定费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8.53</w:t>
            </w:r>
          </w:p>
        </w:tc>
        <w:tc>
          <w:tcPr>
            <w:tcW w:w="2835" w:type="dxa"/>
            <w:vAlign w:val="center"/>
          </w:tcPr>
          <w:p>
            <w:pPr>
              <w:pStyle w:val="10"/>
            </w:pPr>
            <w:r>
              <w:t>其中：财政    资金</w:t>
            </w:r>
          </w:p>
        </w:tc>
        <w:tc>
          <w:tcPr>
            <w:tcW w:w="2551" w:type="dxa"/>
            <w:vAlign w:val="center"/>
          </w:tcPr>
          <w:p>
            <w:pPr>
              <w:pStyle w:val="12"/>
            </w:pPr>
            <w:r>
              <w:t>8.53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预算安排8.527万元，其中财政拨款8.527万元，主要用于减少森林草原破坏，提升森林草原绿化率。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1.通过项目实施，减少森林草原破坏，提升森林草原绿化率。</w:t>
            </w:r>
          </w:p>
          <w:p>
            <w:pPr>
              <w:pStyle w:val="12"/>
            </w:pPr>
            <w:r>
              <w:t>2.通过项目实施，提升执法工作效率。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勘察频次</w:t>
            </w:r>
          </w:p>
        </w:tc>
        <w:tc>
          <w:tcPr>
            <w:tcW w:w="5386" w:type="dxa"/>
            <w:vAlign w:val="center"/>
          </w:tcPr>
          <w:p>
            <w:pPr>
              <w:pStyle w:val="12"/>
            </w:pPr>
            <w:r>
              <w:t>现场勘察频次</w:t>
            </w:r>
          </w:p>
        </w:tc>
        <w:tc>
          <w:tcPr>
            <w:tcW w:w="2268" w:type="dxa"/>
            <w:vAlign w:val="center"/>
          </w:tcPr>
          <w:p>
            <w:pPr>
              <w:pStyle w:val="12"/>
            </w:pPr>
            <w:r>
              <w:t>≥200次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勘察报告</w:t>
            </w:r>
          </w:p>
        </w:tc>
        <w:tc>
          <w:tcPr>
            <w:tcW w:w="5386" w:type="dxa"/>
            <w:vAlign w:val="center"/>
          </w:tcPr>
          <w:p>
            <w:pPr>
              <w:pStyle w:val="12"/>
            </w:pPr>
            <w:r>
              <w:t>完成勘察报告数量</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勘察覆盖率</w:t>
            </w:r>
          </w:p>
        </w:tc>
        <w:tc>
          <w:tcPr>
            <w:tcW w:w="5386" w:type="dxa"/>
            <w:vAlign w:val="center"/>
          </w:tcPr>
          <w:p>
            <w:pPr>
              <w:pStyle w:val="12"/>
            </w:pPr>
            <w:r>
              <w:t>全县勘察覆盖率</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勘察任务按时完成率</w:t>
            </w:r>
          </w:p>
        </w:tc>
        <w:tc>
          <w:tcPr>
            <w:tcW w:w="5386" w:type="dxa"/>
            <w:vAlign w:val="center"/>
          </w:tcPr>
          <w:p>
            <w:pPr>
              <w:pStyle w:val="12"/>
            </w:pPr>
            <w:r>
              <w:t>全县勘察按时完成率</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现场鉴定书</w:t>
            </w:r>
          </w:p>
        </w:tc>
        <w:tc>
          <w:tcPr>
            <w:tcW w:w="5386" w:type="dxa"/>
            <w:vAlign w:val="center"/>
          </w:tcPr>
          <w:p>
            <w:pPr>
              <w:pStyle w:val="12"/>
            </w:pPr>
            <w:r>
              <w:t>第三方出具每个现场鉴定书</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勘察所需差旅费支出</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组卷完成率</w:t>
            </w:r>
          </w:p>
        </w:tc>
        <w:tc>
          <w:tcPr>
            <w:tcW w:w="5386" w:type="dxa"/>
            <w:vAlign w:val="center"/>
          </w:tcPr>
          <w:p>
            <w:pPr>
              <w:pStyle w:val="12"/>
            </w:pPr>
            <w:r>
              <w:t>行政处罚组卷完成情况</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减少森林草原破坏</w:t>
            </w:r>
          </w:p>
        </w:tc>
        <w:tc>
          <w:tcPr>
            <w:tcW w:w="5386" w:type="dxa"/>
            <w:vAlign w:val="center"/>
          </w:tcPr>
          <w:p>
            <w:pPr>
              <w:pStyle w:val="12"/>
            </w:pPr>
            <w:r>
              <w:t>减少森林草原破坏率</w:t>
            </w:r>
          </w:p>
        </w:tc>
        <w:tc>
          <w:tcPr>
            <w:tcW w:w="2268" w:type="dxa"/>
            <w:vAlign w:val="center"/>
          </w:tcPr>
          <w:p>
            <w:pPr>
              <w:pStyle w:val="12"/>
            </w:pPr>
            <w:r>
              <w:t>≤5百分比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整改情况</w:t>
            </w:r>
          </w:p>
        </w:tc>
        <w:tc>
          <w:tcPr>
            <w:tcW w:w="5386" w:type="dxa"/>
            <w:vAlign w:val="center"/>
          </w:tcPr>
          <w:p>
            <w:pPr>
              <w:pStyle w:val="12"/>
            </w:pPr>
            <w:r>
              <w:t>勘察结果整改情况完成率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受查群众、企业满意度</w:t>
            </w:r>
          </w:p>
        </w:tc>
        <w:tc>
          <w:tcPr>
            <w:tcW w:w="5386" w:type="dxa"/>
            <w:vAlign w:val="center"/>
          </w:tcPr>
          <w:p>
            <w:pPr>
              <w:pStyle w:val="12"/>
            </w:pPr>
            <w:r>
              <w:t>执法人员投诉情况</w:t>
            </w:r>
          </w:p>
        </w:tc>
        <w:tc>
          <w:tcPr>
            <w:tcW w:w="2268" w:type="dxa"/>
            <w:vAlign w:val="center"/>
          </w:tcPr>
          <w:p>
            <w:pPr>
              <w:pStyle w:val="12"/>
            </w:pPr>
            <w:r>
              <w:t>≤10次</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49、南山公园管护项目资金绩效目标表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13032125P00329810008Y</w:t>
            </w:r>
          </w:p>
        </w:tc>
        <w:tc>
          <w:tcPr>
            <w:tcW w:w="2835" w:type="dxa"/>
            <w:vAlign w:val="center"/>
          </w:tcPr>
          <w:p>
            <w:pPr>
              <w:pStyle w:val="10"/>
            </w:pPr>
            <w:r>
              <w:t>项目名称</w:t>
            </w:r>
          </w:p>
        </w:tc>
        <w:tc>
          <w:tcPr>
            <w:tcW w:w="6095" w:type="dxa"/>
            <w:gridSpan w:val="3"/>
            <w:vAlign w:val="center"/>
          </w:tcPr>
          <w:p>
            <w:pPr>
              <w:pStyle w:val="12"/>
            </w:pPr>
            <w:r>
              <w:t>南山公园管护项目资金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项目金额5万元，其中财政拨款5万元，主要用于对保洁人员费用及时准有发放，有利地保障南山森林公园环境卫生保洁清运服务正常运转。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1.通过对保洁人员费用及时准有发放，有利地保障南山森林公园环境卫生保洁清运服务正常运转。</w:t>
            </w:r>
          </w:p>
          <w:p>
            <w:pPr>
              <w:pStyle w:val="12"/>
            </w:pPr>
            <w:r>
              <w:t>2.通过对服务范围为道路清扫保洁、小广告的清理、4个水冲公厕的卫生保洁、垃圾的收集和清运；保证公园环境卫生干净整洁。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负责清洁人员的数量</w:t>
            </w:r>
          </w:p>
        </w:tc>
        <w:tc>
          <w:tcPr>
            <w:tcW w:w="2268" w:type="dxa"/>
            <w:vAlign w:val="center"/>
          </w:tcPr>
          <w:p>
            <w:pPr>
              <w:pStyle w:val="12"/>
            </w:pPr>
            <w:r>
              <w:t>34人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南山森林公园的面积</w:t>
            </w:r>
          </w:p>
        </w:tc>
        <w:tc>
          <w:tcPr>
            <w:tcW w:w="5386" w:type="dxa"/>
            <w:vAlign w:val="center"/>
          </w:tcPr>
          <w:p>
            <w:pPr>
              <w:pStyle w:val="12"/>
            </w:pPr>
            <w:r>
              <w:t>主城区的面积</w:t>
            </w:r>
          </w:p>
        </w:tc>
        <w:tc>
          <w:tcPr>
            <w:tcW w:w="2268" w:type="dxa"/>
            <w:vAlign w:val="center"/>
          </w:tcPr>
          <w:p>
            <w:pPr>
              <w:pStyle w:val="12"/>
            </w:pPr>
            <w:r>
              <w:t>≥110万平方米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水冲公厕的数量</w:t>
            </w:r>
          </w:p>
        </w:tc>
        <w:tc>
          <w:tcPr>
            <w:tcW w:w="5386" w:type="dxa"/>
            <w:vAlign w:val="center"/>
          </w:tcPr>
          <w:p>
            <w:pPr>
              <w:pStyle w:val="12"/>
            </w:pPr>
            <w:r>
              <w:t>水冲公厕的数量</w:t>
            </w:r>
          </w:p>
        </w:tc>
        <w:tc>
          <w:tcPr>
            <w:tcW w:w="2268" w:type="dxa"/>
            <w:vAlign w:val="center"/>
          </w:tcPr>
          <w:p>
            <w:pPr>
              <w:pStyle w:val="12"/>
            </w:pPr>
            <w:r>
              <w:t>4个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正确支付资金的数额占总数额的比</w:t>
            </w:r>
          </w:p>
        </w:tc>
        <w:tc>
          <w:tcPr>
            <w:tcW w:w="2268" w:type="dxa"/>
            <w:vAlign w:val="center"/>
          </w:tcPr>
          <w:p>
            <w:pPr>
              <w:pStyle w:val="12"/>
            </w:pPr>
            <w:r>
              <w:t>≥98百分比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按目标任务按时间节点完成</w:t>
            </w:r>
          </w:p>
        </w:tc>
        <w:tc>
          <w:tcPr>
            <w:tcW w:w="2268" w:type="dxa"/>
            <w:vAlign w:val="center"/>
          </w:tcPr>
          <w:p>
            <w:pPr>
              <w:pStyle w:val="12"/>
            </w:pPr>
            <w:r>
              <w:t>2026年底</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每个服务周期成本控制数</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减少垃圾污染，提高环境质量</w:t>
            </w:r>
          </w:p>
        </w:tc>
        <w:tc>
          <w:tcPr>
            <w:tcW w:w="5386" w:type="dxa"/>
            <w:vAlign w:val="center"/>
          </w:tcPr>
          <w:p>
            <w:pPr>
              <w:pStyle w:val="12"/>
            </w:pPr>
            <w:r>
              <w:t>减少垃圾污染，提高生活环境质量</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持续改善人居环境，促进农村社会协调发展</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保洁人员满意度</w:t>
            </w:r>
          </w:p>
        </w:tc>
        <w:tc>
          <w:tcPr>
            <w:tcW w:w="5386" w:type="dxa"/>
            <w:vAlign w:val="center"/>
          </w:tcPr>
          <w:p>
            <w:pPr>
              <w:pStyle w:val="12"/>
            </w:pPr>
            <w:r>
              <w:t>保洁人员满意数量占总数的比例。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50、南山公园管护项目资金绩效目标表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13032126P003298100381</w:t>
            </w:r>
          </w:p>
        </w:tc>
        <w:tc>
          <w:tcPr>
            <w:tcW w:w="2835" w:type="dxa"/>
            <w:vAlign w:val="center"/>
          </w:tcPr>
          <w:p>
            <w:pPr>
              <w:pStyle w:val="10"/>
            </w:pPr>
            <w:r>
              <w:t>项目名称</w:t>
            </w:r>
          </w:p>
        </w:tc>
        <w:tc>
          <w:tcPr>
            <w:tcW w:w="6095" w:type="dxa"/>
            <w:gridSpan w:val="3"/>
            <w:vAlign w:val="center"/>
          </w:tcPr>
          <w:p>
            <w:pPr>
              <w:pStyle w:val="12"/>
            </w:pPr>
            <w:r>
              <w:t>南山公园管护项目资金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预算安排150万元，其中财政拨款150万元。主要用于对服务范围为道路清扫保洁、小广告的清理、4个水冲公厕的卫生保洁、垃圾的收集和清运；保证公园环境卫生干净整洁。</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1.通过对服务范围为道路清扫保洁、小广告的清理、4个水冲公厕的卫生保洁、垃圾的收集和清运；保证公园环境卫生干净整洁。</w:t>
            </w:r>
            <w:r>
              <w:tab/>
            </w:r>
            <w:r>
              <w:tab/>
            </w:r>
            <w:r>
              <w:tab/>
            </w:r>
            <w:r>
              <w:tab/>
            </w:r>
            <w:r>
              <w:tab/>
            </w:r>
            <w:r>
              <w:tab/>
            </w:r>
          </w:p>
          <w:p>
            <w:pPr>
              <w:pStyle w:val="12"/>
            </w:pPr>
          </w:p>
          <w:p>
            <w:pPr>
              <w:pStyle w:val="12"/>
            </w:pPr>
            <w:r>
              <w:t>2.通过对保洁人员费用及时准有发放，有利地保障南山森林公园环境卫生保洁清运服务正常运转。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负责清洁人员的数量</w:t>
            </w:r>
          </w:p>
        </w:tc>
        <w:tc>
          <w:tcPr>
            <w:tcW w:w="2268" w:type="dxa"/>
            <w:vAlign w:val="center"/>
          </w:tcPr>
          <w:p>
            <w:pPr>
              <w:pStyle w:val="12"/>
            </w:pPr>
            <w:r>
              <w:t>34人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南山森林公园的面积</w:t>
            </w:r>
          </w:p>
        </w:tc>
        <w:tc>
          <w:tcPr>
            <w:tcW w:w="5386" w:type="dxa"/>
            <w:vAlign w:val="center"/>
          </w:tcPr>
          <w:p>
            <w:pPr>
              <w:pStyle w:val="12"/>
            </w:pPr>
            <w:r>
              <w:t>主城区的面积</w:t>
            </w:r>
          </w:p>
        </w:tc>
        <w:tc>
          <w:tcPr>
            <w:tcW w:w="2268" w:type="dxa"/>
            <w:vAlign w:val="center"/>
          </w:tcPr>
          <w:p>
            <w:pPr>
              <w:pStyle w:val="12"/>
            </w:pPr>
            <w:r>
              <w:t>≥110万平方米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水冲公厕的数量</w:t>
            </w:r>
          </w:p>
        </w:tc>
        <w:tc>
          <w:tcPr>
            <w:tcW w:w="5386" w:type="dxa"/>
            <w:vAlign w:val="center"/>
          </w:tcPr>
          <w:p>
            <w:pPr>
              <w:pStyle w:val="12"/>
            </w:pPr>
            <w:r>
              <w:t>水冲公厕的数量</w:t>
            </w:r>
          </w:p>
        </w:tc>
        <w:tc>
          <w:tcPr>
            <w:tcW w:w="2268" w:type="dxa"/>
            <w:vAlign w:val="center"/>
          </w:tcPr>
          <w:p>
            <w:pPr>
              <w:pStyle w:val="12"/>
            </w:pPr>
            <w:r>
              <w:t>4个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正确支付资金的数额占总数额的比</w:t>
            </w:r>
          </w:p>
        </w:tc>
        <w:tc>
          <w:tcPr>
            <w:tcW w:w="2268" w:type="dxa"/>
            <w:vAlign w:val="center"/>
          </w:tcPr>
          <w:p>
            <w:pPr>
              <w:pStyle w:val="12"/>
            </w:pPr>
            <w:r>
              <w:t>≥98百分比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按目标任务按时间节点完成</w:t>
            </w:r>
          </w:p>
        </w:tc>
        <w:tc>
          <w:tcPr>
            <w:tcW w:w="2268" w:type="dxa"/>
            <w:vAlign w:val="center"/>
          </w:tcPr>
          <w:p>
            <w:pPr>
              <w:pStyle w:val="12"/>
            </w:pPr>
            <w:r>
              <w:t>2026年底</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每个服务周期成本控制数</w:t>
            </w:r>
          </w:p>
        </w:tc>
        <w:tc>
          <w:tcPr>
            <w:tcW w:w="2268" w:type="dxa"/>
            <w:vAlign w:val="center"/>
          </w:tcPr>
          <w:p>
            <w:pPr>
              <w:pStyle w:val="12"/>
            </w:pPr>
            <w:r>
              <w:t>≤150万元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减少垃圾污染，提高环境质量</w:t>
            </w:r>
          </w:p>
        </w:tc>
        <w:tc>
          <w:tcPr>
            <w:tcW w:w="5386" w:type="dxa"/>
            <w:vAlign w:val="center"/>
          </w:tcPr>
          <w:p>
            <w:pPr>
              <w:pStyle w:val="12"/>
            </w:pPr>
            <w:r>
              <w:t>减少垃圾污染，提高生活环境质量</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持续改善人居环境，促进农村社会协调发展</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保洁人员满意度</w:t>
            </w:r>
          </w:p>
        </w:tc>
        <w:tc>
          <w:tcPr>
            <w:tcW w:w="5386" w:type="dxa"/>
            <w:vAlign w:val="center"/>
          </w:tcPr>
          <w:p>
            <w:pPr>
              <w:pStyle w:val="12"/>
            </w:pPr>
            <w:r>
              <w:t>保洁人员满意数量占总数的比例。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51、南山森林防火基础设施建设项目绩效目标表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130321250KK3QFBGDQNCK</w:t>
            </w:r>
          </w:p>
        </w:tc>
        <w:tc>
          <w:tcPr>
            <w:tcW w:w="2835" w:type="dxa"/>
            <w:vAlign w:val="center"/>
          </w:tcPr>
          <w:p>
            <w:pPr>
              <w:pStyle w:val="10"/>
            </w:pPr>
            <w:r>
              <w:t>项目名称</w:t>
            </w:r>
          </w:p>
        </w:tc>
        <w:tc>
          <w:tcPr>
            <w:tcW w:w="6095" w:type="dxa"/>
            <w:gridSpan w:val="3"/>
            <w:vAlign w:val="center"/>
          </w:tcPr>
          <w:p>
            <w:pPr>
              <w:pStyle w:val="12"/>
            </w:pPr>
            <w:r>
              <w:t>南山森林防火基础设施建设项目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210.00</w:t>
            </w:r>
          </w:p>
        </w:tc>
        <w:tc>
          <w:tcPr>
            <w:tcW w:w="2835" w:type="dxa"/>
            <w:vAlign w:val="center"/>
          </w:tcPr>
          <w:p>
            <w:pPr>
              <w:pStyle w:val="10"/>
            </w:pPr>
            <w:r>
              <w:t>其中：财政    资金</w:t>
            </w:r>
          </w:p>
        </w:tc>
        <w:tc>
          <w:tcPr>
            <w:tcW w:w="2551" w:type="dxa"/>
            <w:vAlign w:val="center"/>
          </w:tcPr>
          <w:p>
            <w:pPr>
              <w:pStyle w:val="12"/>
            </w:pPr>
            <w:r>
              <w:t>210.00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预算安排200万元，其中财政拨款200万元，主要用于通过青龙南山森林体育公园项目建设，提高对南山森林的防火保护能力，同时拓展市民活动空间，提升城市服务水平。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1.通过青龙南山森林体育公园项目建设，提高对南山森林的防火保护能力，同时拓展市民活动空间，提升城市服务水平。</w:t>
            </w:r>
          </w:p>
          <w:p>
            <w:pPr>
              <w:pStyle w:val="12"/>
            </w:pPr>
            <w:r>
              <w:t>2.通过项目实施，实现为青龙南山森林体育公园防火做好保障。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防火消防通道</w:t>
            </w:r>
          </w:p>
        </w:tc>
        <w:tc>
          <w:tcPr>
            <w:tcW w:w="5386" w:type="dxa"/>
            <w:vAlign w:val="center"/>
          </w:tcPr>
          <w:p>
            <w:pPr>
              <w:pStyle w:val="12"/>
            </w:pPr>
            <w:r>
              <w:t>消防通道管径</w:t>
            </w:r>
          </w:p>
        </w:tc>
        <w:tc>
          <w:tcPr>
            <w:tcW w:w="2268" w:type="dxa"/>
            <w:vAlign w:val="center"/>
          </w:tcPr>
          <w:p>
            <w:pPr>
              <w:pStyle w:val="12"/>
            </w:pPr>
            <w:r>
              <w:t>500米</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支出合规率</w:t>
            </w:r>
          </w:p>
        </w:tc>
        <w:tc>
          <w:tcPr>
            <w:tcW w:w="5386" w:type="dxa"/>
            <w:vAlign w:val="center"/>
          </w:tcPr>
          <w:p>
            <w:pPr>
              <w:pStyle w:val="12"/>
            </w:pPr>
            <w:r>
              <w:t>反应项目支出程序符合内控标准，项目实施过程规范</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支出完成时间</w:t>
            </w:r>
          </w:p>
        </w:tc>
        <w:tc>
          <w:tcPr>
            <w:tcW w:w="5386" w:type="dxa"/>
            <w:vAlign w:val="center"/>
          </w:tcPr>
          <w:p>
            <w:pPr>
              <w:pStyle w:val="12"/>
            </w:pPr>
            <w:r>
              <w:t>业务相关费用完成全部支出时间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给付工程方时间</w:t>
            </w:r>
          </w:p>
        </w:tc>
        <w:tc>
          <w:tcPr>
            <w:tcW w:w="5386" w:type="dxa"/>
            <w:vAlign w:val="center"/>
          </w:tcPr>
          <w:p>
            <w:pPr>
              <w:pStyle w:val="12"/>
            </w:pPr>
            <w:r>
              <w:t>给付工程方时间</w:t>
            </w:r>
          </w:p>
        </w:tc>
        <w:tc>
          <w:tcPr>
            <w:tcW w:w="2268" w:type="dxa"/>
            <w:vAlign w:val="center"/>
          </w:tcPr>
          <w:p>
            <w:pPr>
              <w:pStyle w:val="12"/>
            </w:pPr>
            <w:r>
              <w:t>按照合同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w:t>
            </w:r>
          </w:p>
        </w:tc>
        <w:tc>
          <w:tcPr>
            <w:tcW w:w="5386" w:type="dxa"/>
            <w:vAlign w:val="center"/>
          </w:tcPr>
          <w:p>
            <w:pPr>
              <w:pStyle w:val="12"/>
            </w:pPr>
            <w:r>
              <w:t>工程成本</w:t>
            </w:r>
          </w:p>
        </w:tc>
        <w:tc>
          <w:tcPr>
            <w:tcW w:w="2268" w:type="dxa"/>
            <w:vAlign w:val="center"/>
          </w:tcPr>
          <w:p>
            <w:pPr>
              <w:pStyle w:val="12"/>
            </w:pPr>
            <w:r>
              <w:t>≥300万元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拓展市民活动空间，提升城市服务水平</w:t>
            </w:r>
          </w:p>
        </w:tc>
        <w:tc>
          <w:tcPr>
            <w:tcW w:w="5386" w:type="dxa"/>
            <w:vAlign w:val="center"/>
          </w:tcPr>
          <w:p>
            <w:pPr>
              <w:pStyle w:val="12"/>
            </w:pPr>
            <w:r>
              <w:t>通过征地建设防火通道工程，拓展市民活动空间，提升城市服务水平</w:t>
            </w:r>
          </w:p>
        </w:tc>
        <w:tc>
          <w:tcPr>
            <w:tcW w:w="2268" w:type="dxa"/>
            <w:vAlign w:val="center"/>
          </w:tcPr>
          <w:p>
            <w:pPr>
              <w:pStyle w:val="12"/>
            </w:pPr>
            <w:r>
              <w:t>≥80%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土地利用对社会需要的满足程度及产生的社会影响</w:t>
            </w:r>
          </w:p>
        </w:tc>
        <w:tc>
          <w:tcPr>
            <w:tcW w:w="5386" w:type="dxa"/>
            <w:vAlign w:val="center"/>
          </w:tcPr>
          <w:p>
            <w:pPr>
              <w:pStyle w:val="12"/>
            </w:pPr>
            <w:r>
              <w:t>土地利用对社会需要的满足程度及产生的社会影响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提高对南山森林的抚育及防火保护能力</w:t>
            </w:r>
          </w:p>
        </w:tc>
        <w:tc>
          <w:tcPr>
            <w:tcW w:w="5386" w:type="dxa"/>
            <w:vAlign w:val="center"/>
          </w:tcPr>
          <w:p>
            <w:pPr>
              <w:pStyle w:val="12"/>
            </w:pPr>
            <w:r>
              <w:t>提高对南山森林的抚育及防火保护能力，促进南山育林</w:t>
            </w:r>
          </w:p>
        </w:tc>
        <w:tc>
          <w:tcPr>
            <w:tcW w:w="2268" w:type="dxa"/>
            <w:vAlign w:val="center"/>
          </w:tcPr>
          <w:p>
            <w:pPr>
              <w:pStyle w:val="12"/>
            </w:pPr>
            <w:r>
              <w:t>≥80%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补偿人员满意度</w:t>
            </w:r>
          </w:p>
        </w:tc>
        <w:tc>
          <w:tcPr>
            <w:tcW w:w="5386" w:type="dxa"/>
            <w:vAlign w:val="center"/>
          </w:tcPr>
          <w:p>
            <w:pPr>
              <w:pStyle w:val="12"/>
            </w:pPr>
            <w:r>
              <w:t>相关受补偿人员满意人数占总人数比率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52、南山森林公园发展规划编制费绩效目标表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13032126P000116102792</w:t>
            </w:r>
          </w:p>
        </w:tc>
        <w:tc>
          <w:tcPr>
            <w:tcW w:w="2835" w:type="dxa"/>
            <w:vAlign w:val="center"/>
          </w:tcPr>
          <w:p>
            <w:pPr>
              <w:pStyle w:val="10"/>
            </w:pPr>
            <w:r>
              <w:t>项目名称</w:t>
            </w:r>
          </w:p>
        </w:tc>
        <w:tc>
          <w:tcPr>
            <w:tcW w:w="6095" w:type="dxa"/>
            <w:gridSpan w:val="3"/>
            <w:vAlign w:val="center"/>
          </w:tcPr>
          <w:p>
            <w:pPr>
              <w:pStyle w:val="12"/>
            </w:pPr>
            <w:r>
              <w:t>南山森林公园发展规划编制费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w:t>
            </w:r>
          </w:p>
        </w:tc>
        <w:tc>
          <w:tcPr>
            <w:tcW w:w="2835" w:type="dxa"/>
            <w:vAlign w:val="center"/>
          </w:tcPr>
          <w:p>
            <w:pPr>
              <w:pStyle w:val="10"/>
            </w:pPr>
            <w:r>
              <w:t>其中：财政    资金</w:t>
            </w:r>
          </w:p>
        </w:tc>
        <w:tc>
          <w:tcPr>
            <w:tcW w:w="2551" w:type="dxa"/>
            <w:vAlign w:val="center"/>
          </w:tcPr>
          <w:p>
            <w:pPr>
              <w:pStyle w:val="12"/>
            </w:pPr>
            <w:r>
              <w:t>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预算安排5.5万元，其中财政拨款5.5万元。主要用于开展此项活动，有效地保护南山森林公园保护地。</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1.通过开展此项活动，有效地开发利用南山森林公园保护地资源。</w:t>
            </w:r>
          </w:p>
          <w:p>
            <w:pPr>
              <w:pStyle w:val="12"/>
            </w:pPr>
            <w:r>
              <w:t>2.通过开展此项活动，有效地保护南山森林公园保护地。</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编制调查面积</w:t>
            </w:r>
          </w:p>
        </w:tc>
        <w:tc>
          <w:tcPr>
            <w:tcW w:w="5386" w:type="dxa"/>
            <w:vAlign w:val="center"/>
          </w:tcPr>
          <w:p>
            <w:pPr>
              <w:pStyle w:val="12"/>
            </w:pPr>
            <w:r>
              <w:t>编制调查面积</w:t>
            </w:r>
          </w:p>
        </w:tc>
        <w:tc>
          <w:tcPr>
            <w:tcW w:w="2268" w:type="dxa"/>
            <w:vAlign w:val="center"/>
          </w:tcPr>
          <w:p>
            <w:pPr>
              <w:pStyle w:val="12"/>
            </w:pPr>
            <w:r>
              <w:t>≥12.5公顷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规划编制成果数量</w:t>
            </w:r>
          </w:p>
        </w:tc>
        <w:tc>
          <w:tcPr>
            <w:tcW w:w="5386" w:type="dxa"/>
            <w:vAlign w:val="center"/>
          </w:tcPr>
          <w:p>
            <w:pPr>
              <w:pStyle w:val="12"/>
            </w:pPr>
            <w:r>
              <w:t>规划编制成果数量情况</w:t>
            </w:r>
          </w:p>
        </w:tc>
        <w:tc>
          <w:tcPr>
            <w:tcW w:w="2268" w:type="dxa"/>
            <w:vAlign w:val="center"/>
          </w:tcPr>
          <w:p>
            <w:pPr>
              <w:pStyle w:val="12"/>
            </w:pPr>
            <w:r>
              <w:t>≥1本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反映规划成果验收合格情况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规划编制时间</w:t>
            </w:r>
          </w:p>
        </w:tc>
        <w:tc>
          <w:tcPr>
            <w:tcW w:w="5386" w:type="dxa"/>
            <w:vAlign w:val="center"/>
          </w:tcPr>
          <w:p>
            <w:pPr>
              <w:pStyle w:val="12"/>
            </w:pPr>
            <w:r>
              <w:t>总体规划编制成果完成时间</w:t>
            </w:r>
          </w:p>
        </w:tc>
        <w:tc>
          <w:tcPr>
            <w:tcW w:w="2268" w:type="dxa"/>
            <w:vAlign w:val="center"/>
          </w:tcPr>
          <w:p>
            <w:pPr>
              <w:pStyle w:val="12"/>
            </w:pPr>
            <w:r>
              <w:t>已完成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规划编制费</w:t>
            </w:r>
          </w:p>
        </w:tc>
        <w:tc>
          <w:tcPr>
            <w:tcW w:w="5386" w:type="dxa"/>
            <w:vAlign w:val="center"/>
          </w:tcPr>
          <w:p>
            <w:pPr>
              <w:pStyle w:val="12"/>
            </w:pPr>
            <w:r>
              <w:t>聘请第三方机构规划编制费用</w:t>
            </w:r>
          </w:p>
        </w:tc>
        <w:tc>
          <w:tcPr>
            <w:tcW w:w="2268" w:type="dxa"/>
            <w:vAlign w:val="center"/>
          </w:tcPr>
          <w:p>
            <w:pPr>
              <w:pStyle w:val="12"/>
            </w:pPr>
            <w:r>
              <w:t>≤5.5万元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自然保护区后续发展指导性</w:t>
            </w:r>
          </w:p>
        </w:tc>
        <w:tc>
          <w:tcPr>
            <w:tcW w:w="5386" w:type="dxa"/>
            <w:vAlign w:val="center"/>
          </w:tcPr>
          <w:p>
            <w:pPr>
              <w:pStyle w:val="12"/>
            </w:pPr>
            <w:r>
              <w:t>自然保护区后续发展指导作用</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规划期蓄积增长量</w:t>
            </w:r>
          </w:p>
        </w:tc>
        <w:tc>
          <w:tcPr>
            <w:tcW w:w="5386" w:type="dxa"/>
            <w:vAlign w:val="center"/>
          </w:tcPr>
          <w:p>
            <w:pPr>
              <w:pStyle w:val="12"/>
            </w:pPr>
            <w:r>
              <w:t>规划期林木蓄积增长量</w:t>
            </w:r>
          </w:p>
        </w:tc>
        <w:tc>
          <w:tcPr>
            <w:tcW w:w="2268" w:type="dxa"/>
            <w:vAlign w:val="center"/>
          </w:tcPr>
          <w:p>
            <w:pPr>
              <w:pStyle w:val="12"/>
            </w:pPr>
            <w:r>
              <w:t>≥150立方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对保护区发展影响</w:t>
            </w:r>
          </w:p>
        </w:tc>
        <w:tc>
          <w:tcPr>
            <w:tcW w:w="5386" w:type="dxa"/>
            <w:vAlign w:val="center"/>
          </w:tcPr>
          <w:p>
            <w:pPr>
              <w:pStyle w:val="12"/>
            </w:pPr>
            <w:r>
              <w:t>对保护区发展影响</w:t>
            </w:r>
          </w:p>
        </w:tc>
        <w:tc>
          <w:tcPr>
            <w:tcW w:w="2268" w:type="dxa"/>
            <w:vAlign w:val="center"/>
          </w:tcPr>
          <w:p>
            <w:pPr>
              <w:pStyle w:val="12"/>
            </w:pPr>
            <w:r>
              <w:t>≥9年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通过问卷调查。满意和比较满意的对象占比率</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53、南山森林公园防火监控及广播服务费绩效目标表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13032125P00330610067X</w:t>
            </w:r>
          </w:p>
        </w:tc>
        <w:tc>
          <w:tcPr>
            <w:tcW w:w="2835" w:type="dxa"/>
            <w:vAlign w:val="center"/>
          </w:tcPr>
          <w:p>
            <w:pPr>
              <w:pStyle w:val="10"/>
            </w:pPr>
            <w:r>
              <w:t>项目名称</w:t>
            </w:r>
          </w:p>
        </w:tc>
        <w:tc>
          <w:tcPr>
            <w:tcW w:w="6095" w:type="dxa"/>
            <w:gridSpan w:val="3"/>
            <w:vAlign w:val="center"/>
          </w:tcPr>
          <w:p>
            <w:pPr>
              <w:pStyle w:val="12"/>
            </w:pPr>
            <w:r>
              <w:t>南山森林公园防火监控及广播服务费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预算安排16万元，其中财政拨款16万元。主要用于开展此项工作，购买森林防火视频监控系统服务，在全县范围内进行林业防火监控，实现及时发现火情。</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1.通过开展此项工作，视频监控系统服务，提高日常火灾预警能力，达到降低火灾损失的效果。</w:t>
            </w:r>
          </w:p>
          <w:p>
            <w:pPr>
              <w:pStyle w:val="12"/>
            </w:pPr>
            <w:r>
              <w:t>2.通过开展此项工作，购买森林防火视频监控系统服务，在全县范围内进行林业防火监控，实现及时发现火情。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安装广播数</w:t>
            </w:r>
          </w:p>
        </w:tc>
        <w:tc>
          <w:tcPr>
            <w:tcW w:w="5386" w:type="dxa"/>
            <w:vAlign w:val="center"/>
          </w:tcPr>
          <w:p>
            <w:pPr>
              <w:pStyle w:val="12"/>
            </w:pPr>
            <w:r>
              <w:t>用于提供南山森林公园防火宣传广播个数</w:t>
            </w:r>
          </w:p>
        </w:tc>
        <w:tc>
          <w:tcPr>
            <w:tcW w:w="2268" w:type="dxa"/>
            <w:vAlign w:val="center"/>
          </w:tcPr>
          <w:p>
            <w:pPr>
              <w:pStyle w:val="12"/>
            </w:pPr>
            <w:r>
              <w:t>≥250个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安装视频监控数</w:t>
            </w:r>
          </w:p>
        </w:tc>
        <w:tc>
          <w:tcPr>
            <w:tcW w:w="5386" w:type="dxa"/>
            <w:vAlign w:val="center"/>
          </w:tcPr>
          <w:p>
            <w:pPr>
              <w:pStyle w:val="12"/>
            </w:pPr>
            <w:r>
              <w:t>用于提供南山森林公园防火视频监控的数量</w:t>
            </w:r>
          </w:p>
        </w:tc>
        <w:tc>
          <w:tcPr>
            <w:tcW w:w="2268" w:type="dxa"/>
            <w:vAlign w:val="center"/>
          </w:tcPr>
          <w:p>
            <w:pPr>
              <w:pStyle w:val="12"/>
            </w:pPr>
            <w:r>
              <w:t>≥50个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提供防火视频监控系统合格率</w:t>
            </w:r>
          </w:p>
        </w:tc>
        <w:tc>
          <w:tcPr>
            <w:tcW w:w="5386" w:type="dxa"/>
            <w:vAlign w:val="center"/>
          </w:tcPr>
          <w:p>
            <w:pPr>
              <w:pStyle w:val="12"/>
            </w:pPr>
            <w:r>
              <w:t>提供防火视频监控系统合格率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2026年10月底前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≤16万元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及时发现火情</w:t>
            </w:r>
          </w:p>
        </w:tc>
        <w:tc>
          <w:tcPr>
            <w:tcW w:w="5386" w:type="dxa"/>
            <w:vAlign w:val="center"/>
          </w:tcPr>
          <w:p>
            <w:pPr>
              <w:pStyle w:val="12"/>
            </w:pPr>
            <w:r>
              <w:t>减少出现较大以上火灾</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避免伤亡事故</w:t>
            </w:r>
          </w:p>
        </w:tc>
        <w:tc>
          <w:tcPr>
            <w:tcW w:w="5386" w:type="dxa"/>
            <w:vAlign w:val="center"/>
          </w:tcPr>
          <w:p>
            <w:pPr>
              <w:pStyle w:val="12"/>
            </w:pPr>
            <w:r>
              <w:t>避免出现重大伤亡事故</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54、南山森林公园防火经费绩效目标表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13032126P003306100849</w:t>
            </w:r>
          </w:p>
        </w:tc>
        <w:tc>
          <w:tcPr>
            <w:tcW w:w="2835" w:type="dxa"/>
            <w:vAlign w:val="center"/>
          </w:tcPr>
          <w:p>
            <w:pPr>
              <w:pStyle w:val="10"/>
            </w:pPr>
            <w:r>
              <w:t>项目名称</w:t>
            </w:r>
          </w:p>
        </w:tc>
        <w:tc>
          <w:tcPr>
            <w:tcW w:w="6095" w:type="dxa"/>
            <w:gridSpan w:val="3"/>
            <w:vAlign w:val="center"/>
          </w:tcPr>
          <w:p>
            <w:pPr>
              <w:pStyle w:val="12"/>
            </w:pPr>
            <w:r>
              <w:t>南山森林公园防火经费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预算安排20万元，其中财政拨款20万元。主要用于开展防火工作，进行宣传、培训，达到提高群众防火意识和队员扑火技能，提升工作效率的效果。</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1.通过开展防火工作，对森林防火设施的维修及保养，保证防火设施的正常运转，达到将火灾隐患降到最低的效果。  </w:t>
            </w:r>
            <w:r>
              <w:tab/>
            </w:r>
            <w:r>
              <w:tab/>
            </w:r>
            <w:r>
              <w:tab/>
            </w:r>
            <w:r>
              <w:tab/>
            </w:r>
            <w:r>
              <w:tab/>
            </w:r>
            <w:r>
              <w:tab/>
            </w:r>
          </w:p>
          <w:p>
            <w:pPr>
              <w:pStyle w:val="12"/>
            </w:pPr>
          </w:p>
          <w:p>
            <w:pPr>
              <w:pStyle w:val="12"/>
            </w:pPr>
            <w:r>
              <w:t>2.通过开展防火工作，进行宣传、培训，达到提高群众防火意识和队员扑火技能，提升工作效率的效果。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防火宣传时长</w:t>
            </w:r>
          </w:p>
        </w:tc>
        <w:tc>
          <w:tcPr>
            <w:tcW w:w="5386" w:type="dxa"/>
            <w:vAlign w:val="center"/>
          </w:tcPr>
          <w:p>
            <w:pPr>
              <w:pStyle w:val="12"/>
            </w:pPr>
            <w:r>
              <w:t>每年春秋两季，防火宣传车沿旅游线路进行防火宣传的时长</w:t>
            </w:r>
          </w:p>
        </w:tc>
        <w:tc>
          <w:tcPr>
            <w:tcW w:w="2268" w:type="dxa"/>
            <w:vAlign w:val="center"/>
          </w:tcPr>
          <w:p>
            <w:pPr>
              <w:pStyle w:val="12"/>
            </w:pPr>
            <w:r>
              <w:t>≥2季度</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防火宣传手册的印发</w:t>
            </w:r>
          </w:p>
        </w:tc>
        <w:tc>
          <w:tcPr>
            <w:tcW w:w="5386" w:type="dxa"/>
            <w:vAlign w:val="center"/>
          </w:tcPr>
          <w:p>
            <w:pPr>
              <w:pStyle w:val="12"/>
            </w:pPr>
            <w:r>
              <w:t>每年向祖山周边村民进行防火宣传手册的发放数量</w:t>
            </w:r>
          </w:p>
        </w:tc>
        <w:tc>
          <w:tcPr>
            <w:tcW w:w="2268" w:type="dxa"/>
            <w:vAlign w:val="center"/>
          </w:tcPr>
          <w:p>
            <w:pPr>
              <w:pStyle w:val="12"/>
            </w:pPr>
            <w:r>
              <w:t>≥5000册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当年实际日常巡查次数（次）</w:t>
            </w:r>
          </w:p>
        </w:tc>
        <w:tc>
          <w:tcPr>
            <w:tcW w:w="2268" w:type="dxa"/>
            <w:vAlign w:val="center"/>
          </w:tcPr>
          <w:p>
            <w:pPr>
              <w:pStyle w:val="12"/>
            </w:pPr>
            <w:r>
              <w:t>≥500人次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森林火灾下降率</w:t>
            </w:r>
          </w:p>
        </w:tc>
        <w:tc>
          <w:tcPr>
            <w:tcW w:w="5386" w:type="dxa"/>
            <w:vAlign w:val="center"/>
          </w:tcPr>
          <w:p>
            <w:pPr>
              <w:pStyle w:val="12"/>
            </w:pPr>
            <w:r>
              <w:t>森林火灾下降率</w:t>
            </w:r>
          </w:p>
        </w:tc>
        <w:tc>
          <w:tcPr>
            <w:tcW w:w="2268" w:type="dxa"/>
            <w:vAlign w:val="center"/>
          </w:tcPr>
          <w:p>
            <w:pPr>
              <w:pStyle w:val="12"/>
            </w:pPr>
            <w:r>
              <w:t>≥10百分比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反映工作完成时间</w:t>
            </w:r>
          </w:p>
        </w:tc>
        <w:tc>
          <w:tcPr>
            <w:tcW w:w="2268" w:type="dxa"/>
            <w:vAlign w:val="center"/>
          </w:tcPr>
          <w:p>
            <w:pPr>
              <w:pStyle w:val="12"/>
            </w:pPr>
            <w:r>
              <w:t>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防火费用</w:t>
            </w:r>
          </w:p>
        </w:tc>
        <w:tc>
          <w:tcPr>
            <w:tcW w:w="5386" w:type="dxa"/>
            <w:vAlign w:val="center"/>
          </w:tcPr>
          <w:p>
            <w:pPr>
              <w:pStyle w:val="12"/>
            </w:pPr>
            <w:r>
              <w:t>反映防火费用的支出</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通过有效的防火宣传，保证年度火灾发生次数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减少森林资源损失，提高森林覆盖率.长期进行防炎宣传，增强防火意识</w:t>
            </w:r>
          </w:p>
        </w:tc>
        <w:tc>
          <w:tcPr>
            <w:tcW w:w="2268" w:type="dxa"/>
            <w:vAlign w:val="center"/>
          </w:tcPr>
          <w:p>
            <w:pPr>
              <w:pStyle w:val="12"/>
            </w:pPr>
            <w:r>
              <w:t>持续</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55、南山森林公园绿化养护项目资金绩效目标表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13032125P003298100125</w:t>
            </w:r>
          </w:p>
        </w:tc>
        <w:tc>
          <w:tcPr>
            <w:tcW w:w="2835" w:type="dxa"/>
            <w:vAlign w:val="center"/>
          </w:tcPr>
          <w:p>
            <w:pPr>
              <w:pStyle w:val="10"/>
            </w:pPr>
            <w:r>
              <w:t>项目名称</w:t>
            </w:r>
          </w:p>
        </w:tc>
        <w:tc>
          <w:tcPr>
            <w:tcW w:w="6095" w:type="dxa"/>
            <w:gridSpan w:val="3"/>
            <w:vAlign w:val="center"/>
          </w:tcPr>
          <w:p>
            <w:pPr>
              <w:pStyle w:val="12"/>
            </w:pPr>
            <w:r>
              <w:t>南山森林公园绿化养护项目资金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项目金额25万元，其中财政拨款25万元，主要用于南山森林公园绿化养护工作，实现了养护规划管理更科学化、更规范化。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1.通过南山森林公园绿化养护工作，发挥更大的生态效益和社会效益。</w:t>
            </w:r>
          </w:p>
          <w:p>
            <w:pPr>
              <w:pStyle w:val="12"/>
            </w:pPr>
            <w:r>
              <w:t>2.通过南山森林公园绿化养护工作，实现了养护规划管理更科学化、更规范化。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制定并完善管理制度</w:t>
            </w:r>
          </w:p>
        </w:tc>
        <w:tc>
          <w:tcPr>
            <w:tcW w:w="5386" w:type="dxa"/>
            <w:vAlign w:val="center"/>
          </w:tcPr>
          <w:p>
            <w:pPr>
              <w:pStyle w:val="12"/>
            </w:pPr>
            <w:r>
              <w:t>完善《绿化养护管理制度》</w:t>
            </w:r>
          </w:p>
        </w:tc>
        <w:tc>
          <w:tcPr>
            <w:tcW w:w="2268" w:type="dxa"/>
            <w:vAlign w:val="center"/>
          </w:tcPr>
          <w:p>
            <w:pPr>
              <w:pStyle w:val="12"/>
            </w:pPr>
            <w:r>
              <w:t>1项</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养护面积</w:t>
            </w:r>
          </w:p>
        </w:tc>
        <w:tc>
          <w:tcPr>
            <w:tcW w:w="5386" w:type="dxa"/>
            <w:vAlign w:val="center"/>
          </w:tcPr>
          <w:p>
            <w:pPr>
              <w:pStyle w:val="12"/>
            </w:pPr>
            <w:r>
              <w:t>南山森林公园绿化养护，养护面积61000㎡</w:t>
            </w:r>
          </w:p>
        </w:tc>
        <w:tc>
          <w:tcPr>
            <w:tcW w:w="2268" w:type="dxa"/>
            <w:vAlign w:val="center"/>
          </w:tcPr>
          <w:p>
            <w:pPr>
              <w:pStyle w:val="12"/>
            </w:pPr>
            <w:r>
              <w:t>≥60000平方米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养护质量</w:t>
            </w:r>
          </w:p>
        </w:tc>
        <w:tc>
          <w:tcPr>
            <w:tcW w:w="5386" w:type="dxa"/>
            <w:vAlign w:val="center"/>
          </w:tcPr>
          <w:p>
            <w:pPr>
              <w:pStyle w:val="12"/>
            </w:pPr>
            <w:r>
              <w:t>养护达到的质量标准</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按照合同约定时间完成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各项费用</w:t>
            </w:r>
          </w:p>
        </w:tc>
        <w:tc>
          <w:tcPr>
            <w:tcW w:w="5386" w:type="dxa"/>
            <w:vAlign w:val="center"/>
          </w:tcPr>
          <w:p>
            <w:pPr>
              <w:pStyle w:val="12"/>
            </w:pPr>
            <w:r>
              <w:t>按照合同规定支付</w:t>
            </w:r>
          </w:p>
        </w:tc>
        <w:tc>
          <w:tcPr>
            <w:tcW w:w="2268" w:type="dxa"/>
            <w:vAlign w:val="center"/>
          </w:tcPr>
          <w:p>
            <w:pPr>
              <w:pStyle w:val="12"/>
            </w:pPr>
            <w:r>
              <w:t>≤25万元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促进南山森林公园绿化</w:t>
            </w:r>
          </w:p>
        </w:tc>
        <w:tc>
          <w:tcPr>
            <w:tcW w:w="5386" w:type="dxa"/>
            <w:vAlign w:val="center"/>
          </w:tcPr>
          <w:p>
            <w:pPr>
              <w:pStyle w:val="12"/>
            </w:pPr>
            <w:r>
              <w:t>促进南山森林公园绿化向节约型、生态型和功能完善型发展</w:t>
            </w:r>
          </w:p>
        </w:tc>
        <w:tc>
          <w:tcPr>
            <w:tcW w:w="2268" w:type="dxa"/>
            <w:vAlign w:val="center"/>
          </w:tcPr>
          <w:p>
            <w:pPr>
              <w:pStyle w:val="12"/>
            </w:pPr>
            <w:r>
              <w:t>≥80百分比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绿化、美化、净化环境</w:t>
            </w:r>
          </w:p>
        </w:tc>
        <w:tc>
          <w:tcPr>
            <w:tcW w:w="5386" w:type="dxa"/>
            <w:vAlign w:val="center"/>
          </w:tcPr>
          <w:p>
            <w:pPr>
              <w:pStyle w:val="12"/>
            </w:pPr>
            <w:r>
              <w:t>增加绿色覆盖面积、从而绿化、美化、净化环境。</w:t>
            </w:r>
          </w:p>
        </w:tc>
        <w:tc>
          <w:tcPr>
            <w:tcW w:w="2268" w:type="dxa"/>
            <w:vAlign w:val="center"/>
          </w:tcPr>
          <w:p>
            <w:pPr>
              <w:pStyle w:val="12"/>
            </w:pPr>
            <w:r>
              <w:t>≥75百分比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持续改善南山森林公园绿化</w:t>
            </w:r>
          </w:p>
        </w:tc>
        <w:tc>
          <w:tcPr>
            <w:tcW w:w="5386" w:type="dxa"/>
            <w:vAlign w:val="center"/>
          </w:tcPr>
          <w:p>
            <w:pPr>
              <w:pStyle w:val="12"/>
            </w:pPr>
            <w:r>
              <w:t>持续改善南山森林公园绿化和建设一流森林公园</w:t>
            </w:r>
          </w:p>
        </w:tc>
        <w:tc>
          <w:tcPr>
            <w:tcW w:w="2268" w:type="dxa"/>
            <w:vAlign w:val="center"/>
          </w:tcPr>
          <w:p>
            <w:pPr>
              <w:pStyle w:val="12"/>
            </w:pPr>
            <w:r>
              <w:t>≥85百分比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56、南山森林公园设施维修费绩效目标表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13032126P00011610284U</w:t>
            </w:r>
          </w:p>
        </w:tc>
        <w:tc>
          <w:tcPr>
            <w:tcW w:w="2835" w:type="dxa"/>
            <w:vAlign w:val="center"/>
          </w:tcPr>
          <w:p>
            <w:pPr>
              <w:pStyle w:val="10"/>
            </w:pPr>
            <w:r>
              <w:t>项目名称</w:t>
            </w:r>
          </w:p>
        </w:tc>
        <w:tc>
          <w:tcPr>
            <w:tcW w:w="6095" w:type="dxa"/>
            <w:gridSpan w:val="3"/>
            <w:vAlign w:val="center"/>
          </w:tcPr>
          <w:p>
            <w:pPr>
              <w:pStyle w:val="12"/>
            </w:pPr>
            <w:r>
              <w:t>南山森林公园设施维修费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7.96</w:t>
            </w:r>
          </w:p>
        </w:tc>
        <w:tc>
          <w:tcPr>
            <w:tcW w:w="2835" w:type="dxa"/>
            <w:vAlign w:val="center"/>
          </w:tcPr>
          <w:p>
            <w:pPr>
              <w:pStyle w:val="10"/>
            </w:pPr>
            <w:r>
              <w:t>其中：财政    资金</w:t>
            </w:r>
          </w:p>
        </w:tc>
        <w:tc>
          <w:tcPr>
            <w:tcW w:w="2551" w:type="dxa"/>
            <w:vAlign w:val="center"/>
          </w:tcPr>
          <w:p>
            <w:pPr>
              <w:pStyle w:val="12"/>
            </w:pPr>
            <w:r>
              <w:t>7.96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预算安排7.96万元，其中财政拨款7.96万元。主要用于对生态观光园进行维修,确保为群众提供高质量的休闲健身场所。</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1.通过对生态观光园进行维修,确保为群众提供高质量的休闲健身场所。</w:t>
            </w:r>
            <w:r>
              <w:tab/>
            </w:r>
            <w:r>
              <w:tab/>
            </w:r>
            <w:r>
              <w:tab/>
            </w:r>
            <w:r>
              <w:tab/>
            </w:r>
            <w:r>
              <w:tab/>
            </w:r>
            <w:r>
              <w:tab/>
            </w:r>
          </w:p>
          <w:p>
            <w:pPr>
              <w:pStyle w:val="12"/>
            </w:pPr>
          </w:p>
          <w:p>
            <w:pPr>
              <w:pStyle w:val="12"/>
            </w:pPr>
            <w:r>
              <w:t>2.通过对生态观光园进行维修，提高安全系数。</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维修公园内基础设施</w:t>
            </w:r>
          </w:p>
        </w:tc>
        <w:tc>
          <w:tcPr>
            <w:tcW w:w="5386" w:type="dxa"/>
            <w:vAlign w:val="center"/>
          </w:tcPr>
          <w:p>
            <w:pPr>
              <w:pStyle w:val="12"/>
            </w:pPr>
            <w:r>
              <w:t>维修基础设施个数</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维修南山森林公园路灯</w:t>
            </w:r>
          </w:p>
        </w:tc>
        <w:tc>
          <w:tcPr>
            <w:tcW w:w="5386" w:type="dxa"/>
            <w:vAlign w:val="center"/>
          </w:tcPr>
          <w:p>
            <w:pPr>
              <w:pStyle w:val="12"/>
            </w:pPr>
            <w:r>
              <w:t>维修路灯个数</w:t>
            </w:r>
          </w:p>
        </w:tc>
        <w:tc>
          <w:tcPr>
            <w:tcW w:w="2268" w:type="dxa"/>
            <w:vAlign w:val="center"/>
          </w:tcPr>
          <w:p>
            <w:pPr>
              <w:pStyle w:val="12"/>
            </w:pPr>
            <w:r>
              <w:t>≥80个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工程通过单位内部验收合格率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完成维修时限</w:t>
            </w:r>
          </w:p>
        </w:tc>
        <w:tc>
          <w:tcPr>
            <w:tcW w:w="2268" w:type="dxa"/>
            <w:vAlign w:val="center"/>
          </w:tcPr>
          <w:p>
            <w:pPr>
              <w:pStyle w:val="12"/>
            </w:pPr>
            <w:r>
              <w:t>≤5天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各项费用</w:t>
            </w:r>
          </w:p>
        </w:tc>
        <w:tc>
          <w:tcPr>
            <w:tcW w:w="5386" w:type="dxa"/>
            <w:vAlign w:val="center"/>
          </w:tcPr>
          <w:p>
            <w:pPr>
              <w:pStyle w:val="12"/>
            </w:pPr>
            <w:r>
              <w:t>按照合同规定支付</w:t>
            </w:r>
          </w:p>
        </w:tc>
        <w:tc>
          <w:tcPr>
            <w:tcW w:w="2268" w:type="dxa"/>
            <w:vAlign w:val="center"/>
          </w:tcPr>
          <w:p>
            <w:pPr>
              <w:pStyle w:val="12"/>
            </w:pPr>
            <w:r>
              <w:t>≤7.96万元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消除安全隐患</w:t>
            </w:r>
          </w:p>
        </w:tc>
        <w:tc>
          <w:tcPr>
            <w:tcW w:w="5386" w:type="dxa"/>
            <w:vAlign w:val="center"/>
          </w:tcPr>
          <w:p>
            <w:pPr>
              <w:pStyle w:val="12"/>
            </w:pPr>
            <w:r>
              <w:t>通过凉亭维修，消除安全隐患，安全事故率</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提供高质量的休闲健身场所</w:t>
            </w:r>
          </w:p>
        </w:tc>
        <w:tc>
          <w:tcPr>
            <w:tcW w:w="5386" w:type="dxa"/>
            <w:vAlign w:val="center"/>
          </w:tcPr>
          <w:p>
            <w:pPr>
              <w:pStyle w:val="12"/>
            </w:pPr>
            <w:r>
              <w:t>通过项目实施为群众提供高质量的休闲健身场所，提高全民身体素质</w:t>
            </w:r>
          </w:p>
        </w:tc>
        <w:tc>
          <w:tcPr>
            <w:tcW w:w="2268" w:type="dxa"/>
            <w:vAlign w:val="center"/>
          </w:tcPr>
          <w:p>
            <w:pPr>
              <w:pStyle w:val="12"/>
            </w:pPr>
            <w:r>
              <w:t>≥85百分比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生态环境质量提高比率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提高观光园持续服务率</w:t>
            </w:r>
          </w:p>
        </w:tc>
        <w:tc>
          <w:tcPr>
            <w:tcW w:w="5386" w:type="dxa"/>
            <w:vAlign w:val="center"/>
          </w:tcPr>
          <w:p>
            <w:pPr>
              <w:pStyle w:val="12"/>
            </w:pPr>
            <w:r>
              <w:t>提高观光园持续服务率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满意度调查</w:t>
            </w:r>
          </w:p>
        </w:tc>
        <w:tc>
          <w:tcPr>
            <w:tcW w:w="5386" w:type="dxa"/>
            <w:vAlign w:val="center"/>
          </w:tcPr>
          <w:p>
            <w:pPr>
              <w:pStyle w:val="12"/>
            </w:pPr>
            <w:r>
              <w:t>游客满意度调查</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57、南山生态观光园管理及维修费绩效目标表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13032125P000116100205</w:t>
            </w:r>
          </w:p>
        </w:tc>
        <w:tc>
          <w:tcPr>
            <w:tcW w:w="2835" w:type="dxa"/>
            <w:vAlign w:val="center"/>
          </w:tcPr>
          <w:p>
            <w:pPr>
              <w:pStyle w:val="10"/>
            </w:pPr>
            <w:r>
              <w:t>项目名称</w:t>
            </w:r>
          </w:p>
        </w:tc>
        <w:tc>
          <w:tcPr>
            <w:tcW w:w="6095" w:type="dxa"/>
            <w:gridSpan w:val="3"/>
            <w:vAlign w:val="center"/>
          </w:tcPr>
          <w:p>
            <w:pPr>
              <w:pStyle w:val="12"/>
            </w:pPr>
            <w:r>
              <w:t>南山生态观光园管理及维修费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8.09</w:t>
            </w:r>
          </w:p>
        </w:tc>
        <w:tc>
          <w:tcPr>
            <w:tcW w:w="2835" w:type="dxa"/>
            <w:vAlign w:val="center"/>
          </w:tcPr>
          <w:p>
            <w:pPr>
              <w:pStyle w:val="10"/>
            </w:pPr>
            <w:r>
              <w:t>其中：财政    资金</w:t>
            </w:r>
          </w:p>
        </w:tc>
        <w:tc>
          <w:tcPr>
            <w:tcW w:w="2551" w:type="dxa"/>
            <w:vAlign w:val="center"/>
          </w:tcPr>
          <w:p>
            <w:pPr>
              <w:pStyle w:val="12"/>
            </w:pPr>
            <w:r>
              <w:t>8.09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项目金额8.086067万元，其中财政拨款8.086067万元，主要用于对生态观光园进行维修，提高安全系数。</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1.通过对生态观光园进行维修，提高安全系数。</w:t>
            </w:r>
          </w:p>
          <w:p>
            <w:pPr>
              <w:pStyle w:val="12"/>
            </w:pPr>
            <w:r>
              <w:t>2.通过对生态观光园进行维修,确保为群众提供高质量的休闲健身场所。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维修公园内基础设施</w:t>
            </w:r>
          </w:p>
        </w:tc>
        <w:tc>
          <w:tcPr>
            <w:tcW w:w="5386" w:type="dxa"/>
            <w:vAlign w:val="center"/>
          </w:tcPr>
          <w:p>
            <w:pPr>
              <w:pStyle w:val="12"/>
            </w:pPr>
            <w:r>
              <w:t>维修基础设施个数</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维修南山森林公园路灯</w:t>
            </w:r>
          </w:p>
        </w:tc>
        <w:tc>
          <w:tcPr>
            <w:tcW w:w="5386" w:type="dxa"/>
            <w:vAlign w:val="center"/>
          </w:tcPr>
          <w:p>
            <w:pPr>
              <w:pStyle w:val="12"/>
            </w:pPr>
            <w:r>
              <w:t>维修路灯个数</w:t>
            </w:r>
          </w:p>
        </w:tc>
        <w:tc>
          <w:tcPr>
            <w:tcW w:w="2268" w:type="dxa"/>
            <w:vAlign w:val="center"/>
          </w:tcPr>
          <w:p>
            <w:pPr>
              <w:pStyle w:val="12"/>
            </w:pPr>
            <w:r>
              <w:t>≥80个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工程通过单位内部验收合格率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完成维修时限</w:t>
            </w:r>
          </w:p>
        </w:tc>
        <w:tc>
          <w:tcPr>
            <w:tcW w:w="2268" w:type="dxa"/>
            <w:vAlign w:val="center"/>
          </w:tcPr>
          <w:p>
            <w:pPr>
              <w:pStyle w:val="12"/>
            </w:pPr>
            <w:r>
              <w:t>≤5天</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各项费用</w:t>
            </w:r>
          </w:p>
        </w:tc>
        <w:tc>
          <w:tcPr>
            <w:tcW w:w="5386" w:type="dxa"/>
            <w:vAlign w:val="center"/>
          </w:tcPr>
          <w:p>
            <w:pPr>
              <w:pStyle w:val="12"/>
            </w:pPr>
            <w:r>
              <w:t>按照合同规定支付</w:t>
            </w:r>
          </w:p>
        </w:tc>
        <w:tc>
          <w:tcPr>
            <w:tcW w:w="2268" w:type="dxa"/>
            <w:vAlign w:val="center"/>
          </w:tcPr>
          <w:p>
            <w:pPr>
              <w:pStyle w:val="12"/>
            </w:pPr>
            <w:r>
              <w:t>≤8.09万元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消除安全隐患</w:t>
            </w:r>
          </w:p>
        </w:tc>
        <w:tc>
          <w:tcPr>
            <w:tcW w:w="5386" w:type="dxa"/>
            <w:vAlign w:val="center"/>
          </w:tcPr>
          <w:p>
            <w:pPr>
              <w:pStyle w:val="12"/>
            </w:pPr>
            <w:r>
              <w:t>通过凉亭维修，消除安全隐患，安全事故率</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提供高质量的休闲健身场所</w:t>
            </w:r>
          </w:p>
        </w:tc>
        <w:tc>
          <w:tcPr>
            <w:tcW w:w="5386" w:type="dxa"/>
            <w:vAlign w:val="center"/>
          </w:tcPr>
          <w:p>
            <w:pPr>
              <w:pStyle w:val="12"/>
            </w:pPr>
            <w:r>
              <w:t>通过项目实施为群众提供高质量的休闲健身场所，提高全民身体素质</w:t>
            </w:r>
          </w:p>
        </w:tc>
        <w:tc>
          <w:tcPr>
            <w:tcW w:w="2268" w:type="dxa"/>
            <w:vAlign w:val="center"/>
          </w:tcPr>
          <w:p>
            <w:pPr>
              <w:pStyle w:val="12"/>
            </w:pPr>
            <w:r>
              <w:t>≥85百分比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生态环境质量提高比率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提高观光园持续服务率</w:t>
            </w:r>
          </w:p>
        </w:tc>
        <w:tc>
          <w:tcPr>
            <w:tcW w:w="5386" w:type="dxa"/>
            <w:vAlign w:val="center"/>
          </w:tcPr>
          <w:p>
            <w:pPr>
              <w:pStyle w:val="12"/>
            </w:pPr>
            <w:r>
              <w:t>提高观光园持续服务率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满意度调查</w:t>
            </w:r>
          </w:p>
        </w:tc>
        <w:tc>
          <w:tcPr>
            <w:tcW w:w="5386" w:type="dxa"/>
            <w:vAlign w:val="center"/>
          </w:tcPr>
          <w:p>
            <w:pPr>
              <w:pStyle w:val="12"/>
            </w:pPr>
            <w:r>
              <w:t>游客满意度调查</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58、南山生态观光园梨园及步游路占地租金绩效目标表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13032125P00011610021Q</w:t>
            </w:r>
          </w:p>
        </w:tc>
        <w:tc>
          <w:tcPr>
            <w:tcW w:w="2835" w:type="dxa"/>
            <w:vAlign w:val="center"/>
          </w:tcPr>
          <w:p>
            <w:pPr>
              <w:pStyle w:val="10"/>
            </w:pPr>
            <w:r>
              <w:t>项目名称</w:t>
            </w:r>
          </w:p>
        </w:tc>
        <w:tc>
          <w:tcPr>
            <w:tcW w:w="6095" w:type="dxa"/>
            <w:gridSpan w:val="3"/>
            <w:vAlign w:val="center"/>
          </w:tcPr>
          <w:p>
            <w:pPr>
              <w:pStyle w:val="12"/>
            </w:pPr>
            <w:r>
              <w:t>南山生态观光园梨园及步游路占地租金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项目金额9万元，其中财政拨款9万元，主要用于开展观光生态园运行维护，提高生态观光园环境建设水平。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1.通过开展观光生态园运行维护，提高生态观光园环境建设水平。</w:t>
            </w:r>
          </w:p>
          <w:p>
            <w:pPr>
              <w:pStyle w:val="12"/>
            </w:pPr>
            <w:r>
              <w:t>2.通过及时支付生态观光园租金，实现生态观光园正常运行。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租地数量</w:t>
            </w:r>
          </w:p>
        </w:tc>
        <w:tc>
          <w:tcPr>
            <w:tcW w:w="5386" w:type="dxa"/>
            <w:vAlign w:val="center"/>
          </w:tcPr>
          <w:p>
            <w:pPr>
              <w:pStyle w:val="12"/>
            </w:pPr>
            <w:r>
              <w:t>大杖子村梨园租地及步游路占地亩数</w:t>
            </w:r>
          </w:p>
        </w:tc>
        <w:tc>
          <w:tcPr>
            <w:tcW w:w="2268" w:type="dxa"/>
            <w:vAlign w:val="center"/>
          </w:tcPr>
          <w:p>
            <w:pPr>
              <w:pStyle w:val="12"/>
            </w:pPr>
            <w:r>
              <w:t>12.5亩</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租地质量</w:t>
            </w:r>
          </w:p>
        </w:tc>
        <w:tc>
          <w:tcPr>
            <w:tcW w:w="5386" w:type="dxa"/>
            <w:vAlign w:val="center"/>
          </w:tcPr>
          <w:p>
            <w:pPr>
              <w:pStyle w:val="12"/>
            </w:pPr>
            <w:r>
              <w:t>保证全年租地正常使用率</w:t>
            </w:r>
          </w:p>
        </w:tc>
        <w:tc>
          <w:tcPr>
            <w:tcW w:w="2268" w:type="dxa"/>
            <w:vAlign w:val="center"/>
          </w:tcPr>
          <w:p>
            <w:pPr>
              <w:pStyle w:val="12"/>
            </w:pPr>
            <w:r>
              <w:t>100百分比</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及时支付租金</w:t>
            </w:r>
          </w:p>
        </w:tc>
        <w:tc>
          <w:tcPr>
            <w:tcW w:w="5386" w:type="dxa"/>
            <w:vAlign w:val="center"/>
          </w:tcPr>
          <w:p>
            <w:pPr>
              <w:pStyle w:val="12"/>
            </w:pPr>
            <w:r>
              <w:t>严格按照协议及时支付租金</w:t>
            </w:r>
          </w:p>
        </w:tc>
        <w:tc>
          <w:tcPr>
            <w:tcW w:w="2268" w:type="dxa"/>
            <w:vAlign w:val="center"/>
          </w:tcPr>
          <w:p>
            <w:pPr>
              <w:pStyle w:val="12"/>
            </w:pPr>
            <w:r>
              <w:t>≤12月</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梨园及步游路占地租金</w:t>
            </w:r>
          </w:p>
        </w:tc>
        <w:tc>
          <w:tcPr>
            <w:tcW w:w="2268" w:type="dxa"/>
            <w:vAlign w:val="center"/>
          </w:tcPr>
          <w:p>
            <w:pPr>
              <w:pStyle w:val="12"/>
            </w:pPr>
            <w:r>
              <w:t>9万元</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确保公园正常运转</w:t>
            </w:r>
          </w:p>
        </w:tc>
        <w:tc>
          <w:tcPr>
            <w:tcW w:w="5386" w:type="dxa"/>
            <w:vAlign w:val="center"/>
          </w:tcPr>
          <w:p>
            <w:pPr>
              <w:pStyle w:val="12"/>
            </w:pPr>
            <w:r>
              <w:t>公园正常运转率</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提高大丈子村集体收入</w:t>
            </w:r>
          </w:p>
        </w:tc>
        <w:tc>
          <w:tcPr>
            <w:tcW w:w="5386" w:type="dxa"/>
            <w:vAlign w:val="center"/>
          </w:tcPr>
          <w:p>
            <w:pPr>
              <w:pStyle w:val="12"/>
            </w:pPr>
            <w:r>
              <w:t>租金收入占村集体收入比率</w:t>
            </w:r>
          </w:p>
        </w:tc>
        <w:tc>
          <w:tcPr>
            <w:tcW w:w="2268" w:type="dxa"/>
            <w:vAlign w:val="center"/>
          </w:tcPr>
          <w:p>
            <w:pPr>
              <w:pStyle w:val="12"/>
            </w:pPr>
            <w:r>
              <w:t>≥10百分比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游客持续增长</w:t>
            </w:r>
          </w:p>
        </w:tc>
        <w:tc>
          <w:tcPr>
            <w:tcW w:w="5386" w:type="dxa"/>
            <w:vAlign w:val="center"/>
          </w:tcPr>
          <w:p>
            <w:pPr>
              <w:pStyle w:val="12"/>
            </w:pPr>
            <w:r>
              <w:t>游客增长率</w:t>
            </w:r>
          </w:p>
        </w:tc>
        <w:tc>
          <w:tcPr>
            <w:tcW w:w="2268" w:type="dxa"/>
            <w:vAlign w:val="center"/>
          </w:tcPr>
          <w:p>
            <w:pPr>
              <w:pStyle w:val="12"/>
            </w:pPr>
            <w:r>
              <w:t>≥3百分比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持续保持南山观光园环境时间</w:t>
            </w:r>
          </w:p>
        </w:tc>
        <w:tc>
          <w:tcPr>
            <w:tcW w:w="5386" w:type="dxa"/>
            <w:vAlign w:val="center"/>
          </w:tcPr>
          <w:p>
            <w:pPr>
              <w:pStyle w:val="12"/>
            </w:pPr>
            <w:r>
              <w:t>持续保持南山观光园环境时间</w:t>
            </w:r>
          </w:p>
        </w:tc>
        <w:tc>
          <w:tcPr>
            <w:tcW w:w="2268" w:type="dxa"/>
            <w:vAlign w:val="center"/>
          </w:tcPr>
          <w:p>
            <w:pPr>
              <w:pStyle w:val="12"/>
            </w:pPr>
            <w:r>
              <w:t>≥1年</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通过抽查问卷的方式，调查部分群众的满意度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59、南山生态观光园梨园及步游路占地租金绩效目标表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13032126P000116102838</w:t>
            </w:r>
          </w:p>
        </w:tc>
        <w:tc>
          <w:tcPr>
            <w:tcW w:w="2835" w:type="dxa"/>
            <w:vAlign w:val="center"/>
          </w:tcPr>
          <w:p>
            <w:pPr>
              <w:pStyle w:val="10"/>
            </w:pPr>
            <w:r>
              <w:t>项目名称</w:t>
            </w:r>
          </w:p>
        </w:tc>
        <w:tc>
          <w:tcPr>
            <w:tcW w:w="6095" w:type="dxa"/>
            <w:gridSpan w:val="3"/>
            <w:vAlign w:val="center"/>
          </w:tcPr>
          <w:p>
            <w:pPr>
              <w:pStyle w:val="12"/>
            </w:pPr>
            <w:r>
              <w:t>南山生态观光园梨园及步游路占地租金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9.78</w:t>
            </w:r>
          </w:p>
        </w:tc>
        <w:tc>
          <w:tcPr>
            <w:tcW w:w="2835" w:type="dxa"/>
            <w:vAlign w:val="center"/>
          </w:tcPr>
          <w:p>
            <w:pPr>
              <w:pStyle w:val="10"/>
            </w:pPr>
            <w:r>
              <w:t>其中：财政    资金</w:t>
            </w:r>
          </w:p>
        </w:tc>
        <w:tc>
          <w:tcPr>
            <w:tcW w:w="2551" w:type="dxa"/>
            <w:vAlign w:val="center"/>
          </w:tcPr>
          <w:p>
            <w:pPr>
              <w:pStyle w:val="12"/>
            </w:pPr>
            <w:r>
              <w:t>9.78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预算安排9.78万元，其中财政拨款9.78万元。主要用于开展观光生态园运行维护，提高生态观光园环境建设水平。</w:t>
            </w:r>
            <w:r>
              <w:tab/>
            </w:r>
            <w:r>
              <w:tab/>
            </w:r>
            <w:r>
              <w:tab/>
            </w:r>
            <w:r>
              <w:tab/>
            </w:r>
            <w:r>
              <w:tab/>
            </w:r>
            <w:r>
              <w:tab/>
            </w:r>
          </w:p>
          <w:p>
            <w:pPr>
              <w:pStyle w:val="12"/>
            </w:pP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1.通过及时支付生态观光园租金，实现生态观光园正常运行。</w:t>
            </w:r>
            <w:r>
              <w:tab/>
            </w:r>
            <w:r>
              <w:tab/>
            </w:r>
            <w:r>
              <w:tab/>
            </w:r>
            <w:r>
              <w:tab/>
            </w:r>
            <w:r>
              <w:tab/>
            </w:r>
            <w:r>
              <w:tab/>
            </w:r>
          </w:p>
          <w:p>
            <w:pPr>
              <w:pStyle w:val="12"/>
            </w:pPr>
          </w:p>
          <w:p>
            <w:pPr>
              <w:pStyle w:val="12"/>
            </w:pPr>
            <w:r>
              <w:t>2.通过开展观光生态园运行维护，提高生态观光园环境建设水平。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租地数量</w:t>
            </w:r>
          </w:p>
        </w:tc>
        <w:tc>
          <w:tcPr>
            <w:tcW w:w="5386" w:type="dxa"/>
            <w:vAlign w:val="center"/>
          </w:tcPr>
          <w:p>
            <w:pPr>
              <w:pStyle w:val="12"/>
            </w:pPr>
            <w:r>
              <w:t>大杖子村梨园租地及步游路占地亩数</w:t>
            </w:r>
          </w:p>
        </w:tc>
        <w:tc>
          <w:tcPr>
            <w:tcW w:w="2268" w:type="dxa"/>
            <w:vAlign w:val="center"/>
          </w:tcPr>
          <w:p>
            <w:pPr>
              <w:pStyle w:val="12"/>
            </w:pPr>
            <w:r>
              <w:t>12.5亩</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租地质量</w:t>
            </w:r>
          </w:p>
        </w:tc>
        <w:tc>
          <w:tcPr>
            <w:tcW w:w="5386" w:type="dxa"/>
            <w:vAlign w:val="center"/>
          </w:tcPr>
          <w:p>
            <w:pPr>
              <w:pStyle w:val="12"/>
            </w:pPr>
            <w:r>
              <w:t>保证全年租地正常使用率</w:t>
            </w:r>
          </w:p>
        </w:tc>
        <w:tc>
          <w:tcPr>
            <w:tcW w:w="2268" w:type="dxa"/>
            <w:vAlign w:val="center"/>
          </w:tcPr>
          <w:p>
            <w:pPr>
              <w:pStyle w:val="12"/>
            </w:pPr>
            <w:r>
              <w:t>100百分比</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及时支付租金</w:t>
            </w:r>
          </w:p>
        </w:tc>
        <w:tc>
          <w:tcPr>
            <w:tcW w:w="5386" w:type="dxa"/>
            <w:vAlign w:val="center"/>
          </w:tcPr>
          <w:p>
            <w:pPr>
              <w:pStyle w:val="12"/>
            </w:pPr>
            <w:r>
              <w:t>严格按照协议及时支付租金</w:t>
            </w:r>
          </w:p>
        </w:tc>
        <w:tc>
          <w:tcPr>
            <w:tcW w:w="2268" w:type="dxa"/>
            <w:vAlign w:val="center"/>
          </w:tcPr>
          <w:p>
            <w:pPr>
              <w:pStyle w:val="12"/>
            </w:pPr>
            <w:r>
              <w:t>≤12月</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梨园及步游路占地租金</w:t>
            </w:r>
          </w:p>
        </w:tc>
        <w:tc>
          <w:tcPr>
            <w:tcW w:w="2268" w:type="dxa"/>
            <w:vAlign w:val="center"/>
          </w:tcPr>
          <w:p>
            <w:pPr>
              <w:pStyle w:val="12"/>
            </w:pPr>
            <w:r>
              <w:t>9.78万元</w:t>
            </w:r>
          </w:p>
        </w:tc>
        <w:tc>
          <w:tcPr>
            <w:tcW w:w="1276" w:type="dxa"/>
            <w:vAlign w:val="center"/>
          </w:tcPr>
          <w:p>
            <w:pPr>
              <w:pStyle w:val="12"/>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确保公园正常运转</w:t>
            </w:r>
          </w:p>
        </w:tc>
        <w:tc>
          <w:tcPr>
            <w:tcW w:w="5386" w:type="dxa"/>
            <w:vAlign w:val="center"/>
          </w:tcPr>
          <w:p>
            <w:pPr>
              <w:pStyle w:val="12"/>
            </w:pPr>
            <w:r>
              <w:t>公园正常运转率</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提高大丈子村集体收入</w:t>
            </w:r>
          </w:p>
        </w:tc>
        <w:tc>
          <w:tcPr>
            <w:tcW w:w="5386" w:type="dxa"/>
            <w:vAlign w:val="center"/>
          </w:tcPr>
          <w:p>
            <w:pPr>
              <w:pStyle w:val="12"/>
            </w:pPr>
            <w:r>
              <w:t>租金收入占村集体收入比率</w:t>
            </w:r>
          </w:p>
        </w:tc>
        <w:tc>
          <w:tcPr>
            <w:tcW w:w="2268" w:type="dxa"/>
            <w:vAlign w:val="center"/>
          </w:tcPr>
          <w:p>
            <w:pPr>
              <w:pStyle w:val="12"/>
            </w:pPr>
            <w:r>
              <w:t>≥10百分比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游客持续增长</w:t>
            </w:r>
          </w:p>
        </w:tc>
        <w:tc>
          <w:tcPr>
            <w:tcW w:w="5386" w:type="dxa"/>
            <w:vAlign w:val="center"/>
          </w:tcPr>
          <w:p>
            <w:pPr>
              <w:pStyle w:val="12"/>
            </w:pPr>
            <w:r>
              <w:t>游客增长率</w:t>
            </w:r>
          </w:p>
        </w:tc>
        <w:tc>
          <w:tcPr>
            <w:tcW w:w="2268" w:type="dxa"/>
            <w:vAlign w:val="center"/>
          </w:tcPr>
          <w:p>
            <w:pPr>
              <w:pStyle w:val="12"/>
            </w:pPr>
            <w:r>
              <w:t>≥3百分比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持续保持南山观光园环境时间</w:t>
            </w:r>
          </w:p>
        </w:tc>
        <w:tc>
          <w:tcPr>
            <w:tcW w:w="5386" w:type="dxa"/>
            <w:vAlign w:val="center"/>
          </w:tcPr>
          <w:p>
            <w:pPr>
              <w:pStyle w:val="12"/>
            </w:pPr>
            <w:r>
              <w:t>持续保持南山观光园环境时间</w:t>
            </w:r>
          </w:p>
        </w:tc>
        <w:tc>
          <w:tcPr>
            <w:tcW w:w="2268" w:type="dxa"/>
            <w:vAlign w:val="center"/>
          </w:tcPr>
          <w:p>
            <w:pPr>
              <w:pStyle w:val="12"/>
            </w:pPr>
            <w:r>
              <w:t>≥1年</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通过抽查问卷的方式，调查部分群众的满意度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60、秦皇岛市森林火灾高风险区综合治理工程项目地方配套资金绩效目标表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13032125P00330610009X</w:t>
            </w:r>
          </w:p>
        </w:tc>
        <w:tc>
          <w:tcPr>
            <w:tcW w:w="2835" w:type="dxa"/>
            <w:vAlign w:val="center"/>
          </w:tcPr>
          <w:p>
            <w:pPr>
              <w:pStyle w:val="10"/>
            </w:pPr>
            <w:r>
              <w:t>项目名称</w:t>
            </w:r>
          </w:p>
        </w:tc>
        <w:tc>
          <w:tcPr>
            <w:tcW w:w="6095" w:type="dxa"/>
            <w:gridSpan w:val="3"/>
            <w:vAlign w:val="center"/>
          </w:tcPr>
          <w:p>
            <w:pPr>
              <w:pStyle w:val="12"/>
            </w:pPr>
            <w:r>
              <w:t>秦皇岛市森林火灾高风险区综合治理工程项目地方配套资金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项目金额10万元，其中财政拨款10万元，主要用于建设森林草原阻隔系统，促进国有林场、自然保护地等重点区域内森林草原防火得以有效提升。</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1.通过国债项目，建设森林草原阻隔系统，促进国有林场、自然保护地等重点区域内森林草原防火得以有效提升。</w:t>
            </w:r>
            <w:r>
              <w:tab/>
            </w:r>
            <w:r>
              <w:tab/>
            </w:r>
            <w:r>
              <w:tab/>
            </w:r>
            <w:r>
              <w:tab/>
            </w:r>
            <w:r>
              <w:tab/>
            </w:r>
            <w:r>
              <w:tab/>
            </w:r>
          </w:p>
          <w:p>
            <w:pPr>
              <w:pStyle w:val="12"/>
            </w:pPr>
            <w:r>
              <w:t>2.通过国债项目，建设森林草原阻隔系统，确保森林草原防火得到保障</w:t>
            </w:r>
            <w:r>
              <w:tab/>
            </w:r>
            <w: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建设森林草原防火阻隔系统</w:t>
            </w:r>
          </w:p>
        </w:tc>
        <w:tc>
          <w:tcPr>
            <w:tcW w:w="5386" w:type="dxa"/>
            <w:vAlign w:val="center"/>
          </w:tcPr>
          <w:p>
            <w:pPr>
              <w:pStyle w:val="12"/>
            </w:pPr>
            <w:r>
              <w:t>新建防火防火阻隔系统</w:t>
            </w:r>
          </w:p>
        </w:tc>
        <w:tc>
          <w:tcPr>
            <w:tcW w:w="2268" w:type="dxa"/>
            <w:vAlign w:val="center"/>
          </w:tcPr>
          <w:p>
            <w:pPr>
              <w:pStyle w:val="12"/>
            </w:pPr>
            <w:r>
              <w:t>221.47公里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重点林区森林草原防火能力提升</w:t>
            </w:r>
          </w:p>
        </w:tc>
        <w:tc>
          <w:tcPr>
            <w:tcW w:w="5386" w:type="dxa"/>
            <w:vAlign w:val="center"/>
          </w:tcPr>
          <w:p>
            <w:pPr>
              <w:pStyle w:val="12"/>
            </w:pPr>
            <w:r>
              <w:t>重点林区内森林草原防火有效提升</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投入资金</w:t>
            </w:r>
          </w:p>
        </w:tc>
        <w:tc>
          <w:tcPr>
            <w:tcW w:w="5386" w:type="dxa"/>
            <w:vAlign w:val="center"/>
          </w:tcPr>
          <w:p>
            <w:pPr>
              <w:pStyle w:val="12"/>
            </w:pPr>
            <w:r>
              <w:t>国债森林草原阻隔系统建设</w:t>
            </w:r>
          </w:p>
        </w:tc>
        <w:tc>
          <w:tcPr>
            <w:tcW w:w="2268" w:type="dxa"/>
            <w:vAlign w:val="center"/>
          </w:tcPr>
          <w:p>
            <w:pPr>
              <w:pStyle w:val="12"/>
            </w:pPr>
            <w:r>
              <w:t>10万元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加强重点林区内森林草原防火</w:t>
            </w:r>
          </w:p>
        </w:tc>
        <w:tc>
          <w:tcPr>
            <w:tcW w:w="5386" w:type="dxa"/>
            <w:vAlign w:val="center"/>
          </w:tcPr>
          <w:p>
            <w:pPr>
              <w:pStyle w:val="12"/>
            </w:pPr>
            <w:r>
              <w:t>确保林区内森林草原防火得到有效控制</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加大重点林区内森林草原防火</w:t>
            </w:r>
          </w:p>
        </w:tc>
        <w:tc>
          <w:tcPr>
            <w:tcW w:w="5386" w:type="dxa"/>
            <w:vAlign w:val="center"/>
          </w:tcPr>
          <w:p>
            <w:pPr>
              <w:pStyle w:val="12"/>
            </w:pPr>
            <w:r>
              <w:t>确保林区内森林草原防护得到有效控制</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保障森林防火安全</w:t>
            </w:r>
          </w:p>
        </w:tc>
        <w:tc>
          <w:tcPr>
            <w:tcW w:w="5386" w:type="dxa"/>
            <w:vAlign w:val="center"/>
          </w:tcPr>
          <w:p>
            <w:pPr>
              <w:pStyle w:val="12"/>
            </w:pPr>
            <w:r>
              <w:t>保障森林防火安全</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61、青龙南山森林体育公园防火通道一期工程绩效目标表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130321227I1PWLEM3WNY6</w:t>
            </w:r>
          </w:p>
        </w:tc>
        <w:tc>
          <w:tcPr>
            <w:tcW w:w="2835" w:type="dxa"/>
            <w:vAlign w:val="center"/>
          </w:tcPr>
          <w:p>
            <w:pPr>
              <w:pStyle w:val="10"/>
            </w:pPr>
            <w:r>
              <w:t>项目名称</w:t>
            </w:r>
          </w:p>
        </w:tc>
        <w:tc>
          <w:tcPr>
            <w:tcW w:w="6095" w:type="dxa"/>
            <w:gridSpan w:val="3"/>
            <w:vAlign w:val="center"/>
          </w:tcPr>
          <w:p>
            <w:pPr>
              <w:pStyle w:val="12"/>
            </w:pPr>
            <w:r>
              <w:t>青龙南山森林体育公园防火通道一期工程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550.00</w:t>
            </w:r>
          </w:p>
        </w:tc>
        <w:tc>
          <w:tcPr>
            <w:tcW w:w="2835" w:type="dxa"/>
            <w:vAlign w:val="center"/>
          </w:tcPr>
          <w:p>
            <w:pPr>
              <w:pStyle w:val="10"/>
            </w:pPr>
            <w:r>
              <w:t>其中：财政    资金</w:t>
            </w:r>
          </w:p>
        </w:tc>
        <w:tc>
          <w:tcPr>
            <w:tcW w:w="2551" w:type="dxa"/>
            <w:vAlign w:val="center"/>
          </w:tcPr>
          <w:p>
            <w:pPr>
              <w:pStyle w:val="12"/>
            </w:pPr>
            <w:r>
              <w:t>550.00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预算安排400万元，其中财政拨款400万元，主要用于通过青龙南山森林体育公园防火通道一期工程项目建设，提高对南山森林的防火保护能力，同时拓展市民活动空间，提升城市服务水平。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1.通过青龙南山森林体育公园防火通道一期工程项目建设，提高对南山森林的防火保护能力，同时拓展市民活动空间，提升城市服务水平。</w:t>
            </w:r>
          </w:p>
          <w:p>
            <w:pPr>
              <w:pStyle w:val="12"/>
            </w:pPr>
            <w:r>
              <w:t>2.通过青龙镇三杈榆树、五道沟村耕地、园地、山地等用地78.42亩，实现为青龙南山森林体育公园防火通道一期工程项目做好用地保障。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保障防火通道用地面积</w:t>
            </w:r>
          </w:p>
        </w:tc>
        <w:tc>
          <w:tcPr>
            <w:tcW w:w="5386" w:type="dxa"/>
            <w:vAlign w:val="center"/>
          </w:tcPr>
          <w:p>
            <w:pPr>
              <w:pStyle w:val="12"/>
            </w:pPr>
            <w:r>
              <w:t>保障南山森林防火通道一期工程项目建设用地</w:t>
            </w:r>
          </w:p>
        </w:tc>
        <w:tc>
          <w:tcPr>
            <w:tcW w:w="2268" w:type="dxa"/>
            <w:vAlign w:val="center"/>
          </w:tcPr>
          <w:p>
            <w:pPr>
              <w:pStyle w:val="12"/>
            </w:pPr>
            <w:r>
              <w:t>≥78.42亩</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支出合规率</w:t>
            </w:r>
          </w:p>
        </w:tc>
        <w:tc>
          <w:tcPr>
            <w:tcW w:w="5386" w:type="dxa"/>
            <w:vAlign w:val="center"/>
          </w:tcPr>
          <w:p>
            <w:pPr>
              <w:pStyle w:val="12"/>
            </w:pPr>
            <w:r>
              <w:t>反应项目支出程序符合内控标准，项目实施过程规范</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支出完成时间</w:t>
            </w:r>
          </w:p>
        </w:tc>
        <w:tc>
          <w:tcPr>
            <w:tcW w:w="5386" w:type="dxa"/>
            <w:vAlign w:val="center"/>
          </w:tcPr>
          <w:p>
            <w:pPr>
              <w:pStyle w:val="12"/>
            </w:pPr>
            <w:r>
              <w:t>业务相关费用完成全部支出时间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区片3价</w:t>
            </w:r>
          </w:p>
        </w:tc>
        <w:tc>
          <w:tcPr>
            <w:tcW w:w="5386" w:type="dxa"/>
            <w:vAlign w:val="center"/>
          </w:tcPr>
          <w:p>
            <w:pPr>
              <w:pStyle w:val="12"/>
            </w:pPr>
            <w:r>
              <w:t>区片3补偿标准</w:t>
            </w:r>
          </w:p>
        </w:tc>
        <w:tc>
          <w:tcPr>
            <w:tcW w:w="2268" w:type="dxa"/>
            <w:vAlign w:val="center"/>
          </w:tcPr>
          <w:p>
            <w:pPr>
              <w:pStyle w:val="12"/>
            </w:pPr>
            <w:r>
              <w:t>5.5万元/亩</w:t>
            </w:r>
          </w:p>
        </w:tc>
        <w:tc>
          <w:tcPr>
            <w:tcW w:w="1276" w:type="dxa"/>
            <w:vAlign w:val="center"/>
          </w:tcPr>
          <w:p>
            <w:pPr>
              <w:pStyle w:val="12"/>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区片3价</w:t>
            </w:r>
          </w:p>
        </w:tc>
        <w:tc>
          <w:tcPr>
            <w:tcW w:w="5386" w:type="dxa"/>
            <w:vAlign w:val="center"/>
          </w:tcPr>
          <w:p>
            <w:pPr>
              <w:pStyle w:val="12"/>
            </w:pPr>
            <w:r>
              <w:t>区片1补偿标准</w:t>
            </w:r>
          </w:p>
        </w:tc>
        <w:tc>
          <w:tcPr>
            <w:tcW w:w="2268" w:type="dxa"/>
            <w:vAlign w:val="center"/>
          </w:tcPr>
          <w:p>
            <w:pPr>
              <w:pStyle w:val="12"/>
            </w:pPr>
            <w:r>
              <w:t>≥13万元/亩</w:t>
            </w:r>
          </w:p>
        </w:tc>
        <w:tc>
          <w:tcPr>
            <w:tcW w:w="1276" w:type="dxa"/>
            <w:vAlign w:val="center"/>
          </w:tcPr>
          <w:p>
            <w:pPr>
              <w:pStyle w:val="12"/>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拓展市民活动空间，提升城市服务水平</w:t>
            </w:r>
          </w:p>
        </w:tc>
        <w:tc>
          <w:tcPr>
            <w:tcW w:w="5386" w:type="dxa"/>
            <w:vAlign w:val="center"/>
          </w:tcPr>
          <w:p>
            <w:pPr>
              <w:pStyle w:val="12"/>
            </w:pPr>
            <w:r>
              <w:t>通过征地建设防火通道工程，拓展市民活动空间，提升城市服务水平</w:t>
            </w:r>
          </w:p>
        </w:tc>
        <w:tc>
          <w:tcPr>
            <w:tcW w:w="2268" w:type="dxa"/>
            <w:vAlign w:val="center"/>
          </w:tcPr>
          <w:p>
            <w:pPr>
              <w:pStyle w:val="12"/>
            </w:pPr>
            <w:r>
              <w:t>≥80%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土地利用对社会需要的满足程度及产生的社会影响</w:t>
            </w:r>
          </w:p>
        </w:tc>
        <w:tc>
          <w:tcPr>
            <w:tcW w:w="5386" w:type="dxa"/>
            <w:vAlign w:val="center"/>
          </w:tcPr>
          <w:p>
            <w:pPr>
              <w:pStyle w:val="12"/>
            </w:pPr>
            <w:r>
              <w:t>土地利用对社会需要的满足程度及产生的社会影响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提高对南山森林的抚育及防火保护能力</w:t>
            </w:r>
          </w:p>
        </w:tc>
        <w:tc>
          <w:tcPr>
            <w:tcW w:w="5386" w:type="dxa"/>
            <w:vAlign w:val="center"/>
          </w:tcPr>
          <w:p>
            <w:pPr>
              <w:pStyle w:val="12"/>
            </w:pPr>
            <w:r>
              <w:t>提高对南山森林的抚育及防火保护能力，促进南山育林</w:t>
            </w:r>
          </w:p>
        </w:tc>
        <w:tc>
          <w:tcPr>
            <w:tcW w:w="2268" w:type="dxa"/>
            <w:vAlign w:val="center"/>
          </w:tcPr>
          <w:p>
            <w:pPr>
              <w:pStyle w:val="12"/>
            </w:pPr>
            <w:r>
              <w:t>≥80%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补偿人员满意度</w:t>
            </w:r>
          </w:p>
        </w:tc>
        <w:tc>
          <w:tcPr>
            <w:tcW w:w="5386" w:type="dxa"/>
            <w:vAlign w:val="center"/>
          </w:tcPr>
          <w:p>
            <w:pPr>
              <w:pStyle w:val="12"/>
            </w:pPr>
            <w:r>
              <w:t>相关受补偿人员满意人数占总人数比率</w:t>
            </w:r>
          </w:p>
        </w:tc>
        <w:tc>
          <w:tcPr>
            <w:tcW w:w="2268" w:type="dxa"/>
            <w:vAlign w:val="center"/>
          </w:tcPr>
          <w:p>
            <w:pPr>
              <w:pStyle w:val="12"/>
            </w:pPr>
            <w:r>
              <w:t>≥80%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62、森林防火综合管理系统（二期）项目资金绩效目标表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13032125P00330610066A</w:t>
            </w:r>
          </w:p>
        </w:tc>
        <w:tc>
          <w:tcPr>
            <w:tcW w:w="2835" w:type="dxa"/>
            <w:vAlign w:val="center"/>
          </w:tcPr>
          <w:p>
            <w:pPr>
              <w:pStyle w:val="10"/>
            </w:pPr>
            <w:r>
              <w:t>项目名称</w:t>
            </w:r>
          </w:p>
        </w:tc>
        <w:tc>
          <w:tcPr>
            <w:tcW w:w="6095" w:type="dxa"/>
            <w:gridSpan w:val="3"/>
            <w:vAlign w:val="center"/>
          </w:tcPr>
          <w:p>
            <w:pPr>
              <w:pStyle w:val="12"/>
            </w:pPr>
            <w:r>
              <w:t>森林防火综合管理系统（二期）项目资金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25.74</w:t>
            </w:r>
          </w:p>
        </w:tc>
        <w:tc>
          <w:tcPr>
            <w:tcW w:w="2835" w:type="dxa"/>
            <w:vAlign w:val="center"/>
          </w:tcPr>
          <w:p>
            <w:pPr>
              <w:pStyle w:val="10"/>
            </w:pPr>
            <w:r>
              <w:t>其中：财政    资金</w:t>
            </w:r>
          </w:p>
        </w:tc>
        <w:tc>
          <w:tcPr>
            <w:tcW w:w="2551" w:type="dxa"/>
            <w:vAlign w:val="center"/>
          </w:tcPr>
          <w:p>
            <w:pPr>
              <w:pStyle w:val="12"/>
            </w:pPr>
            <w:r>
              <w:t>25.74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预算安排25.74万元，其中财政拨款25.74万元。主要用于开展此项工作，购买森林防火视频打卡及对讲系统服务，对消防队伍进行上下班视频打卡，实现严肃上班纪律；火灾救援对讲信息畅通功能。   </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1.通过开展此项工作，购买森林防火视频打卡及对讲系统服务，对消防队伍进行上下班视频打卡，实现严肃上班纪律；火灾救援对讲信息畅通功能。   </w:t>
            </w:r>
            <w:r>
              <w:tab/>
            </w:r>
            <w:r>
              <w:tab/>
            </w:r>
          </w:p>
          <w:p>
            <w:pPr>
              <w:pStyle w:val="12"/>
            </w:pPr>
            <w:r>
              <w:t>2.通过开展此项工作，视频打卡对讲系统服务，达到一旦发生火情人员标准化管理和火场信息畅通。</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服务的企业数</w:t>
            </w:r>
          </w:p>
        </w:tc>
        <w:tc>
          <w:tcPr>
            <w:tcW w:w="5386" w:type="dxa"/>
            <w:vAlign w:val="center"/>
          </w:tcPr>
          <w:p>
            <w:pPr>
              <w:pStyle w:val="12"/>
            </w:pPr>
            <w:r>
              <w:t>用于提供森林防火视频打卡系统服务企业数</w:t>
            </w:r>
          </w:p>
        </w:tc>
        <w:tc>
          <w:tcPr>
            <w:tcW w:w="2268" w:type="dxa"/>
            <w:vAlign w:val="center"/>
          </w:tcPr>
          <w:p>
            <w:pPr>
              <w:pStyle w:val="12"/>
            </w:pPr>
            <w:r>
              <w:t>1家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建设视频打卡系统数</w:t>
            </w:r>
          </w:p>
        </w:tc>
        <w:tc>
          <w:tcPr>
            <w:tcW w:w="5386" w:type="dxa"/>
            <w:vAlign w:val="center"/>
          </w:tcPr>
          <w:p>
            <w:pPr>
              <w:pStyle w:val="12"/>
            </w:pPr>
            <w:r>
              <w:t>用于提供森林防火视频打卡系统服务的数量</w:t>
            </w:r>
          </w:p>
        </w:tc>
        <w:tc>
          <w:tcPr>
            <w:tcW w:w="2268" w:type="dxa"/>
            <w:vAlign w:val="center"/>
          </w:tcPr>
          <w:p>
            <w:pPr>
              <w:pStyle w:val="12"/>
            </w:pPr>
            <w:r>
              <w:t>1套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提供防火视频打卡系统合格率</w:t>
            </w:r>
          </w:p>
        </w:tc>
        <w:tc>
          <w:tcPr>
            <w:tcW w:w="5386" w:type="dxa"/>
            <w:vAlign w:val="center"/>
          </w:tcPr>
          <w:p>
            <w:pPr>
              <w:pStyle w:val="12"/>
            </w:pPr>
            <w:r>
              <w:t>提供防火视频打卡系统合格率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2026年10月底前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≤25.74万元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及时上下班视频打卡，火场信息畅通</w:t>
            </w:r>
          </w:p>
        </w:tc>
        <w:tc>
          <w:tcPr>
            <w:tcW w:w="5386" w:type="dxa"/>
            <w:vAlign w:val="center"/>
          </w:tcPr>
          <w:p>
            <w:pPr>
              <w:pStyle w:val="12"/>
            </w:pPr>
            <w:r>
              <w:t>减少出现上班迟到早退，信息中断</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避免出现森林火情队伍集合不及时，信息不畅</w:t>
            </w:r>
          </w:p>
        </w:tc>
        <w:tc>
          <w:tcPr>
            <w:tcW w:w="5386" w:type="dxa"/>
            <w:vAlign w:val="center"/>
          </w:tcPr>
          <w:p>
            <w:pPr>
              <w:pStyle w:val="12"/>
            </w:pPr>
            <w:r>
              <w:t>避免出现达到一旦发生火情人员标准化管理和火场信息畅通</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63、森林消防员工资及社保缴费绩效目标表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13032126P00329810039L</w:t>
            </w:r>
          </w:p>
        </w:tc>
        <w:tc>
          <w:tcPr>
            <w:tcW w:w="2835" w:type="dxa"/>
            <w:vAlign w:val="center"/>
          </w:tcPr>
          <w:p>
            <w:pPr>
              <w:pStyle w:val="10"/>
            </w:pPr>
            <w:r>
              <w:t>项目名称</w:t>
            </w:r>
          </w:p>
        </w:tc>
        <w:tc>
          <w:tcPr>
            <w:tcW w:w="6095" w:type="dxa"/>
            <w:gridSpan w:val="3"/>
            <w:vAlign w:val="center"/>
          </w:tcPr>
          <w:p>
            <w:pPr>
              <w:pStyle w:val="12"/>
            </w:pPr>
            <w:r>
              <w:t>森林消防员工资及社保缴费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 xml:space="preserve"> </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预算安排1686.66万元，其中财政拨款1686.66万元。主要用于发放森林消防员工工资及社保缴费，实现原税管办分流人员的工资和各项保险缴费。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1.通过发放森林消防员工工资及社保缴费，实现原税管办分流人员的工资和各项保险缴费。</w:t>
            </w:r>
            <w:r>
              <w:tab/>
            </w:r>
          </w:p>
          <w:p>
            <w:pPr>
              <w:pStyle w:val="12"/>
            </w:pPr>
            <w:r>
              <w:t>2.通过发放森林消防员工工资及社保缴费，实现解决森林消防员工的工资和各项保险缴费。</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在职人员人数</w:t>
            </w:r>
          </w:p>
        </w:tc>
        <w:tc>
          <w:tcPr>
            <w:tcW w:w="5386" w:type="dxa"/>
            <w:vAlign w:val="center"/>
          </w:tcPr>
          <w:p>
            <w:pPr>
              <w:pStyle w:val="12"/>
            </w:pPr>
            <w:r>
              <w:t>用于森林扑火队员在职人员工资及保险费支出的人数</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人员人数</w:t>
            </w:r>
          </w:p>
        </w:tc>
        <w:tc>
          <w:tcPr>
            <w:tcW w:w="5386" w:type="dxa"/>
            <w:vAlign w:val="center"/>
          </w:tcPr>
          <w:p>
            <w:pPr>
              <w:pStyle w:val="12"/>
            </w:pPr>
            <w:r>
              <w:t>用于原税管办分流人员工资及保险支出的人数</w:t>
            </w:r>
          </w:p>
        </w:tc>
        <w:tc>
          <w:tcPr>
            <w:tcW w:w="2268" w:type="dxa"/>
            <w:vAlign w:val="center"/>
          </w:tcPr>
          <w:p>
            <w:pPr>
              <w:pStyle w:val="12"/>
            </w:pPr>
            <w:r>
              <w:t>66人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反映各项支出计算的准确率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各项支出缴纳、发放的及时率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发放工资和保险的支出</w:t>
            </w:r>
          </w:p>
        </w:tc>
        <w:tc>
          <w:tcPr>
            <w:tcW w:w="5386" w:type="dxa"/>
            <w:vAlign w:val="center"/>
          </w:tcPr>
          <w:p>
            <w:pPr>
              <w:pStyle w:val="12"/>
            </w:pPr>
            <w:r>
              <w:t>用于发放工资和保险的支出</w:t>
            </w:r>
          </w:p>
        </w:tc>
        <w:tc>
          <w:tcPr>
            <w:tcW w:w="2268" w:type="dxa"/>
            <w:vAlign w:val="center"/>
          </w:tcPr>
          <w:p>
            <w:pPr>
              <w:pStyle w:val="12"/>
            </w:pPr>
            <w:r>
              <w:t>≤1686.66万元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持续开展工作运转率</w:t>
            </w:r>
          </w:p>
        </w:tc>
        <w:tc>
          <w:tcPr>
            <w:tcW w:w="5386" w:type="dxa"/>
            <w:vAlign w:val="center"/>
          </w:tcPr>
          <w:p>
            <w:pPr>
              <w:pStyle w:val="12"/>
            </w:pPr>
            <w:r>
              <w:t>持续开展工作运转率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64、生态护林员意外保险、巡护记录本及袖标购置费绩效目标表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13032126P00011610280D</w:t>
            </w:r>
          </w:p>
        </w:tc>
        <w:tc>
          <w:tcPr>
            <w:tcW w:w="2835" w:type="dxa"/>
            <w:vAlign w:val="center"/>
          </w:tcPr>
          <w:p>
            <w:pPr>
              <w:pStyle w:val="10"/>
            </w:pPr>
            <w:r>
              <w:t>项目名称</w:t>
            </w:r>
          </w:p>
        </w:tc>
        <w:tc>
          <w:tcPr>
            <w:tcW w:w="6095" w:type="dxa"/>
            <w:gridSpan w:val="3"/>
            <w:vAlign w:val="center"/>
          </w:tcPr>
          <w:p>
            <w:pPr>
              <w:pStyle w:val="12"/>
            </w:pPr>
            <w:r>
              <w:t>生态护林员意外保险、巡护记录本及袖标购置费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预算安排30万元，其中财政拨款30万元。主要用于开展此项工作，对生态护林员标识佩戴，保证工作的正常运转，方便队伍管理的目的。</w:t>
            </w:r>
            <w:r>
              <w:tab/>
            </w:r>
            <w:r>
              <w:tab/>
            </w:r>
            <w:r>
              <w:tab/>
            </w: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1.通过开展此项工作，购买意外保险，保证生态护林员巡护过程中自身人身安全，实现提高工作效率的目的。</w:t>
            </w:r>
            <w:r>
              <w:tab/>
            </w:r>
          </w:p>
          <w:p>
            <w:pPr>
              <w:pStyle w:val="12"/>
            </w:pPr>
            <w:r>
              <w:t>2.通过开展此项工作，对生态护林员标识佩戴，保证工作的正常运转，方便队伍管理的目的。</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意外保险</w:t>
            </w:r>
          </w:p>
        </w:tc>
        <w:tc>
          <w:tcPr>
            <w:tcW w:w="5386" w:type="dxa"/>
            <w:vAlign w:val="center"/>
          </w:tcPr>
          <w:p>
            <w:pPr>
              <w:pStyle w:val="12"/>
            </w:pPr>
            <w:r>
              <w:t>购买意外保险数量</w:t>
            </w:r>
          </w:p>
        </w:tc>
        <w:tc>
          <w:tcPr>
            <w:tcW w:w="2268" w:type="dxa"/>
            <w:vAlign w:val="center"/>
          </w:tcPr>
          <w:p>
            <w:pPr>
              <w:pStyle w:val="12"/>
            </w:pPr>
            <w:r>
              <w:t>≥2303人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巡护记录本</w:t>
            </w:r>
          </w:p>
        </w:tc>
        <w:tc>
          <w:tcPr>
            <w:tcW w:w="5386" w:type="dxa"/>
            <w:vAlign w:val="center"/>
          </w:tcPr>
          <w:p>
            <w:pPr>
              <w:pStyle w:val="12"/>
            </w:pPr>
            <w:r>
              <w:t>购买巡护记录本数量</w:t>
            </w:r>
          </w:p>
        </w:tc>
        <w:tc>
          <w:tcPr>
            <w:tcW w:w="2268" w:type="dxa"/>
            <w:vAlign w:val="center"/>
          </w:tcPr>
          <w:p>
            <w:pPr>
              <w:pStyle w:val="12"/>
            </w:pPr>
            <w:r>
              <w:t>≥4606本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袖标</w:t>
            </w:r>
          </w:p>
        </w:tc>
        <w:tc>
          <w:tcPr>
            <w:tcW w:w="5386" w:type="dxa"/>
            <w:vAlign w:val="center"/>
          </w:tcPr>
          <w:p>
            <w:pPr>
              <w:pStyle w:val="12"/>
            </w:pPr>
            <w:r>
              <w:t>购买袖标数量</w:t>
            </w:r>
          </w:p>
        </w:tc>
        <w:tc>
          <w:tcPr>
            <w:tcW w:w="2268" w:type="dxa"/>
            <w:vAlign w:val="center"/>
          </w:tcPr>
          <w:p>
            <w:pPr>
              <w:pStyle w:val="12"/>
            </w:pPr>
            <w:r>
              <w:t>≥2303个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物资验收合格率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采购以及完成安装的时间</w:t>
            </w:r>
          </w:p>
        </w:tc>
        <w:tc>
          <w:tcPr>
            <w:tcW w:w="2268" w:type="dxa"/>
            <w:vAlign w:val="center"/>
          </w:tcPr>
          <w:p>
            <w:pPr>
              <w:pStyle w:val="12"/>
            </w:pPr>
            <w:r>
              <w:t>2026年12月底前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普意外保险单位成本</w:t>
            </w:r>
          </w:p>
        </w:tc>
        <w:tc>
          <w:tcPr>
            <w:tcW w:w="5386" w:type="dxa"/>
            <w:vAlign w:val="center"/>
          </w:tcPr>
          <w:p>
            <w:pPr>
              <w:pStyle w:val="12"/>
            </w:pPr>
            <w:r>
              <w:t>普通意外保险的单位成本</w:t>
            </w:r>
          </w:p>
        </w:tc>
        <w:tc>
          <w:tcPr>
            <w:tcW w:w="2268" w:type="dxa"/>
            <w:vAlign w:val="center"/>
          </w:tcPr>
          <w:p>
            <w:pPr>
              <w:pStyle w:val="12"/>
            </w:pPr>
            <w:r>
              <w:t>≤100元/人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巡护日记录本单位成本</w:t>
            </w:r>
          </w:p>
        </w:tc>
        <w:tc>
          <w:tcPr>
            <w:tcW w:w="5386" w:type="dxa"/>
            <w:vAlign w:val="center"/>
          </w:tcPr>
          <w:p>
            <w:pPr>
              <w:pStyle w:val="12"/>
            </w:pPr>
            <w:r>
              <w:t>巡护记录本单位成本</w:t>
            </w:r>
          </w:p>
        </w:tc>
        <w:tc>
          <w:tcPr>
            <w:tcW w:w="2268" w:type="dxa"/>
            <w:vAlign w:val="center"/>
          </w:tcPr>
          <w:p>
            <w:pPr>
              <w:pStyle w:val="12"/>
            </w:pPr>
            <w:r>
              <w:t>≤11元/本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≤0.3千分比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65、野生动物保护救助费用绩效目标表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13032126P000116102767</w:t>
            </w:r>
          </w:p>
        </w:tc>
        <w:tc>
          <w:tcPr>
            <w:tcW w:w="2835" w:type="dxa"/>
            <w:vAlign w:val="center"/>
          </w:tcPr>
          <w:p>
            <w:pPr>
              <w:pStyle w:val="10"/>
            </w:pPr>
            <w:r>
              <w:t>项目名称</w:t>
            </w:r>
          </w:p>
        </w:tc>
        <w:tc>
          <w:tcPr>
            <w:tcW w:w="6095" w:type="dxa"/>
            <w:gridSpan w:val="3"/>
            <w:vAlign w:val="center"/>
          </w:tcPr>
          <w:p>
            <w:pPr>
              <w:pStyle w:val="12"/>
            </w:pPr>
            <w:r>
              <w:t>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预算安排2万元，其中财政拨款2万元。主要用于开展境内野生动物的保护救助工作，达到保护受伤或生病的“三有”和濒危的野生动物，维持生态平衡的目的。</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30%</w:t>
            </w:r>
          </w:p>
        </w:tc>
        <w:tc>
          <w:tcPr>
            <w:tcW w:w="2835" w:type="dxa"/>
            <w:vAlign w:val="center"/>
          </w:tcPr>
          <w:p>
            <w:pPr>
              <w:pStyle w:val="11"/>
            </w:pPr>
            <w:r>
              <w:t>60%</w:t>
            </w:r>
          </w:p>
        </w:tc>
        <w:tc>
          <w:tcPr>
            <w:tcW w:w="2551" w:type="dxa"/>
            <w:vAlign w:val="center"/>
          </w:tcPr>
          <w:p>
            <w:pPr>
              <w:pStyle w:val="11"/>
            </w:pPr>
            <w:r>
              <w:t>90%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1.通过开展境内野生动物的保护救助工作，实现保护野生动物，提升当地居民和游客的生活环境的目的。</w:t>
            </w:r>
            <w:r>
              <w:tab/>
            </w:r>
            <w:r>
              <w:tab/>
            </w:r>
            <w:r>
              <w:tab/>
            </w:r>
            <w:r>
              <w:tab/>
            </w:r>
            <w:r>
              <w:tab/>
            </w:r>
            <w:r>
              <w:tab/>
            </w:r>
          </w:p>
          <w:p>
            <w:pPr>
              <w:pStyle w:val="12"/>
            </w:pPr>
          </w:p>
          <w:p>
            <w:pPr>
              <w:pStyle w:val="12"/>
            </w:pPr>
            <w:r>
              <w:t>2.通过开展境内野生动物的保护救助工作，达到保护受伤或生病的“三有”和濒危的野生动物，维持生态平衡的目的。</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全年预计需要救助受伤或生病的野生动物量</w:t>
            </w:r>
          </w:p>
        </w:tc>
        <w:tc>
          <w:tcPr>
            <w:tcW w:w="5386" w:type="dxa"/>
            <w:vAlign w:val="center"/>
          </w:tcPr>
          <w:p>
            <w:pPr>
              <w:pStyle w:val="12"/>
            </w:pPr>
            <w:r>
              <w:t>反映全年预计需要救助受伤生病的野生动物的数量</w:t>
            </w:r>
          </w:p>
        </w:tc>
        <w:tc>
          <w:tcPr>
            <w:tcW w:w="2268" w:type="dxa"/>
            <w:vAlign w:val="center"/>
          </w:tcPr>
          <w:p>
            <w:pPr>
              <w:pStyle w:val="12"/>
            </w:pPr>
            <w:r>
              <w:t>≥25只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印发保护救助教育宣传单量</w:t>
            </w:r>
          </w:p>
        </w:tc>
        <w:tc>
          <w:tcPr>
            <w:tcW w:w="5386" w:type="dxa"/>
            <w:vAlign w:val="center"/>
          </w:tcPr>
          <w:p>
            <w:pPr>
              <w:pStyle w:val="12"/>
            </w:pPr>
            <w:r>
              <w:t>反映全年印发保护救助教育宣传单的数量</w:t>
            </w:r>
          </w:p>
        </w:tc>
        <w:tc>
          <w:tcPr>
            <w:tcW w:w="2268" w:type="dxa"/>
            <w:vAlign w:val="center"/>
          </w:tcPr>
          <w:p>
            <w:pPr>
              <w:pStyle w:val="12"/>
            </w:pPr>
            <w:r>
              <w:t>≥10000张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全年保护救助教育宣传覆盖情况</w:t>
            </w:r>
          </w:p>
        </w:tc>
        <w:tc>
          <w:tcPr>
            <w:tcW w:w="5386" w:type="dxa"/>
            <w:vAlign w:val="center"/>
          </w:tcPr>
          <w:p>
            <w:pPr>
              <w:pStyle w:val="12"/>
            </w:pPr>
            <w:r>
              <w:t>全年保护救助教育宣传的乡镇单位数</w:t>
            </w:r>
          </w:p>
        </w:tc>
        <w:tc>
          <w:tcPr>
            <w:tcW w:w="2268" w:type="dxa"/>
            <w:vAlign w:val="center"/>
          </w:tcPr>
          <w:p>
            <w:pPr>
              <w:pStyle w:val="12"/>
            </w:pPr>
            <w:r>
              <w:t>≥25个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全年救助对象康复率</w:t>
            </w:r>
          </w:p>
        </w:tc>
        <w:tc>
          <w:tcPr>
            <w:tcW w:w="5386" w:type="dxa"/>
            <w:vAlign w:val="center"/>
          </w:tcPr>
          <w:p>
            <w:pPr>
              <w:pStyle w:val="12"/>
            </w:pPr>
            <w:r>
              <w:t>通过对野生动物的救助，实现救助的康复比例</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救助的及时性</w:t>
            </w:r>
          </w:p>
        </w:tc>
        <w:tc>
          <w:tcPr>
            <w:tcW w:w="5386" w:type="dxa"/>
            <w:vAlign w:val="center"/>
          </w:tcPr>
          <w:p>
            <w:pPr>
              <w:pStyle w:val="12"/>
            </w:pPr>
            <w:r>
              <w:t>接到救助电话24小时内到达现场的及时性</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救助保护时所必需的兽用药品、器具、奖励等费用</w:t>
            </w:r>
          </w:p>
        </w:tc>
        <w:tc>
          <w:tcPr>
            <w:tcW w:w="2268" w:type="dxa"/>
            <w:vAlign w:val="center"/>
          </w:tcPr>
          <w:p>
            <w:pPr>
              <w:pStyle w:val="12"/>
            </w:pPr>
            <w:r>
              <w:t>≤20000元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维护全县野生动物的生态平衡</w:t>
            </w:r>
          </w:p>
        </w:tc>
        <w:tc>
          <w:tcPr>
            <w:tcW w:w="5386" w:type="dxa"/>
            <w:vAlign w:val="center"/>
          </w:tcPr>
          <w:p>
            <w:pPr>
              <w:pStyle w:val="12"/>
            </w:pPr>
            <w:r>
              <w:t>通过项目实施有利于保护受伤或生病的三有和濒危的野生动物，维持生态平衡</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保护野生动物资源</w:t>
            </w:r>
          </w:p>
        </w:tc>
        <w:tc>
          <w:tcPr>
            <w:tcW w:w="5386" w:type="dxa"/>
            <w:vAlign w:val="center"/>
          </w:tcPr>
          <w:p>
            <w:pPr>
              <w:pStyle w:val="12"/>
            </w:pPr>
            <w:r>
              <w:t>项目实施有助于保护野生动物，提升当地居民和游客的生活环境</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群众对此项目整体满意度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1782.25</w:t>
            </w:r>
          </w:p>
        </w:tc>
        <w:tc>
          <w:tcPr>
            <w:tcW w:w="964" w:type="dxa"/>
            <w:vAlign w:val="center"/>
          </w:tcPr>
          <w:p>
            <w:pPr>
              <w:pStyle w:val="15"/>
            </w:pPr>
            <w:r>
              <w:t>1782.25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1782.25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青龙满族自治县林业局本级小计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1782.25</w:t>
            </w:r>
          </w:p>
        </w:tc>
        <w:tc>
          <w:tcPr>
            <w:tcW w:w="964" w:type="dxa"/>
            <w:vAlign w:val="center"/>
          </w:tcPr>
          <w:p>
            <w:pPr>
              <w:pStyle w:val="15"/>
            </w:pPr>
            <w:r>
              <w:t>1782.25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1782.25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3"/>
            </w:pPr>
            <w:r>
              <w:t>156.09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1"/>
            </w:pPr>
            <w:r>
              <w:t>批</w:t>
            </w:r>
          </w:p>
        </w:tc>
        <w:tc>
          <w:tcPr>
            <w:tcW w:w="850" w:type="dxa"/>
            <w:vAlign w:val="center"/>
          </w:tcPr>
          <w:p>
            <w:pPr>
              <w:pStyle w:val="13"/>
            </w:pPr>
            <w:r>
              <w:t>250</w:t>
            </w:r>
          </w:p>
        </w:tc>
        <w:tc>
          <w:tcPr>
            <w:tcW w:w="850" w:type="dxa"/>
            <w:vAlign w:val="center"/>
          </w:tcPr>
          <w:p>
            <w:pPr>
              <w:pStyle w:val="13"/>
            </w:pPr>
            <w:r>
              <w:t>0.02</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3"/>
            </w:pPr>
            <w:r>
              <w:t>156.09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1"/>
            </w:pPr>
            <w:r>
              <w:t>项</w:t>
            </w:r>
          </w:p>
        </w:tc>
        <w:tc>
          <w:tcPr>
            <w:tcW w:w="850" w:type="dxa"/>
            <w:vAlign w:val="center"/>
          </w:tcPr>
          <w:p>
            <w:pPr>
              <w:pStyle w:val="13"/>
            </w:pPr>
            <w:r>
              <w:t>10.5</w:t>
            </w:r>
          </w:p>
        </w:tc>
        <w:tc>
          <w:tcPr>
            <w:tcW w:w="850" w:type="dxa"/>
            <w:vAlign w:val="center"/>
          </w:tcPr>
          <w:p>
            <w:pPr>
              <w:pStyle w:val="13"/>
            </w:pPr>
            <w:r>
              <w:t>0.98</w:t>
            </w:r>
          </w:p>
        </w:tc>
        <w:tc>
          <w:tcPr>
            <w:tcW w:w="964" w:type="dxa"/>
            <w:vAlign w:val="center"/>
          </w:tcPr>
          <w:p>
            <w:pPr>
              <w:pStyle w:val="13"/>
            </w:pPr>
            <w:r>
              <w:t>10.29</w:t>
            </w:r>
          </w:p>
        </w:tc>
        <w:tc>
          <w:tcPr>
            <w:tcW w:w="964" w:type="dxa"/>
            <w:vAlign w:val="center"/>
          </w:tcPr>
          <w:p>
            <w:pPr>
              <w:pStyle w:val="13"/>
            </w:pPr>
            <w:r>
              <w:t>10.29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保护地总体规划（都山自然保护区、青龙湖国家湿地公园、南山森林公园）编制费</w:t>
            </w:r>
          </w:p>
        </w:tc>
        <w:tc>
          <w:tcPr>
            <w:tcW w:w="964" w:type="dxa"/>
            <w:vAlign w:val="center"/>
          </w:tcPr>
          <w:p>
            <w:pPr>
              <w:pStyle w:val="13"/>
            </w:pPr>
            <w:r>
              <w:t>40.00</w:t>
            </w:r>
          </w:p>
        </w:tc>
        <w:tc>
          <w:tcPr>
            <w:tcW w:w="1134" w:type="dxa"/>
            <w:vAlign w:val="center"/>
          </w:tcPr>
          <w:p>
            <w:pPr>
              <w:pStyle w:val="12"/>
            </w:pPr>
            <w:r>
              <w:t>其他林业服务</w:t>
            </w:r>
          </w:p>
        </w:tc>
        <w:tc>
          <w:tcPr>
            <w:tcW w:w="1134" w:type="dxa"/>
            <w:vAlign w:val="center"/>
          </w:tcPr>
          <w:p>
            <w:pPr>
              <w:pStyle w:val="12"/>
            </w:pPr>
            <w:r>
              <w:t>C09029900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40.00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防火经费</w:t>
            </w:r>
          </w:p>
        </w:tc>
        <w:tc>
          <w:tcPr>
            <w:tcW w:w="964" w:type="dxa"/>
            <w:vAlign w:val="center"/>
          </w:tcPr>
          <w:p>
            <w:pPr>
              <w:pStyle w:val="13"/>
            </w:pPr>
            <w:r>
              <w:t>120.00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关于提前下达2026年森林草原防火视频监控服务采购省级补助资金的通知（冀财资环[2025]64号）</w:t>
            </w:r>
          </w:p>
        </w:tc>
        <w:tc>
          <w:tcPr>
            <w:tcW w:w="964" w:type="dxa"/>
            <w:vAlign w:val="center"/>
          </w:tcPr>
          <w:p>
            <w:pPr>
              <w:pStyle w:val="13"/>
            </w:pPr>
            <w:r>
              <w:t>242.00</w:t>
            </w:r>
          </w:p>
        </w:tc>
        <w:tc>
          <w:tcPr>
            <w:tcW w:w="1134" w:type="dxa"/>
            <w:vAlign w:val="center"/>
          </w:tcPr>
          <w:p>
            <w:pPr>
              <w:pStyle w:val="12"/>
            </w:pPr>
            <w:r>
              <w:t>森林防火服务</w:t>
            </w:r>
          </w:p>
        </w:tc>
        <w:tc>
          <w:tcPr>
            <w:tcW w:w="1134" w:type="dxa"/>
            <w:vAlign w:val="center"/>
          </w:tcPr>
          <w:p>
            <w:pPr>
              <w:pStyle w:val="12"/>
            </w:pPr>
            <w:r>
              <w:t>C09020500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242.00</w:t>
            </w:r>
          </w:p>
        </w:tc>
        <w:tc>
          <w:tcPr>
            <w:tcW w:w="964" w:type="dxa"/>
            <w:vAlign w:val="center"/>
          </w:tcPr>
          <w:p>
            <w:pPr>
              <w:pStyle w:val="13"/>
            </w:pPr>
            <w:r>
              <w:t>242.00</w:t>
            </w:r>
          </w:p>
        </w:tc>
        <w:tc>
          <w:tcPr>
            <w:tcW w:w="964" w:type="dxa"/>
            <w:vAlign w:val="center"/>
          </w:tcPr>
          <w:p>
            <w:pPr>
              <w:pStyle w:val="13"/>
            </w:pPr>
            <w:r>
              <w:t>242.00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关于提前下达2026年省级林业改革发展补助资金的通知-2025年“三北”工程超长期特别国债项目省级配套（冀财资环[2025]68号）</w:t>
            </w:r>
          </w:p>
        </w:tc>
        <w:tc>
          <w:tcPr>
            <w:tcW w:w="964" w:type="dxa"/>
            <w:vAlign w:val="center"/>
          </w:tcPr>
          <w:p>
            <w:pPr>
              <w:pStyle w:val="13"/>
            </w:pPr>
            <w:r>
              <w:t>205.60</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205.60</w:t>
            </w:r>
          </w:p>
        </w:tc>
        <w:tc>
          <w:tcPr>
            <w:tcW w:w="964" w:type="dxa"/>
            <w:vAlign w:val="center"/>
          </w:tcPr>
          <w:p>
            <w:pPr>
              <w:pStyle w:val="13"/>
            </w:pPr>
            <w:r>
              <w:t>205.60</w:t>
            </w:r>
          </w:p>
        </w:tc>
        <w:tc>
          <w:tcPr>
            <w:tcW w:w="964" w:type="dxa"/>
            <w:vAlign w:val="center"/>
          </w:tcPr>
          <w:p>
            <w:pPr>
              <w:pStyle w:val="13"/>
            </w:pPr>
            <w:r>
              <w:t>205.60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关于提前下达2026年省级林业改革发展补助资金的通知-造林绿化重点工程奖补-森林质量精准提升（冀财资环[2025]68号）</w:t>
            </w:r>
          </w:p>
        </w:tc>
        <w:tc>
          <w:tcPr>
            <w:tcW w:w="964" w:type="dxa"/>
            <w:vAlign w:val="center"/>
          </w:tcPr>
          <w:p>
            <w:pPr>
              <w:pStyle w:val="13"/>
            </w:pPr>
            <w:r>
              <w:t>800.00</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800.00</w:t>
            </w:r>
          </w:p>
        </w:tc>
        <w:tc>
          <w:tcPr>
            <w:tcW w:w="964" w:type="dxa"/>
            <w:vAlign w:val="center"/>
          </w:tcPr>
          <w:p>
            <w:pPr>
              <w:pStyle w:val="13"/>
            </w:pPr>
            <w:r>
              <w:t>800.00</w:t>
            </w:r>
          </w:p>
        </w:tc>
        <w:tc>
          <w:tcPr>
            <w:tcW w:w="964" w:type="dxa"/>
            <w:vAlign w:val="center"/>
          </w:tcPr>
          <w:p>
            <w:pPr>
              <w:pStyle w:val="13"/>
            </w:pPr>
            <w:r>
              <w:t>800.00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关于提前下达2026年中央财政林业草原改革发展资金预算的通知-林草有害生物防治-冀财资环[2025]69号</w:t>
            </w:r>
          </w:p>
        </w:tc>
        <w:tc>
          <w:tcPr>
            <w:tcW w:w="964" w:type="dxa"/>
            <w:vAlign w:val="center"/>
          </w:tcPr>
          <w:p>
            <w:pPr>
              <w:pStyle w:val="13"/>
            </w:pPr>
            <w:r>
              <w:t>150.44</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145.47</w:t>
            </w:r>
          </w:p>
        </w:tc>
        <w:tc>
          <w:tcPr>
            <w:tcW w:w="964" w:type="dxa"/>
            <w:vAlign w:val="center"/>
          </w:tcPr>
          <w:p>
            <w:pPr>
              <w:pStyle w:val="13"/>
            </w:pPr>
            <w:r>
              <w:t>145.47</w:t>
            </w:r>
          </w:p>
        </w:tc>
        <w:tc>
          <w:tcPr>
            <w:tcW w:w="964" w:type="dxa"/>
            <w:vAlign w:val="center"/>
          </w:tcPr>
          <w:p>
            <w:pPr>
              <w:pStyle w:val="13"/>
            </w:pPr>
            <w:r>
              <w:t>145.47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关于提前下达2026年中央财政林业草原改革发展资金预算的通知-森林草原防火（冀财资环[2025]69号）</w:t>
            </w:r>
          </w:p>
        </w:tc>
        <w:tc>
          <w:tcPr>
            <w:tcW w:w="964" w:type="dxa"/>
            <w:vAlign w:val="center"/>
          </w:tcPr>
          <w:p>
            <w:pPr>
              <w:pStyle w:val="13"/>
            </w:pPr>
            <w:r>
              <w:t>82.50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1"/>
            </w:pPr>
            <w:r>
              <w:t>年</w:t>
            </w:r>
          </w:p>
        </w:tc>
        <w:tc>
          <w:tcPr>
            <w:tcW w:w="850" w:type="dxa"/>
            <w:vAlign w:val="center"/>
          </w:tcPr>
          <w:p>
            <w:pPr>
              <w:pStyle w:val="13"/>
            </w:pPr>
            <w:r>
              <w:t>1</w:t>
            </w:r>
          </w:p>
        </w:tc>
        <w:tc>
          <w:tcPr>
            <w:tcW w:w="850" w:type="dxa"/>
            <w:vAlign w:val="center"/>
          </w:tcPr>
          <w:p>
            <w:pPr>
              <w:pStyle w:val="13"/>
            </w:pPr>
            <w:r>
              <w:t>82.50</w:t>
            </w:r>
          </w:p>
        </w:tc>
        <w:tc>
          <w:tcPr>
            <w:tcW w:w="964" w:type="dxa"/>
            <w:vAlign w:val="center"/>
          </w:tcPr>
          <w:p>
            <w:pPr>
              <w:pStyle w:val="13"/>
            </w:pPr>
            <w:r>
              <w:t>82.50</w:t>
            </w:r>
          </w:p>
        </w:tc>
        <w:tc>
          <w:tcPr>
            <w:tcW w:w="964" w:type="dxa"/>
            <w:vAlign w:val="center"/>
          </w:tcPr>
          <w:p>
            <w:pPr>
              <w:pStyle w:val="13"/>
            </w:pPr>
            <w:r>
              <w:t>82.50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关于提前下达2026年中央财政林业草原生态保护恢复资金预算的通知-非国有林生态保护补偿-国家级公益林-冀财资环[2025]61号</w:t>
            </w:r>
          </w:p>
        </w:tc>
        <w:tc>
          <w:tcPr>
            <w:tcW w:w="964" w:type="dxa"/>
            <w:vAlign w:val="center"/>
          </w:tcPr>
          <w:p>
            <w:pPr>
              <w:pStyle w:val="13"/>
            </w:pPr>
            <w:r>
              <w:t>1337.47</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143.89</w:t>
            </w:r>
          </w:p>
        </w:tc>
        <w:tc>
          <w:tcPr>
            <w:tcW w:w="964" w:type="dxa"/>
            <w:vAlign w:val="center"/>
          </w:tcPr>
          <w:p>
            <w:pPr>
              <w:pStyle w:val="13"/>
            </w:pPr>
            <w:r>
              <w:t>143.89</w:t>
            </w:r>
          </w:p>
        </w:tc>
        <w:tc>
          <w:tcPr>
            <w:tcW w:w="964" w:type="dxa"/>
            <w:vAlign w:val="center"/>
          </w:tcPr>
          <w:p>
            <w:pPr>
              <w:pStyle w:val="13"/>
            </w:pPr>
            <w:r>
              <w:t>143.89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南山公园管护项目资金</w:t>
            </w:r>
          </w:p>
        </w:tc>
        <w:tc>
          <w:tcPr>
            <w:tcW w:w="964" w:type="dxa"/>
            <w:vAlign w:val="center"/>
          </w:tcPr>
          <w:p>
            <w:pPr>
              <w:pStyle w:val="13"/>
            </w:pPr>
            <w:r>
              <w:t>150.00</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75.00</w:t>
            </w:r>
          </w:p>
        </w:tc>
        <w:tc>
          <w:tcPr>
            <w:tcW w:w="964" w:type="dxa"/>
            <w:vAlign w:val="center"/>
          </w:tcPr>
          <w:p>
            <w:pPr>
              <w:pStyle w:val="13"/>
            </w:pPr>
            <w:r>
              <w:t>75.00</w:t>
            </w:r>
          </w:p>
        </w:tc>
        <w:tc>
          <w:tcPr>
            <w:tcW w:w="964" w:type="dxa"/>
            <w:vAlign w:val="center"/>
          </w:tcPr>
          <w:p>
            <w:pPr>
              <w:pStyle w:val="13"/>
            </w:pPr>
            <w:r>
              <w:t>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南山森林公园发展规划编制费</w:t>
            </w:r>
          </w:p>
        </w:tc>
        <w:tc>
          <w:tcPr>
            <w:tcW w:w="964" w:type="dxa"/>
            <w:vAlign w:val="center"/>
          </w:tcPr>
          <w:p>
            <w:pPr>
              <w:pStyle w:val="13"/>
            </w:pPr>
            <w:r>
              <w:t>5.50</w:t>
            </w:r>
          </w:p>
        </w:tc>
        <w:tc>
          <w:tcPr>
            <w:tcW w:w="1134" w:type="dxa"/>
            <w:vAlign w:val="center"/>
          </w:tcPr>
          <w:p>
            <w:pPr>
              <w:pStyle w:val="12"/>
            </w:pPr>
            <w:r>
              <w:t>森业经营与管理服务</w:t>
            </w:r>
          </w:p>
        </w:tc>
        <w:tc>
          <w:tcPr>
            <w:tcW w:w="1134" w:type="dxa"/>
            <w:vAlign w:val="center"/>
          </w:tcPr>
          <w:p>
            <w:pPr>
              <w:pStyle w:val="12"/>
            </w:pPr>
            <w:r>
              <w:t>C09020600</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5.50</w:t>
            </w:r>
          </w:p>
        </w:tc>
        <w:tc>
          <w:tcPr>
            <w:tcW w:w="964" w:type="dxa"/>
            <w:vAlign w:val="center"/>
          </w:tcPr>
          <w:p>
            <w:pPr>
              <w:pStyle w:val="13"/>
            </w:pPr>
            <w:r>
              <w:t>5.50</w:t>
            </w:r>
          </w:p>
        </w:tc>
        <w:tc>
          <w:tcPr>
            <w:tcW w:w="964" w:type="dxa"/>
            <w:vAlign w:val="center"/>
          </w:tcPr>
          <w:p>
            <w:pPr>
              <w:pStyle w:val="13"/>
            </w:pPr>
            <w:r>
              <w:t>5.50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南山森林公园防火经费</w:t>
            </w:r>
          </w:p>
        </w:tc>
        <w:tc>
          <w:tcPr>
            <w:tcW w:w="964" w:type="dxa"/>
            <w:vAlign w:val="center"/>
          </w:tcPr>
          <w:p>
            <w:pPr>
              <w:pStyle w:val="13"/>
            </w:pPr>
            <w:r>
              <w:t>20.00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野生动物保护救助费用</w:t>
            </w:r>
          </w:p>
        </w:tc>
        <w:tc>
          <w:tcPr>
            <w:tcW w:w="964" w:type="dxa"/>
            <w:vAlign w:val="center"/>
          </w:tcPr>
          <w:p>
            <w:pPr>
              <w:pStyle w:val="13"/>
            </w:pPr>
            <w:r>
              <w:t>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1"/>
            </w:pPr>
            <w:r>
              <w:t>项</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青龙满族自治县林业局本级上年末固定资产金额为382.76万元（详见下表）。本年度拟购置固定资产总额为0.00万元，已按要求列入政府采购预算，详见政府采购预算表。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327001青龙满族自治县林业局本级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pPr>
            <w:r>
              <w:t>382.76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r>
              <w:t>11</w:t>
            </w:r>
          </w:p>
        </w:tc>
        <w:tc>
          <w:tcPr>
            <w:tcW w:w="2835" w:type="dxa"/>
            <w:vAlign w:val="center"/>
          </w:tcPr>
          <w:p>
            <w:pPr>
              <w:pStyle w:val="13"/>
            </w:pPr>
            <w:r>
              <w:t>130.48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r>
              <w:t>2</w:t>
            </w:r>
          </w:p>
        </w:tc>
        <w:tc>
          <w:tcPr>
            <w:tcW w:w="2835" w:type="dxa"/>
            <w:vAlign w:val="center"/>
          </w:tcPr>
          <w:p>
            <w:pPr>
              <w:pStyle w:val="13"/>
            </w:pPr>
            <w:r>
              <w:t>203.55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1"/>
            </w:pPr>
            <w:r>
              <w:t>178</w:t>
            </w:r>
          </w:p>
        </w:tc>
        <w:tc>
          <w:tcPr>
            <w:tcW w:w="2835" w:type="dxa"/>
            <w:vAlign w:val="center"/>
          </w:tcPr>
          <w:p>
            <w:pPr>
              <w:pStyle w:val="13"/>
            </w:pPr>
            <w:r>
              <w:t>48.73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宋体"/>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CE506"/>
    <w:multiLevelType w:val="singleLevel"/>
    <w:tmpl w:val="644CE5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92241"/>
    <w:rsid w:val="00427E4E"/>
    <w:rsid w:val="004C399F"/>
    <w:rsid w:val="00502D25"/>
    <w:rsid w:val="008115B1"/>
    <w:rsid w:val="00961213"/>
    <w:rsid w:val="00A63014"/>
    <w:rsid w:val="00CF7CA6"/>
    <w:rsid w:val="00E10A3E"/>
    <w:rsid w:val="03332F64"/>
    <w:rsid w:val="085A6F43"/>
    <w:rsid w:val="0B27035A"/>
    <w:rsid w:val="123D337B"/>
    <w:rsid w:val="127415E0"/>
    <w:rsid w:val="147D712D"/>
    <w:rsid w:val="178725A8"/>
    <w:rsid w:val="1C625385"/>
    <w:rsid w:val="1EB3776D"/>
    <w:rsid w:val="1F5268C6"/>
    <w:rsid w:val="21652559"/>
    <w:rsid w:val="242C1A68"/>
    <w:rsid w:val="25B03DE2"/>
    <w:rsid w:val="25B75483"/>
    <w:rsid w:val="25DE142E"/>
    <w:rsid w:val="25FD3EE1"/>
    <w:rsid w:val="266D2213"/>
    <w:rsid w:val="266F679F"/>
    <w:rsid w:val="26F853FE"/>
    <w:rsid w:val="28283572"/>
    <w:rsid w:val="2DAB33C6"/>
    <w:rsid w:val="2FBB13DF"/>
    <w:rsid w:val="315301FC"/>
    <w:rsid w:val="34386CBA"/>
    <w:rsid w:val="34A43DEB"/>
    <w:rsid w:val="36BD1EDC"/>
    <w:rsid w:val="3D677DCC"/>
    <w:rsid w:val="41CA4AFD"/>
    <w:rsid w:val="420E1D6F"/>
    <w:rsid w:val="42386BE7"/>
    <w:rsid w:val="44E92241"/>
    <w:rsid w:val="44FA5C39"/>
    <w:rsid w:val="49C430CF"/>
    <w:rsid w:val="4B34079A"/>
    <w:rsid w:val="4B3B1EFC"/>
    <w:rsid w:val="4C100C5A"/>
    <w:rsid w:val="4D1A6F0E"/>
    <w:rsid w:val="4DBA7040"/>
    <w:rsid w:val="513D08D8"/>
    <w:rsid w:val="533067FD"/>
    <w:rsid w:val="5409426E"/>
    <w:rsid w:val="54EF3267"/>
    <w:rsid w:val="557A67E1"/>
    <w:rsid w:val="56623148"/>
    <w:rsid w:val="584645E3"/>
    <w:rsid w:val="5C620B9F"/>
    <w:rsid w:val="5DC925DD"/>
    <w:rsid w:val="60E40384"/>
    <w:rsid w:val="656F05E1"/>
    <w:rsid w:val="65927733"/>
    <w:rsid w:val="65AE5EBB"/>
    <w:rsid w:val="680D45C4"/>
    <w:rsid w:val="681364CD"/>
    <w:rsid w:val="68350126"/>
    <w:rsid w:val="68BB3463"/>
    <w:rsid w:val="6A563204"/>
    <w:rsid w:val="6D887843"/>
    <w:rsid w:val="700A405F"/>
    <w:rsid w:val="765D3B26"/>
    <w:rsid w:val="77C5560F"/>
    <w:rsid w:val="79982E2C"/>
    <w:rsid w:val="7AA375F1"/>
    <w:rsid w:val="7B197C05"/>
    <w:rsid w:val="7B5257E0"/>
    <w:rsid w:val="7C0A708B"/>
    <w:rsid w:val="7F59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pPr>
      <w:spacing w:before="120"/>
      <w:ind w:firstLine="560"/>
    </w:pPr>
    <w:rPr>
      <w:rFonts w:eastAsia="方正仿宋_GBK" w:cs="Times New Roman"/>
      <w:color w:val="000000"/>
      <w:sz w:val="28"/>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171</Pages>
  <Words>1592</Words>
  <Characters>9078</Characters>
  <Lines>75</Lines>
  <Paragraphs>21</Paragraphs>
  <TotalTime>7</TotalTime>
  <ScaleCrop>false</ScaleCrop>
  <LinksUpToDate>false</LinksUpToDate>
  <CharactersWithSpaces>10649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2025-01-22T03:24:00Z</dcterms:created>
  <dc:creator>Administrator</dc:creator>
  <cp:lastModifiedBy>HUAWEI</cp:lastModifiedBy>
  <dcterms:modified xsi:type="dcterms:W3CDTF">2026-02-03T03:32:17Z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862EAD0C802B4364A82408FE9A1861C1</vt:lpwstr>
  </property>
</Properties>
</file>