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一、青龙满族自治县审计局本级收支预算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一、青龙满族自治县审计局本级收支预算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296.76</w:t>
            </w:r>
          </w:p>
        </w:tc>
        <w:tc>
          <w:tcPr>
            <w:tcW w:w="4535" w:type="dxa"/>
            <w:vAlign w:val="center"/>
          </w:tcPr>
          <w:p>
            <w:pPr>
              <w:pStyle w:val="12"/>
            </w:pPr>
            <w:r>
              <w:t>一、一般公共服务支出</w:t>
            </w:r>
          </w:p>
        </w:tc>
        <w:tc>
          <w:tcPr>
            <w:tcW w:w="2126" w:type="dxa"/>
            <w:vAlign w:val="center"/>
          </w:tcPr>
          <w:p>
            <w:pPr>
              <w:pStyle w:val="11"/>
            </w:pPr>
            <w:r>
              <w:t>236.55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296.76</w:t>
            </w:r>
          </w:p>
        </w:tc>
        <w:tc>
          <w:tcPr>
            <w:tcW w:w="4535" w:type="dxa"/>
            <w:vAlign w:val="center"/>
          </w:tcPr>
          <w:p>
            <w:pPr>
              <w:pStyle w:val="14"/>
            </w:pPr>
            <w:r>
              <w:t>本年支出合计</w:t>
            </w:r>
          </w:p>
        </w:tc>
        <w:tc>
          <w:tcPr>
            <w:tcW w:w="2126" w:type="dxa"/>
            <w:vAlign w:val="center"/>
          </w:tcPr>
          <w:p>
            <w:pPr>
              <w:pStyle w:val="15"/>
            </w:pPr>
            <w:r>
              <w:t>301.14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4.37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301.14</w:t>
            </w:r>
          </w:p>
        </w:tc>
        <w:tc>
          <w:tcPr>
            <w:tcW w:w="4535" w:type="dxa"/>
            <w:vAlign w:val="center"/>
          </w:tcPr>
          <w:p>
            <w:pPr>
              <w:pStyle w:val="14"/>
            </w:pPr>
            <w:r>
              <w:t>支出总计</w:t>
            </w:r>
          </w:p>
        </w:tc>
        <w:tc>
          <w:tcPr>
            <w:tcW w:w="2126" w:type="dxa"/>
            <w:vAlign w:val="center"/>
          </w:tcPr>
          <w:p>
            <w:pPr>
              <w:pStyle w:val="15"/>
            </w:pPr>
            <w:r>
              <w:t>301.14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301.14</w:t>
            </w:r>
          </w:p>
        </w:tc>
        <w:tc>
          <w:tcPr>
            <w:tcW w:w="1134" w:type="dxa"/>
            <w:vAlign w:val="center"/>
          </w:tcPr>
          <w:p>
            <w:pPr>
              <w:pStyle w:val="15"/>
            </w:pPr>
            <w:r>
              <w:t>296.76</w:t>
            </w:r>
          </w:p>
        </w:tc>
        <w:tc>
          <w:tcPr>
            <w:tcW w:w="1134" w:type="dxa"/>
            <w:vAlign w:val="center"/>
          </w:tcPr>
          <w:p>
            <w:pPr>
              <w:pStyle w:val="15"/>
            </w:pPr>
            <w:r>
              <w:t>296.76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236.55</w:t>
            </w:r>
          </w:p>
        </w:tc>
        <w:tc>
          <w:tcPr>
            <w:tcW w:w="1134" w:type="dxa"/>
            <w:vAlign w:val="center"/>
          </w:tcPr>
          <w:p>
            <w:pPr>
              <w:pStyle w:val="11"/>
            </w:pPr>
            <w:r>
              <w:t>232.20</w:t>
            </w:r>
          </w:p>
        </w:tc>
        <w:tc>
          <w:tcPr>
            <w:tcW w:w="1134" w:type="dxa"/>
            <w:vAlign w:val="center"/>
          </w:tcPr>
          <w:p>
            <w:pPr>
              <w:pStyle w:val="11"/>
            </w:pPr>
            <w:r>
              <w:t>232.20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236.55</w:t>
            </w:r>
          </w:p>
        </w:tc>
        <w:tc>
          <w:tcPr>
            <w:tcW w:w="1134" w:type="dxa"/>
            <w:vAlign w:val="center"/>
          </w:tcPr>
          <w:p>
            <w:pPr>
              <w:pStyle w:val="11"/>
            </w:pPr>
            <w:r>
              <w:t>232.20</w:t>
            </w:r>
          </w:p>
        </w:tc>
        <w:tc>
          <w:tcPr>
            <w:tcW w:w="1134" w:type="dxa"/>
            <w:vAlign w:val="center"/>
          </w:tcPr>
          <w:p>
            <w:pPr>
              <w:pStyle w:val="11"/>
            </w:pPr>
            <w:r>
              <w:t>232.20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166.11</w:t>
            </w:r>
          </w:p>
        </w:tc>
        <w:tc>
          <w:tcPr>
            <w:tcW w:w="1134" w:type="dxa"/>
            <w:vAlign w:val="center"/>
          </w:tcPr>
          <w:p>
            <w:pPr>
              <w:pStyle w:val="11"/>
            </w:pPr>
            <w:r>
              <w:t>161.76</w:t>
            </w:r>
          </w:p>
        </w:tc>
        <w:tc>
          <w:tcPr>
            <w:tcW w:w="1134" w:type="dxa"/>
            <w:vAlign w:val="center"/>
          </w:tcPr>
          <w:p>
            <w:pPr>
              <w:pStyle w:val="11"/>
            </w:pPr>
            <w:r>
              <w:t>161.76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2010804</w:t>
            </w:r>
          </w:p>
        </w:tc>
        <w:tc>
          <w:tcPr>
            <w:tcW w:w="1559" w:type="dxa"/>
            <w:vAlign w:val="center"/>
          </w:tcPr>
          <w:p>
            <w:pPr>
              <w:pStyle w:val="12"/>
            </w:pPr>
            <w:r>
              <w:t>审计业务</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2010850</w:t>
            </w:r>
          </w:p>
        </w:tc>
        <w:tc>
          <w:tcPr>
            <w:tcW w:w="1559" w:type="dxa"/>
            <w:vAlign w:val="center"/>
          </w:tcPr>
          <w:p>
            <w:pPr>
              <w:pStyle w:val="12"/>
            </w:pPr>
            <w:r>
              <w:t>事业运行</w:t>
            </w:r>
          </w:p>
        </w:tc>
        <w:tc>
          <w:tcPr>
            <w:tcW w:w="1134" w:type="dxa"/>
            <w:vAlign w:val="center"/>
          </w:tcPr>
          <w:p>
            <w:pPr>
              <w:pStyle w:val="11"/>
            </w:pPr>
            <w:r>
              <w:t>44.44</w:t>
            </w:r>
          </w:p>
        </w:tc>
        <w:tc>
          <w:tcPr>
            <w:tcW w:w="1134" w:type="dxa"/>
            <w:vAlign w:val="center"/>
          </w:tcPr>
          <w:p>
            <w:pPr>
              <w:pStyle w:val="11"/>
            </w:pPr>
            <w:r>
              <w:t>44.44</w:t>
            </w:r>
          </w:p>
        </w:tc>
        <w:tc>
          <w:tcPr>
            <w:tcW w:w="1134" w:type="dxa"/>
            <w:vAlign w:val="center"/>
          </w:tcPr>
          <w:p>
            <w:pPr>
              <w:pStyle w:val="11"/>
            </w:pPr>
            <w:r>
              <w:t>44.44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36.93</w:t>
            </w:r>
          </w:p>
        </w:tc>
        <w:tc>
          <w:tcPr>
            <w:tcW w:w="1134" w:type="dxa"/>
            <w:vAlign w:val="center"/>
          </w:tcPr>
          <w:p>
            <w:pPr>
              <w:pStyle w:val="11"/>
            </w:pPr>
            <w:r>
              <w:t>36.90</w:t>
            </w:r>
          </w:p>
        </w:tc>
        <w:tc>
          <w:tcPr>
            <w:tcW w:w="1134" w:type="dxa"/>
            <w:vAlign w:val="center"/>
          </w:tcPr>
          <w:p>
            <w:pPr>
              <w:pStyle w:val="11"/>
            </w:pPr>
            <w:r>
              <w:t>36.90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35.95</w:t>
            </w:r>
          </w:p>
        </w:tc>
        <w:tc>
          <w:tcPr>
            <w:tcW w:w="1134" w:type="dxa"/>
            <w:vAlign w:val="center"/>
          </w:tcPr>
          <w:p>
            <w:pPr>
              <w:pStyle w:val="11"/>
            </w:pPr>
            <w:r>
              <w:t>35.95</w:t>
            </w:r>
          </w:p>
        </w:tc>
        <w:tc>
          <w:tcPr>
            <w:tcW w:w="1134" w:type="dxa"/>
            <w:vAlign w:val="center"/>
          </w:tcPr>
          <w:p>
            <w:pPr>
              <w:pStyle w:val="11"/>
            </w:pPr>
            <w:r>
              <w:t>35.95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8.52</w:t>
            </w:r>
          </w:p>
        </w:tc>
        <w:tc>
          <w:tcPr>
            <w:tcW w:w="1134" w:type="dxa"/>
            <w:vAlign w:val="center"/>
          </w:tcPr>
          <w:p>
            <w:pPr>
              <w:pStyle w:val="11"/>
            </w:pPr>
            <w:r>
              <w:t>8.52</w:t>
            </w:r>
          </w:p>
        </w:tc>
        <w:tc>
          <w:tcPr>
            <w:tcW w:w="1134" w:type="dxa"/>
            <w:vAlign w:val="center"/>
          </w:tcPr>
          <w:p>
            <w:pPr>
              <w:pStyle w:val="11"/>
            </w:pPr>
            <w:r>
              <w:t>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27.43</w:t>
            </w:r>
          </w:p>
        </w:tc>
        <w:tc>
          <w:tcPr>
            <w:tcW w:w="1134" w:type="dxa"/>
            <w:vAlign w:val="center"/>
          </w:tcPr>
          <w:p>
            <w:pPr>
              <w:pStyle w:val="11"/>
            </w:pPr>
            <w:r>
              <w:t>27.43</w:t>
            </w:r>
          </w:p>
        </w:tc>
        <w:tc>
          <w:tcPr>
            <w:tcW w:w="1134" w:type="dxa"/>
            <w:vAlign w:val="center"/>
          </w:tcPr>
          <w:p>
            <w:pPr>
              <w:pStyle w:val="11"/>
            </w:pPr>
            <w:r>
              <w:t>27.43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0.97</w:t>
            </w:r>
          </w:p>
        </w:tc>
        <w:tc>
          <w:tcPr>
            <w:tcW w:w="1134" w:type="dxa"/>
            <w:vAlign w:val="center"/>
          </w:tcPr>
          <w:p>
            <w:pPr>
              <w:pStyle w:val="11"/>
            </w:pPr>
            <w:r>
              <w:t>0.95</w:t>
            </w:r>
          </w:p>
        </w:tc>
        <w:tc>
          <w:tcPr>
            <w:tcW w:w="1134" w:type="dxa"/>
            <w:vAlign w:val="center"/>
          </w:tcPr>
          <w:p>
            <w:pPr>
              <w:pStyle w:val="11"/>
            </w:pPr>
            <w:r>
              <w:t>0.95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0.97</w:t>
            </w:r>
          </w:p>
        </w:tc>
        <w:tc>
          <w:tcPr>
            <w:tcW w:w="1134" w:type="dxa"/>
            <w:vAlign w:val="center"/>
          </w:tcPr>
          <w:p>
            <w:pPr>
              <w:pStyle w:val="11"/>
            </w:pPr>
            <w:r>
              <w:t>0.95</w:t>
            </w:r>
          </w:p>
        </w:tc>
        <w:tc>
          <w:tcPr>
            <w:tcW w:w="1134" w:type="dxa"/>
            <w:vAlign w:val="center"/>
          </w:tcPr>
          <w:p>
            <w:pPr>
              <w:pStyle w:val="11"/>
            </w:pPr>
            <w:r>
              <w:t>0.95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r>
              <w:t>13.62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9.85</w:t>
            </w:r>
          </w:p>
        </w:tc>
        <w:tc>
          <w:tcPr>
            <w:tcW w:w="1134" w:type="dxa"/>
            <w:vAlign w:val="center"/>
          </w:tcPr>
          <w:p>
            <w:pPr>
              <w:pStyle w:val="11"/>
            </w:pPr>
            <w:r>
              <w:t>9.85</w:t>
            </w:r>
          </w:p>
        </w:tc>
        <w:tc>
          <w:tcPr>
            <w:tcW w:w="1134" w:type="dxa"/>
            <w:vAlign w:val="center"/>
          </w:tcPr>
          <w:p>
            <w:pPr>
              <w:pStyle w:val="11"/>
            </w:pPr>
            <w:r>
              <w:t>9.85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3.77</w:t>
            </w:r>
          </w:p>
        </w:tc>
        <w:tc>
          <w:tcPr>
            <w:tcW w:w="1134" w:type="dxa"/>
            <w:vAlign w:val="center"/>
          </w:tcPr>
          <w:p>
            <w:pPr>
              <w:pStyle w:val="11"/>
            </w:pPr>
            <w:r>
              <w:t>3.77</w:t>
            </w:r>
          </w:p>
        </w:tc>
        <w:tc>
          <w:tcPr>
            <w:tcW w:w="1134" w:type="dxa"/>
            <w:vAlign w:val="center"/>
          </w:tcPr>
          <w:p>
            <w:pPr>
              <w:pStyle w:val="11"/>
            </w:pPr>
            <w:r>
              <w:t>3.77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14.04</w:t>
            </w:r>
          </w:p>
        </w:tc>
        <w:tc>
          <w:tcPr>
            <w:tcW w:w="1134" w:type="dxa"/>
            <w:vAlign w:val="center"/>
          </w:tcPr>
          <w:p>
            <w:pPr>
              <w:pStyle w:val="11"/>
            </w:pPr>
            <w:r>
              <w:t>14.04</w:t>
            </w:r>
          </w:p>
        </w:tc>
        <w:tc>
          <w:tcPr>
            <w:tcW w:w="1134" w:type="dxa"/>
            <w:vAlign w:val="center"/>
          </w:tcPr>
          <w:p>
            <w:pPr>
              <w:pStyle w:val="11"/>
            </w:pPr>
            <w:r>
              <w:t>14.04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14.04</w:t>
            </w:r>
          </w:p>
        </w:tc>
        <w:tc>
          <w:tcPr>
            <w:tcW w:w="1134" w:type="dxa"/>
            <w:vAlign w:val="center"/>
          </w:tcPr>
          <w:p>
            <w:pPr>
              <w:pStyle w:val="11"/>
            </w:pPr>
            <w:r>
              <w:t>14.04</w:t>
            </w:r>
          </w:p>
        </w:tc>
        <w:tc>
          <w:tcPr>
            <w:tcW w:w="1134" w:type="dxa"/>
            <w:vAlign w:val="center"/>
          </w:tcPr>
          <w:p>
            <w:pPr>
              <w:pStyle w:val="11"/>
            </w:pPr>
            <w:r>
              <w:t>14.04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14.04</w:t>
            </w:r>
          </w:p>
        </w:tc>
        <w:tc>
          <w:tcPr>
            <w:tcW w:w="1134" w:type="dxa"/>
            <w:vAlign w:val="center"/>
          </w:tcPr>
          <w:p>
            <w:pPr>
              <w:pStyle w:val="11"/>
            </w:pPr>
            <w:r>
              <w:t>14.04</w:t>
            </w:r>
          </w:p>
        </w:tc>
        <w:tc>
          <w:tcPr>
            <w:tcW w:w="1134" w:type="dxa"/>
            <w:vAlign w:val="center"/>
          </w:tcPr>
          <w:p>
            <w:pPr>
              <w:pStyle w:val="11"/>
            </w:pPr>
            <w:r>
              <w:t>14.04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301.14</w:t>
            </w:r>
          </w:p>
        </w:tc>
        <w:tc>
          <w:tcPr>
            <w:tcW w:w="1361" w:type="dxa"/>
            <w:vAlign w:val="center"/>
          </w:tcPr>
          <w:p>
            <w:pPr>
              <w:pStyle w:val="15"/>
            </w:pPr>
            <w:r>
              <w:t>275.14</w:t>
            </w:r>
          </w:p>
        </w:tc>
        <w:tc>
          <w:tcPr>
            <w:tcW w:w="1361" w:type="dxa"/>
            <w:vAlign w:val="center"/>
          </w:tcPr>
          <w:p>
            <w:pPr>
              <w:pStyle w:val="15"/>
            </w:pPr>
            <w:r>
              <w:t>26.00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236.55</w:t>
            </w:r>
          </w:p>
        </w:tc>
        <w:tc>
          <w:tcPr>
            <w:tcW w:w="1361" w:type="dxa"/>
            <w:vAlign w:val="center"/>
          </w:tcPr>
          <w:p>
            <w:pPr>
              <w:pStyle w:val="11"/>
            </w:pPr>
            <w:r>
              <w:t>210.55</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20108</w:t>
            </w:r>
          </w:p>
        </w:tc>
        <w:tc>
          <w:tcPr>
            <w:tcW w:w="4535" w:type="dxa"/>
            <w:vAlign w:val="center"/>
          </w:tcPr>
          <w:p>
            <w:pPr>
              <w:pStyle w:val="12"/>
            </w:pPr>
            <w:r>
              <w:t>审计事务</w:t>
            </w:r>
          </w:p>
        </w:tc>
        <w:tc>
          <w:tcPr>
            <w:tcW w:w="1361" w:type="dxa"/>
            <w:vAlign w:val="center"/>
          </w:tcPr>
          <w:p>
            <w:pPr>
              <w:pStyle w:val="11"/>
            </w:pPr>
            <w:r>
              <w:t>236.55</w:t>
            </w:r>
          </w:p>
        </w:tc>
        <w:tc>
          <w:tcPr>
            <w:tcW w:w="1361" w:type="dxa"/>
            <w:vAlign w:val="center"/>
          </w:tcPr>
          <w:p>
            <w:pPr>
              <w:pStyle w:val="11"/>
            </w:pPr>
            <w:r>
              <w:t>210.55</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2010801</w:t>
            </w:r>
          </w:p>
        </w:tc>
        <w:tc>
          <w:tcPr>
            <w:tcW w:w="4535" w:type="dxa"/>
            <w:vAlign w:val="center"/>
          </w:tcPr>
          <w:p>
            <w:pPr>
              <w:pStyle w:val="12"/>
            </w:pPr>
            <w:r>
              <w:t>行政运行</w:t>
            </w:r>
          </w:p>
        </w:tc>
        <w:tc>
          <w:tcPr>
            <w:tcW w:w="1361" w:type="dxa"/>
            <w:vAlign w:val="center"/>
          </w:tcPr>
          <w:p>
            <w:pPr>
              <w:pStyle w:val="11"/>
            </w:pPr>
            <w:r>
              <w:t>166.11</w:t>
            </w:r>
          </w:p>
        </w:tc>
        <w:tc>
          <w:tcPr>
            <w:tcW w:w="1361" w:type="dxa"/>
            <w:vAlign w:val="center"/>
          </w:tcPr>
          <w:p>
            <w:pPr>
              <w:pStyle w:val="11"/>
            </w:pPr>
            <w:r>
              <w:t>166.11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2010804</w:t>
            </w:r>
          </w:p>
        </w:tc>
        <w:tc>
          <w:tcPr>
            <w:tcW w:w="4535" w:type="dxa"/>
            <w:vAlign w:val="center"/>
          </w:tcPr>
          <w:p>
            <w:pPr>
              <w:pStyle w:val="12"/>
            </w:pPr>
            <w:r>
              <w:t>审计业务</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2010850</w:t>
            </w:r>
          </w:p>
        </w:tc>
        <w:tc>
          <w:tcPr>
            <w:tcW w:w="4535" w:type="dxa"/>
            <w:vAlign w:val="center"/>
          </w:tcPr>
          <w:p>
            <w:pPr>
              <w:pStyle w:val="12"/>
            </w:pPr>
            <w:r>
              <w:t>事业运行</w:t>
            </w:r>
          </w:p>
        </w:tc>
        <w:tc>
          <w:tcPr>
            <w:tcW w:w="1361" w:type="dxa"/>
            <w:vAlign w:val="center"/>
          </w:tcPr>
          <w:p>
            <w:pPr>
              <w:pStyle w:val="11"/>
            </w:pPr>
            <w:r>
              <w:t>44.44</w:t>
            </w:r>
          </w:p>
        </w:tc>
        <w:tc>
          <w:tcPr>
            <w:tcW w:w="1361" w:type="dxa"/>
            <w:vAlign w:val="center"/>
          </w:tcPr>
          <w:p>
            <w:pPr>
              <w:pStyle w:val="11"/>
            </w:pPr>
            <w:r>
              <w:t>44.44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36.93</w:t>
            </w:r>
          </w:p>
        </w:tc>
        <w:tc>
          <w:tcPr>
            <w:tcW w:w="1361" w:type="dxa"/>
            <w:vAlign w:val="center"/>
          </w:tcPr>
          <w:p>
            <w:pPr>
              <w:pStyle w:val="11"/>
            </w:pPr>
            <w:r>
              <w:t>36.93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35.95</w:t>
            </w:r>
          </w:p>
        </w:tc>
        <w:tc>
          <w:tcPr>
            <w:tcW w:w="1361" w:type="dxa"/>
            <w:vAlign w:val="center"/>
          </w:tcPr>
          <w:p>
            <w:pPr>
              <w:pStyle w:val="11"/>
            </w:pPr>
            <w:r>
              <w:t>35.95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8.52</w:t>
            </w:r>
          </w:p>
        </w:tc>
        <w:tc>
          <w:tcPr>
            <w:tcW w:w="1361" w:type="dxa"/>
            <w:vAlign w:val="center"/>
          </w:tcPr>
          <w:p>
            <w:pPr>
              <w:pStyle w:val="11"/>
            </w:pPr>
            <w:r>
              <w:t>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27.43</w:t>
            </w:r>
          </w:p>
        </w:tc>
        <w:tc>
          <w:tcPr>
            <w:tcW w:w="1361" w:type="dxa"/>
            <w:vAlign w:val="center"/>
          </w:tcPr>
          <w:p>
            <w:pPr>
              <w:pStyle w:val="11"/>
            </w:pPr>
            <w:r>
              <w:t>27.43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0.97</w:t>
            </w:r>
          </w:p>
        </w:tc>
        <w:tc>
          <w:tcPr>
            <w:tcW w:w="1361" w:type="dxa"/>
            <w:vAlign w:val="center"/>
          </w:tcPr>
          <w:p>
            <w:pPr>
              <w:pStyle w:val="11"/>
            </w:pPr>
            <w:r>
              <w:t>0.97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0.97</w:t>
            </w:r>
          </w:p>
        </w:tc>
        <w:tc>
          <w:tcPr>
            <w:tcW w:w="1361" w:type="dxa"/>
            <w:vAlign w:val="center"/>
          </w:tcPr>
          <w:p>
            <w:pPr>
              <w:pStyle w:val="11"/>
            </w:pPr>
            <w:r>
              <w:t>0.97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13.62</w:t>
            </w:r>
          </w:p>
        </w:tc>
        <w:tc>
          <w:tcPr>
            <w:tcW w:w="1361" w:type="dxa"/>
            <w:vAlign w:val="center"/>
          </w:tcPr>
          <w:p>
            <w:pPr>
              <w:pStyle w:val="11"/>
            </w:pPr>
            <w:r>
              <w:t>13.62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13.62</w:t>
            </w:r>
          </w:p>
        </w:tc>
        <w:tc>
          <w:tcPr>
            <w:tcW w:w="1361" w:type="dxa"/>
            <w:vAlign w:val="center"/>
          </w:tcPr>
          <w:p>
            <w:pPr>
              <w:pStyle w:val="11"/>
            </w:pPr>
            <w:r>
              <w:t>13.62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9.85</w:t>
            </w:r>
          </w:p>
        </w:tc>
        <w:tc>
          <w:tcPr>
            <w:tcW w:w="1361" w:type="dxa"/>
            <w:vAlign w:val="center"/>
          </w:tcPr>
          <w:p>
            <w:pPr>
              <w:pStyle w:val="11"/>
            </w:pPr>
            <w:r>
              <w:t>9.85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3.77</w:t>
            </w:r>
          </w:p>
        </w:tc>
        <w:tc>
          <w:tcPr>
            <w:tcW w:w="1361" w:type="dxa"/>
            <w:vAlign w:val="center"/>
          </w:tcPr>
          <w:p>
            <w:pPr>
              <w:pStyle w:val="11"/>
            </w:pPr>
            <w:r>
              <w:t>3.77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14.04</w:t>
            </w:r>
          </w:p>
        </w:tc>
        <w:tc>
          <w:tcPr>
            <w:tcW w:w="1361" w:type="dxa"/>
            <w:vAlign w:val="center"/>
          </w:tcPr>
          <w:p>
            <w:pPr>
              <w:pStyle w:val="11"/>
            </w:pPr>
            <w:r>
              <w:t>14.04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14.04</w:t>
            </w:r>
          </w:p>
        </w:tc>
        <w:tc>
          <w:tcPr>
            <w:tcW w:w="1361" w:type="dxa"/>
            <w:vAlign w:val="center"/>
          </w:tcPr>
          <w:p>
            <w:pPr>
              <w:pStyle w:val="11"/>
            </w:pPr>
            <w:r>
              <w:t>14.04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14.04</w:t>
            </w:r>
          </w:p>
        </w:tc>
        <w:tc>
          <w:tcPr>
            <w:tcW w:w="1361" w:type="dxa"/>
            <w:vAlign w:val="center"/>
          </w:tcPr>
          <w:p>
            <w:pPr>
              <w:pStyle w:val="11"/>
            </w:pPr>
            <w:r>
              <w:t>14.04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296.76</w:t>
            </w:r>
          </w:p>
        </w:tc>
        <w:tc>
          <w:tcPr>
            <w:tcW w:w="3402" w:type="dxa"/>
            <w:vAlign w:val="center"/>
          </w:tcPr>
          <w:p>
            <w:pPr>
              <w:pStyle w:val="12"/>
            </w:pPr>
            <w:r>
              <w:t>一、一般公共服务支出</w:t>
            </w:r>
          </w:p>
        </w:tc>
        <w:tc>
          <w:tcPr>
            <w:tcW w:w="1474" w:type="dxa"/>
            <w:vAlign w:val="center"/>
          </w:tcPr>
          <w:p>
            <w:pPr>
              <w:pStyle w:val="11"/>
            </w:pPr>
            <w:r>
              <w:t>236.55</w:t>
            </w:r>
          </w:p>
        </w:tc>
        <w:tc>
          <w:tcPr>
            <w:tcW w:w="1474" w:type="dxa"/>
            <w:vAlign w:val="center"/>
          </w:tcPr>
          <w:p>
            <w:pPr>
              <w:pStyle w:val="11"/>
            </w:pPr>
            <w:r>
              <w:t>236.55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36.93</w:t>
            </w:r>
          </w:p>
        </w:tc>
        <w:tc>
          <w:tcPr>
            <w:tcW w:w="1474" w:type="dxa"/>
            <w:vAlign w:val="center"/>
          </w:tcPr>
          <w:p>
            <w:pPr>
              <w:pStyle w:val="11"/>
            </w:pPr>
            <w:r>
              <w:t>36.93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13.62</w:t>
            </w:r>
          </w:p>
        </w:tc>
        <w:tc>
          <w:tcPr>
            <w:tcW w:w="1474" w:type="dxa"/>
            <w:vAlign w:val="center"/>
          </w:tcPr>
          <w:p>
            <w:pPr>
              <w:pStyle w:val="11"/>
            </w:pPr>
            <w:r>
              <w:t>13.62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14.04</w:t>
            </w:r>
          </w:p>
        </w:tc>
        <w:tc>
          <w:tcPr>
            <w:tcW w:w="1474" w:type="dxa"/>
            <w:vAlign w:val="center"/>
          </w:tcPr>
          <w:p>
            <w:pPr>
              <w:pStyle w:val="11"/>
            </w:pPr>
            <w:r>
              <w:t>14.04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296.76</w:t>
            </w:r>
          </w:p>
        </w:tc>
        <w:tc>
          <w:tcPr>
            <w:tcW w:w="3402" w:type="dxa"/>
            <w:vAlign w:val="center"/>
          </w:tcPr>
          <w:p>
            <w:pPr>
              <w:pStyle w:val="14"/>
            </w:pPr>
            <w:r>
              <w:t>本年支出合计</w:t>
            </w:r>
          </w:p>
        </w:tc>
        <w:tc>
          <w:tcPr>
            <w:tcW w:w="1474" w:type="dxa"/>
            <w:vAlign w:val="center"/>
          </w:tcPr>
          <w:p>
            <w:pPr>
              <w:pStyle w:val="15"/>
            </w:pPr>
            <w:r>
              <w:t>301.14</w:t>
            </w:r>
          </w:p>
        </w:tc>
        <w:tc>
          <w:tcPr>
            <w:tcW w:w="1474" w:type="dxa"/>
            <w:vAlign w:val="center"/>
          </w:tcPr>
          <w:p>
            <w:pPr>
              <w:pStyle w:val="15"/>
            </w:pPr>
            <w:r>
              <w:t>301.14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4.37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4.37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301.14</w:t>
            </w:r>
          </w:p>
        </w:tc>
        <w:tc>
          <w:tcPr>
            <w:tcW w:w="3402" w:type="dxa"/>
            <w:vAlign w:val="center"/>
          </w:tcPr>
          <w:p>
            <w:pPr>
              <w:pStyle w:val="14"/>
            </w:pPr>
            <w:r>
              <w:t>支出总计</w:t>
            </w:r>
          </w:p>
        </w:tc>
        <w:tc>
          <w:tcPr>
            <w:tcW w:w="1474" w:type="dxa"/>
            <w:vAlign w:val="center"/>
          </w:tcPr>
          <w:p>
            <w:pPr>
              <w:pStyle w:val="15"/>
            </w:pPr>
            <w:r>
              <w:t>301.14</w:t>
            </w:r>
          </w:p>
        </w:tc>
        <w:tc>
          <w:tcPr>
            <w:tcW w:w="1474" w:type="dxa"/>
            <w:vAlign w:val="center"/>
          </w:tcPr>
          <w:p>
            <w:pPr>
              <w:pStyle w:val="15"/>
            </w:pPr>
            <w:r>
              <w:t>301.14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301.14</w:t>
            </w:r>
          </w:p>
        </w:tc>
        <w:tc>
          <w:tcPr>
            <w:tcW w:w="2551" w:type="dxa"/>
            <w:vAlign w:val="center"/>
          </w:tcPr>
          <w:p>
            <w:pPr>
              <w:pStyle w:val="15"/>
            </w:pPr>
            <w:r>
              <w:t>275.14</w:t>
            </w:r>
          </w:p>
        </w:tc>
        <w:tc>
          <w:tcPr>
            <w:tcW w:w="2551" w:type="dxa"/>
            <w:vAlign w:val="center"/>
          </w:tcPr>
          <w:p>
            <w:pPr>
              <w:pStyle w:val="15"/>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236.55</w:t>
            </w:r>
          </w:p>
        </w:tc>
        <w:tc>
          <w:tcPr>
            <w:tcW w:w="2551" w:type="dxa"/>
            <w:vAlign w:val="center"/>
          </w:tcPr>
          <w:p>
            <w:pPr>
              <w:pStyle w:val="11"/>
            </w:pPr>
            <w:r>
              <w:t>210.55</w:t>
            </w: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236.55</w:t>
            </w:r>
          </w:p>
        </w:tc>
        <w:tc>
          <w:tcPr>
            <w:tcW w:w="2551" w:type="dxa"/>
            <w:vAlign w:val="center"/>
          </w:tcPr>
          <w:p>
            <w:pPr>
              <w:pStyle w:val="11"/>
            </w:pPr>
            <w:r>
              <w:t>210.55</w:t>
            </w: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166.11</w:t>
            </w:r>
          </w:p>
        </w:tc>
        <w:tc>
          <w:tcPr>
            <w:tcW w:w="2551" w:type="dxa"/>
            <w:vAlign w:val="center"/>
          </w:tcPr>
          <w:p>
            <w:pPr>
              <w:pStyle w:val="11"/>
            </w:pPr>
            <w:r>
              <w:t>166.11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2010804</w:t>
            </w:r>
          </w:p>
        </w:tc>
        <w:tc>
          <w:tcPr>
            <w:tcW w:w="4535" w:type="dxa"/>
            <w:vAlign w:val="center"/>
          </w:tcPr>
          <w:p>
            <w:pPr>
              <w:pStyle w:val="12"/>
            </w:pPr>
            <w:r>
              <w:t>审计业务</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2010850</w:t>
            </w:r>
          </w:p>
        </w:tc>
        <w:tc>
          <w:tcPr>
            <w:tcW w:w="4535" w:type="dxa"/>
            <w:vAlign w:val="center"/>
          </w:tcPr>
          <w:p>
            <w:pPr>
              <w:pStyle w:val="12"/>
            </w:pPr>
            <w:r>
              <w:t>事业运行</w:t>
            </w:r>
          </w:p>
        </w:tc>
        <w:tc>
          <w:tcPr>
            <w:tcW w:w="2551" w:type="dxa"/>
            <w:vAlign w:val="center"/>
          </w:tcPr>
          <w:p>
            <w:pPr>
              <w:pStyle w:val="11"/>
            </w:pPr>
            <w:r>
              <w:t>44.44</w:t>
            </w:r>
          </w:p>
        </w:tc>
        <w:tc>
          <w:tcPr>
            <w:tcW w:w="2551" w:type="dxa"/>
            <w:vAlign w:val="center"/>
          </w:tcPr>
          <w:p>
            <w:pPr>
              <w:pStyle w:val="11"/>
            </w:pPr>
            <w:r>
              <w:t>44.44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36.93</w:t>
            </w:r>
          </w:p>
        </w:tc>
        <w:tc>
          <w:tcPr>
            <w:tcW w:w="2551" w:type="dxa"/>
            <w:vAlign w:val="center"/>
          </w:tcPr>
          <w:p>
            <w:pPr>
              <w:pStyle w:val="11"/>
            </w:pPr>
            <w:r>
              <w:t>36.93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35.95</w:t>
            </w:r>
          </w:p>
        </w:tc>
        <w:tc>
          <w:tcPr>
            <w:tcW w:w="2551" w:type="dxa"/>
            <w:vAlign w:val="center"/>
          </w:tcPr>
          <w:p>
            <w:pPr>
              <w:pStyle w:val="11"/>
            </w:pPr>
            <w:r>
              <w:t>35.95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8.52</w:t>
            </w:r>
          </w:p>
        </w:tc>
        <w:tc>
          <w:tcPr>
            <w:tcW w:w="2551" w:type="dxa"/>
            <w:vAlign w:val="center"/>
          </w:tcPr>
          <w:p>
            <w:pPr>
              <w:pStyle w:val="11"/>
            </w:pPr>
            <w:r>
              <w:t>8.52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27.43</w:t>
            </w:r>
          </w:p>
        </w:tc>
        <w:tc>
          <w:tcPr>
            <w:tcW w:w="2551" w:type="dxa"/>
            <w:vAlign w:val="center"/>
          </w:tcPr>
          <w:p>
            <w:pPr>
              <w:pStyle w:val="11"/>
            </w:pPr>
            <w:r>
              <w:t>27.43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0.97</w:t>
            </w:r>
          </w:p>
        </w:tc>
        <w:tc>
          <w:tcPr>
            <w:tcW w:w="2551" w:type="dxa"/>
            <w:vAlign w:val="center"/>
          </w:tcPr>
          <w:p>
            <w:pPr>
              <w:pStyle w:val="11"/>
            </w:pPr>
            <w:r>
              <w:t>0.97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0.97</w:t>
            </w:r>
          </w:p>
        </w:tc>
        <w:tc>
          <w:tcPr>
            <w:tcW w:w="2551" w:type="dxa"/>
            <w:vAlign w:val="center"/>
          </w:tcPr>
          <w:p>
            <w:pPr>
              <w:pStyle w:val="11"/>
            </w:pPr>
            <w:r>
              <w:t>0.97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13.62</w:t>
            </w:r>
          </w:p>
        </w:tc>
        <w:tc>
          <w:tcPr>
            <w:tcW w:w="2551" w:type="dxa"/>
            <w:vAlign w:val="center"/>
          </w:tcPr>
          <w:p>
            <w:pPr>
              <w:pStyle w:val="11"/>
            </w:pPr>
            <w:r>
              <w:t>13.62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13.62</w:t>
            </w:r>
          </w:p>
        </w:tc>
        <w:tc>
          <w:tcPr>
            <w:tcW w:w="2551" w:type="dxa"/>
            <w:vAlign w:val="center"/>
          </w:tcPr>
          <w:p>
            <w:pPr>
              <w:pStyle w:val="11"/>
            </w:pPr>
            <w:r>
              <w:t>13.62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9.85</w:t>
            </w:r>
          </w:p>
        </w:tc>
        <w:tc>
          <w:tcPr>
            <w:tcW w:w="2551" w:type="dxa"/>
            <w:vAlign w:val="center"/>
          </w:tcPr>
          <w:p>
            <w:pPr>
              <w:pStyle w:val="11"/>
            </w:pPr>
            <w:r>
              <w:t>9.85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3.77</w:t>
            </w:r>
          </w:p>
        </w:tc>
        <w:tc>
          <w:tcPr>
            <w:tcW w:w="2551" w:type="dxa"/>
            <w:vAlign w:val="center"/>
          </w:tcPr>
          <w:p>
            <w:pPr>
              <w:pStyle w:val="11"/>
            </w:pPr>
            <w:r>
              <w:t>3.77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14.04</w:t>
            </w:r>
          </w:p>
        </w:tc>
        <w:tc>
          <w:tcPr>
            <w:tcW w:w="2551" w:type="dxa"/>
            <w:vAlign w:val="center"/>
          </w:tcPr>
          <w:p>
            <w:pPr>
              <w:pStyle w:val="11"/>
            </w:pPr>
            <w:r>
              <w:t>14.04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14.04</w:t>
            </w:r>
          </w:p>
        </w:tc>
        <w:tc>
          <w:tcPr>
            <w:tcW w:w="2551" w:type="dxa"/>
            <w:vAlign w:val="center"/>
          </w:tcPr>
          <w:p>
            <w:pPr>
              <w:pStyle w:val="11"/>
            </w:pPr>
            <w:r>
              <w:t>14.04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14.04</w:t>
            </w:r>
          </w:p>
        </w:tc>
        <w:tc>
          <w:tcPr>
            <w:tcW w:w="2551" w:type="dxa"/>
            <w:vAlign w:val="center"/>
          </w:tcPr>
          <w:p>
            <w:pPr>
              <w:pStyle w:val="11"/>
            </w:pPr>
            <w:r>
              <w:t>14.04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275.14</w:t>
            </w:r>
          </w:p>
        </w:tc>
        <w:tc>
          <w:tcPr>
            <w:tcW w:w="2551" w:type="dxa"/>
            <w:vAlign w:val="center"/>
          </w:tcPr>
          <w:p>
            <w:pPr>
              <w:pStyle w:val="15"/>
            </w:pPr>
            <w:r>
              <w:t>243.95</w:t>
            </w:r>
          </w:p>
        </w:tc>
        <w:tc>
          <w:tcPr>
            <w:tcW w:w="2551" w:type="dxa"/>
            <w:vAlign w:val="center"/>
          </w:tcPr>
          <w:p>
            <w:pPr>
              <w:pStyle w:val="15"/>
            </w:pPr>
            <w:r>
              <w:t>31.19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234.46</w:t>
            </w:r>
          </w:p>
        </w:tc>
        <w:tc>
          <w:tcPr>
            <w:tcW w:w="2551" w:type="dxa"/>
            <w:vAlign w:val="center"/>
          </w:tcPr>
          <w:p>
            <w:pPr>
              <w:pStyle w:val="11"/>
            </w:pPr>
            <w:r>
              <w:t>234.46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105.47</w:t>
            </w:r>
          </w:p>
        </w:tc>
        <w:tc>
          <w:tcPr>
            <w:tcW w:w="2551" w:type="dxa"/>
            <w:vAlign w:val="center"/>
          </w:tcPr>
          <w:p>
            <w:pPr>
              <w:pStyle w:val="11"/>
            </w:pPr>
            <w:r>
              <w:t>105.47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40.57</w:t>
            </w:r>
          </w:p>
        </w:tc>
        <w:tc>
          <w:tcPr>
            <w:tcW w:w="2551" w:type="dxa"/>
            <w:vAlign w:val="center"/>
          </w:tcPr>
          <w:p>
            <w:pPr>
              <w:pStyle w:val="11"/>
            </w:pPr>
            <w:r>
              <w:t>40.57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16.54</w:t>
            </w:r>
          </w:p>
        </w:tc>
        <w:tc>
          <w:tcPr>
            <w:tcW w:w="2551" w:type="dxa"/>
            <w:vAlign w:val="center"/>
          </w:tcPr>
          <w:p>
            <w:pPr>
              <w:pStyle w:val="11"/>
            </w:pPr>
            <w:r>
              <w:t>16.54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15.92</w:t>
            </w:r>
          </w:p>
        </w:tc>
        <w:tc>
          <w:tcPr>
            <w:tcW w:w="2551" w:type="dxa"/>
            <w:vAlign w:val="center"/>
          </w:tcPr>
          <w:p>
            <w:pPr>
              <w:pStyle w:val="11"/>
            </w:pPr>
            <w:r>
              <w:t>15.92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27.43</w:t>
            </w:r>
          </w:p>
        </w:tc>
        <w:tc>
          <w:tcPr>
            <w:tcW w:w="2551" w:type="dxa"/>
            <w:vAlign w:val="center"/>
          </w:tcPr>
          <w:p>
            <w:pPr>
              <w:pStyle w:val="11"/>
            </w:pPr>
            <w:r>
              <w:t>27.43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13.62</w:t>
            </w:r>
          </w:p>
        </w:tc>
        <w:tc>
          <w:tcPr>
            <w:tcW w:w="2551" w:type="dxa"/>
            <w:vAlign w:val="center"/>
          </w:tcPr>
          <w:p>
            <w:pPr>
              <w:pStyle w:val="11"/>
            </w:pPr>
            <w:r>
              <w:t>13.62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0.86</w:t>
            </w:r>
          </w:p>
        </w:tc>
        <w:tc>
          <w:tcPr>
            <w:tcW w:w="2551" w:type="dxa"/>
            <w:vAlign w:val="center"/>
          </w:tcPr>
          <w:p>
            <w:pPr>
              <w:pStyle w:val="11"/>
            </w:pPr>
            <w:r>
              <w:t>0.86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14.04</w:t>
            </w:r>
          </w:p>
        </w:tc>
        <w:tc>
          <w:tcPr>
            <w:tcW w:w="2551" w:type="dxa"/>
            <w:vAlign w:val="center"/>
          </w:tcPr>
          <w:p>
            <w:pPr>
              <w:pStyle w:val="11"/>
            </w:pPr>
            <w:r>
              <w:t>14.04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31.19</w:t>
            </w:r>
          </w:p>
        </w:tc>
        <w:tc>
          <w:tcPr>
            <w:tcW w:w="2551" w:type="dxa"/>
            <w:vAlign w:val="center"/>
          </w:tcPr>
          <w:p>
            <w:pPr>
              <w:pStyle w:val="11"/>
            </w:pPr>
          </w:p>
        </w:tc>
        <w:tc>
          <w:tcPr>
            <w:tcW w:w="2551" w:type="dxa"/>
            <w:vAlign w:val="center"/>
          </w:tcPr>
          <w:p>
            <w:pPr>
              <w:pStyle w:val="11"/>
            </w:pPr>
            <w:r>
              <w:t>31.19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1.38</w:t>
            </w:r>
          </w:p>
        </w:tc>
        <w:tc>
          <w:tcPr>
            <w:tcW w:w="2551" w:type="dxa"/>
            <w:vAlign w:val="center"/>
          </w:tcPr>
          <w:p>
            <w:pPr>
              <w:pStyle w:val="11"/>
            </w:pPr>
          </w:p>
        </w:tc>
        <w:tc>
          <w:tcPr>
            <w:tcW w:w="2551" w:type="dxa"/>
            <w:vAlign w:val="center"/>
          </w:tcPr>
          <w:p>
            <w:pPr>
              <w:pStyle w:val="11"/>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14.01</w:t>
            </w:r>
          </w:p>
        </w:tc>
        <w:tc>
          <w:tcPr>
            <w:tcW w:w="2551" w:type="dxa"/>
            <w:vAlign w:val="center"/>
          </w:tcPr>
          <w:p>
            <w:pPr>
              <w:pStyle w:val="11"/>
            </w:pPr>
          </w:p>
        </w:tc>
        <w:tc>
          <w:tcPr>
            <w:tcW w:w="2551" w:type="dxa"/>
            <w:vAlign w:val="center"/>
          </w:tcPr>
          <w:p>
            <w:pPr>
              <w:pStyle w:val="11"/>
            </w:pPr>
            <w:r>
              <w:t>14.01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9.49</w:t>
            </w:r>
          </w:p>
        </w:tc>
        <w:tc>
          <w:tcPr>
            <w:tcW w:w="2551" w:type="dxa"/>
            <w:vAlign w:val="center"/>
          </w:tcPr>
          <w:p>
            <w:pPr>
              <w:pStyle w:val="11"/>
            </w:pPr>
            <w:r>
              <w:t>9.49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8.52</w:t>
            </w:r>
          </w:p>
        </w:tc>
        <w:tc>
          <w:tcPr>
            <w:tcW w:w="2551" w:type="dxa"/>
            <w:vAlign w:val="center"/>
          </w:tcPr>
          <w:p>
            <w:pPr>
              <w:pStyle w:val="11"/>
            </w:pPr>
            <w:r>
              <w:t>8.52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0.97</w:t>
            </w:r>
          </w:p>
        </w:tc>
        <w:tc>
          <w:tcPr>
            <w:tcW w:w="2551" w:type="dxa"/>
            <w:vAlign w:val="center"/>
          </w:tcPr>
          <w:p>
            <w:pPr>
              <w:pStyle w:val="11"/>
            </w:pPr>
            <w:r>
              <w:t>0.97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2.10</w:t>
            </w:r>
          </w:p>
        </w:tc>
        <w:tc>
          <w:tcPr>
            <w:tcW w:w="2381" w:type="dxa"/>
            <w:vAlign w:val="center"/>
          </w:tcPr>
          <w:p>
            <w:pPr>
              <w:pStyle w:val="15"/>
            </w:pPr>
            <w:r>
              <w:t>2.10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2.10</w:t>
            </w:r>
          </w:p>
        </w:tc>
        <w:tc>
          <w:tcPr>
            <w:tcW w:w="2381" w:type="dxa"/>
            <w:vAlign w:val="center"/>
          </w:tcPr>
          <w:p>
            <w:pPr>
              <w:pStyle w:val="11"/>
            </w:pPr>
            <w:r>
              <w:t>2.10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0.50</w:t>
            </w:r>
          </w:p>
        </w:tc>
        <w:tc>
          <w:tcPr>
            <w:tcW w:w="2381" w:type="dxa"/>
            <w:vAlign w:val="center"/>
          </w:tcPr>
          <w:p>
            <w:pPr>
              <w:pStyle w:val="11"/>
            </w:pPr>
            <w:r>
              <w:t>0.50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青龙满族自治县审计局本级2026年单位预算信息公开情况说明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按照《中华人民共和国预算法》、《地方预决算公开操作规程》和《关于进一步推进预算公开工作的实施意见》规定，现将青龙满族自治县审计局本级2026年单位预算公开如下：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主管全县审计工作。负责对全县财政收支和依法属于审计监督范围的财务收支的真实、合法和效益进行审计监督，对公共资金、国有资产、国有资源和领导干部履行经济责任情况实行审计全覆盖，对领导干部实行自然资源资产离任审计，对党和国家及省、市、县党委政府相关重大政策措施贯彻落实情况进行跟踪审计。对直接审计、专项审计调查和核查社会审计机构相关审计报告的结果承担责任，并负有督促被审计单位整改的责任。</w:t>
      </w:r>
    </w:p>
    <w:p>
      <w:pPr>
        <w:pStyle w:val="17"/>
      </w:pPr>
      <w:r>
        <w:t>（二）贯彻执行审计法律、法规和方针、政策；制定审计规范性文件并监督执行；制定并组织实施全县审计工作发展规划和年度审计计划；对直接审计、调查和核查的事项依法进行审计评价，做出审计决定或提出审计建议。</w:t>
      </w:r>
    </w:p>
    <w:p>
      <w:pPr>
        <w:pStyle w:val="17"/>
      </w:pPr>
      <w:r>
        <w:t>（三）向中共青龙满族自治县县委审计委员会提出年度县本级预算执行和其他财政支出情况审计报告。向县长提出年度县本级预算执行和其他财政收支情况的审计结果报告、审计查出问题整改情况报告。受县政府委托向县人大常委会提出县本级预算执行和其他财政收支情况的审计工作报告。向县委、县政府报告对其他事项的审计和专项审计调查情况及结果。向被审计单位通报审计情况和审计结果。依法向社会公布审计结果。</w:t>
      </w:r>
    </w:p>
    <w:p>
      <w:pPr>
        <w:pStyle w:val="17"/>
      </w:pPr>
      <w:r>
        <w:t>（四）直接审计下列事项，出具审计报告，在法定职权范围内作出审计决定，向有关部门提出处理处罚的建议。包括国家和省、市、县有关重大政策措施贯彻落实情况；县本级（含经济开发区、物流产业聚集区）预算执行情况和其他财政收支，县直各部门（含所属单位）预算执行情况、决算草案和其他财政收支；乡镇政府预算执行情况、决算草案和其他财政收支，县级财政转移支付资金；使用县级财政资金的事业单位和社会团体的财务收支；县级投资和以县级投资为主的建设项目的预算执行情况和决算，县重大公共工程项目的资金管理使用和建设运营情况；自然资源管理、污染防治和生态保护与修复情况；县属国有和国有资本占控股或主导地位的企业和金融机构的境内外资产、负债和损益，县驻外经营性机构的财务收支；有关社会保障基金、社会捐赠资金和其他基金、资金的财务收支；法律法规 规定和上级授权的其他事项。</w:t>
      </w:r>
    </w:p>
    <w:p>
      <w:pPr>
        <w:pStyle w:val="17"/>
      </w:pPr>
      <w:r>
        <w:t xml:space="preserve">（五）按规定对县管党政主要领导干部及其他单位主要负责人实施经济责任审计和自然资源资产离任审计。 </w:t>
      </w:r>
    </w:p>
    <w:p>
      <w:pPr>
        <w:pStyle w:val="17"/>
      </w:pPr>
      <w:r>
        <w:t>（六）组织实施对财经法律法规、规章、政策和宏观调控措施执行情况、财政预算管理及国有资产管理使用等与财政收支有关的特定事项进行专项审计调查。</w:t>
      </w:r>
    </w:p>
    <w:p>
      <w:pPr>
        <w:pStyle w:val="17"/>
      </w:pPr>
      <w:r>
        <w:t>（七）依法检查审计决定执行情况，督促整改审计查出的问题，依法办理被审计单位对审计决定提请行政复议、行政诉讼或县政府裁决中的有关事项，协助配合有关部门查处相关重大案件。</w:t>
      </w:r>
    </w:p>
    <w:p>
      <w:pPr>
        <w:pStyle w:val="17"/>
      </w:pPr>
      <w:r>
        <w:t xml:space="preserve">（八）指导和监督内部审计工作，核查社会审计机构对依法属于审计监督对象的单位出具的相关审计报告。 </w:t>
      </w:r>
    </w:p>
    <w:p>
      <w:pPr>
        <w:pStyle w:val="17"/>
      </w:pPr>
      <w:r>
        <w:t>（九）组织开展审计领域的交流与合作，指导和推广大数据信息技术在审计领域的应用。</w:t>
      </w:r>
    </w:p>
    <w:p>
      <w:pPr>
        <w:pStyle w:val="17"/>
      </w:pPr>
      <w:r>
        <w:t>（十）完成县委（或县委、县政府）交办的其他任务。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青龙满族自治县审计局本级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301.14万元，其中：一般公共预算收入296.76万元，基金预算收入0.00万元，国有资本经营预算收入0.00万元，财政专户核拨收入0.00万元，单位资金收入0.00万元，上年结转结余4.37万元。</w:t>
      </w:r>
    </w:p>
    <w:p>
      <w:pPr>
        <w:pStyle w:val="18"/>
      </w:pPr>
      <w:r>
        <w:t>2、支出说明</w:t>
      </w:r>
    </w:p>
    <w:p>
      <w:pPr>
        <w:pStyle w:val="18"/>
      </w:pPr>
      <w:r>
        <w:t>收支预算总表支出栏、基本支出表、项目支出表按经济分类和支出功能分类科目编制，反映青龙满族自治县审计局本级年度单位预算中支出预算的总体情况。2026年支出预算301.14万元，其中基本支出275.14万元，包括人员经费243.95万元和日常公用经费31.19万元；项目支出26.00万元，主要为2026年青龙满族自治县审计局贯彻落实相关法律法规及大内部审计管理制度,进一步提升审计质量、审计价值和审计机关法制管理水平，不断拓宽审计思路，创新审计理念，突出审计重点，继续加强政治强审、科技强审、改革强审。充分发挥参谋助手作用和综合协调作用，对财政资金进行审计监督，提高财政资金的使用效益。指导、监督内部审计工作，提高内部审计质量，同时协调内部审计与国家审计之间的工作，保障内部审计工作顺利进行。加强审计人才队伍建设，组织审计业务的相关指导与培训，保证机关正常、高效运转。；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301.14万元，较2025年预算增加3.70万元，其中：基本支出增加26.70万元，主要为主要为根据自身情况和财政状况综合考量。项目支出减少23.00万元，主要为主要为根据自身情况和财政状况综合考量。。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1、关于提前下达2026年中央对地方审计专项补助经费的通知（冀财行[2025]93号）绩效目标表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13032126P003322100042</w:t>
            </w:r>
          </w:p>
        </w:tc>
        <w:tc>
          <w:tcPr>
            <w:tcW w:w="2835" w:type="dxa"/>
            <w:vAlign w:val="center"/>
          </w:tcPr>
          <w:p>
            <w:pPr>
              <w:pStyle w:val="10"/>
            </w:pPr>
            <w:r>
              <w:t>项目名称</w:t>
            </w:r>
          </w:p>
        </w:tc>
        <w:tc>
          <w:tcPr>
            <w:tcW w:w="6095" w:type="dxa"/>
            <w:gridSpan w:val="3"/>
            <w:vAlign w:val="center"/>
          </w:tcPr>
          <w:p>
            <w:pPr>
              <w:pStyle w:val="12"/>
            </w:pPr>
            <w:r>
              <w:t>关于提前下达2026年中央对地方审计专项补助经费的通知（冀财行[2025]93号）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保障审计机关能正常开展审计工作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1.通过审计发现问题进行整改，保障县城经济正常发展</w:t>
            </w:r>
            <w:r>
              <w:tab/>
            </w:r>
          </w:p>
          <w:p>
            <w:pPr>
              <w:pStyle w:val="12"/>
            </w:pPr>
            <w:r>
              <w:t>2.通过中央审计专项补助经费，保障审计机关能正常开展审计工作，全面独立履行审计监督职责</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审计报告数量</w:t>
            </w:r>
          </w:p>
        </w:tc>
        <w:tc>
          <w:tcPr>
            <w:tcW w:w="5386" w:type="dxa"/>
            <w:vAlign w:val="center"/>
          </w:tcPr>
          <w:p>
            <w:pPr>
              <w:pStyle w:val="12"/>
            </w:pPr>
            <w:r>
              <w:t>审计报告数量</w:t>
            </w:r>
          </w:p>
        </w:tc>
        <w:tc>
          <w:tcPr>
            <w:tcW w:w="2268" w:type="dxa"/>
            <w:vAlign w:val="center"/>
          </w:tcPr>
          <w:p>
            <w:pPr>
              <w:pStyle w:val="12"/>
            </w:pPr>
            <w:r>
              <w:t>≥6个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审计计划完成率</w:t>
            </w:r>
          </w:p>
        </w:tc>
        <w:tc>
          <w:tcPr>
            <w:tcW w:w="5386" w:type="dxa"/>
            <w:vAlign w:val="center"/>
          </w:tcPr>
          <w:p>
            <w:pPr>
              <w:pStyle w:val="12"/>
            </w:pPr>
            <w:r>
              <w:t>审计计划完成率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审批完成率</w:t>
            </w:r>
          </w:p>
        </w:tc>
        <w:tc>
          <w:tcPr>
            <w:tcW w:w="5386" w:type="dxa"/>
            <w:vAlign w:val="center"/>
          </w:tcPr>
          <w:p>
            <w:pPr>
              <w:pStyle w:val="12"/>
            </w:pPr>
            <w:r>
              <w:t>审批完成率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保障机关单位正常运转</w:t>
            </w:r>
          </w:p>
        </w:tc>
        <w:tc>
          <w:tcPr>
            <w:tcW w:w="5386" w:type="dxa"/>
            <w:vAlign w:val="center"/>
          </w:tcPr>
          <w:p>
            <w:pPr>
              <w:pStyle w:val="12"/>
            </w:pPr>
            <w:r>
              <w:t>保障机关单位正常运转</w:t>
            </w:r>
          </w:p>
        </w:tc>
        <w:tc>
          <w:tcPr>
            <w:tcW w:w="2268" w:type="dxa"/>
            <w:vAlign w:val="center"/>
          </w:tcPr>
          <w:p>
            <w:pPr>
              <w:pStyle w:val="12"/>
            </w:pPr>
            <w:r>
              <w:t>保障机关正常运转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任务计划完成率</w:t>
            </w:r>
          </w:p>
        </w:tc>
        <w:tc>
          <w:tcPr>
            <w:tcW w:w="5386" w:type="dxa"/>
            <w:vAlign w:val="center"/>
          </w:tcPr>
          <w:p>
            <w:pPr>
              <w:pStyle w:val="12"/>
            </w:pPr>
            <w:r>
              <w:t>任务计划完成率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被审计对象满意度比例</w:t>
            </w:r>
          </w:p>
        </w:tc>
        <w:tc>
          <w:tcPr>
            <w:tcW w:w="5386" w:type="dxa"/>
            <w:vAlign w:val="center"/>
          </w:tcPr>
          <w:p>
            <w:pPr>
              <w:pStyle w:val="12"/>
            </w:pPr>
            <w:r>
              <w:t>被审计对象满意度比例</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2、审计工作经费绩效目标表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13032126P00332210005M</w:t>
            </w:r>
          </w:p>
        </w:tc>
        <w:tc>
          <w:tcPr>
            <w:tcW w:w="2835" w:type="dxa"/>
            <w:vAlign w:val="center"/>
          </w:tcPr>
          <w:p>
            <w:pPr>
              <w:pStyle w:val="10"/>
            </w:pPr>
            <w:r>
              <w:t>项目名称</w:t>
            </w:r>
          </w:p>
        </w:tc>
        <w:tc>
          <w:tcPr>
            <w:tcW w:w="6095" w:type="dxa"/>
            <w:gridSpan w:val="3"/>
            <w:vAlign w:val="center"/>
          </w:tcPr>
          <w:p>
            <w:pPr>
              <w:pStyle w:val="12"/>
            </w:pPr>
            <w:r>
              <w:t>审计工作经费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保障审计机关能正常开展审计工作，全面独立履行审计监督职责</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1.通过审计专项补助经费，保障审计机关能正常开展审计工作，全面独立履行审计监督职责</w:t>
            </w:r>
            <w:r>
              <w:tab/>
            </w:r>
            <w:r>
              <w:tab/>
            </w:r>
            <w:r>
              <w:tab/>
            </w:r>
            <w:r>
              <w:tab/>
            </w:r>
          </w:p>
          <w:p>
            <w:pPr>
              <w:pStyle w:val="12"/>
            </w:pPr>
            <w:r>
              <w:t>2.通过审计发现问题进行整改，保障县城经济正常发展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审计报告数量</w:t>
            </w:r>
          </w:p>
        </w:tc>
        <w:tc>
          <w:tcPr>
            <w:tcW w:w="5386" w:type="dxa"/>
            <w:vAlign w:val="center"/>
          </w:tcPr>
          <w:p>
            <w:pPr>
              <w:pStyle w:val="12"/>
            </w:pPr>
            <w:r>
              <w:t>审计报告数量</w:t>
            </w:r>
          </w:p>
        </w:tc>
        <w:tc>
          <w:tcPr>
            <w:tcW w:w="2268" w:type="dxa"/>
            <w:vAlign w:val="center"/>
          </w:tcPr>
          <w:p>
            <w:pPr>
              <w:pStyle w:val="12"/>
            </w:pPr>
            <w:r>
              <w:t>≥6个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审计计划完成率</w:t>
            </w:r>
          </w:p>
        </w:tc>
        <w:tc>
          <w:tcPr>
            <w:tcW w:w="5386" w:type="dxa"/>
            <w:vAlign w:val="center"/>
          </w:tcPr>
          <w:p>
            <w:pPr>
              <w:pStyle w:val="12"/>
            </w:pPr>
            <w:r>
              <w:t>审计计划完成率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审批完成率</w:t>
            </w:r>
          </w:p>
        </w:tc>
        <w:tc>
          <w:tcPr>
            <w:tcW w:w="5386" w:type="dxa"/>
            <w:vAlign w:val="center"/>
          </w:tcPr>
          <w:p>
            <w:pPr>
              <w:pStyle w:val="12"/>
            </w:pPr>
            <w:r>
              <w:t>审批完成率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保障机关单位正常运转</w:t>
            </w:r>
          </w:p>
        </w:tc>
        <w:tc>
          <w:tcPr>
            <w:tcW w:w="5386" w:type="dxa"/>
            <w:vAlign w:val="center"/>
          </w:tcPr>
          <w:p>
            <w:pPr>
              <w:pStyle w:val="12"/>
            </w:pPr>
            <w:r>
              <w:t>保障机关单位正常运转</w:t>
            </w:r>
          </w:p>
        </w:tc>
        <w:tc>
          <w:tcPr>
            <w:tcW w:w="2268" w:type="dxa"/>
            <w:vAlign w:val="center"/>
          </w:tcPr>
          <w:p>
            <w:pPr>
              <w:pStyle w:val="12"/>
            </w:pPr>
            <w:r>
              <w:t>保障机关正常运转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任务计划完成率</w:t>
            </w:r>
          </w:p>
        </w:tc>
        <w:tc>
          <w:tcPr>
            <w:tcW w:w="5386" w:type="dxa"/>
            <w:vAlign w:val="center"/>
          </w:tcPr>
          <w:p>
            <w:pPr>
              <w:pStyle w:val="12"/>
            </w:pPr>
            <w:r>
              <w:t>任务计划完成率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被审计对象满意度比例</w:t>
            </w:r>
          </w:p>
        </w:tc>
        <w:tc>
          <w:tcPr>
            <w:tcW w:w="5386" w:type="dxa"/>
            <w:vAlign w:val="center"/>
          </w:tcPr>
          <w:p>
            <w:pPr>
              <w:pStyle w:val="12"/>
            </w:pPr>
            <w:r>
              <w:t>被审计对象满意度比例</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3、审计项目专项经费绩效目标表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13032126P003322100069</w:t>
            </w:r>
          </w:p>
        </w:tc>
        <w:tc>
          <w:tcPr>
            <w:tcW w:w="2835" w:type="dxa"/>
            <w:vAlign w:val="center"/>
          </w:tcPr>
          <w:p>
            <w:pPr>
              <w:pStyle w:val="10"/>
            </w:pPr>
            <w:r>
              <w:t>项目名称</w:t>
            </w:r>
          </w:p>
        </w:tc>
        <w:tc>
          <w:tcPr>
            <w:tcW w:w="6095" w:type="dxa"/>
            <w:gridSpan w:val="3"/>
            <w:vAlign w:val="center"/>
          </w:tcPr>
          <w:p>
            <w:pPr>
              <w:pStyle w:val="12"/>
            </w:pPr>
            <w:r>
              <w:t>审计项目专项经费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保障审计机关能正常开展审计工作，全面独立履行审计监督职责</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1.通过审计专项补助经费，保障审计机关能正常开展审计工作，全面独立履行审计监督职责</w:t>
            </w:r>
            <w:r>
              <w:tab/>
            </w:r>
            <w:r>
              <w:tab/>
            </w:r>
            <w:r>
              <w:tab/>
            </w:r>
            <w:r>
              <w:tab/>
            </w:r>
          </w:p>
          <w:p>
            <w:pPr>
              <w:pStyle w:val="12"/>
            </w:pPr>
            <w:r>
              <w:t>2.通过审计发现问题进行整改，保障县城经济正常发展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审计报告数量</w:t>
            </w:r>
          </w:p>
        </w:tc>
        <w:tc>
          <w:tcPr>
            <w:tcW w:w="5386" w:type="dxa"/>
            <w:vAlign w:val="center"/>
          </w:tcPr>
          <w:p>
            <w:pPr>
              <w:pStyle w:val="12"/>
            </w:pPr>
            <w:r>
              <w:t>审计报告数量</w:t>
            </w:r>
          </w:p>
        </w:tc>
        <w:tc>
          <w:tcPr>
            <w:tcW w:w="2268" w:type="dxa"/>
            <w:vAlign w:val="center"/>
          </w:tcPr>
          <w:p>
            <w:pPr>
              <w:pStyle w:val="12"/>
            </w:pPr>
            <w:r>
              <w:t>≥6个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审计计划完成率</w:t>
            </w:r>
          </w:p>
        </w:tc>
        <w:tc>
          <w:tcPr>
            <w:tcW w:w="5386" w:type="dxa"/>
            <w:vAlign w:val="center"/>
          </w:tcPr>
          <w:p>
            <w:pPr>
              <w:pStyle w:val="12"/>
            </w:pPr>
            <w:r>
              <w:t>审计计划完成率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审批完成率</w:t>
            </w:r>
          </w:p>
        </w:tc>
        <w:tc>
          <w:tcPr>
            <w:tcW w:w="5386" w:type="dxa"/>
            <w:vAlign w:val="center"/>
          </w:tcPr>
          <w:p>
            <w:pPr>
              <w:pStyle w:val="12"/>
            </w:pPr>
            <w:r>
              <w:t>审批完成率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12万元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保障机关单位正常运转</w:t>
            </w:r>
          </w:p>
        </w:tc>
        <w:tc>
          <w:tcPr>
            <w:tcW w:w="5386" w:type="dxa"/>
            <w:vAlign w:val="center"/>
          </w:tcPr>
          <w:p>
            <w:pPr>
              <w:pStyle w:val="12"/>
            </w:pPr>
            <w:r>
              <w:t>保障机关单位正常运转</w:t>
            </w:r>
          </w:p>
        </w:tc>
        <w:tc>
          <w:tcPr>
            <w:tcW w:w="2268" w:type="dxa"/>
            <w:vAlign w:val="center"/>
          </w:tcPr>
          <w:p>
            <w:pPr>
              <w:pStyle w:val="12"/>
            </w:pPr>
            <w:r>
              <w:t>保障机关正常运转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任务计划完成率</w:t>
            </w:r>
          </w:p>
        </w:tc>
        <w:tc>
          <w:tcPr>
            <w:tcW w:w="5386" w:type="dxa"/>
            <w:vAlign w:val="center"/>
          </w:tcPr>
          <w:p>
            <w:pPr>
              <w:pStyle w:val="12"/>
            </w:pPr>
            <w:r>
              <w:t>任务计划完成率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被审计对象满意度比例</w:t>
            </w:r>
          </w:p>
        </w:tc>
        <w:tc>
          <w:tcPr>
            <w:tcW w:w="5386" w:type="dxa"/>
            <w:vAlign w:val="center"/>
          </w:tcPr>
          <w:p>
            <w:pPr>
              <w:pStyle w:val="12"/>
            </w:pPr>
            <w:r>
              <w:t>被审计对象满意度比例</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2.10</w:t>
            </w:r>
          </w:p>
        </w:tc>
        <w:tc>
          <w:tcPr>
            <w:tcW w:w="964" w:type="dxa"/>
            <w:vAlign w:val="center"/>
          </w:tcPr>
          <w:p>
            <w:pPr>
              <w:pStyle w:val="15"/>
            </w:pPr>
            <w:r>
              <w:t>2.10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青龙满族自治县审计局本级小计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2.10</w:t>
            </w:r>
          </w:p>
        </w:tc>
        <w:tc>
          <w:tcPr>
            <w:tcW w:w="964" w:type="dxa"/>
            <w:vAlign w:val="center"/>
          </w:tcPr>
          <w:p>
            <w:pPr>
              <w:pStyle w:val="15"/>
            </w:pPr>
            <w:r>
              <w:t>2.10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17.18</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10</w:t>
            </w:r>
          </w:p>
        </w:tc>
        <w:tc>
          <w:tcPr>
            <w:tcW w:w="850" w:type="dxa"/>
            <w:vAlign w:val="center"/>
          </w:tcPr>
          <w:p>
            <w:pPr>
              <w:pStyle w:val="11"/>
            </w:pPr>
            <w:r>
              <w:t>0.21</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青龙满族自治县审计局本级上年末固定资产金额为</w:t>
      </w:r>
      <w:r>
        <w:rPr>
          <w:rFonts w:hint="eastAsia" w:ascii="Times New Roman" w:hAnsi="Times New Roman" w:eastAsia="方正仿宋_GBK" w:cs="Times New Roman"/>
          <w:b w:val="0"/>
          <w:color w:val="000000"/>
          <w:sz w:val="28"/>
          <w:lang w:val="en-US" w:eastAsia="zh-CN"/>
        </w:rPr>
        <w:t>45.08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319001青龙满族自治县审计局本级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eastAsia="方正书宋_GBK"/>
                <w:lang w:val="en-US" w:eastAsia="zh-CN"/>
              </w:rPr>
            </w:pPr>
            <w:r>
              <w:rPr>
                <w:rFonts w:hint="eastAsia"/>
                <w:lang w:val="en-US" w:eastAsia="zh-CN"/>
              </w:rPr>
              <w:t>66</w:t>
            </w:r>
          </w:p>
        </w:tc>
        <w:tc>
          <w:tcPr>
            <w:tcW w:w="2835" w:type="dxa"/>
            <w:vAlign w:val="center"/>
          </w:tcPr>
          <w:p>
            <w:pPr>
              <w:pStyle w:val="11"/>
            </w:pPr>
            <w:r>
              <w:rPr>
                <w:rFonts w:hint="eastAsia"/>
                <w:lang w:val="en-US" w:eastAsia="zh-CN"/>
              </w:rPr>
              <w:t>45.08</w:t>
            </w:r>
            <w:bookmarkStart w:id="1" w:name="_GoBack"/>
            <w:bookmarkEnd w:id="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rPr>
                <w:rFonts w:hint="eastAsia"/>
                <w:lang w:val="en-US" w:eastAsia="zh-CN"/>
              </w:rPr>
              <w:t>1</w:t>
            </w:r>
          </w:p>
        </w:tc>
        <w:tc>
          <w:tcPr>
            <w:tcW w:w="2835" w:type="dxa"/>
            <w:vAlign w:val="center"/>
          </w:tcPr>
          <w:p>
            <w:pPr>
              <w:pStyle w:val="11"/>
            </w:pPr>
            <w:r>
              <w:t>23.85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65</w:t>
            </w:r>
          </w:p>
        </w:tc>
        <w:tc>
          <w:tcPr>
            <w:tcW w:w="2835" w:type="dxa"/>
            <w:vAlign w:val="center"/>
          </w:tcPr>
          <w:p>
            <w:pPr>
              <w:pStyle w:val="11"/>
            </w:pPr>
            <w:r>
              <w:rPr>
                <w:rFonts w:hint="eastAsia"/>
                <w:lang w:val="en-US" w:eastAsia="zh-CN"/>
              </w:rPr>
              <w:t>21.23</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5504E"/>
    <w:rsid w:val="6686770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TotalTime>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2026-02-02T09:51:00Z</dcterms:created>
  <dc:creator>Administrator</dc:creator>
  <cp:lastModifiedBy>DELL</cp:lastModifiedBy>
  <dcterms:modified xsi:type="dcterms:W3CDTF">2026-02-03T01:00:57Z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0F8F0C51E5F04A1298AAB884D4D44838</vt:lpwstr>
  </property>
</Properties>
</file>