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一、中共青龙满族自治县委社会工作部本级收支预算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一、中共青龙满族自治县委社会工作部本级收支预算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216001中共青龙满族自治县委社会工作部本级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119.30</w:t>
            </w:r>
          </w:p>
        </w:tc>
        <w:tc>
          <w:tcPr>
            <w:tcW w:w="4535" w:type="dxa"/>
            <w:vAlign w:val="center"/>
          </w:tcPr>
          <w:p>
            <w:pPr>
              <w:pStyle w:val="12"/>
            </w:pPr>
            <w:r>
              <w:t>一、一般公共服务支出</w:t>
            </w:r>
          </w:p>
        </w:tc>
        <w:tc>
          <w:tcPr>
            <w:tcW w:w="2126" w:type="dxa"/>
            <w:vAlign w:val="center"/>
          </w:tcPr>
          <w:p>
            <w:pPr>
              <w:pStyle w:val="11"/>
            </w:pPr>
            <w:r>
              <w:t>98.89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119.30</w:t>
            </w:r>
          </w:p>
        </w:tc>
        <w:tc>
          <w:tcPr>
            <w:tcW w:w="4535" w:type="dxa"/>
            <w:vAlign w:val="center"/>
          </w:tcPr>
          <w:p>
            <w:pPr>
              <w:pStyle w:val="14"/>
            </w:pPr>
            <w:r>
              <w:t>本年支出合计</w:t>
            </w:r>
          </w:p>
        </w:tc>
        <w:tc>
          <w:tcPr>
            <w:tcW w:w="2126" w:type="dxa"/>
            <w:vAlign w:val="center"/>
          </w:tcPr>
          <w:p>
            <w:pPr>
              <w:pStyle w:val="15"/>
            </w:pPr>
            <w:r>
              <w:t>121.28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1.98</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121.28</w:t>
            </w:r>
          </w:p>
        </w:tc>
        <w:tc>
          <w:tcPr>
            <w:tcW w:w="4535" w:type="dxa"/>
            <w:vAlign w:val="center"/>
          </w:tcPr>
          <w:p>
            <w:pPr>
              <w:pStyle w:val="14"/>
            </w:pPr>
            <w:r>
              <w:t>支出总计</w:t>
            </w:r>
          </w:p>
        </w:tc>
        <w:tc>
          <w:tcPr>
            <w:tcW w:w="2126" w:type="dxa"/>
            <w:vAlign w:val="center"/>
          </w:tcPr>
          <w:p>
            <w:pPr>
              <w:pStyle w:val="15"/>
            </w:pPr>
            <w:r>
              <w:t>121.28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216001中共青龙满族自治县委社会工作部本级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121.28</w:t>
            </w:r>
          </w:p>
        </w:tc>
        <w:tc>
          <w:tcPr>
            <w:tcW w:w="1134" w:type="dxa"/>
            <w:vAlign w:val="center"/>
          </w:tcPr>
          <w:p>
            <w:pPr>
              <w:pStyle w:val="15"/>
            </w:pPr>
            <w:r>
              <w:t>119.30</w:t>
            </w:r>
          </w:p>
        </w:tc>
        <w:tc>
          <w:tcPr>
            <w:tcW w:w="1134" w:type="dxa"/>
            <w:vAlign w:val="center"/>
          </w:tcPr>
          <w:p>
            <w:pPr>
              <w:pStyle w:val="15"/>
            </w:pPr>
            <w:r>
              <w:t>119.30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98.89</w:t>
            </w:r>
          </w:p>
        </w:tc>
        <w:tc>
          <w:tcPr>
            <w:tcW w:w="1134" w:type="dxa"/>
            <w:vAlign w:val="center"/>
          </w:tcPr>
          <w:p>
            <w:pPr>
              <w:pStyle w:val="11"/>
            </w:pPr>
            <w:r>
              <w:t>96.91</w:t>
            </w:r>
          </w:p>
        </w:tc>
        <w:tc>
          <w:tcPr>
            <w:tcW w:w="1134" w:type="dxa"/>
            <w:vAlign w:val="center"/>
          </w:tcPr>
          <w:p>
            <w:pPr>
              <w:pStyle w:val="11"/>
            </w:pPr>
            <w:r>
              <w:t>96.91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20139</w:t>
            </w:r>
          </w:p>
        </w:tc>
        <w:tc>
          <w:tcPr>
            <w:tcW w:w="1559" w:type="dxa"/>
            <w:vAlign w:val="center"/>
          </w:tcPr>
          <w:p>
            <w:pPr>
              <w:pStyle w:val="12"/>
            </w:pPr>
            <w:r>
              <w:t>社会工作事务</w:t>
            </w:r>
          </w:p>
        </w:tc>
        <w:tc>
          <w:tcPr>
            <w:tcW w:w="1134" w:type="dxa"/>
            <w:vAlign w:val="center"/>
          </w:tcPr>
          <w:p>
            <w:pPr>
              <w:pStyle w:val="11"/>
            </w:pPr>
            <w:r>
              <w:t>98.89</w:t>
            </w:r>
          </w:p>
        </w:tc>
        <w:tc>
          <w:tcPr>
            <w:tcW w:w="1134" w:type="dxa"/>
            <w:vAlign w:val="center"/>
          </w:tcPr>
          <w:p>
            <w:pPr>
              <w:pStyle w:val="11"/>
            </w:pPr>
            <w:r>
              <w:t>96.91</w:t>
            </w:r>
          </w:p>
        </w:tc>
        <w:tc>
          <w:tcPr>
            <w:tcW w:w="1134" w:type="dxa"/>
            <w:vAlign w:val="center"/>
          </w:tcPr>
          <w:p>
            <w:pPr>
              <w:pStyle w:val="11"/>
            </w:pPr>
            <w:r>
              <w:t>96.91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2013901</w:t>
            </w:r>
          </w:p>
        </w:tc>
        <w:tc>
          <w:tcPr>
            <w:tcW w:w="1559" w:type="dxa"/>
            <w:vAlign w:val="center"/>
          </w:tcPr>
          <w:p>
            <w:pPr>
              <w:pStyle w:val="12"/>
            </w:pPr>
            <w:r>
              <w:t>行政运行</w:t>
            </w:r>
          </w:p>
        </w:tc>
        <w:tc>
          <w:tcPr>
            <w:tcW w:w="1134" w:type="dxa"/>
            <w:vAlign w:val="center"/>
          </w:tcPr>
          <w:p>
            <w:pPr>
              <w:pStyle w:val="11"/>
            </w:pPr>
            <w:r>
              <w:t>67.71</w:t>
            </w:r>
          </w:p>
        </w:tc>
        <w:tc>
          <w:tcPr>
            <w:tcW w:w="1134" w:type="dxa"/>
            <w:vAlign w:val="center"/>
          </w:tcPr>
          <w:p>
            <w:pPr>
              <w:pStyle w:val="11"/>
            </w:pPr>
            <w:r>
              <w:t>65.73</w:t>
            </w:r>
          </w:p>
        </w:tc>
        <w:tc>
          <w:tcPr>
            <w:tcW w:w="1134" w:type="dxa"/>
            <w:vAlign w:val="center"/>
          </w:tcPr>
          <w:p>
            <w:pPr>
              <w:pStyle w:val="11"/>
            </w:pPr>
            <w:r>
              <w:t>65.73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2013902</w:t>
            </w:r>
          </w:p>
        </w:tc>
        <w:tc>
          <w:tcPr>
            <w:tcW w:w="1559" w:type="dxa"/>
            <w:vAlign w:val="center"/>
          </w:tcPr>
          <w:p>
            <w:pPr>
              <w:pStyle w:val="12"/>
            </w:pPr>
            <w:r>
              <w:t>一般行政管理事务</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r>
              <w:t>3.20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2013904</w:t>
            </w:r>
          </w:p>
        </w:tc>
        <w:tc>
          <w:tcPr>
            <w:tcW w:w="1559" w:type="dxa"/>
            <w:vAlign w:val="center"/>
          </w:tcPr>
          <w:p>
            <w:pPr>
              <w:pStyle w:val="12"/>
            </w:pPr>
            <w:r>
              <w:t>专项业务</w:t>
            </w:r>
          </w:p>
        </w:tc>
        <w:tc>
          <w:tcPr>
            <w:tcW w:w="1134" w:type="dxa"/>
            <w:vAlign w:val="center"/>
          </w:tcPr>
          <w:p>
            <w:pPr>
              <w:pStyle w:val="11"/>
            </w:pPr>
            <w:r>
              <w:t>13.60</w:t>
            </w:r>
          </w:p>
        </w:tc>
        <w:tc>
          <w:tcPr>
            <w:tcW w:w="1134" w:type="dxa"/>
            <w:vAlign w:val="center"/>
          </w:tcPr>
          <w:p>
            <w:pPr>
              <w:pStyle w:val="11"/>
            </w:pPr>
            <w:r>
              <w:t>13.60</w:t>
            </w:r>
          </w:p>
        </w:tc>
        <w:tc>
          <w:tcPr>
            <w:tcW w:w="1134" w:type="dxa"/>
            <w:vAlign w:val="center"/>
          </w:tcPr>
          <w:p>
            <w:pPr>
              <w:pStyle w:val="11"/>
            </w:pPr>
            <w:r>
              <w:t>13.60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2013950</w:t>
            </w:r>
          </w:p>
        </w:tc>
        <w:tc>
          <w:tcPr>
            <w:tcW w:w="1559" w:type="dxa"/>
            <w:vAlign w:val="center"/>
          </w:tcPr>
          <w:p>
            <w:pPr>
              <w:pStyle w:val="12"/>
            </w:pPr>
            <w:r>
              <w:t>事业运行</w:t>
            </w:r>
          </w:p>
        </w:tc>
        <w:tc>
          <w:tcPr>
            <w:tcW w:w="1134" w:type="dxa"/>
            <w:vAlign w:val="center"/>
          </w:tcPr>
          <w:p>
            <w:pPr>
              <w:pStyle w:val="11"/>
            </w:pPr>
            <w:r>
              <w:t>14.38</w:t>
            </w:r>
          </w:p>
        </w:tc>
        <w:tc>
          <w:tcPr>
            <w:tcW w:w="1134" w:type="dxa"/>
            <w:vAlign w:val="center"/>
          </w:tcPr>
          <w:p>
            <w:pPr>
              <w:pStyle w:val="11"/>
            </w:pPr>
            <w:r>
              <w:t>14.38</w:t>
            </w:r>
          </w:p>
        </w:tc>
        <w:tc>
          <w:tcPr>
            <w:tcW w:w="1134" w:type="dxa"/>
            <w:vAlign w:val="center"/>
          </w:tcPr>
          <w:p>
            <w:pPr>
              <w:pStyle w:val="11"/>
            </w:pPr>
            <w:r>
              <w:t>14.38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10.79</w:t>
            </w:r>
          </w:p>
        </w:tc>
        <w:tc>
          <w:tcPr>
            <w:tcW w:w="1134" w:type="dxa"/>
            <w:vAlign w:val="center"/>
          </w:tcPr>
          <w:p>
            <w:pPr>
              <w:pStyle w:val="11"/>
            </w:pPr>
            <w:r>
              <w:t>10.79</w:t>
            </w:r>
          </w:p>
        </w:tc>
        <w:tc>
          <w:tcPr>
            <w:tcW w:w="1134" w:type="dxa"/>
            <w:vAlign w:val="center"/>
          </w:tcPr>
          <w:p>
            <w:pPr>
              <w:pStyle w:val="11"/>
            </w:pPr>
            <w:r>
              <w:t>10.79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10.79</w:t>
            </w:r>
          </w:p>
        </w:tc>
        <w:tc>
          <w:tcPr>
            <w:tcW w:w="1134" w:type="dxa"/>
            <w:vAlign w:val="center"/>
          </w:tcPr>
          <w:p>
            <w:pPr>
              <w:pStyle w:val="11"/>
            </w:pPr>
            <w:r>
              <w:t>10.79</w:t>
            </w:r>
          </w:p>
        </w:tc>
        <w:tc>
          <w:tcPr>
            <w:tcW w:w="1134" w:type="dxa"/>
            <w:vAlign w:val="center"/>
          </w:tcPr>
          <w:p>
            <w:pPr>
              <w:pStyle w:val="11"/>
            </w:pPr>
            <w:r>
              <w:t>10.79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10.79</w:t>
            </w:r>
          </w:p>
        </w:tc>
        <w:tc>
          <w:tcPr>
            <w:tcW w:w="1134" w:type="dxa"/>
            <w:vAlign w:val="center"/>
          </w:tcPr>
          <w:p>
            <w:pPr>
              <w:pStyle w:val="11"/>
            </w:pPr>
            <w:r>
              <w:t>10.79</w:t>
            </w:r>
          </w:p>
        </w:tc>
        <w:tc>
          <w:tcPr>
            <w:tcW w:w="1134" w:type="dxa"/>
            <w:vAlign w:val="center"/>
          </w:tcPr>
          <w:p>
            <w:pPr>
              <w:pStyle w:val="11"/>
            </w:pPr>
            <w:r>
              <w:t>10.79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5.76</w:t>
            </w:r>
          </w:p>
        </w:tc>
        <w:tc>
          <w:tcPr>
            <w:tcW w:w="1134" w:type="dxa"/>
            <w:vAlign w:val="center"/>
          </w:tcPr>
          <w:p>
            <w:pPr>
              <w:pStyle w:val="11"/>
            </w:pPr>
            <w:r>
              <w:t>5.76</w:t>
            </w:r>
          </w:p>
        </w:tc>
        <w:tc>
          <w:tcPr>
            <w:tcW w:w="1134" w:type="dxa"/>
            <w:vAlign w:val="center"/>
          </w:tcPr>
          <w:p>
            <w:pPr>
              <w:pStyle w:val="11"/>
            </w:pPr>
            <w:r>
              <w:t>5.76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5.76</w:t>
            </w:r>
          </w:p>
        </w:tc>
        <w:tc>
          <w:tcPr>
            <w:tcW w:w="1134" w:type="dxa"/>
            <w:vAlign w:val="center"/>
          </w:tcPr>
          <w:p>
            <w:pPr>
              <w:pStyle w:val="11"/>
            </w:pPr>
            <w:r>
              <w:t>5.76</w:t>
            </w:r>
          </w:p>
        </w:tc>
        <w:tc>
          <w:tcPr>
            <w:tcW w:w="1134" w:type="dxa"/>
            <w:vAlign w:val="center"/>
          </w:tcPr>
          <w:p>
            <w:pPr>
              <w:pStyle w:val="11"/>
            </w:pPr>
            <w:r>
              <w:t>5.76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4.48</w:t>
            </w:r>
          </w:p>
        </w:tc>
        <w:tc>
          <w:tcPr>
            <w:tcW w:w="1134" w:type="dxa"/>
            <w:vAlign w:val="center"/>
          </w:tcPr>
          <w:p>
            <w:pPr>
              <w:pStyle w:val="11"/>
            </w:pPr>
            <w:r>
              <w:t>4.48</w:t>
            </w:r>
          </w:p>
        </w:tc>
        <w:tc>
          <w:tcPr>
            <w:tcW w:w="1134" w:type="dxa"/>
            <w:vAlign w:val="center"/>
          </w:tcPr>
          <w:p>
            <w:pPr>
              <w:pStyle w:val="11"/>
            </w:pPr>
            <w:r>
              <w:t>4.48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1.28</w:t>
            </w:r>
          </w:p>
        </w:tc>
        <w:tc>
          <w:tcPr>
            <w:tcW w:w="1134" w:type="dxa"/>
            <w:vAlign w:val="center"/>
          </w:tcPr>
          <w:p>
            <w:pPr>
              <w:pStyle w:val="11"/>
            </w:pPr>
            <w:r>
              <w:t>1.28</w:t>
            </w:r>
          </w:p>
        </w:tc>
        <w:tc>
          <w:tcPr>
            <w:tcW w:w="1134" w:type="dxa"/>
            <w:vAlign w:val="center"/>
          </w:tcPr>
          <w:p>
            <w:pPr>
              <w:pStyle w:val="11"/>
            </w:pPr>
            <w:r>
              <w:t>1.28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5.83</w:t>
            </w:r>
          </w:p>
        </w:tc>
        <w:tc>
          <w:tcPr>
            <w:tcW w:w="1134" w:type="dxa"/>
            <w:vAlign w:val="center"/>
          </w:tcPr>
          <w:p>
            <w:pPr>
              <w:pStyle w:val="11"/>
            </w:pPr>
            <w:r>
              <w:t>5.83</w:t>
            </w:r>
          </w:p>
        </w:tc>
        <w:tc>
          <w:tcPr>
            <w:tcW w:w="1134" w:type="dxa"/>
            <w:vAlign w:val="center"/>
          </w:tcPr>
          <w:p>
            <w:pPr>
              <w:pStyle w:val="11"/>
            </w:pPr>
            <w:r>
              <w:t>5.83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5.83</w:t>
            </w:r>
          </w:p>
        </w:tc>
        <w:tc>
          <w:tcPr>
            <w:tcW w:w="1134" w:type="dxa"/>
            <w:vAlign w:val="center"/>
          </w:tcPr>
          <w:p>
            <w:pPr>
              <w:pStyle w:val="11"/>
            </w:pPr>
            <w:r>
              <w:t>5.83</w:t>
            </w:r>
          </w:p>
        </w:tc>
        <w:tc>
          <w:tcPr>
            <w:tcW w:w="1134" w:type="dxa"/>
            <w:vAlign w:val="center"/>
          </w:tcPr>
          <w:p>
            <w:pPr>
              <w:pStyle w:val="11"/>
            </w:pPr>
            <w:r>
              <w:t>5.83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5.83</w:t>
            </w:r>
          </w:p>
        </w:tc>
        <w:tc>
          <w:tcPr>
            <w:tcW w:w="1134" w:type="dxa"/>
            <w:vAlign w:val="center"/>
          </w:tcPr>
          <w:p>
            <w:pPr>
              <w:pStyle w:val="11"/>
            </w:pPr>
            <w:r>
              <w:t>5.83</w:t>
            </w:r>
          </w:p>
        </w:tc>
        <w:tc>
          <w:tcPr>
            <w:tcW w:w="1134" w:type="dxa"/>
            <w:vAlign w:val="center"/>
          </w:tcPr>
          <w:p>
            <w:pPr>
              <w:pStyle w:val="11"/>
            </w:pPr>
            <w:r>
              <w:t>5.83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216001中共青龙满族自治县委社会工作部本级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121.28</w:t>
            </w:r>
          </w:p>
        </w:tc>
        <w:tc>
          <w:tcPr>
            <w:tcW w:w="1361" w:type="dxa"/>
            <w:vAlign w:val="center"/>
          </w:tcPr>
          <w:p>
            <w:pPr>
              <w:pStyle w:val="15"/>
            </w:pPr>
            <w:r>
              <w:t>104.48</w:t>
            </w:r>
          </w:p>
        </w:tc>
        <w:tc>
          <w:tcPr>
            <w:tcW w:w="1361" w:type="dxa"/>
            <w:vAlign w:val="center"/>
          </w:tcPr>
          <w:p>
            <w:pPr>
              <w:pStyle w:val="15"/>
            </w:pPr>
            <w:r>
              <w:t>16.80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98.89</w:t>
            </w:r>
          </w:p>
        </w:tc>
        <w:tc>
          <w:tcPr>
            <w:tcW w:w="1361" w:type="dxa"/>
            <w:vAlign w:val="center"/>
          </w:tcPr>
          <w:p>
            <w:pPr>
              <w:pStyle w:val="11"/>
            </w:pPr>
            <w:r>
              <w:t>82.09</w:t>
            </w:r>
          </w:p>
        </w:tc>
        <w:tc>
          <w:tcPr>
            <w:tcW w:w="1361" w:type="dxa"/>
            <w:vAlign w:val="center"/>
          </w:tcPr>
          <w:p>
            <w:pPr>
              <w:pStyle w:val="11"/>
            </w:pPr>
            <w:r>
              <w:t>16.80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20139</w:t>
            </w:r>
          </w:p>
        </w:tc>
        <w:tc>
          <w:tcPr>
            <w:tcW w:w="4535" w:type="dxa"/>
            <w:vAlign w:val="center"/>
          </w:tcPr>
          <w:p>
            <w:pPr>
              <w:pStyle w:val="12"/>
            </w:pPr>
            <w:r>
              <w:t>社会工作事务</w:t>
            </w:r>
          </w:p>
        </w:tc>
        <w:tc>
          <w:tcPr>
            <w:tcW w:w="1361" w:type="dxa"/>
            <w:vAlign w:val="center"/>
          </w:tcPr>
          <w:p>
            <w:pPr>
              <w:pStyle w:val="11"/>
            </w:pPr>
            <w:r>
              <w:t>98.89</w:t>
            </w:r>
          </w:p>
        </w:tc>
        <w:tc>
          <w:tcPr>
            <w:tcW w:w="1361" w:type="dxa"/>
            <w:vAlign w:val="center"/>
          </w:tcPr>
          <w:p>
            <w:pPr>
              <w:pStyle w:val="11"/>
            </w:pPr>
            <w:r>
              <w:t>82.09</w:t>
            </w:r>
          </w:p>
        </w:tc>
        <w:tc>
          <w:tcPr>
            <w:tcW w:w="1361" w:type="dxa"/>
            <w:vAlign w:val="center"/>
          </w:tcPr>
          <w:p>
            <w:pPr>
              <w:pStyle w:val="11"/>
            </w:pPr>
            <w:r>
              <w:t>16.80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2013901</w:t>
            </w:r>
          </w:p>
        </w:tc>
        <w:tc>
          <w:tcPr>
            <w:tcW w:w="4535" w:type="dxa"/>
            <w:vAlign w:val="center"/>
          </w:tcPr>
          <w:p>
            <w:pPr>
              <w:pStyle w:val="12"/>
            </w:pPr>
            <w:r>
              <w:t>行政运行</w:t>
            </w:r>
          </w:p>
        </w:tc>
        <w:tc>
          <w:tcPr>
            <w:tcW w:w="1361" w:type="dxa"/>
            <w:vAlign w:val="center"/>
          </w:tcPr>
          <w:p>
            <w:pPr>
              <w:pStyle w:val="11"/>
            </w:pPr>
            <w:r>
              <w:t>67.71</w:t>
            </w:r>
          </w:p>
        </w:tc>
        <w:tc>
          <w:tcPr>
            <w:tcW w:w="1361" w:type="dxa"/>
            <w:vAlign w:val="center"/>
          </w:tcPr>
          <w:p>
            <w:pPr>
              <w:pStyle w:val="11"/>
            </w:pPr>
            <w:r>
              <w:t>67.71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2013902</w:t>
            </w:r>
          </w:p>
        </w:tc>
        <w:tc>
          <w:tcPr>
            <w:tcW w:w="4535" w:type="dxa"/>
            <w:vAlign w:val="center"/>
          </w:tcPr>
          <w:p>
            <w:pPr>
              <w:pStyle w:val="12"/>
            </w:pPr>
            <w:r>
              <w:t>一般行政管理事务</w:t>
            </w:r>
          </w:p>
        </w:tc>
        <w:tc>
          <w:tcPr>
            <w:tcW w:w="1361" w:type="dxa"/>
            <w:vAlign w:val="center"/>
          </w:tcPr>
          <w:p>
            <w:pPr>
              <w:pStyle w:val="11"/>
            </w:pPr>
            <w:r>
              <w:t>3.20</w:t>
            </w:r>
          </w:p>
        </w:tc>
        <w:tc>
          <w:tcPr>
            <w:tcW w:w="1361" w:type="dxa"/>
            <w:vAlign w:val="center"/>
          </w:tcPr>
          <w:p>
            <w:pPr>
              <w:pStyle w:val="11"/>
            </w:pPr>
          </w:p>
        </w:tc>
        <w:tc>
          <w:tcPr>
            <w:tcW w:w="1361" w:type="dxa"/>
            <w:vAlign w:val="center"/>
          </w:tcPr>
          <w:p>
            <w:pPr>
              <w:pStyle w:val="11"/>
            </w:pPr>
            <w:r>
              <w:t>3.20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2013904</w:t>
            </w:r>
          </w:p>
        </w:tc>
        <w:tc>
          <w:tcPr>
            <w:tcW w:w="4535" w:type="dxa"/>
            <w:vAlign w:val="center"/>
          </w:tcPr>
          <w:p>
            <w:pPr>
              <w:pStyle w:val="12"/>
            </w:pPr>
            <w:r>
              <w:t>专项业务</w:t>
            </w:r>
          </w:p>
        </w:tc>
        <w:tc>
          <w:tcPr>
            <w:tcW w:w="1361" w:type="dxa"/>
            <w:vAlign w:val="center"/>
          </w:tcPr>
          <w:p>
            <w:pPr>
              <w:pStyle w:val="11"/>
            </w:pPr>
            <w:r>
              <w:t>13.60</w:t>
            </w:r>
          </w:p>
        </w:tc>
        <w:tc>
          <w:tcPr>
            <w:tcW w:w="1361" w:type="dxa"/>
            <w:vAlign w:val="center"/>
          </w:tcPr>
          <w:p>
            <w:pPr>
              <w:pStyle w:val="11"/>
            </w:pPr>
          </w:p>
        </w:tc>
        <w:tc>
          <w:tcPr>
            <w:tcW w:w="1361" w:type="dxa"/>
            <w:vAlign w:val="center"/>
          </w:tcPr>
          <w:p>
            <w:pPr>
              <w:pStyle w:val="11"/>
            </w:pPr>
            <w:r>
              <w:t>13.60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2013950</w:t>
            </w:r>
          </w:p>
        </w:tc>
        <w:tc>
          <w:tcPr>
            <w:tcW w:w="4535" w:type="dxa"/>
            <w:vAlign w:val="center"/>
          </w:tcPr>
          <w:p>
            <w:pPr>
              <w:pStyle w:val="12"/>
            </w:pPr>
            <w:r>
              <w:t>事业运行</w:t>
            </w:r>
          </w:p>
        </w:tc>
        <w:tc>
          <w:tcPr>
            <w:tcW w:w="1361" w:type="dxa"/>
            <w:vAlign w:val="center"/>
          </w:tcPr>
          <w:p>
            <w:pPr>
              <w:pStyle w:val="11"/>
            </w:pPr>
            <w:r>
              <w:t>14.38</w:t>
            </w:r>
          </w:p>
        </w:tc>
        <w:tc>
          <w:tcPr>
            <w:tcW w:w="1361" w:type="dxa"/>
            <w:vAlign w:val="center"/>
          </w:tcPr>
          <w:p>
            <w:pPr>
              <w:pStyle w:val="11"/>
            </w:pPr>
            <w:r>
              <w:t>14.38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10.79</w:t>
            </w:r>
          </w:p>
        </w:tc>
        <w:tc>
          <w:tcPr>
            <w:tcW w:w="1361" w:type="dxa"/>
            <w:vAlign w:val="center"/>
          </w:tcPr>
          <w:p>
            <w:pPr>
              <w:pStyle w:val="11"/>
            </w:pPr>
            <w:r>
              <w:t>10.79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10.79</w:t>
            </w:r>
          </w:p>
        </w:tc>
        <w:tc>
          <w:tcPr>
            <w:tcW w:w="1361" w:type="dxa"/>
            <w:vAlign w:val="center"/>
          </w:tcPr>
          <w:p>
            <w:pPr>
              <w:pStyle w:val="11"/>
            </w:pPr>
            <w:r>
              <w:t>10.79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10.79</w:t>
            </w:r>
          </w:p>
        </w:tc>
        <w:tc>
          <w:tcPr>
            <w:tcW w:w="1361" w:type="dxa"/>
            <w:vAlign w:val="center"/>
          </w:tcPr>
          <w:p>
            <w:pPr>
              <w:pStyle w:val="11"/>
            </w:pPr>
            <w:r>
              <w:t>10.79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5.76</w:t>
            </w:r>
          </w:p>
        </w:tc>
        <w:tc>
          <w:tcPr>
            <w:tcW w:w="1361" w:type="dxa"/>
            <w:vAlign w:val="center"/>
          </w:tcPr>
          <w:p>
            <w:pPr>
              <w:pStyle w:val="11"/>
            </w:pPr>
            <w:r>
              <w:t>5.76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5.76</w:t>
            </w:r>
          </w:p>
        </w:tc>
        <w:tc>
          <w:tcPr>
            <w:tcW w:w="1361" w:type="dxa"/>
            <w:vAlign w:val="center"/>
          </w:tcPr>
          <w:p>
            <w:pPr>
              <w:pStyle w:val="11"/>
            </w:pPr>
            <w:r>
              <w:t>5.76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4.48</w:t>
            </w:r>
          </w:p>
        </w:tc>
        <w:tc>
          <w:tcPr>
            <w:tcW w:w="1361" w:type="dxa"/>
            <w:vAlign w:val="center"/>
          </w:tcPr>
          <w:p>
            <w:pPr>
              <w:pStyle w:val="11"/>
            </w:pPr>
            <w:r>
              <w:t>4.48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1.28</w:t>
            </w:r>
          </w:p>
        </w:tc>
        <w:tc>
          <w:tcPr>
            <w:tcW w:w="1361" w:type="dxa"/>
            <w:vAlign w:val="center"/>
          </w:tcPr>
          <w:p>
            <w:pPr>
              <w:pStyle w:val="11"/>
            </w:pPr>
            <w:r>
              <w:t>1.28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5.83</w:t>
            </w:r>
          </w:p>
        </w:tc>
        <w:tc>
          <w:tcPr>
            <w:tcW w:w="1361" w:type="dxa"/>
            <w:vAlign w:val="center"/>
          </w:tcPr>
          <w:p>
            <w:pPr>
              <w:pStyle w:val="11"/>
            </w:pPr>
            <w:r>
              <w:t>5.83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5.83</w:t>
            </w:r>
          </w:p>
        </w:tc>
        <w:tc>
          <w:tcPr>
            <w:tcW w:w="1361" w:type="dxa"/>
            <w:vAlign w:val="center"/>
          </w:tcPr>
          <w:p>
            <w:pPr>
              <w:pStyle w:val="11"/>
            </w:pPr>
            <w:r>
              <w:t>5.83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5.83</w:t>
            </w:r>
          </w:p>
        </w:tc>
        <w:tc>
          <w:tcPr>
            <w:tcW w:w="1361" w:type="dxa"/>
            <w:vAlign w:val="center"/>
          </w:tcPr>
          <w:p>
            <w:pPr>
              <w:pStyle w:val="11"/>
            </w:pPr>
            <w:r>
              <w:t>5.83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216001中共青龙满族自治县委社会工作部本级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119.30</w:t>
            </w:r>
          </w:p>
        </w:tc>
        <w:tc>
          <w:tcPr>
            <w:tcW w:w="3402" w:type="dxa"/>
            <w:vAlign w:val="center"/>
          </w:tcPr>
          <w:p>
            <w:pPr>
              <w:pStyle w:val="12"/>
            </w:pPr>
            <w:r>
              <w:t>一、一般公共服务支出</w:t>
            </w:r>
          </w:p>
        </w:tc>
        <w:tc>
          <w:tcPr>
            <w:tcW w:w="1474" w:type="dxa"/>
            <w:vAlign w:val="center"/>
          </w:tcPr>
          <w:p>
            <w:pPr>
              <w:pStyle w:val="11"/>
            </w:pPr>
            <w:r>
              <w:t>98.89</w:t>
            </w:r>
          </w:p>
        </w:tc>
        <w:tc>
          <w:tcPr>
            <w:tcW w:w="1474" w:type="dxa"/>
            <w:vAlign w:val="center"/>
          </w:tcPr>
          <w:p>
            <w:pPr>
              <w:pStyle w:val="11"/>
            </w:pPr>
            <w:r>
              <w:t>98.89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10.79</w:t>
            </w:r>
          </w:p>
        </w:tc>
        <w:tc>
          <w:tcPr>
            <w:tcW w:w="1474" w:type="dxa"/>
            <w:vAlign w:val="center"/>
          </w:tcPr>
          <w:p>
            <w:pPr>
              <w:pStyle w:val="11"/>
            </w:pPr>
            <w:r>
              <w:t>10.79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5.76</w:t>
            </w:r>
          </w:p>
        </w:tc>
        <w:tc>
          <w:tcPr>
            <w:tcW w:w="1474" w:type="dxa"/>
            <w:vAlign w:val="center"/>
          </w:tcPr>
          <w:p>
            <w:pPr>
              <w:pStyle w:val="11"/>
            </w:pPr>
            <w:r>
              <w:t>5.76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5.83</w:t>
            </w:r>
          </w:p>
        </w:tc>
        <w:tc>
          <w:tcPr>
            <w:tcW w:w="1474" w:type="dxa"/>
            <w:vAlign w:val="center"/>
          </w:tcPr>
          <w:p>
            <w:pPr>
              <w:pStyle w:val="11"/>
            </w:pPr>
            <w:r>
              <w:t>5.83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119.30</w:t>
            </w:r>
          </w:p>
        </w:tc>
        <w:tc>
          <w:tcPr>
            <w:tcW w:w="3402" w:type="dxa"/>
            <w:vAlign w:val="center"/>
          </w:tcPr>
          <w:p>
            <w:pPr>
              <w:pStyle w:val="14"/>
            </w:pPr>
            <w:r>
              <w:t>本年支出合计</w:t>
            </w:r>
          </w:p>
        </w:tc>
        <w:tc>
          <w:tcPr>
            <w:tcW w:w="1474" w:type="dxa"/>
            <w:vAlign w:val="center"/>
          </w:tcPr>
          <w:p>
            <w:pPr>
              <w:pStyle w:val="15"/>
            </w:pPr>
            <w:r>
              <w:t>121.28</w:t>
            </w:r>
          </w:p>
        </w:tc>
        <w:tc>
          <w:tcPr>
            <w:tcW w:w="1474" w:type="dxa"/>
            <w:vAlign w:val="center"/>
          </w:tcPr>
          <w:p>
            <w:pPr>
              <w:pStyle w:val="15"/>
            </w:pPr>
            <w:r>
              <w:t>121.28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1.98</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1.98</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121.28</w:t>
            </w:r>
          </w:p>
        </w:tc>
        <w:tc>
          <w:tcPr>
            <w:tcW w:w="3402" w:type="dxa"/>
            <w:vAlign w:val="center"/>
          </w:tcPr>
          <w:p>
            <w:pPr>
              <w:pStyle w:val="14"/>
            </w:pPr>
            <w:r>
              <w:t>支出总计</w:t>
            </w:r>
          </w:p>
        </w:tc>
        <w:tc>
          <w:tcPr>
            <w:tcW w:w="1474" w:type="dxa"/>
            <w:vAlign w:val="center"/>
          </w:tcPr>
          <w:p>
            <w:pPr>
              <w:pStyle w:val="15"/>
            </w:pPr>
            <w:r>
              <w:t>121.28</w:t>
            </w:r>
          </w:p>
        </w:tc>
        <w:tc>
          <w:tcPr>
            <w:tcW w:w="1474" w:type="dxa"/>
            <w:vAlign w:val="center"/>
          </w:tcPr>
          <w:p>
            <w:pPr>
              <w:pStyle w:val="15"/>
            </w:pPr>
            <w:r>
              <w:t>121.28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216001中共青龙满族自治县委社会工作部本级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121.28</w:t>
            </w:r>
          </w:p>
        </w:tc>
        <w:tc>
          <w:tcPr>
            <w:tcW w:w="2551" w:type="dxa"/>
            <w:vAlign w:val="center"/>
          </w:tcPr>
          <w:p>
            <w:pPr>
              <w:pStyle w:val="15"/>
            </w:pPr>
            <w:r>
              <w:t>104.48</w:t>
            </w:r>
          </w:p>
        </w:tc>
        <w:tc>
          <w:tcPr>
            <w:tcW w:w="2551" w:type="dxa"/>
            <w:vAlign w:val="center"/>
          </w:tcPr>
          <w:p>
            <w:pPr>
              <w:pStyle w:val="15"/>
            </w:pPr>
            <w:r>
              <w:t>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98.89</w:t>
            </w:r>
          </w:p>
        </w:tc>
        <w:tc>
          <w:tcPr>
            <w:tcW w:w="2551" w:type="dxa"/>
            <w:vAlign w:val="center"/>
          </w:tcPr>
          <w:p>
            <w:pPr>
              <w:pStyle w:val="11"/>
            </w:pPr>
            <w:r>
              <w:t>82.09</w:t>
            </w:r>
          </w:p>
        </w:tc>
        <w:tc>
          <w:tcPr>
            <w:tcW w:w="2551" w:type="dxa"/>
            <w:vAlign w:val="center"/>
          </w:tcPr>
          <w:p>
            <w:pPr>
              <w:pStyle w:val="11"/>
            </w:pPr>
            <w:r>
              <w:t>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20139</w:t>
            </w:r>
          </w:p>
        </w:tc>
        <w:tc>
          <w:tcPr>
            <w:tcW w:w="4535" w:type="dxa"/>
            <w:vAlign w:val="center"/>
          </w:tcPr>
          <w:p>
            <w:pPr>
              <w:pStyle w:val="12"/>
            </w:pPr>
            <w:r>
              <w:t>社会工作事务</w:t>
            </w:r>
          </w:p>
        </w:tc>
        <w:tc>
          <w:tcPr>
            <w:tcW w:w="2551" w:type="dxa"/>
            <w:vAlign w:val="center"/>
          </w:tcPr>
          <w:p>
            <w:pPr>
              <w:pStyle w:val="11"/>
            </w:pPr>
            <w:r>
              <w:t>98.89</w:t>
            </w:r>
          </w:p>
        </w:tc>
        <w:tc>
          <w:tcPr>
            <w:tcW w:w="2551" w:type="dxa"/>
            <w:vAlign w:val="center"/>
          </w:tcPr>
          <w:p>
            <w:pPr>
              <w:pStyle w:val="11"/>
            </w:pPr>
            <w:r>
              <w:t>82.09</w:t>
            </w:r>
          </w:p>
        </w:tc>
        <w:tc>
          <w:tcPr>
            <w:tcW w:w="2551" w:type="dxa"/>
            <w:vAlign w:val="center"/>
          </w:tcPr>
          <w:p>
            <w:pPr>
              <w:pStyle w:val="11"/>
            </w:pPr>
            <w:r>
              <w:t>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2013901</w:t>
            </w:r>
          </w:p>
        </w:tc>
        <w:tc>
          <w:tcPr>
            <w:tcW w:w="4535" w:type="dxa"/>
            <w:vAlign w:val="center"/>
          </w:tcPr>
          <w:p>
            <w:pPr>
              <w:pStyle w:val="12"/>
            </w:pPr>
            <w:r>
              <w:t>行政运行</w:t>
            </w:r>
          </w:p>
        </w:tc>
        <w:tc>
          <w:tcPr>
            <w:tcW w:w="2551" w:type="dxa"/>
            <w:vAlign w:val="center"/>
          </w:tcPr>
          <w:p>
            <w:pPr>
              <w:pStyle w:val="11"/>
            </w:pPr>
            <w:r>
              <w:t>67.71</w:t>
            </w:r>
          </w:p>
        </w:tc>
        <w:tc>
          <w:tcPr>
            <w:tcW w:w="2551" w:type="dxa"/>
            <w:vAlign w:val="center"/>
          </w:tcPr>
          <w:p>
            <w:pPr>
              <w:pStyle w:val="11"/>
            </w:pPr>
            <w:r>
              <w:t>67.71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2013902</w:t>
            </w:r>
          </w:p>
        </w:tc>
        <w:tc>
          <w:tcPr>
            <w:tcW w:w="4535" w:type="dxa"/>
            <w:vAlign w:val="center"/>
          </w:tcPr>
          <w:p>
            <w:pPr>
              <w:pStyle w:val="12"/>
            </w:pPr>
            <w:r>
              <w:t>一般行政管理事务</w:t>
            </w:r>
          </w:p>
        </w:tc>
        <w:tc>
          <w:tcPr>
            <w:tcW w:w="2551" w:type="dxa"/>
            <w:vAlign w:val="center"/>
          </w:tcPr>
          <w:p>
            <w:pPr>
              <w:pStyle w:val="11"/>
            </w:pPr>
            <w:r>
              <w:t>3.20</w:t>
            </w:r>
          </w:p>
        </w:tc>
        <w:tc>
          <w:tcPr>
            <w:tcW w:w="2551" w:type="dxa"/>
            <w:vAlign w:val="center"/>
          </w:tcPr>
          <w:p>
            <w:pPr>
              <w:pStyle w:val="11"/>
            </w:pPr>
          </w:p>
        </w:tc>
        <w:tc>
          <w:tcPr>
            <w:tcW w:w="2551" w:type="dxa"/>
            <w:vAlign w:val="center"/>
          </w:tcPr>
          <w:p>
            <w:pPr>
              <w:pStyle w:val="11"/>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2013904</w:t>
            </w:r>
          </w:p>
        </w:tc>
        <w:tc>
          <w:tcPr>
            <w:tcW w:w="4535" w:type="dxa"/>
            <w:vAlign w:val="center"/>
          </w:tcPr>
          <w:p>
            <w:pPr>
              <w:pStyle w:val="12"/>
            </w:pPr>
            <w:r>
              <w:t>专项业务</w:t>
            </w:r>
          </w:p>
        </w:tc>
        <w:tc>
          <w:tcPr>
            <w:tcW w:w="2551" w:type="dxa"/>
            <w:vAlign w:val="center"/>
          </w:tcPr>
          <w:p>
            <w:pPr>
              <w:pStyle w:val="11"/>
            </w:pPr>
            <w:r>
              <w:t>13.60</w:t>
            </w:r>
          </w:p>
        </w:tc>
        <w:tc>
          <w:tcPr>
            <w:tcW w:w="2551" w:type="dxa"/>
            <w:vAlign w:val="center"/>
          </w:tcPr>
          <w:p>
            <w:pPr>
              <w:pStyle w:val="11"/>
            </w:pPr>
          </w:p>
        </w:tc>
        <w:tc>
          <w:tcPr>
            <w:tcW w:w="2551" w:type="dxa"/>
            <w:vAlign w:val="center"/>
          </w:tcPr>
          <w:p>
            <w:pPr>
              <w:pStyle w:val="11"/>
            </w:pPr>
            <w:r>
              <w:t>13.60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2013950</w:t>
            </w:r>
          </w:p>
        </w:tc>
        <w:tc>
          <w:tcPr>
            <w:tcW w:w="4535" w:type="dxa"/>
            <w:vAlign w:val="center"/>
          </w:tcPr>
          <w:p>
            <w:pPr>
              <w:pStyle w:val="12"/>
            </w:pPr>
            <w:r>
              <w:t>事业运行</w:t>
            </w:r>
          </w:p>
        </w:tc>
        <w:tc>
          <w:tcPr>
            <w:tcW w:w="2551" w:type="dxa"/>
            <w:vAlign w:val="center"/>
          </w:tcPr>
          <w:p>
            <w:pPr>
              <w:pStyle w:val="11"/>
            </w:pPr>
            <w:r>
              <w:t>14.38</w:t>
            </w:r>
          </w:p>
        </w:tc>
        <w:tc>
          <w:tcPr>
            <w:tcW w:w="2551" w:type="dxa"/>
            <w:vAlign w:val="center"/>
          </w:tcPr>
          <w:p>
            <w:pPr>
              <w:pStyle w:val="11"/>
            </w:pPr>
            <w:r>
              <w:t>14.38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10.79</w:t>
            </w:r>
          </w:p>
        </w:tc>
        <w:tc>
          <w:tcPr>
            <w:tcW w:w="2551" w:type="dxa"/>
            <w:vAlign w:val="center"/>
          </w:tcPr>
          <w:p>
            <w:pPr>
              <w:pStyle w:val="11"/>
            </w:pPr>
            <w:r>
              <w:t>10.79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10.79</w:t>
            </w:r>
          </w:p>
        </w:tc>
        <w:tc>
          <w:tcPr>
            <w:tcW w:w="2551" w:type="dxa"/>
            <w:vAlign w:val="center"/>
          </w:tcPr>
          <w:p>
            <w:pPr>
              <w:pStyle w:val="11"/>
            </w:pPr>
            <w:r>
              <w:t>10.79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10.79</w:t>
            </w:r>
          </w:p>
        </w:tc>
        <w:tc>
          <w:tcPr>
            <w:tcW w:w="2551" w:type="dxa"/>
            <w:vAlign w:val="center"/>
          </w:tcPr>
          <w:p>
            <w:pPr>
              <w:pStyle w:val="11"/>
            </w:pPr>
            <w:r>
              <w:t>10.79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5.76</w:t>
            </w:r>
          </w:p>
        </w:tc>
        <w:tc>
          <w:tcPr>
            <w:tcW w:w="2551" w:type="dxa"/>
            <w:vAlign w:val="center"/>
          </w:tcPr>
          <w:p>
            <w:pPr>
              <w:pStyle w:val="11"/>
            </w:pPr>
            <w:r>
              <w:t>5.76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5.76</w:t>
            </w:r>
          </w:p>
        </w:tc>
        <w:tc>
          <w:tcPr>
            <w:tcW w:w="2551" w:type="dxa"/>
            <w:vAlign w:val="center"/>
          </w:tcPr>
          <w:p>
            <w:pPr>
              <w:pStyle w:val="11"/>
            </w:pPr>
            <w:r>
              <w:t>5.76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4.48</w:t>
            </w:r>
          </w:p>
        </w:tc>
        <w:tc>
          <w:tcPr>
            <w:tcW w:w="2551" w:type="dxa"/>
            <w:vAlign w:val="center"/>
          </w:tcPr>
          <w:p>
            <w:pPr>
              <w:pStyle w:val="11"/>
            </w:pPr>
            <w:r>
              <w:t>4.48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1.28</w:t>
            </w:r>
          </w:p>
        </w:tc>
        <w:tc>
          <w:tcPr>
            <w:tcW w:w="2551" w:type="dxa"/>
            <w:vAlign w:val="center"/>
          </w:tcPr>
          <w:p>
            <w:pPr>
              <w:pStyle w:val="11"/>
            </w:pPr>
            <w:r>
              <w:t>1.28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5.83</w:t>
            </w:r>
          </w:p>
        </w:tc>
        <w:tc>
          <w:tcPr>
            <w:tcW w:w="2551" w:type="dxa"/>
            <w:vAlign w:val="center"/>
          </w:tcPr>
          <w:p>
            <w:pPr>
              <w:pStyle w:val="11"/>
            </w:pPr>
            <w:r>
              <w:t>5.83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5.83</w:t>
            </w:r>
          </w:p>
        </w:tc>
        <w:tc>
          <w:tcPr>
            <w:tcW w:w="2551" w:type="dxa"/>
            <w:vAlign w:val="center"/>
          </w:tcPr>
          <w:p>
            <w:pPr>
              <w:pStyle w:val="11"/>
            </w:pPr>
            <w:r>
              <w:t>5.83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5.83</w:t>
            </w:r>
          </w:p>
        </w:tc>
        <w:tc>
          <w:tcPr>
            <w:tcW w:w="2551" w:type="dxa"/>
            <w:vAlign w:val="center"/>
          </w:tcPr>
          <w:p>
            <w:pPr>
              <w:pStyle w:val="11"/>
            </w:pPr>
            <w:r>
              <w:t>5.83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216001中共青龙满族自治县委社会工作部本级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w:t>
            </w:r>
            <w:r>
              <w:rPr>
                <w:rFonts w:hint="eastAsia"/>
                <w:lang w:eastAsia="zh-CN"/>
              </w:rPr>
              <w:t>单位</w:t>
            </w:r>
            <w:r>
              <w:t>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104.48</w:t>
            </w:r>
          </w:p>
        </w:tc>
        <w:tc>
          <w:tcPr>
            <w:tcW w:w="2551" w:type="dxa"/>
            <w:vAlign w:val="center"/>
          </w:tcPr>
          <w:p>
            <w:pPr>
              <w:pStyle w:val="15"/>
            </w:pPr>
            <w:r>
              <w:t>96.92</w:t>
            </w:r>
          </w:p>
        </w:tc>
        <w:tc>
          <w:tcPr>
            <w:tcW w:w="2551" w:type="dxa"/>
            <w:vAlign w:val="center"/>
          </w:tcPr>
          <w:p>
            <w:pPr>
              <w:pStyle w:val="15"/>
            </w:pPr>
            <w:r>
              <w:t>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96.92</w:t>
            </w:r>
          </w:p>
        </w:tc>
        <w:tc>
          <w:tcPr>
            <w:tcW w:w="2551" w:type="dxa"/>
            <w:vAlign w:val="center"/>
          </w:tcPr>
          <w:p>
            <w:pPr>
              <w:pStyle w:val="11"/>
            </w:pPr>
            <w:r>
              <w:t>96.92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41.21</w:t>
            </w:r>
          </w:p>
        </w:tc>
        <w:tc>
          <w:tcPr>
            <w:tcW w:w="2551" w:type="dxa"/>
            <w:vAlign w:val="center"/>
          </w:tcPr>
          <w:p>
            <w:pPr>
              <w:pStyle w:val="11"/>
            </w:pPr>
            <w:r>
              <w:t>41.21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16.51</w:t>
            </w:r>
          </w:p>
        </w:tc>
        <w:tc>
          <w:tcPr>
            <w:tcW w:w="2551" w:type="dxa"/>
            <w:vAlign w:val="center"/>
          </w:tcPr>
          <w:p>
            <w:pPr>
              <w:pStyle w:val="11"/>
            </w:pPr>
            <w:r>
              <w:t>16.51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11.36</w:t>
            </w:r>
          </w:p>
        </w:tc>
        <w:tc>
          <w:tcPr>
            <w:tcW w:w="2551" w:type="dxa"/>
            <w:vAlign w:val="center"/>
          </w:tcPr>
          <w:p>
            <w:pPr>
              <w:pStyle w:val="11"/>
            </w:pPr>
            <w:r>
              <w:t>11.36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5.12</w:t>
            </w:r>
          </w:p>
        </w:tc>
        <w:tc>
          <w:tcPr>
            <w:tcW w:w="2551" w:type="dxa"/>
            <w:vAlign w:val="center"/>
          </w:tcPr>
          <w:p>
            <w:pPr>
              <w:pStyle w:val="11"/>
            </w:pPr>
            <w:r>
              <w:t>5.12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10.79</w:t>
            </w:r>
          </w:p>
        </w:tc>
        <w:tc>
          <w:tcPr>
            <w:tcW w:w="2551" w:type="dxa"/>
            <w:vAlign w:val="center"/>
          </w:tcPr>
          <w:p>
            <w:pPr>
              <w:pStyle w:val="11"/>
            </w:pPr>
            <w:r>
              <w:t>10.79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5.76</w:t>
            </w:r>
          </w:p>
        </w:tc>
        <w:tc>
          <w:tcPr>
            <w:tcW w:w="2551" w:type="dxa"/>
            <w:vAlign w:val="center"/>
          </w:tcPr>
          <w:p>
            <w:pPr>
              <w:pStyle w:val="11"/>
            </w:pPr>
            <w:r>
              <w:t>5.76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0.34</w:t>
            </w:r>
          </w:p>
        </w:tc>
        <w:tc>
          <w:tcPr>
            <w:tcW w:w="2551" w:type="dxa"/>
            <w:vAlign w:val="center"/>
          </w:tcPr>
          <w:p>
            <w:pPr>
              <w:pStyle w:val="11"/>
            </w:pPr>
            <w:r>
              <w:t>0.34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5.83</w:t>
            </w:r>
          </w:p>
        </w:tc>
        <w:tc>
          <w:tcPr>
            <w:tcW w:w="2551" w:type="dxa"/>
            <w:vAlign w:val="center"/>
          </w:tcPr>
          <w:p>
            <w:pPr>
              <w:pStyle w:val="11"/>
            </w:pPr>
            <w:r>
              <w:t>5.83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7.56</w:t>
            </w:r>
          </w:p>
        </w:tc>
        <w:tc>
          <w:tcPr>
            <w:tcW w:w="2551" w:type="dxa"/>
            <w:vAlign w:val="center"/>
          </w:tcPr>
          <w:p>
            <w:pPr>
              <w:pStyle w:val="11"/>
            </w:pPr>
          </w:p>
        </w:tc>
        <w:tc>
          <w:tcPr>
            <w:tcW w:w="2551" w:type="dxa"/>
            <w:vAlign w:val="center"/>
          </w:tcPr>
          <w:p>
            <w:pPr>
              <w:pStyle w:val="11"/>
            </w:pPr>
            <w:r>
              <w:t>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1.24</w:t>
            </w:r>
          </w:p>
        </w:tc>
        <w:tc>
          <w:tcPr>
            <w:tcW w:w="2551" w:type="dxa"/>
            <w:vAlign w:val="center"/>
          </w:tcPr>
          <w:p>
            <w:pPr>
              <w:pStyle w:val="11"/>
            </w:pPr>
          </w:p>
        </w:tc>
        <w:tc>
          <w:tcPr>
            <w:tcW w:w="2551" w:type="dxa"/>
            <w:vAlign w:val="center"/>
          </w:tcPr>
          <w:p>
            <w:pPr>
              <w:pStyle w:val="11"/>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6.12</w:t>
            </w:r>
          </w:p>
        </w:tc>
        <w:tc>
          <w:tcPr>
            <w:tcW w:w="2551" w:type="dxa"/>
            <w:vAlign w:val="center"/>
          </w:tcPr>
          <w:p>
            <w:pPr>
              <w:pStyle w:val="11"/>
            </w:pPr>
          </w:p>
        </w:tc>
        <w:tc>
          <w:tcPr>
            <w:tcW w:w="2551" w:type="dxa"/>
            <w:vAlign w:val="center"/>
          </w:tcPr>
          <w:p>
            <w:pPr>
              <w:pStyle w:val="11"/>
            </w:pPr>
            <w:r>
              <w:t>6.12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216001中共青龙满族自治县委社会工作部本级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216001中共青龙满族自治县委社会工作部本级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216001中共青龙满族自治县委社会工作部本级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中共青龙满族自治县委社会工作部本级2026年单位预算信息公开情况说明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按照《中华人民共和国预算法》、《地方预决算公开操作规程》和《关于进一步推进预算公开工作的实施意见》规定，现将中共青龙满族自治县委社会工作部本级2026年单位预算公开如下：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spacing w:before="0" w:after="0" w:line="240" w:lineRule="auto"/>
        <w:ind w:firstLine="640"/>
        <w:jc w:val="left"/>
        <w:outlineLvl w:val="9"/>
        <w:rPr>
          <w:rFonts w:hint="eastAsia" w:ascii="Times New Roman" w:hAnsi="Times New Roman" w:eastAsia="方正仿宋_GBK" w:cs="Times New Roman"/>
          <w:color w:val="000000"/>
          <w:sz w:val="28"/>
        </w:rPr>
      </w:pPr>
      <w:r>
        <w:rPr>
          <w:rFonts w:ascii="Times New Roman" w:hAnsi="Times New Roman" w:eastAsia="方正仿宋_GBK" w:cs="Times New Roman"/>
          <w:color w:val="000000"/>
          <w:sz w:val="28"/>
        </w:rPr>
        <w:t>根据《中共秦皇岛市</w:t>
      </w:r>
      <w:r>
        <w:rPr>
          <w:rFonts w:hint="eastAsia" w:eastAsia="方正仿宋_GBK" w:cs="Times New Roman"/>
          <w:color w:val="000000"/>
          <w:sz w:val="28"/>
          <w:lang w:val="en-US" w:eastAsia="zh-CN"/>
        </w:rPr>
        <w:t>青龙满族自治县</w:t>
      </w:r>
      <w:r>
        <w:rPr>
          <w:rFonts w:ascii="Times New Roman" w:hAnsi="Times New Roman" w:eastAsia="方正仿宋_GBK" w:cs="Times New Roman"/>
          <w:color w:val="000000"/>
          <w:sz w:val="28"/>
        </w:rPr>
        <w:t>委办公室关于印发&lt;</w:t>
      </w:r>
      <w:r>
        <w:rPr>
          <w:rFonts w:hint="eastAsia" w:ascii="Times New Roman" w:hAnsi="Times New Roman" w:eastAsia="方正仿宋_GBK" w:cs="Times New Roman"/>
          <w:color w:val="000000"/>
          <w:sz w:val="28"/>
        </w:rPr>
        <w:t>中共秦皇岛市</w:t>
      </w:r>
      <w:r>
        <w:rPr>
          <w:rFonts w:hint="eastAsia" w:eastAsia="方正仿宋_GBK" w:cs="Times New Roman"/>
          <w:color w:val="000000"/>
          <w:sz w:val="28"/>
          <w:lang w:val="en-US" w:eastAsia="zh-CN"/>
        </w:rPr>
        <w:t>青龙满族自治县</w:t>
      </w:r>
      <w:r>
        <w:rPr>
          <w:rFonts w:hint="eastAsia" w:ascii="Times New Roman" w:hAnsi="Times New Roman" w:eastAsia="方正仿宋_GBK" w:cs="Times New Roman"/>
          <w:color w:val="000000"/>
          <w:sz w:val="28"/>
        </w:rPr>
        <w:t>委社会工作部职能配置、内设机构和人员编制规定</w:t>
      </w:r>
      <w:r>
        <w:rPr>
          <w:rFonts w:hint="default" w:ascii="Times New Roman" w:hAnsi="Times New Roman" w:eastAsia="方正仿宋_GBK" w:cs="Times New Roman"/>
          <w:color w:val="000000"/>
          <w:sz w:val="28"/>
        </w:rPr>
        <w:t>&gt;</w:t>
      </w:r>
      <w:r>
        <w:rPr>
          <w:rFonts w:hint="eastAsia" w:ascii="Times New Roman" w:hAnsi="Times New Roman" w:eastAsia="方正仿宋_GBK" w:cs="Times New Roman"/>
          <w:color w:val="000000"/>
          <w:sz w:val="28"/>
        </w:rPr>
        <w:t>的通知》，中共秦皇岛市</w:t>
      </w:r>
      <w:r>
        <w:rPr>
          <w:rFonts w:hint="eastAsia" w:eastAsia="方正仿宋_GBK" w:cs="Times New Roman"/>
          <w:color w:val="000000"/>
          <w:sz w:val="28"/>
          <w:lang w:val="en-US" w:eastAsia="zh-CN"/>
        </w:rPr>
        <w:t>青龙满族自治县</w:t>
      </w:r>
      <w:r>
        <w:rPr>
          <w:rFonts w:hint="eastAsia" w:ascii="Times New Roman" w:hAnsi="Times New Roman" w:eastAsia="方正仿宋_GBK" w:cs="Times New Roman"/>
          <w:color w:val="000000"/>
          <w:sz w:val="28"/>
        </w:rPr>
        <w:t>委社会工作部的主要职责是：</w:t>
      </w:r>
    </w:p>
    <w:p>
      <w:pPr>
        <w:numPr>
          <w:ilvl w:val="0"/>
          <w:numId w:val="1"/>
        </w:numPr>
        <w:spacing w:before="0" w:after="0" w:line="240" w:lineRule="auto"/>
        <w:ind w:left="0" w:leftChars="0" w:firstLine="640" w:firstLineChars="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研究相关理论、政策和规划、拟订规范性文件并组织实施。负责</w:t>
      </w:r>
      <w:r>
        <w:rPr>
          <w:rFonts w:hint="eastAsia" w:eastAsia="方正仿宋_GBK" w:cs="Times New Roman"/>
          <w:color w:val="000000"/>
          <w:sz w:val="28"/>
          <w:lang w:val="en-US" w:eastAsia="zh-CN"/>
        </w:rPr>
        <w:t>县</w:t>
      </w:r>
      <w:r>
        <w:rPr>
          <w:rFonts w:hint="eastAsia" w:ascii="Times New Roman" w:hAnsi="Times New Roman" w:eastAsia="方正仿宋_GBK" w:cs="Times New Roman"/>
          <w:color w:val="000000"/>
          <w:sz w:val="28"/>
        </w:rPr>
        <w:t>委非公有制经济组织和社会组织工作委员会日常工作。</w:t>
      </w:r>
    </w:p>
    <w:p>
      <w:pPr>
        <w:numPr>
          <w:ilvl w:val="0"/>
          <w:numId w:val="1"/>
        </w:numPr>
        <w:spacing w:before="0" w:after="0" w:line="240" w:lineRule="auto"/>
        <w:ind w:left="0" w:leftChars="0" w:firstLine="640" w:firstLineChars="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统筹指导群众利益协调、诉求表达、矛盾调处、权益保障等人民信访工作，协调解决人民群众急难愁盼的重大问题。指导人民建议征集工作，向</w:t>
      </w:r>
      <w:r>
        <w:rPr>
          <w:rFonts w:hint="eastAsia" w:eastAsia="方正仿宋_GBK" w:cs="Times New Roman"/>
          <w:color w:val="000000"/>
          <w:sz w:val="28"/>
          <w:lang w:eastAsia="zh-CN"/>
        </w:rPr>
        <w:t>县</w:t>
      </w:r>
      <w:r>
        <w:rPr>
          <w:rFonts w:hint="eastAsia" w:ascii="Times New Roman" w:hAnsi="Times New Roman" w:eastAsia="方正仿宋_GBK" w:cs="Times New Roman"/>
          <w:color w:val="000000"/>
          <w:sz w:val="28"/>
        </w:rPr>
        <w:t>委、</w:t>
      </w:r>
      <w:r>
        <w:rPr>
          <w:rFonts w:hint="eastAsia" w:eastAsia="方正仿宋_GBK" w:cs="Times New Roman"/>
          <w:color w:val="000000"/>
          <w:sz w:val="28"/>
          <w:lang w:eastAsia="zh-CN"/>
        </w:rPr>
        <w:t>县</w:t>
      </w:r>
      <w:r>
        <w:rPr>
          <w:rFonts w:hint="eastAsia" w:ascii="Times New Roman" w:hAnsi="Times New Roman" w:eastAsia="方正仿宋_GBK" w:cs="Times New Roman"/>
          <w:color w:val="000000"/>
          <w:sz w:val="28"/>
        </w:rPr>
        <w:t>政府及时反映公民、法人和其他组织对党和国家事业发展提出的重要意见建议。</w:t>
      </w:r>
    </w:p>
    <w:p>
      <w:pPr>
        <w:numPr>
          <w:ilvl w:val="0"/>
          <w:numId w:val="1"/>
        </w:numPr>
        <w:spacing w:before="0" w:after="0" w:line="240" w:lineRule="auto"/>
        <w:ind w:left="0" w:leftChars="0" w:firstLine="640" w:firstLineChars="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统筹推进党建引领基层治理和基层政权建设，协调推进城乡社</w:t>
      </w:r>
      <w:r>
        <w:rPr>
          <w:rFonts w:hint="eastAsia" w:eastAsia="方正仿宋_GBK" w:cs="Times New Roman"/>
          <w:color w:val="000000"/>
          <w:sz w:val="28"/>
          <w:lang w:val="en-US" w:eastAsia="zh-CN"/>
        </w:rPr>
        <w:t>区</w:t>
      </w:r>
      <w:r>
        <w:rPr>
          <w:rFonts w:hint="eastAsia" w:ascii="Times New Roman" w:hAnsi="Times New Roman" w:eastAsia="方正仿宋_GBK" w:cs="Times New Roman"/>
          <w:color w:val="000000"/>
          <w:sz w:val="28"/>
        </w:rPr>
        <w:t>治理体系和治理能力建设，推动基层民主政治建设，指导监督基层群众自治制度的有效实施，健全基层群众自治机制。</w:t>
      </w:r>
    </w:p>
    <w:p>
      <w:pPr>
        <w:numPr>
          <w:ilvl w:val="0"/>
          <w:numId w:val="1"/>
        </w:numPr>
        <w:spacing w:before="0" w:after="0" w:line="240" w:lineRule="auto"/>
        <w:ind w:left="0" w:leftChars="0" w:firstLine="640" w:firstLineChars="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指导全</w:t>
      </w:r>
      <w:r>
        <w:rPr>
          <w:rFonts w:hint="eastAsia" w:eastAsia="方正仿宋_GBK" w:cs="Times New Roman"/>
          <w:color w:val="000000"/>
          <w:sz w:val="28"/>
          <w:lang w:eastAsia="zh-CN"/>
        </w:rPr>
        <w:t>县</w:t>
      </w:r>
      <w:r>
        <w:rPr>
          <w:rFonts w:hint="eastAsia" w:ascii="Times New Roman" w:hAnsi="Times New Roman" w:eastAsia="方正仿宋_GBK" w:cs="Times New Roman"/>
          <w:color w:val="000000"/>
          <w:sz w:val="28"/>
        </w:rPr>
        <w:t>性社会组织党建工作，统一领导全</w:t>
      </w:r>
      <w:r>
        <w:rPr>
          <w:rFonts w:hint="eastAsia" w:eastAsia="方正仿宋_GBK" w:cs="Times New Roman"/>
          <w:color w:val="000000"/>
          <w:sz w:val="28"/>
          <w:lang w:eastAsia="zh-CN"/>
        </w:rPr>
        <w:t>县</w:t>
      </w:r>
      <w:r>
        <w:rPr>
          <w:rFonts w:hint="eastAsia" w:ascii="Times New Roman" w:hAnsi="Times New Roman" w:eastAsia="方正仿宋_GBK" w:cs="Times New Roman"/>
          <w:color w:val="000000"/>
          <w:sz w:val="28"/>
        </w:rPr>
        <w:t>性行业协会商会党的工作，协调推动行业协会商会深化改革和转型发展。</w:t>
      </w:r>
    </w:p>
    <w:p>
      <w:pPr>
        <w:numPr>
          <w:ilvl w:val="0"/>
          <w:numId w:val="1"/>
        </w:numPr>
        <w:spacing w:before="0" w:after="0" w:line="240" w:lineRule="auto"/>
        <w:ind w:left="0" w:leftChars="0" w:firstLine="640" w:firstLineChars="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指导混合所有制企业、非公有制企业和新经济组织、新社会组织、新就业群体党建工作，指导协调相关企业单位、社会组织、就业群体中党员的教育、管理、监督和服务工作，研究完善相关领域群众利益协调机制。</w:t>
      </w:r>
    </w:p>
    <w:p>
      <w:pPr>
        <w:numPr>
          <w:ilvl w:val="0"/>
          <w:numId w:val="1"/>
        </w:numPr>
        <w:spacing w:before="0" w:after="0" w:line="240" w:lineRule="auto"/>
        <w:ind w:left="0" w:leftChars="0" w:firstLine="640" w:firstLineChars="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负责全</w:t>
      </w:r>
      <w:r>
        <w:rPr>
          <w:rFonts w:hint="eastAsia" w:eastAsia="方正仿宋_GBK" w:cs="Times New Roman"/>
          <w:color w:val="000000"/>
          <w:sz w:val="28"/>
          <w:lang w:eastAsia="zh-CN"/>
        </w:rPr>
        <w:t>县</w:t>
      </w:r>
      <w:r>
        <w:rPr>
          <w:rFonts w:hint="eastAsia" w:ascii="Times New Roman" w:hAnsi="Times New Roman" w:eastAsia="方正仿宋_GBK" w:cs="Times New Roman"/>
          <w:color w:val="000000"/>
          <w:sz w:val="28"/>
        </w:rPr>
        <w:t>志愿服务工作的统筹规划、协调指导、督促检查。指导社会工作人才队伍建设。</w:t>
      </w:r>
    </w:p>
    <w:p>
      <w:pPr>
        <w:numPr>
          <w:ilvl w:val="0"/>
          <w:numId w:val="1"/>
        </w:numPr>
        <w:spacing w:before="0" w:after="0" w:line="240" w:lineRule="auto"/>
        <w:ind w:left="0" w:leftChars="0" w:firstLine="640" w:firstLineChars="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承办</w:t>
      </w:r>
      <w:r>
        <w:rPr>
          <w:rFonts w:hint="eastAsia" w:eastAsia="方正仿宋_GBK" w:cs="Times New Roman"/>
          <w:color w:val="000000"/>
          <w:sz w:val="28"/>
          <w:lang w:val="en-US" w:eastAsia="zh-CN"/>
        </w:rPr>
        <w:t>县</w:t>
      </w:r>
      <w:r>
        <w:rPr>
          <w:rFonts w:hint="eastAsia" w:ascii="Times New Roman" w:hAnsi="Times New Roman" w:eastAsia="方正仿宋_GBK" w:cs="Times New Roman"/>
          <w:color w:val="000000"/>
          <w:sz w:val="28"/>
        </w:rPr>
        <w:t>委、</w:t>
      </w:r>
      <w:r>
        <w:rPr>
          <w:rFonts w:hint="eastAsia" w:eastAsia="方正仿宋_GBK" w:cs="Times New Roman"/>
          <w:color w:val="000000"/>
          <w:sz w:val="28"/>
          <w:lang w:val="en-US" w:eastAsia="zh-CN"/>
        </w:rPr>
        <w:t>县</w:t>
      </w:r>
      <w:r>
        <w:rPr>
          <w:rFonts w:hint="eastAsia" w:ascii="Times New Roman" w:hAnsi="Times New Roman" w:eastAsia="方正仿宋_GBK" w:cs="Times New Roman"/>
          <w:color w:val="000000"/>
          <w:sz w:val="28"/>
        </w:rPr>
        <w:t>人民政府及上级有关</w:t>
      </w:r>
      <w:r>
        <w:rPr>
          <w:rFonts w:hint="eastAsia" w:eastAsia="方正仿宋_GBK" w:cs="Times New Roman"/>
          <w:color w:val="000000"/>
          <w:sz w:val="28"/>
          <w:lang w:eastAsia="zh-CN"/>
        </w:rPr>
        <w:t>单位</w:t>
      </w:r>
      <w:r>
        <w:rPr>
          <w:rFonts w:hint="eastAsia" w:ascii="Times New Roman" w:hAnsi="Times New Roman" w:eastAsia="方正仿宋_GBK" w:cs="Times New Roman"/>
          <w:color w:val="000000"/>
          <w:sz w:val="28"/>
        </w:rPr>
        <w:t>交办的其它事项</w:t>
      </w:r>
      <w:r>
        <w:rPr>
          <w:rFonts w:hint="eastAsia" w:eastAsia="方正仿宋_GBK" w:cs="Times New Roman"/>
          <w:color w:val="000000"/>
          <w:sz w:val="28"/>
          <w:lang w:eastAsia="zh-CN"/>
        </w:rPr>
        <w:t>。</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中共青龙满族自治县委社会工作部本级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照预算管理有关规定，目前单位预算的编制实行综合预算管理，即全部收入和支出都反映在预算中。</w:t>
      </w:r>
    </w:p>
    <w:p>
      <w:pPr>
        <w:pStyle w:val="18"/>
      </w:pPr>
      <w:r>
        <w:t>1、收入说明</w:t>
      </w:r>
    </w:p>
    <w:p>
      <w:pPr>
        <w:pStyle w:val="18"/>
      </w:pPr>
      <w:r>
        <w:t>反映本单位当年全部收入。2026年预算收入121.28万元，其中：一般公共预算收入119.30万元，基金预算收入0.00万元，国有资本经营预算收入0.00万元，财政专户核拨收入0.00万元，单位资金收入0.00万元，上年结转结余1.98万元。</w:t>
      </w:r>
    </w:p>
    <w:p>
      <w:pPr>
        <w:pStyle w:val="18"/>
      </w:pPr>
      <w:r>
        <w:t>2、支出说明</w:t>
      </w:r>
    </w:p>
    <w:p>
      <w:pPr>
        <w:pStyle w:val="18"/>
      </w:pPr>
      <w:r>
        <w:t>收支预算总表支出栏、基本支出表、项目支出表按经济分类和支出功能分类科目编制，反映中共青龙满族自治县委社会工作部本级年度单位预算中支出预算的总体情况。 2026年支出预算121.28万元，其中基本支出104.48万元，包括人员经费96.92万元和日常公用经费7.56万元；项目支出16.80万元，主要为:社会工作专项工作经费、社区建设项目补助经费等项目。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2026年预算收支安排121.28万元，较2025年预算增加60.09万元，其中：基本支出增加57.79万元，主要为：新增人员工资、保险支出；项目支出增加2.30万元，主要为：社区建设项目补助资金项目增加。</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rPr>
          <w:rFonts w:ascii="Times New Roman" w:hAnsi="Times New Roman" w:eastAsia="方正仿宋_GBK" w:cs="Times New Roman"/>
          <w:sz w:val="28"/>
          <w:szCs w:val="22"/>
        </w:rPr>
      </w:pPr>
      <w:r>
        <w:rPr>
          <w:rFonts w:ascii="Times New Roman" w:hAnsi="Times New Roman" w:eastAsia="方正仿宋_GBK" w:cs="Times New Roman"/>
          <w:sz w:val="28"/>
          <w:szCs w:val="22"/>
        </w:rPr>
        <w:t>2026年，我</w:t>
      </w:r>
      <w:r>
        <w:rPr>
          <w:rFonts w:hint="eastAsia" w:cs="Times New Roman"/>
          <w:sz w:val="28"/>
          <w:szCs w:val="22"/>
          <w:lang w:eastAsia="zh-CN"/>
        </w:rPr>
        <w:t>单位</w:t>
      </w:r>
      <w:r>
        <w:rPr>
          <w:rFonts w:ascii="Times New Roman" w:hAnsi="Times New Roman" w:eastAsia="方正仿宋_GBK" w:cs="Times New Roman"/>
          <w:sz w:val="28"/>
          <w:szCs w:val="22"/>
        </w:rPr>
        <w:t>机关运行经费共计安排7.56万元，主要用于日常运行支出。</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2026年，我</w:t>
      </w:r>
      <w:r>
        <w:rPr>
          <w:rFonts w:hint="eastAsia"/>
          <w:lang w:eastAsia="zh-CN"/>
        </w:rPr>
        <w:t>单位</w:t>
      </w:r>
      <w:r>
        <w:t>财政拨款“三公”经费预算安排0万元，其中因公出国（境）费0.00万元；公务用车购置及运维费10万元（其中：公务用车购置费为0.00万元，公务用车运维费0万元)；公务接待费0万元。与2025年相比减少0.1万元，增减变化的主要原因是压减开支，三公经费减少。</w:t>
      </w:r>
    </w:p>
    <w:p>
      <w:pPr>
        <w:pStyle w:val="20"/>
      </w:pPr>
    </w:p>
    <w:p>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（一）总体绩效目标</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uk-UA"/>
        </w:rPr>
      </w:pPr>
      <w:r>
        <w:rPr>
          <w:rFonts w:ascii="Times New Roman" w:hAnsi="Times New Roman" w:eastAsia="方正仿宋_GBK" w:cs="Times New Roman"/>
          <w:b w:val="0"/>
          <w:color w:val="000000"/>
          <w:sz w:val="28"/>
          <w:lang w:val="en-US" w:eastAsia="zh-CN"/>
        </w:rPr>
        <w:t>社</w:t>
      </w:r>
      <w:r>
        <w:rPr>
          <w:rFonts w:hint="eastAsia" w:ascii="Times New Roman" w:hAnsi="Times New Roman" w:eastAsia="方正仿宋_GBK" w:cs="Times New Roman"/>
          <w:b w:val="0"/>
          <w:color w:val="000000"/>
          <w:sz w:val="28"/>
          <w:lang w:val="en-US" w:eastAsia="zh-CN"/>
        </w:rPr>
        <w:t>会工作</w:t>
      </w:r>
      <w:r>
        <w:rPr>
          <w:rFonts w:ascii="Times New Roman" w:hAnsi="Times New Roman" w:eastAsia="方正仿宋_GBK" w:cs="Times New Roman"/>
          <w:b w:val="0"/>
          <w:color w:val="000000"/>
          <w:sz w:val="28"/>
          <w:lang w:val="en-US" w:eastAsia="zh-CN"/>
        </w:rPr>
        <w:t>部将持续以不断推进</w:t>
      </w:r>
      <w:r>
        <w:rPr>
          <w:rFonts w:hint="default" w:ascii="Times New Roman" w:hAnsi="Times New Roman" w:eastAsia="方正仿宋_GBK" w:cs="Times New Roman"/>
          <w:b w:val="0"/>
          <w:color w:val="000000"/>
          <w:sz w:val="28"/>
          <w:lang w:val="en-US" w:eastAsia="zh-CN"/>
        </w:rPr>
        <w:t>“两企三新”党建工作为总体目标，指导人民建议征集工作，协调解决人民群众急难愁盼的重大问题，全力提高人民群众的幸福指数；统筹推进党建引领基层治理和基层政权建设，推动基层民主政治建设，打好村委会换届攻坚战；协调指导全</w:t>
      </w:r>
      <w:r>
        <w:rPr>
          <w:rFonts w:hint="eastAsia" w:ascii="Times New Roman" w:hAnsi="Times New Roman" w:eastAsia="方正仿宋_GBK" w:cs="Times New Roman"/>
          <w:b w:val="0"/>
          <w:color w:val="000000"/>
          <w:sz w:val="28"/>
          <w:lang w:val="en-US" w:eastAsia="zh-CN"/>
        </w:rPr>
        <w:t>县</w:t>
      </w:r>
      <w:r>
        <w:rPr>
          <w:rFonts w:hint="default" w:ascii="Times New Roman" w:hAnsi="Times New Roman" w:eastAsia="方正仿宋_GBK" w:cs="Times New Roman"/>
          <w:b w:val="0"/>
          <w:color w:val="000000"/>
          <w:sz w:val="28"/>
          <w:lang w:val="en-US" w:eastAsia="zh-CN"/>
        </w:rPr>
        <w:t>志愿者服务工作，指导社会工作人才队伍建设；统一领导全</w:t>
      </w:r>
      <w:r>
        <w:rPr>
          <w:rFonts w:hint="eastAsia" w:ascii="Times New Roman" w:hAnsi="Times New Roman" w:eastAsia="方正仿宋_GBK" w:cs="Times New Roman"/>
          <w:b w:val="0"/>
          <w:color w:val="000000"/>
          <w:sz w:val="28"/>
          <w:lang w:val="en-US" w:eastAsia="zh-CN"/>
        </w:rPr>
        <w:t>县</w:t>
      </w:r>
      <w:r>
        <w:rPr>
          <w:rFonts w:hint="default" w:ascii="Times New Roman" w:hAnsi="Times New Roman" w:eastAsia="方正仿宋_GBK" w:cs="Times New Roman"/>
          <w:b w:val="0"/>
          <w:color w:val="000000"/>
          <w:sz w:val="28"/>
          <w:lang w:val="en-US" w:eastAsia="zh-CN"/>
        </w:rPr>
        <w:t>性行业协会商会党的工作，协调推动行业协会商会深化改革和转型发展。</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（二）分项绩效目标</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1</w:t>
      </w:r>
      <w:r>
        <w:rPr>
          <w:rFonts w:hint="eastAsia" w:ascii="Times New Roman" w:hAnsi="Times New Roman" w:eastAsia="方正仿宋_GBK" w:cs="Times New Roman"/>
          <w:b w:val="0"/>
          <w:color w:val="000000"/>
          <w:sz w:val="28"/>
          <w:lang w:val="en-US" w:eastAsia="zh-CN"/>
        </w:rPr>
        <w:t>、</w:t>
      </w:r>
      <w:r>
        <w:rPr>
          <w:rFonts w:ascii="Times New Roman" w:hAnsi="Times New Roman" w:eastAsia="方正仿宋_GBK" w:cs="Times New Roman"/>
          <w:b w:val="0"/>
          <w:color w:val="000000"/>
          <w:sz w:val="28"/>
          <w:lang w:val="en-US" w:eastAsia="zh-CN"/>
        </w:rPr>
        <w:t xml:space="preserve">党建工作 </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绩效目标：统筹推进党建引领基层治理和基层政权建设，指导全</w:t>
      </w:r>
      <w:r>
        <w:rPr>
          <w:rFonts w:hint="eastAsia" w:ascii="Times New Roman" w:hAnsi="Times New Roman" w:eastAsia="方正仿宋_GBK" w:cs="Times New Roman"/>
          <w:b w:val="0"/>
          <w:color w:val="000000"/>
          <w:sz w:val="28"/>
          <w:lang w:val="en-US" w:eastAsia="zh-CN"/>
        </w:rPr>
        <w:t>县</w:t>
      </w:r>
      <w:r>
        <w:rPr>
          <w:rFonts w:hint="default" w:ascii="Times New Roman" w:hAnsi="Times New Roman" w:eastAsia="方正仿宋_GBK" w:cs="Times New Roman"/>
          <w:b w:val="0"/>
          <w:color w:val="000000"/>
          <w:sz w:val="28"/>
          <w:lang w:val="en-US" w:eastAsia="zh-CN"/>
        </w:rPr>
        <w:t>性社会组织党建工作，抓好“两个三新”党建工</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作，指导协调相关企业单位、社会组织、就业群体中党员的教育、管理监督和服务工作。确保各项工作目标任务圆满完成。</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绩效指标：保证各党支部吸纳年轻党员及时率100%，坚决贯彻上级各项方针，抓好属地经济建设。</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2</w:t>
      </w:r>
      <w:r>
        <w:rPr>
          <w:rFonts w:hint="eastAsia" w:ascii="Times New Roman" w:hAnsi="Times New Roman" w:eastAsia="方正仿宋_GBK" w:cs="Times New Roman"/>
          <w:b w:val="0"/>
          <w:color w:val="000000"/>
          <w:sz w:val="28"/>
          <w:lang w:val="en-US" w:eastAsia="zh-CN"/>
        </w:rPr>
        <w:t>、</w:t>
      </w:r>
      <w:r>
        <w:rPr>
          <w:rFonts w:hint="default" w:ascii="Times New Roman" w:hAnsi="Times New Roman" w:eastAsia="方正仿宋_GBK" w:cs="Times New Roman"/>
          <w:b w:val="0"/>
          <w:color w:val="000000"/>
          <w:sz w:val="28"/>
          <w:lang w:val="en-US" w:eastAsia="zh-CN"/>
        </w:rPr>
        <w:t xml:space="preserve">指导人民信访工作 </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绩效目标：统筹指导人民信访工作，协调解决人民群众急难愁盼的重大问题。指导人民建设征集工作，向</w:t>
      </w:r>
      <w:r>
        <w:rPr>
          <w:rFonts w:hint="eastAsia" w:ascii="Times New Roman" w:hAnsi="Times New Roman" w:eastAsia="方正仿宋_GBK" w:cs="Times New Roman"/>
          <w:b w:val="0"/>
          <w:color w:val="000000"/>
          <w:sz w:val="28"/>
          <w:lang w:val="en-US" w:eastAsia="zh-CN"/>
        </w:rPr>
        <w:t>县</w:t>
      </w:r>
      <w:r>
        <w:rPr>
          <w:rFonts w:hint="default" w:ascii="Times New Roman" w:hAnsi="Times New Roman" w:eastAsia="方正仿宋_GBK" w:cs="Times New Roman"/>
          <w:b w:val="0"/>
          <w:color w:val="000000"/>
          <w:sz w:val="28"/>
          <w:lang w:val="en-US" w:eastAsia="zh-CN"/>
        </w:rPr>
        <w:t>委、</w:t>
      </w:r>
      <w:r>
        <w:rPr>
          <w:rFonts w:hint="eastAsia" w:ascii="Times New Roman" w:hAnsi="Times New Roman" w:eastAsia="方正仿宋_GBK" w:cs="Times New Roman"/>
          <w:b w:val="0"/>
          <w:color w:val="000000"/>
          <w:sz w:val="28"/>
          <w:lang w:val="en-US" w:eastAsia="zh-CN"/>
        </w:rPr>
        <w:t>县</w:t>
      </w:r>
      <w:bookmarkStart w:id="1" w:name="_GoBack"/>
      <w:bookmarkEnd w:id="1"/>
    </w:p>
    <w:p>
      <w:pPr>
        <w:spacing w:before="0" w:after="0" w:line="500" w:lineRule="exact"/>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 xml:space="preserve">政府及时反映人民的重要意见和建议 </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绩效指标：保证向</w:t>
      </w:r>
      <w:r>
        <w:rPr>
          <w:rFonts w:hint="eastAsia" w:ascii="Times New Roman" w:hAnsi="Times New Roman" w:eastAsia="方正仿宋_GBK" w:cs="Times New Roman"/>
          <w:b w:val="0"/>
          <w:color w:val="000000"/>
          <w:sz w:val="28"/>
          <w:lang w:val="en-US" w:eastAsia="zh-CN"/>
        </w:rPr>
        <w:t>县</w:t>
      </w:r>
      <w:r>
        <w:rPr>
          <w:rFonts w:hint="default" w:ascii="Times New Roman" w:hAnsi="Times New Roman" w:eastAsia="方正仿宋_GBK" w:cs="Times New Roman"/>
          <w:b w:val="0"/>
          <w:color w:val="000000"/>
          <w:sz w:val="28"/>
          <w:lang w:val="en-US" w:eastAsia="zh-CN"/>
        </w:rPr>
        <w:t>委、</w:t>
      </w:r>
      <w:r>
        <w:rPr>
          <w:rFonts w:hint="eastAsia" w:ascii="Times New Roman" w:hAnsi="Times New Roman" w:eastAsia="方正仿宋_GBK" w:cs="Times New Roman"/>
          <w:b w:val="0"/>
          <w:color w:val="000000"/>
          <w:sz w:val="28"/>
          <w:lang w:val="en-US" w:eastAsia="zh-CN"/>
        </w:rPr>
        <w:t>县</w:t>
      </w:r>
      <w:r>
        <w:rPr>
          <w:rFonts w:hint="default" w:ascii="Times New Roman" w:hAnsi="Times New Roman" w:eastAsia="方正仿宋_GBK" w:cs="Times New Roman"/>
          <w:b w:val="0"/>
          <w:color w:val="000000"/>
          <w:sz w:val="28"/>
          <w:lang w:val="en-US" w:eastAsia="zh-CN"/>
        </w:rPr>
        <w:t>政府反映人民重要意见和建议的及时率100%。</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3</w:t>
      </w:r>
      <w:r>
        <w:rPr>
          <w:rFonts w:hint="eastAsia" w:ascii="Times New Roman" w:hAnsi="Times New Roman" w:eastAsia="方正仿宋_GBK" w:cs="Times New Roman"/>
          <w:b w:val="0"/>
          <w:color w:val="000000"/>
          <w:sz w:val="28"/>
          <w:lang w:val="en-US" w:eastAsia="zh-CN"/>
        </w:rPr>
        <w:t>、</w:t>
      </w:r>
      <w:r>
        <w:rPr>
          <w:rFonts w:hint="default" w:ascii="Times New Roman" w:hAnsi="Times New Roman" w:eastAsia="方正仿宋_GBK" w:cs="Times New Roman"/>
          <w:b w:val="0"/>
          <w:color w:val="000000"/>
          <w:sz w:val="28"/>
          <w:lang w:val="en-US" w:eastAsia="zh-CN"/>
        </w:rPr>
        <w:t>社</w:t>
      </w:r>
      <w:r>
        <w:rPr>
          <w:rFonts w:hint="eastAsia" w:eastAsia="方正仿宋_GBK" w:cs="Times New Roman"/>
          <w:b w:val="0"/>
          <w:color w:val="000000"/>
          <w:sz w:val="28"/>
          <w:lang w:val="en-US" w:eastAsia="zh-CN"/>
        </w:rPr>
        <w:t>会</w:t>
      </w:r>
      <w:r>
        <w:rPr>
          <w:rFonts w:hint="default" w:ascii="Times New Roman" w:hAnsi="Times New Roman" w:eastAsia="方正仿宋_GBK" w:cs="Times New Roman"/>
          <w:b w:val="0"/>
          <w:color w:val="000000"/>
          <w:sz w:val="28"/>
          <w:lang w:val="en-US" w:eastAsia="zh-CN"/>
        </w:rPr>
        <w:t>工</w:t>
      </w:r>
      <w:r>
        <w:rPr>
          <w:rFonts w:hint="eastAsia" w:eastAsia="方正仿宋_GBK" w:cs="Times New Roman"/>
          <w:b w:val="0"/>
          <w:color w:val="000000"/>
          <w:sz w:val="28"/>
          <w:lang w:val="en-US" w:eastAsia="zh-CN"/>
        </w:rPr>
        <w:t>作</w:t>
      </w:r>
      <w:r>
        <w:rPr>
          <w:rFonts w:hint="default" w:ascii="Times New Roman" w:hAnsi="Times New Roman" w:eastAsia="方正仿宋_GBK" w:cs="Times New Roman"/>
          <w:b w:val="0"/>
          <w:color w:val="000000"/>
          <w:sz w:val="28"/>
          <w:lang w:val="en-US" w:eastAsia="zh-CN"/>
        </w:rPr>
        <w:t xml:space="preserve">部财务规范运行 </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 xml:space="preserve">绩效目标：部里财务规范高效运行。 </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绩效指标：抓好本级财务实行统一管理、集中核算、全面监督。单位财务报销合规率 100%，财务支出手续完善。</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uk-UA"/>
        </w:rPr>
      </w:pPr>
      <w:r>
        <w:rPr>
          <w:rFonts w:ascii="Times New Roman" w:hAnsi="Times New Roman" w:eastAsia="方正仿宋_GBK" w:cs="Times New Roman"/>
          <w:b w:val="0"/>
          <w:color w:val="000000"/>
          <w:sz w:val="28"/>
          <w:lang w:val="en-US" w:eastAsia="uk-UA"/>
        </w:rPr>
        <w:t>（三）工作保障措施</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ascii="Times New Roman" w:hAnsi="Times New Roman" w:eastAsia="方正仿宋_GBK" w:cs="Times New Roman"/>
          <w:b w:val="0"/>
          <w:color w:val="000000"/>
          <w:sz w:val="28"/>
          <w:lang w:val="en-US" w:eastAsia="zh-CN"/>
        </w:rPr>
        <w:t>针对问题重点，真抓实干。各部门要明确责任，在领导班子统一领导下，建立健全机制，抓住工作重点，逐一落</w:t>
      </w:r>
      <w:r>
        <w:rPr>
          <w:rFonts w:hint="default" w:ascii="Times New Roman" w:hAnsi="Times New Roman" w:eastAsia="方正仿宋_GBK" w:cs="Times New Roman"/>
          <w:b w:val="0"/>
          <w:color w:val="000000"/>
          <w:sz w:val="28"/>
          <w:lang w:val="en-US" w:eastAsia="zh-CN"/>
        </w:rPr>
        <w:t>实，深入践行“三严三实”，紧紧围绕省、市工作部署和部里的工作重点，严格落实岗位责任，脚踏实地，真抓实干，努力把各项工作落到实处。</w:t>
      </w:r>
    </w:p>
    <w:p>
      <w:pPr>
        <w:numPr>
          <w:numId w:val="0"/>
        </w:num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13032126P00334910317T</w:t>
            </w:r>
          </w:p>
        </w:tc>
        <w:tc>
          <w:tcPr>
            <w:tcW w:w="2835" w:type="dxa"/>
            <w:vAlign w:val="center"/>
          </w:tcPr>
          <w:p>
            <w:pPr>
              <w:pStyle w:val="10"/>
            </w:pPr>
            <w:r>
              <w:t>项目名称</w:t>
            </w:r>
          </w:p>
        </w:tc>
        <w:tc>
          <w:tcPr>
            <w:tcW w:w="6095" w:type="dxa"/>
            <w:gridSpan w:val="3"/>
            <w:vAlign w:val="center"/>
          </w:tcPr>
          <w:p>
            <w:pPr>
              <w:pStyle w:val="12"/>
            </w:pPr>
            <w:r>
              <w:t>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w:t>
            </w:r>
          </w:p>
        </w:tc>
        <w:tc>
          <w:tcPr>
            <w:tcW w:w="2835" w:type="dxa"/>
            <w:vAlign w:val="center"/>
          </w:tcPr>
          <w:p>
            <w:pPr>
              <w:pStyle w:val="10"/>
            </w:pPr>
            <w:r>
              <w:t>其中：财政    资金</w:t>
            </w:r>
          </w:p>
        </w:tc>
        <w:tc>
          <w:tcPr>
            <w:tcW w:w="2551" w:type="dxa"/>
            <w:vAlign w:val="center"/>
          </w:tcPr>
          <w:p>
            <w:pPr>
              <w:pStyle w:val="12"/>
            </w:pPr>
            <w:r>
              <w:t>3.20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安排预算资金3.2万元（其中财政资金3.2万元）用于单位专项工作经费。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1.通过专项业务经费支出，提高非公企业和社会组织党建质量。</w:t>
            </w:r>
            <w:r>
              <w:tab/>
            </w:r>
            <w:r>
              <w:tab/>
            </w:r>
            <w:r>
              <w:tab/>
            </w:r>
            <w:r>
              <w:tab/>
            </w:r>
          </w:p>
          <w:p>
            <w:pPr>
              <w:pStyle w:val="12"/>
            </w:pPr>
          </w:p>
          <w:p>
            <w:pPr>
              <w:pStyle w:val="12"/>
            </w:pPr>
            <w:r>
              <w:t>2.通过专项业务经费支出，保障本单位的正常工作运转。</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保障办公人数</w:t>
            </w:r>
          </w:p>
        </w:tc>
        <w:tc>
          <w:tcPr>
            <w:tcW w:w="5386" w:type="dxa"/>
            <w:vAlign w:val="center"/>
          </w:tcPr>
          <w:p>
            <w:pPr>
              <w:pStyle w:val="12"/>
            </w:pPr>
            <w:r>
              <w:t>保障办公人数</w:t>
            </w:r>
          </w:p>
        </w:tc>
        <w:tc>
          <w:tcPr>
            <w:tcW w:w="2268" w:type="dxa"/>
            <w:vAlign w:val="center"/>
          </w:tcPr>
          <w:p>
            <w:pPr>
              <w:pStyle w:val="12"/>
            </w:pPr>
            <w:r>
              <w:t>≥9人</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志愿服务次数</w:t>
            </w:r>
          </w:p>
        </w:tc>
        <w:tc>
          <w:tcPr>
            <w:tcW w:w="5386" w:type="dxa"/>
            <w:vAlign w:val="center"/>
          </w:tcPr>
          <w:p>
            <w:pPr>
              <w:pStyle w:val="12"/>
            </w:pPr>
            <w:r>
              <w:t>组织志愿服务次数</w:t>
            </w:r>
          </w:p>
        </w:tc>
        <w:tc>
          <w:tcPr>
            <w:tcW w:w="2268" w:type="dxa"/>
            <w:vAlign w:val="center"/>
          </w:tcPr>
          <w:p>
            <w:pPr>
              <w:pStyle w:val="12"/>
            </w:pPr>
            <w:r>
              <w:t>≥8次</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运转保障率 </w:t>
            </w:r>
          </w:p>
        </w:tc>
        <w:tc>
          <w:tcPr>
            <w:tcW w:w="5386" w:type="dxa"/>
            <w:vAlign w:val="center"/>
          </w:tcPr>
          <w:p>
            <w:pPr>
              <w:pStyle w:val="12"/>
            </w:pPr>
            <w:r>
              <w:t>各项日常工作保障率</w:t>
            </w:r>
          </w:p>
        </w:tc>
        <w:tc>
          <w:tcPr>
            <w:tcW w:w="2268" w:type="dxa"/>
            <w:vAlign w:val="center"/>
          </w:tcPr>
          <w:p>
            <w:pPr>
              <w:pStyle w:val="12"/>
            </w:pPr>
            <w:r>
              <w:t>≥100%</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5386" w:type="dxa"/>
            <w:vAlign w:val="center"/>
          </w:tcPr>
          <w:p>
            <w:pPr>
              <w:pStyle w:val="12"/>
            </w:pPr>
            <w:r>
              <w:t>及时保障各项日常办公需要</w:t>
            </w:r>
          </w:p>
        </w:tc>
        <w:tc>
          <w:tcPr>
            <w:tcW w:w="2268" w:type="dxa"/>
            <w:vAlign w:val="center"/>
          </w:tcPr>
          <w:p>
            <w:pPr>
              <w:pStyle w:val="12"/>
            </w:pPr>
            <w:r>
              <w:t>是否及时完成需要保障工作</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专项经费支出控制在预算额度内</w:t>
            </w:r>
          </w:p>
        </w:tc>
        <w:tc>
          <w:tcPr>
            <w:tcW w:w="2268" w:type="dxa"/>
            <w:vAlign w:val="center"/>
          </w:tcPr>
          <w:p>
            <w:pPr>
              <w:pStyle w:val="12"/>
            </w:pPr>
            <w:r>
              <w:t>≤3.2万元</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维持单位正常运转</w:t>
            </w:r>
          </w:p>
        </w:tc>
        <w:tc>
          <w:tcPr>
            <w:tcW w:w="5386" w:type="dxa"/>
            <w:vAlign w:val="center"/>
          </w:tcPr>
          <w:p>
            <w:pPr>
              <w:pStyle w:val="12"/>
            </w:pPr>
            <w:r>
              <w:t>保障日常办公需要，维持单位正常运转</w:t>
            </w:r>
          </w:p>
        </w:tc>
        <w:tc>
          <w:tcPr>
            <w:tcW w:w="2268" w:type="dxa"/>
            <w:vAlign w:val="center"/>
          </w:tcPr>
          <w:p>
            <w:pPr>
              <w:pStyle w:val="12"/>
            </w:pPr>
            <w:r>
              <w:t>单位正常运转情况</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保障工作的正常持续运转</w:t>
            </w:r>
          </w:p>
        </w:tc>
        <w:tc>
          <w:tcPr>
            <w:tcW w:w="5386" w:type="dxa"/>
            <w:vAlign w:val="center"/>
          </w:tcPr>
          <w:p>
            <w:pPr>
              <w:pStyle w:val="12"/>
            </w:pPr>
            <w:r>
              <w:t>保障日常办公需要，持续正常运转</w:t>
            </w:r>
          </w:p>
        </w:tc>
        <w:tc>
          <w:tcPr>
            <w:tcW w:w="2268" w:type="dxa"/>
            <w:vAlign w:val="center"/>
          </w:tcPr>
          <w:p>
            <w:pPr>
              <w:pStyle w:val="12"/>
            </w:pPr>
            <w:r>
              <w:t>单位正常运转情况</w:t>
            </w:r>
          </w:p>
        </w:tc>
        <w:tc>
          <w:tcPr>
            <w:tcW w:w="1276" w:type="dxa"/>
            <w:vAlign w:val="center"/>
          </w:tcPr>
          <w:p>
            <w:pPr>
              <w:pStyle w:val="12"/>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5386" w:type="dxa"/>
            <w:vAlign w:val="center"/>
          </w:tcPr>
          <w:p>
            <w:pPr>
              <w:pStyle w:val="12"/>
            </w:pPr>
            <w:r>
              <w:t>单位办公人员对保障工作的满意程度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2、关于提前下达2026年财政社区建设专项资金预算的通知(冀财行[2025]104号)绩效目标表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13032126P00000810009Q</w:t>
            </w:r>
          </w:p>
        </w:tc>
        <w:tc>
          <w:tcPr>
            <w:tcW w:w="2835" w:type="dxa"/>
            <w:vAlign w:val="center"/>
          </w:tcPr>
          <w:p>
            <w:pPr>
              <w:pStyle w:val="10"/>
            </w:pPr>
            <w:r>
              <w:t>项目名称</w:t>
            </w:r>
          </w:p>
        </w:tc>
        <w:tc>
          <w:tcPr>
            <w:tcW w:w="6095" w:type="dxa"/>
            <w:gridSpan w:val="3"/>
            <w:vAlign w:val="center"/>
          </w:tcPr>
          <w:p>
            <w:pPr>
              <w:pStyle w:val="12"/>
            </w:pPr>
            <w:r>
              <w:t>关于提前下达2026年财政社区建设专项资金预算的通知(冀财行[2025]104号)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13.60</w:t>
            </w:r>
          </w:p>
        </w:tc>
        <w:tc>
          <w:tcPr>
            <w:tcW w:w="2835" w:type="dxa"/>
            <w:vAlign w:val="center"/>
          </w:tcPr>
          <w:p>
            <w:pPr>
              <w:pStyle w:val="10"/>
            </w:pPr>
            <w:r>
              <w:t>其中：财政    资金</w:t>
            </w:r>
          </w:p>
        </w:tc>
        <w:tc>
          <w:tcPr>
            <w:tcW w:w="2551" w:type="dxa"/>
            <w:vAlign w:val="center"/>
          </w:tcPr>
          <w:p>
            <w:pPr>
              <w:pStyle w:val="12"/>
            </w:pPr>
            <w:r>
              <w:t>13.60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安排预算资金13.6万元，其中财政资金13.6万元，用于社区建设资金。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1.通过社区建设，实现党建引领社区治理创特色。</w:t>
            </w:r>
            <w:r>
              <w:tab/>
            </w:r>
            <w:r>
              <w:tab/>
            </w:r>
            <w:r>
              <w:tab/>
            </w:r>
            <w:r>
              <w:tab/>
            </w:r>
            <w:r>
              <w:tab/>
            </w:r>
            <w:r>
              <w:tab/>
            </w:r>
          </w:p>
          <w:p>
            <w:pPr>
              <w:pStyle w:val="12"/>
            </w:pPr>
            <w:r>
              <w:t>2.通过社区建设项目，提升社区自治能力，提高人民满意度。</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保障社区各类培训次数</w:t>
            </w:r>
          </w:p>
        </w:tc>
        <w:tc>
          <w:tcPr>
            <w:tcW w:w="5386" w:type="dxa"/>
            <w:vAlign w:val="center"/>
          </w:tcPr>
          <w:p>
            <w:pPr>
              <w:pStyle w:val="12"/>
            </w:pPr>
            <w:r>
              <w:t>培训次数达到15次以上</w:t>
            </w:r>
          </w:p>
        </w:tc>
        <w:tc>
          <w:tcPr>
            <w:tcW w:w="2268" w:type="dxa"/>
            <w:vAlign w:val="center"/>
          </w:tcPr>
          <w:p>
            <w:pPr>
              <w:pStyle w:val="12"/>
            </w:pPr>
            <w:r>
              <w:t>≥15次</w:t>
            </w:r>
          </w:p>
        </w:tc>
        <w:tc>
          <w:tcPr>
            <w:tcW w:w="1276" w:type="dxa"/>
            <w:vAlign w:val="center"/>
          </w:tcPr>
          <w:p>
            <w:pPr>
              <w:pStyle w:val="12"/>
            </w:pPr>
            <w:r>
              <w:t>保障培训次数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保障办公人数</w:t>
            </w:r>
          </w:p>
        </w:tc>
        <w:tc>
          <w:tcPr>
            <w:tcW w:w="5386" w:type="dxa"/>
            <w:vAlign w:val="center"/>
          </w:tcPr>
          <w:p>
            <w:pPr>
              <w:pStyle w:val="12"/>
            </w:pPr>
            <w:r>
              <w:t>保障办公人数</w:t>
            </w:r>
          </w:p>
        </w:tc>
        <w:tc>
          <w:tcPr>
            <w:tcW w:w="2268" w:type="dxa"/>
            <w:vAlign w:val="center"/>
          </w:tcPr>
          <w:p>
            <w:pPr>
              <w:pStyle w:val="12"/>
            </w:pPr>
            <w:r>
              <w:t>≥5人</w:t>
            </w:r>
          </w:p>
        </w:tc>
        <w:tc>
          <w:tcPr>
            <w:tcW w:w="1276" w:type="dxa"/>
            <w:vAlign w:val="center"/>
          </w:tcPr>
          <w:p>
            <w:pPr>
              <w:pStyle w:val="12"/>
            </w:pPr>
            <w:r>
              <w:t>保障办公人数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≥98%</w:t>
            </w:r>
          </w:p>
        </w:tc>
        <w:tc>
          <w:tcPr>
            <w:tcW w:w="1276" w:type="dxa"/>
            <w:vAlign w:val="center"/>
          </w:tcPr>
          <w:p>
            <w:pPr>
              <w:pStyle w:val="12"/>
            </w:pPr>
            <w:r>
              <w:t>运转工作保障完成率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5386" w:type="dxa"/>
            <w:vAlign w:val="center"/>
          </w:tcPr>
          <w:p>
            <w:pPr>
              <w:pStyle w:val="12"/>
            </w:pPr>
            <w:r>
              <w:t>正常保障专项项目支出</w:t>
            </w:r>
          </w:p>
        </w:tc>
        <w:tc>
          <w:tcPr>
            <w:tcW w:w="2268" w:type="dxa"/>
            <w:vAlign w:val="center"/>
          </w:tcPr>
          <w:p>
            <w:pPr>
              <w:pStyle w:val="12"/>
            </w:pPr>
            <w:r>
              <w:t>是否正常完成需要保障的工作</w:t>
            </w:r>
          </w:p>
          <w:p>
            <w:pPr>
              <w:pStyle w:val="12"/>
            </w:pPr>
          </w:p>
        </w:tc>
        <w:tc>
          <w:tcPr>
            <w:tcW w:w="1276" w:type="dxa"/>
            <w:vAlign w:val="center"/>
          </w:tcPr>
          <w:p>
            <w:pPr>
              <w:pStyle w:val="12"/>
            </w:pPr>
            <w:r>
              <w:t>是否正常完成项目资金的支付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项目建设专项经费支出</w:t>
            </w:r>
          </w:p>
        </w:tc>
        <w:tc>
          <w:tcPr>
            <w:tcW w:w="5386" w:type="dxa"/>
            <w:vAlign w:val="center"/>
          </w:tcPr>
          <w:p>
            <w:pPr>
              <w:pStyle w:val="12"/>
            </w:pPr>
            <w:r>
              <w:t>项目建设专项经费支出</w:t>
            </w:r>
          </w:p>
        </w:tc>
        <w:tc>
          <w:tcPr>
            <w:tcW w:w="2268" w:type="dxa"/>
            <w:vAlign w:val="center"/>
          </w:tcPr>
          <w:p>
            <w:pPr>
              <w:pStyle w:val="12"/>
            </w:pPr>
            <w:r>
              <w:t>13.6万元</w:t>
            </w:r>
          </w:p>
        </w:tc>
        <w:tc>
          <w:tcPr>
            <w:tcW w:w="1276" w:type="dxa"/>
            <w:vAlign w:val="center"/>
          </w:tcPr>
          <w:p>
            <w:pPr>
              <w:pStyle w:val="12"/>
            </w:pPr>
            <w:r>
              <w:t>按照专项资金通知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公共服务水平提升情况</w:t>
            </w:r>
          </w:p>
        </w:tc>
        <w:tc>
          <w:tcPr>
            <w:tcW w:w="5386" w:type="dxa"/>
            <w:vAlign w:val="center"/>
          </w:tcPr>
          <w:p>
            <w:pPr>
              <w:pStyle w:val="12"/>
            </w:pPr>
            <w:r>
              <w:t>反映提供公共服务质量大幅提升</w:t>
            </w:r>
          </w:p>
        </w:tc>
        <w:tc>
          <w:tcPr>
            <w:tcW w:w="2268" w:type="dxa"/>
            <w:vAlign w:val="center"/>
          </w:tcPr>
          <w:p>
            <w:pPr>
              <w:pStyle w:val="12"/>
            </w:pPr>
            <w:r>
              <w:t>≥90%</w:t>
            </w:r>
          </w:p>
        </w:tc>
        <w:tc>
          <w:tcPr>
            <w:tcW w:w="1276" w:type="dxa"/>
            <w:vAlign w:val="center"/>
          </w:tcPr>
          <w:p>
            <w:pPr>
              <w:pStyle w:val="12"/>
            </w:pPr>
            <w:r>
              <w:t>是否提高公共服务质量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改善社区治理能力</w:t>
            </w:r>
          </w:p>
        </w:tc>
        <w:tc>
          <w:tcPr>
            <w:tcW w:w="5386" w:type="dxa"/>
            <w:vAlign w:val="center"/>
          </w:tcPr>
          <w:p>
            <w:pPr>
              <w:pStyle w:val="12"/>
            </w:pPr>
            <w:r>
              <w:t>改善社区治理能力</w:t>
            </w:r>
          </w:p>
        </w:tc>
        <w:tc>
          <w:tcPr>
            <w:tcW w:w="2268" w:type="dxa"/>
            <w:vAlign w:val="center"/>
          </w:tcPr>
          <w:p>
            <w:pPr>
              <w:pStyle w:val="12"/>
            </w:pPr>
            <w:r>
              <w:t>≥95%</w:t>
            </w:r>
          </w:p>
        </w:tc>
        <w:tc>
          <w:tcPr>
            <w:tcW w:w="1276" w:type="dxa"/>
            <w:vAlign w:val="center"/>
          </w:tcPr>
          <w:p>
            <w:pPr>
              <w:pStyle w:val="12"/>
            </w:pPr>
            <w:r>
              <w:t>是否改善社区治理能力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群众对本单位工作的满意度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216001中共青龙满族自治县委社会工作部本级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w:t>
            </w:r>
            <w:r>
              <w:rPr>
                <w:rFonts w:hint="eastAsia"/>
                <w:lang w:eastAsia="zh-CN"/>
              </w:rPr>
              <w:t>单位</w:t>
            </w:r>
            <w:r>
              <w:t>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0.20</w:t>
            </w:r>
          </w:p>
        </w:tc>
        <w:tc>
          <w:tcPr>
            <w:tcW w:w="964" w:type="dxa"/>
            <w:vAlign w:val="center"/>
          </w:tcPr>
          <w:p>
            <w:pPr>
              <w:pStyle w:val="15"/>
            </w:pPr>
            <w:r>
              <w:t>0.20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中共青龙满族自治县委社会工作部本级小计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0.20</w:t>
            </w:r>
          </w:p>
        </w:tc>
        <w:tc>
          <w:tcPr>
            <w:tcW w:w="964" w:type="dxa"/>
            <w:vAlign w:val="center"/>
          </w:tcPr>
          <w:p>
            <w:pPr>
              <w:pStyle w:val="15"/>
            </w:pPr>
            <w:r>
              <w:t>0.20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1.44</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10</w:t>
            </w:r>
          </w:p>
        </w:tc>
        <w:tc>
          <w:tcPr>
            <w:tcW w:w="850" w:type="dxa"/>
            <w:vAlign w:val="center"/>
          </w:tcPr>
          <w:p>
            <w:pPr>
              <w:pStyle w:val="11"/>
            </w:pPr>
            <w:r>
              <w:t>0.02</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中共青龙满族自治县委社会工作部本级上年末固定资产金额为10.97万元（详见下表）。本年度拟购置固定资产总额为0.00万元，已按要求列入政府采购预算，详见政府采购预算表。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216001中共青龙满族自治县委社会工作部本级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44</w:t>
            </w:r>
          </w:p>
        </w:tc>
        <w:tc>
          <w:tcPr>
            <w:tcW w:w="2835" w:type="dxa"/>
            <w:vAlign w:val="center"/>
          </w:tcPr>
          <w:p>
            <w:pPr>
              <w:pStyle w:val="11"/>
            </w:pPr>
            <w:r>
              <w:t>10.97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49593"/>
    <w:multiLevelType w:val="singleLevel"/>
    <w:tmpl w:val="06D49593"/>
    <w:lvl w:ilvl="0" w:tentative="0">
      <w:start w:val="5"/>
      <w:numFmt w:val="chineseCounting"/>
      <w:suff w:val="nothing"/>
      <w:lvlText w:val="%1、"/>
      <w:lvlJc w:val="left"/>
      <w:rPr>
        <w:rFonts w:hint="eastAsia"/>
      </w:rPr>
    </w:lvl>
  </w:abstractNum>
  <w:abstractNum w:abstractNumId="1">
    <w:nsid w:val="2A68C70B"/>
    <w:multiLevelType w:val="singleLevel"/>
    <w:tmpl w:val="2A68C70B"/>
    <w:lvl w:ilvl="0" w:tentative="0">
      <w:start w:val="1"/>
      <w:numFmt w:val="chineseCounting"/>
      <w:suff w:val="nothing"/>
      <w:lvlText w:val="（%1）"/>
      <w:lvlJc w:val="left"/>
      <w:rPr>
        <w:rFonts w:hint="eastAsia" w:ascii="方正仿宋简体" w:hAnsi="方正仿宋简体" w:eastAsia="方正仿宋简体" w:cs="方正仿宋简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21F5376"/>
    <w:rsid w:val="1FD638B9"/>
    <w:rsid w:val="6F2C7EF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TotalTime>1</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2026-02-02T09:41:00Z</dcterms:created>
  <dc:creator>hp</dc:creator>
  <cp:lastModifiedBy>董学文</cp:lastModifiedBy>
  <dcterms:modified xsi:type="dcterms:W3CDTF">2026-02-02T01:46:24Z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FBDE6EF8BF3A4674A16D0D0A3A8B43DF</vt:lpwstr>
  </property>
</Properties>
</file>