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一、青龙满族自治县应急管理局本级收支预算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一、青龙满族自治县应急管理局本级收支预算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1855.54</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116.00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154.73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54.09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2662.18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1971.54</w:t>
            </w:r>
          </w:p>
        </w:tc>
        <w:tc>
          <w:tcPr>
            <w:tcW w:w="4535" w:type="dxa"/>
            <w:vAlign w:val="center"/>
          </w:tcPr>
          <w:p>
            <w:pPr>
              <w:pStyle w:val="14"/>
            </w:pPr>
            <w:r>
              <w:t>本年支出合计</w:t>
            </w:r>
          </w:p>
        </w:tc>
        <w:tc>
          <w:tcPr>
            <w:tcW w:w="2126" w:type="dxa"/>
            <w:vAlign w:val="center"/>
          </w:tcPr>
          <w:p>
            <w:pPr>
              <w:pStyle w:val="15"/>
            </w:pPr>
            <w:r>
              <w:t>3037.26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1065.72</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3037.26</w:t>
            </w:r>
          </w:p>
        </w:tc>
        <w:tc>
          <w:tcPr>
            <w:tcW w:w="4535" w:type="dxa"/>
            <w:vAlign w:val="center"/>
          </w:tcPr>
          <w:p>
            <w:pPr>
              <w:pStyle w:val="14"/>
            </w:pPr>
            <w:r>
              <w:t>支出总计</w:t>
            </w:r>
          </w:p>
        </w:tc>
        <w:tc>
          <w:tcPr>
            <w:tcW w:w="2126" w:type="dxa"/>
            <w:vAlign w:val="center"/>
          </w:tcPr>
          <w:p>
            <w:pPr>
              <w:pStyle w:val="15"/>
            </w:pPr>
            <w:r>
              <w:t>3037.26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3037.26</w:t>
            </w:r>
          </w:p>
        </w:tc>
        <w:tc>
          <w:tcPr>
            <w:tcW w:w="1134" w:type="dxa"/>
            <w:vAlign w:val="center"/>
          </w:tcPr>
          <w:p>
            <w:pPr>
              <w:pStyle w:val="15"/>
            </w:pPr>
            <w:r>
              <w:t>1971.54</w:t>
            </w:r>
          </w:p>
        </w:tc>
        <w:tc>
          <w:tcPr>
            <w:tcW w:w="1134" w:type="dxa"/>
            <w:vAlign w:val="center"/>
          </w:tcPr>
          <w:p>
            <w:pPr>
              <w:pStyle w:val="15"/>
            </w:pPr>
            <w:r>
              <w:t>1971.54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1065.72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154.73</w:t>
            </w:r>
          </w:p>
        </w:tc>
        <w:tc>
          <w:tcPr>
            <w:tcW w:w="1134" w:type="dxa"/>
            <w:vAlign w:val="center"/>
          </w:tcPr>
          <w:p>
            <w:pPr>
              <w:pStyle w:val="11"/>
            </w:pPr>
            <w:r>
              <w:t>154.60</w:t>
            </w:r>
          </w:p>
        </w:tc>
        <w:tc>
          <w:tcPr>
            <w:tcW w:w="1134" w:type="dxa"/>
            <w:vAlign w:val="center"/>
          </w:tcPr>
          <w:p>
            <w:pPr>
              <w:pStyle w:val="11"/>
            </w:pPr>
            <w:r>
              <w:t>154.60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152.64</w:t>
            </w:r>
          </w:p>
        </w:tc>
        <w:tc>
          <w:tcPr>
            <w:tcW w:w="1134" w:type="dxa"/>
            <w:vAlign w:val="center"/>
          </w:tcPr>
          <w:p>
            <w:pPr>
              <w:pStyle w:val="11"/>
            </w:pPr>
            <w:r>
              <w:t>152.64</w:t>
            </w:r>
          </w:p>
        </w:tc>
        <w:tc>
          <w:tcPr>
            <w:tcW w:w="1134" w:type="dxa"/>
            <w:vAlign w:val="center"/>
          </w:tcPr>
          <w:p>
            <w:pPr>
              <w:pStyle w:val="11"/>
            </w:pPr>
            <w:r>
              <w:t>152.64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38.41</w:t>
            </w:r>
          </w:p>
        </w:tc>
        <w:tc>
          <w:tcPr>
            <w:tcW w:w="1134" w:type="dxa"/>
            <w:vAlign w:val="center"/>
          </w:tcPr>
          <w:p>
            <w:pPr>
              <w:pStyle w:val="11"/>
            </w:pPr>
            <w:r>
              <w:t>38.41</w:t>
            </w:r>
          </w:p>
        </w:tc>
        <w:tc>
          <w:tcPr>
            <w:tcW w:w="1134" w:type="dxa"/>
            <w:vAlign w:val="center"/>
          </w:tcPr>
          <w:p>
            <w:pPr>
              <w:pStyle w:val="11"/>
            </w:pPr>
            <w:r>
              <w:t>38.41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91.35</w:t>
            </w:r>
          </w:p>
        </w:tc>
        <w:tc>
          <w:tcPr>
            <w:tcW w:w="1134" w:type="dxa"/>
            <w:vAlign w:val="center"/>
          </w:tcPr>
          <w:p>
            <w:pPr>
              <w:pStyle w:val="11"/>
            </w:pPr>
            <w:r>
              <w:t>91.35</w:t>
            </w:r>
          </w:p>
        </w:tc>
        <w:tc>
          <w:tcPr>
            <w:tcW w:w="1134" w:type="dxa"/>
            <w:vAlign w:val="center"/>
          </w:tcPr>
          <w:p>
            <w:pPr>
              <w:pStyle w:val="11"/>
            </w:pPr>
            <w:r>
              <w:t>91.35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22.87</w:t>
            </w:r>
          </w:p>
        </w:tc>
        <w:tc>
          <w:tcPr>
            <w:tcW w:w="1134" w:type="dxa"/>
            <w:vAlign w:val="center"/>
          </w:tcPr>
          <w:p>
            <w:pPr>
              <w:pStyle w:val="11"/>
            </w:pPr>
            <w:r>
              <w:t>22.87</w:t>
            </w:r>
          </w:p>
        </w:tc>
        <w:tc>
          <w:tcPr>
            <w:tcW w:w="1134" w:type="dxa"/>
            <w:vAlign w:val="center"/>
          </w:tcPr>
          <w:p>
            <w:pPr>
              <w:pStyle w:val="11"/>
            </w:pPr>
            <w:r>
              <w:t>22.87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2.10</w:t>
            </w:r>
          </w:p>
        </w:tc>
        <w:tc>
          <w:tcPr>
            <w:tcW w:w="1134" w:type="dxa"/>
            <w:vAlign w:val="center"/>
          </w:tcPr>
          <w:p>
            <w:pPr>
              <w:pStyle w:val="11"/>
            </w:pPr>
            <w:r>
              <w:t>1.96</w:t>
            </w:r>
          </w:p>
        </w:tc>
        <w:tc>
          <w:tcPr>
            <w:tcW w:w="1134" w:type="dxa"/>
            <w:vAlign w:val="center"/>
          </w:tcPr>
          <w:p>
            <w:pPr>
              <w:pStyle w:val="11"/>
            </w:pPr>
            <w:r>
              <w:t>1.96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2.10</w:t>
            </w:r>
          </w:p>
        </w:tc>
        <w:tc>
          <w:tcPr>
            <w:tcW w:w="1134" w:type="dxa"/>
            <w:vAlign w:val="center"/>
          </w:tcPr>
          <w:p>
            <w:pPr>
              <w:pStyle w:val="11"/>
            </w:pPr>
            <w:r>
              <w:t>1.96</w:t>
            </w:r>
          </w:p>
        </w:tc>
        <w:tc>
          <w:tcPr>
            <w:tcW w:w="1134" w:type="dxa"/>
            <w:vAlign w:val="center"/>
          </w:tcPr>
          <w:p>
            <w:pPr>
              <w:pStyle w:val="11"/>
            </w:pPr>
            <w:r>
              <w:t>1.96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50.25</w:t>
            </w:r>
          </w:p>
        </w:tc>
        <w:tc>
          <w:tcPr>
            <w:tcW w:w="1134" w:type="dxa"/>
            <w:vAlign w:val="center"/>
          </w:tcPr>
          <w:p>
            <w:pPr>
              <w:pStyle w:val="11"/>
            </w:pPr>
            <w:r>
              <w:t>49.64</w:t>
            </w:r>
          </w:p>
        </w:tc>
        <w:tc>
          <w:tcPr>
            <w:tcW w:w="1134" w:type="dxa"/>
            <w:vAlign w:val="center"/>
          </w:tcPr>
          <w:p>
            <w:pPr>
              <w:pStyle w:val="11"/>
            </w:pPr>
            <w:r>
              <w:t>49.64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50.25</w:t>
            </w:r>
          </w:p>
        </w:tc>
        <w:tc>
          <w:tcPr>
            <w:tcW w:w="1134" w:type="dxa"/>
            <w:vAlign w:val="center"/>
          </w:tcPr>
          <w:p>
            <w:pPr>
              <w:pStyle w:val="11"/>
            </w:pPr>
            <w:r>
              <w:t>49.64</w:t>
            </w:r>
          </w:p>
        </w:tc>
        <w:tc>
          <w:tcPr>
            <w:tcW w:w="1134" w:type="dxa"/>
            <w:vAlign w:val="center"/>
          </w:tcPr>
          <w:p>
            <w:pPr>
              <w:pStyle w:val="11"/>
            </w:pPr>
            <w:r>
              <w:t>49.64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13.41</w:t>
            </w:r>
          </w:p>
        </w:tc>
        <w:tc>
          <w:tcPr>
            <w:tcW w:w="1134" w:type="dxa"/>
            <w:vAlign w:val="center"/>
          </w:tcPr>
          <w:p>
            <w:pPr>
              <w:pStyle w:val="11"/>
            </w:pPr>
            <w:r>
              <w:t>12.80</w:t>
            </w:r>
          </w:p>
        </w:tc>
        <w:tc>
          <w:tcPr>
            <w:tcW w:w="1134" w:type="dxa"/>
            <w:vAlign w:val="center"/>
          </w:tcPr>
          <w:p>
            <w:pPr>
              <w:pStyle w:val="11"/>
            </w:pPr>
            <w:r>
              <w:t>12.80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36.84</w:t>
            </w:r>
          </w:p>
        </w:tc>
        <w:tc>
          <w:tcPr>
            <w:tcW w:w="1134" w:type="dxa"/>
            <w:vAlign w:val="center"/>
          </w:tcPr>
          <w:p>
            <w:pPr>
              <w:pStyle w:val="11"/>
            </w:pPr>
            <w:r>
              <w:t>36.84</w:t>
            </w:r>
          </w:p>
        </w:tc>
        <w:tc>
          <w:tcPr>
            <w:tcW w:w="1134" w:type="dxa"/>
            <w:vAlign w:val="center"/>
          </w:tcPr>
          <w:p>
            <w:pPr>
              <w:pStyle w:val="11"/>
            </w:pPr>
            <w:r>
              <w:t>36.84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116.00</w:t>
            </w:r>
          </w:p>
        </w:tc>
        <w:tc>
          <w:tcPr>
            <w:tcW w:w="1134" w:type="dxa"/>
            <w:vAlign w:val="center"/>
          </w:tcPr>
          <w:p>
            <w:pPr>
              <w:pStyle w:val="11"/>
            </w:pPr>
            <w:r>
              <w:t>116.00</w:t>
            </w:r>
          </w:p>
        </w:tc>
        <w:tc>
          <w:tcPr>
            <w:tcW w:w="1134" w:type="dxa"/>
            <w:vAlign w:val="center"/>
          </w:tcPr>
          <w:p>
            <w:pPr>
              <w:pStyle w:val="11"/>
            </w:pPr>
            <w:r>
              <w:t>116.00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116.00</w:t>
            </w:r>
          </w:p>
        </w:tc>
        <w:tc>
          <w:tcPr>
            <w:tcW w:w="1134" w:type="dxa"/>
            <w:vAlign w:val="center"/>
          </w:tcPr>
          <w:p>
            <w:pPr>
              <w:pStyle w:val="11"/>
            </w:pPr>
            <w:r>
              <w:t>116.00</w:t>
            </w:r>
          </w:p>
        </w:tc>
        <w:tc>
          <w:tcPr>
            <w:tcW w:w="1134" w:type="dxa"/>
            <w:vAlign w:val="center"/>
          </w:tcPr>
          <w:p>
            <w:pPr>
              <w:pStyle w:val="11"/>
            </w:pPr>
            <w:r>
              <w:t>116.00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2120816</w:t>
            </w:r>
          </w:p>
        </w:tc>
        <w:tc>
          <w:tcPr>
            <w:tcW w:w="1559" w:type="dxa"/>
            <w:vAlign w:val="center"/>
          </w:tcPr>
          <w:p>
            <w:pPr>
              <w:pStyle w:val="12"/>
            </w:pPr>
            <w:r>
              <w:t>农业农村生态环境支出</w:t>
            </w:r>
          </w:p>
        </w:tc>
        <w:tc>
          <w:tcPr>
            <w:tcW w:w="1134" w:type="dxa"/>
            <w:vAlign w:val="center"/>
          </w:tcPr>
          <w:p>
            <w:pPr>
              <w:pStyle w:val="11"/>
            </w:pPr>
            <w:r>
              <w:t>116.00</w:t>
            </w:r>
          </w:p>
        </w:tc>
        <w:tc>
          <w:tcPr>
            <w:tcW w:w="1134" w:type="dxa"/>
            <w:vAlign w:val="center"/>
          </w:tcPr>
          <w:p>
            <w:pPr>
              <w:pStyle w:val="11"/>
            </w:pPr>
            <w:r>
              <w:t>116.00</w:t>
            </w:r>
          </w:p>
        </w:tc>
        <w:tc>
          <w:tcPr>
            <w:tcW w:w="1134" w:type="dxa"/>
            <w:vAlign w:val="center"/>
          </w:tcPr>
          <w:p>
            <w:pPr>
              <w:pStyle w:val="11"/>
            </w:pPr>
            <w:r>
              <w:t>116.00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54.09</w:t>
            </w:r>
          </w:p>
        </w:tc>
        <w:tc>
          <w:tcPr>
            <w:tcW w:w="1134" w:type="dxa"/>
            <w:vAlign w:val="center"/>
          </w:tcPr>
          <w:p>
            <w:pPr>
              <w:pStyle w:val="11"/>
            </w:pPr>
            <w:r>
              <w:t>47.20</w:t>
            </w:r>
          </w:p>
        </w:tc>
        <w:tc>
          <w:tcPr>
            <w:tcW w:w="1134" w:type="dxa"/>
            <w:vAlign w:val="center"/>
          </w:tcPr>
          <w:p>
            <w:pPr>
              <w:pStyle w:val="11"/>
            </w:pPr>
            <w:r>
              <w:t>47.20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54.09</w:t>
            </w:r>
          </w:p>
        </w:tc>
        <w:tc>
          <w:tcPr>
            <w:tcW w:w="1134" w:type="dxa"/>
            <w:vAlign w:val="center"/>
          </w:tcPr>
          <w:p>
            <w:pPr>
              <w:pStyle w:val="11"/>
            </w:pPr>
            <w:r>
              <w:t>47.20</w:t>
            </w:r>
          </w:p>
        </w:tc>
        <w:tc>
          <w:tcPr>
            <w:tcW w:w="1134" w:type="dxa"/>
            <w:vAlign w:val="center"/>
          </w:tcPr>
          <w:p>
            <w:pPr>
              <w:pStyle w:val="11"/>
            </w:pPr>
            <w:r>
              <w:t>47.20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54.09</w:t>
            </w:r>
          </w:p>
        </w:tc>
        <w:tc>
          <w:tcPr>
            <w:tcW w:w="1134" w:type="dxa"/>
            <w:vAlign w:val="center"/>
          </w:tcPr>
          <w:p>
            <w:pPr>
              <w:pStyle w:val="11"/>
            </w:pPr>
            <w:r>
              <w:t>47.20</w:t>
            </w:r>
          </w:p>
        </w:tc>
        <w:tc>
          <w:tcPr>
            <w:tcW w:w="1134" w:type="dxa"/>
            <w:vAlign w:val="center"/>
          </w:tcPr>
          <w:p>
            <w:pPr>
              <w:pStyle w:val="11"/>
            </w:pPr>
            <w:r>
              <w:t>47.20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2662.18</w:t>
            </w:r>
          </w:p>
        </w:tc>
        <w:tc>
          <w:tcPr>
            <w:tcW w:w="1134" w:type="dxa"/>
            <w:vAlign w:val="center"/>
          </w:tcPr>
          <w:p>
            <w:pPr>
              <w:pStyle w:val="11"/>
            </w:pPr>
            <w:r>
              <w:t>1604.10</w:t>
            </w:r>
          </w:p>
        </w:tc>
        <w:tc>
          <w:tcPr>
            <w:tcW w:w="1134" w:type="dxa"/>
            <w:vAlign w:val="center"/>
          </w:tcPr>
          <w:p>
            <w:pPr>
              <w:pStyle w:val="11"/>
            </w:pPr>
            <w:r>
              <w:t>1604.10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1058.08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1969.60</w:t>
            </w:r>
          </w:p>
        </w:tc>
        <w:tc>
          <w:tcPr>
            <w:tcW w:w="1134" w:type="dxa"/>
            <w:vAlign w:val="center"/>
          </w:tcPr>
          <w:p>
            <w:pPr>
              <w:pStyle w:val="11"/>
            </w:pPr>
            <w:r>
              <w:t>1461.91</w:t>
            </w:r>
          </w:p>
        </w:tc>
        <w:tc>
          <w:tcPr>
            <w:tcW w:w="1134" w:type="dxa"/>
            <w:vAlign w:val="center"/>
          </w:tcPr>
          <w:p>
            <w:pPr>
              <w:pStyle w:val="11"/>
            </w:pPr>
            <w:r>
              <w:t>1461.91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2240101</w:t>
            </w:r>
          </w:p>
        </w:tc>
        <w:tc>
          <w:tcPr>
            <w:tcW w:w="1559" w:type="dxa"/>
            <w:vAlign w:val="center"/>
          </w:tcPr>
          <w:p>
            <w:pPr>
              <w:pStyle w:val="12"/>
            </w:pPr>
            <w:r>
              <w:t>行政运行</w:t>
            </w:r>
          </w:p>
        </w:tc>
        <w:tc>
          <w:tcPr>
            <w:tcW w:w="1134" w:type="dxa"/>
            <w:vAlign w:val="center"/>
          </w:tcPr>
          <w:p>
            <w:pPr>
              <w:pStyle w:val="11"/>
            </w:pPr>
            <w:r>
              <w:t>1159.13</w:t>
            </w:r>
          </w:p>
        </w:tc>
        <w:tc>
          <w:tcPr>
            <w:tcW w:w="1134" w:type="dxa"/>
            <w:vAlign w:val="center"/>
          </w:tcPr>
          <w:p>
            <w:pPr>
              <w:pStyle w:val="11"/>
            </w:pPr>
            <w:r>
              <w:t>1027.39</w:t>
            </w:r>
          </w:p>
        </w:tc>
        <w:tc>
          <w:tcPr>
            <w:tcW w:w="1134" w:type="dxa"/>
            <w:vAlign w:val="center"/>
          </w:tcPr>
          <w:p>
            <w:pPr>
              <w:pStyle w:val="11"/>
            </w:pPr>
            <w:r>
              <w:t>1027.39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37.60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2240106</w:t>
            </w:r>
          </w:p>
        </w:tc>
        <w:tc>
          <w:tcPr>
            <w:tcW w:w="1559" w:type="dxa"/>
            <w:vAlign w:val="center"/>
          </w:tcPr>
          <w:p>
            <w:pPr>
              <w:pStyle w:val="12"/>
            </w:pPr>
            <w:r>
              <w:t>安全监管</w:t>
            </w:r>
          </w:p>
        </w:tc>
        <w:tc>
          <w:tcPr>
            <w:tcW w:w="1134" w:type="dxa"/>
            <w:vAlign w:val="center"/>
          </w:tcPr>
          <w:p>
            <w:pPr>
              <w:pStyle w:val="11"/>
            </w:pPr>
            <w:r>
              <w:t>4.90</w:t>
            </w:r>
          </w:p>
        </w:tc>
        <w:tc>
          <w:tcPr>
            <w:tcW w:w="1134" w:type="dxa"/>
            <w:vAlign w:val="center"/>
          </w:tcPr>
          <w:p>
            <w:pPr>
              <w:pStyle w:val="11"/>
            </w:pPr>
            <w:r>
              <w:t>2.40</w:t>
            </w:r>
          </w:p>
        </w:tc>
        <w:tc>
          <w:tcPr>
            <w:tcW w:w="1134" w:type="dxa"/>
            <w:vAlign w:val="center"/>
          </w:tcPr>
          <w:p>
            <w:pPr>
              <w:pStyle w:val="11"/>
            </w:pPr>
            <w:r>
              <w:t>2.40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2240108</w:t>
            </w:r>
          </w:p>
        </w:tc>
        <w:tc>
          <w:tcPr>
            <w:tcW w:w="1559" w:type="dxa"/>
            <w:vAlign w:val="center"/>
          </w:tcPr>
          <w:p>
            <w:pPr>
              <w:pStyle w:val="12"/>
            </w:pPr>
            <w:r>
              <w:t>应急救援</w:t>
            </w:r>
          </w:p>
        </w:tc>
        <w:tc>
          <w:tcPr>
            <w:tcW w:w="1134" w:type="dxa"/>
            <w:vAlign w:val="center"/>
          </w:tcPr>
          <w:p>
            <w:pPr>
              <w:pStyle w:val="11"/>
            </w:pPr>
            <w:r>
              <w:t>99.80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2240150</w:t>
            </w:r>
          </w:p>
        </w:tc>
        <w:tc>
          <w:tcPr>
            <w:tcW w:w="1559" w:type="dxa"/>
            <w:vAlign w:val="center"/>
          </w:tcPr>
          <w:p>
            <w:pPr>
              <w:pStyle w:val="12"/>
            </w:pPr>
            <w:r>
              <w:t>事业运行</w:t>
            </w:r>
          </w:p>
        </w:tc>
        <w:tc>
          <w:tcPr>
            <w:tcW w:w="1134" w:type="dxa"/>
            <w:vAlign w:val="center"/>
          </w:tcPr>
          <w:p>
            <w:pPr>
              <w:pStyle w:val="11"/>
            </w:pPr>
            <w:r>
              <w:t>668.17</w:t>
            </w:r>
          </w:p>
        </w:tc>
        <w:tc>
          <w:tcPr>
            <w:tcW w:w="1134" w:type="dxa"/>
            <w:vAlign w:val="center"/>
          </w:tcPr>
          <w:p>
            <w:pPr>
              <w:pStyle w:val="11"/>
            </w:pPr>
            <w:r>
              <w:t>428.12</w:t>
            </w:r>
          </w:p>
        </w:tc>
        <w:tc>
          <w:tcPr>
            <w:tcW w:w="1134" w:type="dxa"/>
            <w:vAlign w:val="center"/>
          </w:tcPr>
          <w:p>
            <w:pPr>
              <w:pStyle w:val="11"/>
            </w:pPr>
            <w:r>
              <w:t>428.12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22402</w:t>
            </w:r>
          </w:p>
        </w:tc>
        <w:tc>
          <w:tcPr>
            <w:tcW w:w="1559" w:type="dxa"/>
            <w:vAlign w:val="center"/>
          </w:tcPr>
          <w:p>
            <w:pPr>
              <w:pStyle w:val="12"/>
            </w:pPr>
            <w:r>
              <w:t>消防救援事务</w:t>
            </w:r>
          </w:p>
        </w:tc>
        <w:tc>
          <w:tcPr>
            <w:tcW w:w="1134" w:type="dxa"/>
            <w:vAlign w:val="center"/>
          </w:tcPr>
          <w:p>
            <w:pPr>
              <w:pStyle w:val="11"/>
            </w:pPr>
            <w:r>
              <w:t>153.02</w:t>
            </w:r>
          </w:p>
        </w:tc>
        <w:tc>
          <w:tcPr>
            <w:tcW w:w="1134" w:type="dxa"/>
            <w:vAlign w:val="center"/>
          </w:tcPr>
          <w:p>
            <w:pPr>
              <w:pStyle w:val="11"/>
            </w:pPr>
            <w:r>
              <w:t>68.00</w:t>
            </w:r>
          </w:p>
        </w:tc>
        <w:tc>
          <w:tcPr>
            <w:tcW w:w="1134" w:type="dxa"/>
            <w:vAlign w:val="center"/>
          </w:tcPr>
          <w:p>
            <w:pPr>
              <w:pStyle w:val="11"/>
            </w:pPr>
            <w:r>
              <w:t>68.00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2240204</w:t>
            </w:r>
          </w:p>
        </w:tc>
        <w:tc>
          <w:tcPr>
            <w:tcW w:w="1559" w:type="dxa"/>
            <w:vAlign w:val="center"/>
          </w:tcPr>
          <w:p>
            <w:pPr>
              <w:pStyle w:val="12"/>
            </w:pPr>
            <w:r>
              <w:t>消防应急救援</w:t>
            </w:r>
          </w:p>
        </w:tc>
        <w:tc>
          <w:tcPr>
            <w:tcW w:w="1134" w:type="dxa"/>
            <w:vAlign w:val="center"/>
          </w:tcPr>
          <w:p>
            <w:pPr>
              <w:pStyle w:val="11"/>
            </w:pPr>
            <w:r>
              <w:t>153.02</w:t>
            </w:r>
          </w:p>
        </w:tc>
        <w:tc>
          <w:tcPr>
            <w:tcW w:w="1134" w:type="dxa"/>
            <w:vAlign w:val="center"/>
          </w:tcPr>
          <w:p>
            <w:pPr>
              <w:pStyle w:val="11"/>
            </w:pPr>
            <w:r>
              <w:t>68.00</w:t>
            </w:r>
          </w:p>
        </w:tc>
        <w:tc>
          <w:tcPr>
            <w:tcW w:w="1134" w:type="dxa"/>
            <w:vAlign w:val="center"/>
          </w:tcPr>
          <w:p>
            <w:pPr>
              <w:pStyle w:val="11"/>
            </w:pPr>
            <w:r>
              <w:t>68.00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22404</w:t>
            </w:r>
          </w:p>
        </w:tc>
        <w:tc>
          <w:tcPr>
            <w:tcW w:w="1559" w:type="dxa"/>
            <w:vAlign w:val="center"/>
          </w:tcPr>
          <w:p>
            <w:pPr>
              <w:pStyle w:val="12"/>
            </w:pPr>
            <w:r>
              <w:t>矿山安全</w:t>
            </w:r>
          </w:p>
        </w:tc>
        <w:tc>
          <w:tcPr>
            <w:tcW w:w="1134" w:type="dxa"/>
            <w:vAlign w:val="center"/>
          </w:tcPr>
          <w:p>
            <w:pPr>
              <w:pStyle w:val="11"/>
            </w:pPr>
            <w:r>
              <w:t>212.27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212.27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2240404</w:t>
            </w:r>
          </w:p>
        </w:tc>
        <w:tc>
          <w:tcPr>
            <w:tcW w:w="1559" w:type="dxa"/>
            <w:vAlign w:val="center"/>
          </w:tcPr>
          <w:p>
            <w:pPr>
              <w:pStyle w:val="12"/>
            </w:pPr>
            <w:r>
              <w:t>矿山安全监察事务</w:t>
            </w:r>
          </w:p>
        </w:tc>
        <w:tc>
          <w:tcPr>
            <w:tcW w:w="1134" w:type="dxa"/>
            <w:vAlign w:val="center"/>
          </w:tcPr>
          <w:p>
            <w:pPr>
              <w:pStyle w:val="11"/>
            </w:pPr>
            <w:r>
              <w:t>212.27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212.27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22407</w:t>
            </w:r>
          </w:p>
        </w:tc>
        <w:tc>
          <w:tcPr>
            <w:tcW w:w="1559" w:type="dxa"/>
            <w:vAlign w:val="center"/>
          </w:tcPr>
          <w:p>
            <w:pPr>
              <w:pStyle w:val="12"/>
            </w:pPr>
            <w:r>
              <w:t>自然灾害救灾及恢复重建支出</w:t>
            </w:r>
          </w:p>
        </w:tc>
        <w:tc>
          <w:tcPr>
            <w:tcW w:w="1134" w:type="dxa"/>
            <w:vAlign w:val="center"/>
          </w:tcPr>
          <w:p>
            <w:pPr>
              <w:pStyle w:val="11"/>
            </w:pPr>
            <w:r>
              <w:t>327.29</w:t>
            </w:r>
          </w:p>
        </w:tc>
        <w:tc>
          <w:tcPr>
            <w:tcW w:w="1134" w:type="dxa"/>
            <w:vAlign w:val="center"/>
          </w:tcPr>
          <w:p>
            <w:pPr>
              <w:pStyle w:val="11"/>
            </w:pPr>
            <w:r>
              <w:t>74.19</w:t>
            </w:r>
          </w:p>
        </w:tc>
        <w:tc>
          <w:tcPr>
            <w:tcW w:w="1134" w:type="dxa"/>
            <w:vAlign w:val="center"/>
          </w:tcPr>
          <w:p>
            <w:pPr>
              <w:pStyle w:val="11"/>
            </w:pPr>
            <w:r>
              <w:t>74.19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2240703</w:t>
            </w:r>
          </w:p>
        </w:tc>
        <w:tc>
          <w:tcPr>
            <w:tcW w:w="1559" w:type="dxa"/>
            <w:vAlign w:val="center"/>
          </w:tcPr>
          <w:p>
            <w:pPr>
              <w:pStyle w:val="12"/>
            </w:pPr>
            <w:r>
              <w:t>自然灾害救灾补助</w:t>
            </w:r>
          </w:p>
        </w:tc>
        <w:tc>
          <w:tcPr>
            <w:tcW w:w="1134" w:type="dxa"/>
            <w:vAlign w:val="center"/>
          </w:tcPr>
          <w:p>
            <w:pPr>
              <w:pStyle w:val="11"/>
            </w:pPr>
            <w:r>
              <w:t>327.29</w:t>
            </w:r>
          </w:p>
        </w:tc>
        <w:tc>
          <w:tcPr>
            <w:tcW w:w="1134" w:type="dxa"/>
            <w:vAlign w:val="center"/>
          </w:tcPr>
          <w:p>
            <w:pPr>
              <w:pStyle w:val="11"/>
            </w:pPr>
            <w:r>
              <w:t>74.19</w:t>
            </w:r>
          </w:p>
        </w:tc>
        <w:tc>
          <w:tcPr>
            <w:tcW w:w="1134" w:type="dxa"/>
            <w:vAlign w:val="center"/>
          </w:tcPr>
          <w:p>
            <w:pPr>
              <w:pStyle w:val="11"/>
            </w:pPr>
            <w:r>
              <w:t>74.19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253.10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3037.26</w:t>
            </w:r>
          </w:p>
        </w:tc>
        <w:tc>
          <w:tcPr>
            <w:tcW w:w="1361" w:type="dxa"/>
            <w:vAlign w:val="center"/>
          </w:tcPr>
          <w:p>
            <w:pPr>
              <w:pStyle w:val="15"/>
            </w:pPr>
            <w:r>
              <w:t>2086.37</w:t>
            </w:r>
          </w:p>
        </w:tc>
        <w:tc>
          <w:tcPr>
            <w:tcW w:w="1361" w:type="dxa"/>
            <w:vAlign w:val="center"/>
          </w:tcPr>
          <w:p>
            <w:pPr>
              <w:pStyle w:val="15"/>
            </w:pPr>
            <w:r>
              <w:t>950.88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154.73</w:t>
            </w:r>
          </w:p>
        </w:tc>
        <w:tc>
          <w:tcPr>
            <w:tcW w:w="1361" w:type="dxa"/>
            <w:vAlign w:val="center"/>
          </w:tcPr>
          <w:p>
            <w:pPr>
              <w:pStyle w:val="11"/>
            </w:pPr>
            <w:r>
              <w:t>154.73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152.64</w:t>
            </w:r>
          </w:p>
        </w:tc>
        <w:tc>
          <w:tcPr>
            <w:tcW w:w="1361" w:type="dxa"/>
            <w:vAlign w:val="center"/>
          </w:tcPr>
          <w:p>
            <w:pPr>
              <w:pStyle w:val="11"/>
            </w:pPr>
            <w:r>
              <w:t>152.64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38.41</w:t>
            </w:r>
          </w:p>
        </w:tc>
        <w:tc>
          <w:tcPr>
            <w:tcW w:w="1361" w:type="dxa"/>
            <w:vAlign w:val="center"/>
          </w:tcPr>
          <w:p>
            <w:pPr>
              <w:pStyle w:val="11"/>
            </w:pPr>
            <w:r>
              <w:t>38.41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91.35</w:t>
            </w:r>
          </w:p>
        </w:tc>
        <w:tc>
          <w:tcPr>
            <w:tcW w:w="1361" w:type="dxa"/>
            <w:vAlign w:val="center"/>
          </w:tcPr>
          <w:p>
            <w:pPr>
              <w:pStyle w:val="11"/>
            </w:pPr>
            <w:r>
              <w:t>91.35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22.87</w:t>
            </w:r>
          </w:p>
        </w:tc>
        <w:tc>
          <w:tcPr>
            <w:tcW w:w="1361" w:type="dxa"/>
            <w:vAlign w:val="center"/>
          </w:tcPr>
          <w:p>
            <w:pPr>
              <w:pStyle w:val="11"/>
            </w:pPr>
            <w:r>
              <w:t>22.87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2.10</w:t>
            </w:r>
          </w:p>
        </w:tc>
        <w:tc>
          <w:tcPr>
            <w:tcW w:w="1361" w:type="dxa"/>
            <w:vAlign w:val="center"/>
          </w:tcPr>
          <w:p>
            <w:pPr>
              <w:pStyle w:val="11"/>
            </w:pPr>
            <w:r>
              <w:t>2.10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2.10</w:t>
            </w:r>
          </w:p>
        </w:tc>
        <w:tc>
          <w:tcPr>
            <w:tcW w:w="1361" w:type="dxa"/>
            <w:vAlign w:val="center"/>
          </w:tcPr>
          <w:p>
            <w:pPr>
              <w:pStyle w:val="11"/>
            </w:pPr>
            <w:r>
              <w:t>2.10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50.25</w:t>
            </w:r>
          </w:p>
        </w:tc>
        <w:tc>
          <w:tcPr>
            <w:tcW w:w="1361" w:type="dxa"/>
            <w:vAlign w:val="center"/>
          </w:tcPr>
          <w:p>
            <w:pPr>
              <w:pStyle w:val="11"/>
            </w:pPr>
            <w:r>
              <w:t>50.25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50.25</w:t>
            </w:r>
          </w:p>
        </w:tc>
        <w:tc>
          <w:tcPr>
            <w:tcW w:w="1361" w:type="dxa"/>
            <w:vAlign w:val="center"/>
          </w:tcPr>
          <w:p>
            <w:pPr>
              <w:pStyle w:val="11"/>
            </w:pPr>
            <w:r>
              <w:t>50.25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13.41</w:t>
            </w:r>
          </w:p>
        </w:tc>
        <w:tc>
          <w:tcPr>
            <w:tcW w:w="1361" w:type="dxa"/>
            <w:vAlign w:val="center"/>
          </w:tcPr>
          <w:p>
            <w:pPr>
              <w:pStyle w:val="11"/>
            </w:pPr>
            <w:r>
              <w:t>13.41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36.84</w:t>
            </w:r>
          </w:p>
        </w:tc>
        <w:tc>
          <w:tcPr>
            <w:tcW w:w="1361" w:type="dxa"/>
            <w:vAlign w:val="center"/>
          </w:tcPr>
          <w:p>
            <w:pPr>
              <w:pStyle w:val="11"/>
            </w:pPr>
            <w:r>
              <w:t>36.84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116.00</w:t>
            </w:r>
          </w:p>
        </w:tc>
        <w:tc>
          <w:tcPr>
            <w:tcW w:w="1361" w:type="dxa"/>
            <w:vAlign w:val="center"/>
          </w:tcPr>
          <w:p>
            <w:pPr>
              <w:pStyle w:val="11"/>
            </w:pPr>
          </w:p>
        </w:tc>
        <w:tc>
          <w:tcPr>
            <w:tcW w:w="1361" w:type="dxa"/>
            <w:vAlign w:val="center"/>
          </w:tcPr>
          <w:p>
            <w:pPr>
              <w:pStyle w:val="11"/>
            </w:pPr>
            <w:r>
              <w:t>116.00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116.00</w:t>
            </w:r>
          </w:p>
        </w:tc>
        <w:tc>
          <w:tcPr>
            <w:tcW w:w="1361" w:type="dxa"/>
            <w:vAlign w:val="center"/>
          </w:tcPr>
          <w:p>
            <w:pPr>
              <w:pStyle w:val="11"/>
            </w:pPr>
          </w:p>
        </w:tc>
        <w:tc>
          <w:tcPr>
            <w:tcW w:w="1361" w:type="dxa"/>
            <w:vAlign w:val="center"/>
          </w:tcPr>
          <w:p>
            <w:pPr>
              <w:pStyle w:val="11"/>
            </w:pPr>
            <w:r>
              <w:t>116.00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2120816</w:t>
            </w:r>
          </w:p>
        </w:tc>
        <w:tc>
          <w:tcPr>
            <w:tcW w:w="4535" w:type="dxa"/>
            <w:vAlign w:val="center"/>
          </w:tcPr>
          <w:p>
            <w:pPr>
              <w:pStyle w:val="12"/>
            </w:pPr>
            <w:r>
              <w:t>农业农村生态环境支出</w:t>
            </w:r>
          </w:p>
        </w:tc>
        <w:tc>
          <w:tcPr>
            <w:tcW w:w="1361" w:type="dxa"/>
            <w:vAlign w:val="center"/>
          </w:tcPr>
          <w:p>
            <w:pPr>
              <w:pStyle w:val="11"/>
            </w:pPr>
            <w:r>
              <w:t>116.00</w:t>
            </w:r>
          </w:p>
        </w:tc>
        <w:tc>
          <w:tcPr>
            <w:tcW w:w="1361" w:type="dxa"/>
            <w:vAlign w:val="center"/>
          </w:tcPr>
          <w:p>
            <w:pPr>
              <w:pStyle w:val="11"/>
            </w:pPr>
          </w:p>
        </w:tc>
        <w:tc>
          <w:tcPr>
            <w:tcW w:w="1361" w:type="dxa"/>
            <w:vAlign w:val="center"/>
          </w:tcPr>
          <w:p>
            <w:pPr>
              <w:pStyle w:val="11"/>
            </w:pPr>
            <w:r>
              <w:t>116.00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54.09</w:t>
            </w:r>
          </w:p>
        </w:tc>
        <w:tc>
          <w:tcPr>
            <w:tcW w:w="1361" w:type="dxa"/>
            <w:vAlign w:val="center"/>
          </w:tcPr>
          <w:p>
            <w:pPr>
              <w:pStyle w:val="11"/>
            </w:pPr>
            <w:r>
              <w:t>54.09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54.09</w:t>
            </w:r>
          </w:p>
        </w:tc>
        <w:tc>
          <w:tcPr>
            <w:tcW w:w="1361" w:type="dxa"/>
            <w:vAlign w:val="center"/>
          </w:tcPr>
          <w:p>
            <w:pPr>
              <w:pStyle w:val="11"/>
            </w:pPr>
            <w:r>
              <w:t>54.09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54.09</w:t>
            </w:r>
          </w:p>
        </w:tc>
        <w:tc>
          <w:tcPr>
            <w:tcW w:w="1361" w:type="dxa"/>
            <w:vAlign w:val="center"/>
          </w:tcPr>
          <w:p>
            <w:pPr>
              <w:pStyle w:val="11"/>
            </w:pPr>
            <w:r>
              <w:t>54.09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2662.18</w:t>
            </w:r>
          </w:p>
        </w:tc>
        <w:tc>
          <w:tcPr>
            <w:tcW w:w="1361" w:type="dxa"/>
            <w:vAlign w:val="center"/>
          </w:tcPr>
          <w:p>
            <w:pPr>
              <w:pStyle w:val="11"/>
            </w:pPr>
            <w:r>
              <w:t>1827.30</w:t>
            </w:r>
          </w:p>
        </w:tc>
        <w:tc>
          <w:tcPr>
            <w:tcW w:w="1361" w:type="dxa"/>
            <w:vAlign w:val="center"/>
          </w:tcPr>
          <w:p>
            <w:pPr>
              <w:pStyle w:val="11"/>
            </w:pPr>
            <w:r>
              <w:t>834.88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1969.60</w:t>
            </w:r>
          </w:p>
        </w:tc>
        <w:tc>
          <w:tcPr>
            <w:tcW w:w="1361" w:type="dxa"/>
            <w:vAlign w:val="center"/>
          </w:tcPr>
          <w:p>
            <w:pPr>
              <w:pStyle w:val="11"/>
            </w:pPr>
            <w:r>
              <w:t>1827.30</w:t>
            </w:r>
          </w:p>
        </w:tc>
        <w:tc>
          <w:tcPr>
            <w:tcW w:w="1361" w:type="dxa"/>
            <w:vAlign w:val="center"/>
          </w:tcPr>
          <w:p>
            <w:pPr>
              <w:pStyle w:val="11"/>
            </w:pPr>
            <w:r>
              <w:t>142.30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2240101</w:t>
            </w:r>
          </w:p>
        </w:tc>
        <w:tc>
          <w:tcPr>
            <w:tcW w:w="4535" w:type="dxa"/>
            <w:vAlign w:val="center"/>
          </w:tcPr>
          <w:p>
            <w:pPr>
              <w:pStyle w:val="12"/>
            </w:pPr>
            <w:r>
              <w:t>行政运行</w:t>
            </w:r>
          </w:p>
        </w:tc>
        <w:tc>
          <w:tcPr>
            <w:tcW w:w="1361" w:type="dxa"/>
            <w:vAlign w:val="center"/>
          </w:tcPr>
          <w:p>
            <w:pPr>
              <w:pStyle w:val="11"/>
            </w:pPr>
            <w:r>
              <w:t>1159.13</w:t>
            </w:r>
          </w:p>
        </w:tc>
        <w:tc>
          <w:tcPr>
            <w:tcW w:w="1361" w:type="dxa"/>
            <w:vAlign w:val="center"/>
          </w:tcPr>
          <w:p>
            <w:pPr>
              <w:pStyle w:val="11"/>
            </w:pPr>
            <w:r>
              <w:t>1159.13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37.60</w:t>
            </w:r>
          </w:p>
        </w:tc>
        <w:tc>
          <w:tcPr>
            <w:tcW w:w="1361" w:type="dxa"/>
            <w:vAlign w:val="center"/>
          </w:tcPr>
          <w:p>
            <w:pPr>
              <w:pStyle w:val="11"/>
            </w:pPr>
          </w:p>
        </w:tc>
        <w:tc>
          <w:tcPr>
            <w:tcW w:w="1361" w:type="dxa"/>
            <w:vAlign w:val="center"/>
          </w:tcPr>
          <w:p>
            <w:pPr>
              <w:pStyle w:val="11"/>
            </w:pPr>
            <w:r>
              <w:t>37.60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2240106</w:t>
            </w:r>
          </w:p>
        </w:tc>
        <w:tc>
          <w:tcPr>
            <w:tcW w:w="4535" w:type="dxa"/>
            <w:vAlign w:val="center"/>
          </w:tcPr>
          <w:p>
            <w:pPr>
              <w:pStyle w:val="12"/>
            </w:pPr>
            <w:r>
              <w:t>安全监管</w:t>
            </w:r>
          </w:p>
        </w:tc>
        <w:tc>
          <w:tcPr>
            <w:tcW w:w="1361" w:type="dxa"/>
            <w:vAlign w:val="center"/>
          </w:tcPr>
          <w:p>
            <w:pPr>
              <w:pStyle w:val="11"/>
            </w:pPr>
            <w:r>
              <w:t>4.90</w:t>
            </w:r>
          </w:p>
        </w:tc>
        <w:tc>
          <w:tcPr>
            <w:tcW w:w="1361" w:type="dxa"/>
            <w:vAlign w:val="center"/>
          </w:tcPr>
          <w:p>
            <w:pPr>
              <w:pStyle w:val="11"/>
            </w:pPr>
          </w:p>
        </w:tc>
        <w:tc>
          <w:tcPr>
            <w:tcW w:w="1361" w:type="dxa"/>
            <w:vAlign w:val="center"/>
          </w:tcPr>
          <w:p>
            <w:pPr>
              <w:pStyle w:val="11"/>
            </w:pPr>
            <w:r>
              <w:t>4.90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2240108</w:t>
            </w:r>
          </w:p>
        </w:tc>
        <w:tc>
          <w:tcPr>
            <w:tcW w:w="4535" w:type="dxa"/>
            <w:vAlign w:val="center"/>
          </w:tcPr>
          <w:p>
            <w:pPr>
              <w:pStyle w:val="12"/>
            </w:pPr>
            <w:r>
              <w:t>应急救援</w:t>
            </w:r>
          </w:p>
        </w:tc>
        <w:tc>
          <w:tcPr>
            <w:tcW w:w="1361" w:type="dxa"/>
            <w:vAlign w:val="center"/>
          </w:tcPr>
          <w:p>
            <w:pPr>
              <w:pStyle w:val="11"/>
            </w:pPr>
            <w:r>
              <w:t>99.80</w:t>
            </w:r>
          </w:p>
        </w:tc>
        <w:tc>
          <w:tcPr>
            <w:tcW w:w="1361" w:type="dxa"/>
            <w:vAlign w:val="center"/>
          </w:tcPr>
          <w:p>
            <w:pPr>
              <w:pStyle w:val="11"/>
            </w:pPr>
          </w:p>
        </w:tc>
        <w:tc>
          <w:tcPr>
            <w:tcW w:w="1361" w:type="dxa"/>
            <w:vAlign w:val="center"/>
          </w:tcPr>
          <w:p>
            <w:pPr>
              <w:pStyle w:val="11"/>
            </w:pPr>
            <w:r>
              <w:t>99.80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2240150</w:t>
            </w:r>
          </w:p>
        </w:tc>
        <w:tc>
          <w:tcPr>
            <w:tcW w:w="4535" w:type="dxa"/>
            <w:vAlign w:val="center"/>
          </w:tcPr>
          <w:p>
            <w:pPr>
              <w:pStyle w:val="12"/>
            </w:pPr>
            <w:r>
              <w:t>事业运行</w:t>
            </w:r>
          </w:p>
        </w:tc>
        <w:tc>
          <w:tcPr>
            <w:tcW w:w="1361" w:type="dxa"/>
            <w:vAlign w:val="center"/>
          </w:tcPr>
          <w:p>
            <w:pPr>
              <w:pStyle w:val="11"/>
            </w:pPr>
            <w:r>
              <w:t>668.17</w:t>
            </w:r>
          </w:p>
        </w:tc>
        <w:tc>
          <w:tcPr>
            <w:tcW w:w="1361" w:type="dxa"/>
            <w:vAlign w:val="center"/>
          </w:tcPr>
          <w:p>
            <w:pPr>
              <w:pStyle w:val="11"/>
            </w:pPr>
            <w:r>
              <w:t>668.17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22402</w:t>
            </w:r>
          </w:p>
        </w:tc>
        <w:tc>
          <w:tcPr>
            <w:tcW w:w="4535" w:type="dxa"/>
            <w:vAlign w:val="center"/>
          </w:tcPr>
          <w:p>
            <w:pPr>
              <w:pStyle w:val="12"/>
            </w:pPr>
            <w:r>
              <w:t>消防救援事务</w:t>
            </w:r>
          </w:p>
        </w:tc>
        <w:tc>
          <w:tcPr>
            <w:tcW w:w="1361" w:type="dxa"/>
            <w:vAlign w:val="center"/>
          </w:tcPr>
          <w:p>
            <w:pPr>
              <w:pStyle w:val="11"/>
            </w:pPr>
            <w:r>
              <w:t>153.02</w:t>
            </w:r>
          </w:p>
        </w:tc>
        <w:tc>
          <w:tcPr>
            <w:tcW w:w="1361" w:type="dxa"/>
            <w:vAlign w:val="center"/>
          </w:tcPr>
          <w:p>
            <w:pPr>
              <w:pStyle w:val="11"/>
            </w:pPr>
          </w:p>
        </w:tc>
        <w:tc>
          <w:tcPr>
            <w:tcW w:w="1361" w:type="dxa"/>
            <w:vAlign w:val="center"/>
          </w:tcPr>
          <w:p>
            <w:pPr>
              <w:pStyle w:val="11"/>
            </w:pPr>
            <w:r>
              <w:t>153.02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2240204</w:t>
            </w:r>
          </w:p>
        </w:tc>
        <w:tc>
          <w:tcPr>
            <w:tcW w:w="4535" w:type="dxa"/>
            <w:vAlign w:val="center"/>
          </w:tcPr>
          <w:p>
            <w:pPr>
              <w:pStyle w:val="12"/>
            </w:pPr>
            <w:r>
              <w:t>消防应急救援</w:t>
            </w:r>
          </w:p>
        </w:tc>
        <w:tc>
          <w:tcPr>
            <w:tcW w:w="1361" w:type="dxa"/>
            <w:vAlign w:val="center"/>
          </w:tcPr>
          <w:p>
            <w:pPr>
              <w:pStyle w:val="11"/>
            </w:pPr>
            <w:r>
              <w:t>153.02</w:t>
            </w:r>
          </w:p>
        </w:tc>
        <w:tc>
          <w:tcPr>
            <w:tcW w:w="1361" w:type="dxa"/>
            <w:vAlign w:val="center"/>
          </w:tcPr>
          <w:p>
            <w:pPr>
              <w:pStyle w:val="11"/>
            </w:pPr>
          </w:p>
        </w:tc>
        <w:tc>
          <w:tcPr>
            <w:tcW w:w="1361" w:type="dxa"/>
            <w:vAlign w:val="center"/>
          </w:tcPr>
          <w:p>
            <w:pPr>
              <w:pStyle w:val="11"/>
            </w:pPr>
            <w:r>
              <w:t>153.02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22404</w:t>
            </w:r>
          </w:p>
        </w:tc>
        <w:tc>
          <w:tcPr>
            <w:tcW w:w="4535" w:type="dxa"/>
            <w:vAlign w:val="center"/>
          </w:tcPr>
          <w:p>
            <w:pPr>
              <w:pStyle w:val="12"/>
            </w:pPr>
            <w:r>
              <w:t>矿山安全</w:t>
            </w:r>
          </w:p>
        </w:tc>
        <w:tc>
          <w:tcPr>
            <w:tcW w:w="1361" w:type="dxa"/>
            <w:vAlign w:val="center"/>
          </w:tcPr>
          <w:p>
            <w:pPr>
              <w:pStyle w:val="11"/>
            </w:pPr>
            <w:r>
              <w:t>212.27</w:t>
            </w:r>
          </w:p>
        </w:tc>
        <w:tc>
          <w:tcPr>
            <w:tcW w:w="1361" w:type="dxa"/>
            <w:vAlign w:val="center"/>
          </w:tcPr>
          <w:p>
            <w:pPr>
              <w:pStyle w:val="11"/>
            </w:pPr>
          </w:p>
        </w:tc>
        <w:tc>
          <w:tcPr>
            <w:tcW w:w="1361" w:type="dxa"/>
            <w:vAlign w:val="center"/>
          </w:tcPr>
          <w:p>
            <w:pPr>
              <w:pStyle w:val="11"/>
            </w:pPr>
            <w:r>
              <w:t>212.27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2240404</w:t>
            </w:r>
          </w:p>
        </w:tc>
        <w:tc>
          <w:tcPr>
            <w:tcW w:w="4535" w:type="dxa"/>
            <w:vAlign w:val="center"/>
          </w:tcPr>
          <w:p>
            <w:pPr>
              <w:pStyle w:val="12"/>
            </w:pPr>
            <w:r>
              <w:t>矿山安全监察事务</w:t>
            </w:r>
          </w:p>
        </w:tc>
        <w:tc>
          <w:tcPr>
            <w:tcW w:w="1361" w:type="dxa"/>
            <w:vAlign w:val="center"/>
          </w:tcPr>
          <w:p>
            <w:pPr>
              <w:pStyle w:val="11"/>
            </w:pPr>
            <w:r>
              <w:t>212.27</w:t>
            </w:r>
          </w:p>
        </w:tc>
        <w:tc>
          <w:tcPr>
            <w:tcW w:w="1361" w:type="dxa"/>
            <w:vAlign w:val="center"/>
          </w:tcPr>
          <w:p>
            <w:pPr>
              <w:pStyle w:val="11"/>
            </w:pPr>
          </w:p>
        </w:tc>
        <w:tc>
          <w:tcPr>
            <w:tcW w:w="1361" w:type="dxa"/>
            <w:vAlign w:val="center"/>
          </w:tcPr>
          <w:p>
            <w:pPr>
              <w:pStyle w:val="11"/>
            </w:pPr>
            <w:r>
              <w:t>212.27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22407</w:t>
            </w:r>
          </w:p>
        </w:tc>
        <w:tc>
          <w:tcPr>
            <w:tcW w:w="4535" w:type="dxa"/>
            <w:vAlign w:val="center"/>
          </w:tcPr>
          <w:p>
            <w:pPr>
              <w:pStyle w:val="12"/>
            </w:pPr>
            <w:r>
              <w:t>自然灾害救灾及恢复重建支出</w:t>
            </w:r>
          </w:p>
        </w:tc>
        <w:tc>
          <w:tcPr>
            <w:tcW w:w="1361" w:type="dxa"/>
            <w:vAlign w:val="center"/>
          </w:tcPr>
          <w:p>
            <w:pPr>
              <w:pStyle w:val="11"/>
            </w:pPr>
            <w:r>
              <w:t>327.29</w:t>
            </w:r>
          </w:p>
        </w:tc>
        <w:tc>
          <w:tcPr>
            <w:tcW w:w="1361" w:type="dxa"/>
            <w:vAlign w:val="center"/>
          </w:tcPr>
          <w:p>
            <w:pPr>
              <w:pStyle w:val="11"/>
            </w:pPr>
          </w:p>
        </w:tc>
        <w:tc>
          <w:tcPr>
            <w:tcW w:w="1361" w:type="dxa"/>
            <w:vAlign w:val="center"/>
          </w:tcPr>
          <w:p>
            <w:pPr>
              <w:pStyle w:val="11"/>
            </w:pPr>
            <w:r>
              <w:t>327.29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2240703</w:t>
            </w:r>
          </w:p>
        </w:tc>
        <w:tc>
          <w:tcPr>
            <w:tcW w:w="4535" w:type="dxa"/>
            <w:vAlign w:val="center"/>
          </w:tcPr>
          <w:p>
            <w:pPr>
              <w:pStyle w:val="12"/>
            </w:pPr>
            <w:r>
              <w:t>自然灾害救灾补助</w:t>
            </w:r>
          </w:p>
        </w:tc>
        <w:tc>
          <w:tcPr>
            <w:tcW w:w="1361" w:type="dxa"/>
            <w:vAlign w:val="center"/>
          </w:tcPr>
          <w:p>
            <w:pPr>
              <w:pStyle w:val="11"/>
            </w:pPr>
            <w:r>
              <w:t>327.29</w:t>
            </w:r>
          </w:p>
        </w:tc>
        <w:tc>
          <w:tcPr>
            <w:tcW w:w="1361" w:type="dxa"/>
            <w:vAlign w:val="center"/>
          </w:tcPr>
          <w:p>
            <w:pPr>
              <w:pStyle w:val="11"/>
            </w:pPr>
          </w:p>
        </w:tc>
        <w:tc>
          <w:tcPr>
            <w:tcW w:w="1361" w:type="dxa"/>
            <w:vAlign w:val="center"/>
          </w:tcPr>
          <w:p>
            <w:pPr>
              <w:pStyle w:val="11"/>
            </w:pPr>
            <w:r>
              <w:t>327.29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1855.54</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116.00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154.73</w:t>
            </w:r>
          </w:p>
        </w:tc>
        <w:tc>
          <w:tcPr>
            <w:tcW w:w="1474" w:type="dxa"/>
            <w:vAlign w:val="center"/>
          </w:tcPr>
          <w:p>
            <w:pPr>
              <w:pStyle w:val="11"/>
            </w:pPr>
            <w:r>
              <w:t>154.73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50.25</w:t>
            </w:r>
          </w:p>
        </w:tc>
        <w:tc>
          <w:tcPr>
            <w:tcW w:w="1474" w:type="dxa"/>
            <w:vAlign w:val="center"/>
          </w:tcPr>
          <w:p>
            <w:pPr>
              <w:pStyle w:val="11"/>
            </w:pPr>
            <w:r>
              <w:t>50.25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116.00</w:t>
            </w:r>
          </w:p>
        </w:tc>
        <w:tc>
          <w:tcPr>
            <w:tcW w:w="1474" w:type="dxa"/>
            <w:vAlign w:val="center"/>
          </w:tcPr>
          <w:p>
            <w:pPr>
              <w:pStyle w:val="11"/>
            </w:pPr>
          </w:p>
        </w:tc>
        <w:tc>
          <w:tcPr>
            <w:tcW w:w="1474" w:type="dxa"/>
            <w:vAlign w:val="center"/>
          </w:tcPr>
          <w:p>
            <w:pPr>
              <w:pStyle w:val="11"/>
            </w:pPr>
            <w:r>
              <w:t>116.00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54.09</w:t>
            </w:r>
          </w:p>
        </w:tc>
        <w:tc>
          <w:tcPr>
            <w:tcW w:w="1474" w:type="dxa"/>
            <w:vAlign w:val="center"/>
          </w:tcPr>
          <w:p>
            <w:pPr>
              <w:pStyle w:val="11"/>
            </w:pPr>
            <w:r>
              <w:t>54.09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2662.18</w:t>
            </w:r>
          </w:p>
        </w:tc>
        <w:tc>
          <w:tcPr>
            <w:tcW w:w="1474" w:type="dxa"/>
            <w:vAlign w:val="center"/>
          </w:tcPr>
          <w:p>
            <w:pPr>
              <w:pStyle w:val="11"/>
            </w:pPr>
            <w:r>
              <w:t>2662.18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1971.54</w:t>
            </w:r>
          </w:p>
        </w:tc>
        <w:tc>
          <w:tcPr>
            <w:tcW w:w="3402" w:type="dxa"/>
            <w:vAlign w:val="center"/>
          </w:tcPr>
          <w:p>
            <w:pPr>
              <w:pStyle w:val="14"/>
            </w:pPr>
            <w:r>
              <w:t>本年支出合计</w:t>
            </w:r>
          </w:p>
        </w:tc>
        <w:tc>
          <w:tcPr>
            <w:tcW w:w="1474" w:type="dxa"/>
            <w:vAlign w:val="center"/>
          </w:tcPr>
          <w:p>
            <w:pPr>
              <w:pStyle w:val="15"/>
            </w:pPr>
            <w:r>
              <w:t>3037.26</w:t>
            </w:r>
          </w:p>
        </w:tc>
        <w:tc>
          <w:tcPr>
            <w:tcW w:w="1474" w:type="dxa"/>
            <w:vAlign w:val="center"/>
          </w:tcPr>
          <w:p>
            <w:pPr>
              <w:pStyle w:val="15"/>
            </w:pPr>
            <w:r>
              <w:t>2921.26</w:t>
            </w:r>
          </w:p>
        </w:tc>
        <w:tc>
          <w:tcPr>
            <w:tcW w:w="1474" w:type="dxa"/>
            <w:vAlign w:val="center"/>
          </w:tcPr>
          <w:p>
            <w:pPr>
              <w:pStyle w:val="15"/>
            </w:pPr>
            <w:r>
              <w:t>116.00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1065.72</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1065.72</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3037.26</w:t>
            </w:r>
          </w:p>
        </w:tc>
        <w:tc>
          <w:tcPr>
            <w:tcW w:w="3402" w:type="dxa"/>
            <w:vAlign w:val="center"/>
          </w:tcPr>
          <w:p>
            <w:pPr>
              <w:pStyle w:val="14"/>
            </w:pPr>
            <w:r>
              <w:t>支出总计</w:t>
            </w:r>
          </w:p>
        </w:tc>
        <w:tc>
          <w:tcPr>
            <w:tcW w:w="1474" w:type="dxa"/>
            <w:vAlign w:val="center"/>
          </w:tcPr>
          <w:p>
            <w:pPr>
              <w:pStyle w:val="15"/>
            </w:pPr>
            <w:r>
              <w:t>3037.26</w:t>
            </w:r>
          </w:p>
        </w:tc>
        <w:tc>
          <w:tcPr>
            <w:tcW w:w="1474" w:type="dxa"/>
            <w:vAlign w:val="center"/>
          </w:tcPr>
          <w:p>
            <w:pPr>
              <w:pStyle w:val="15"/>
            </w:pPr>
            <w:r>
              <w:t>2921.26</w:t>
            </w:r>
          </w:p>
        </w:tc>
        <w:tc>
          <w:tcPr>
            <w:tcW w:w="1474" w:type="dxa"/>
            <w:vAlign w:val="center"/>
          </w:tcPr>
          <w:p>
            <w:pPr>
              <w:pStyle w:val="15"/>
            </w:pPr>
            <w:r>
              <w:t>116.00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2921.26</w:t>
            </w:r>
          </w:p>
        </w:tc>
        <w:tc>
          <w:tcPr>
            <w:tcW w:w="2551" w:type="dxa"/>
            <w:vAlign w:val="center"/>
          </w:tcPr>
          <w:p>
            <w:pPr>
              <w:pStyle w:val="15"/>
            </w:pPr>
            <w:r>
              <w:t>2086.37</w:t>
            </w:r>
          </w:p>
        </w:tc>
        <w:tc>
          <w:tcPr>
            <w:tcW w:w="2551" w:type="dxa"/>
            <w:vAlign w:val="center"/>
          </w:tcPr>
          <w:p>
            <w:pPr>
              <w:pStyle w:val="15"/>
            </w:pPr>
            <w:r>
              <w:t>834.88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154.73</w:t>
            </w:r>
          </w:p>
        </w:tc>
        <w:tc>
          <w:tcPr>
            <w:tcW w:w="2551" w:type="dxa"/>
            <w:vAlign w:val="center"/>
          </w:tcPr>
          <w:p>
            <w:pPr>
              <w:pStyle w:val="11"/>
            </w:pPr>
            <w:r>
              <w:t>154.73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152.64</w:t>
            </w:r>
          </w:p>
        </w:tc>
        <w:tc>
          <w:tcPr>
            <w:tcW w:w="2551" w:type="dxa"/>
            <w:vAlign w:val="center"/>
          </w:tcPr>
          <w:p>
            <w:pPr>
              <w:pStyle w:val="11"/>
            </w:pPr>
            <w:r>
              <w:t>152.64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38.41</w:t>
            </w:r>
          </w:p>
        </w:tc>
        <w:tc>
          <w:tcPr>
            <w:tcW w:w="2551" w:type="dxa"/>
            <w:vAlign w:val="center"/>
          </w:tcPr>
          <w:p>
            <w:pPr>
              <w:pStyle w:val="11"/>
            </w:pPr>
            <w:r>
              <w:t>38.41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91.35</w:t>
            </w:r>
          </w:p>
        </w:tc>
        <w:tc>
          <w:tcPr>
            <w:tcW w:w="2551" w:type="dxa"/>
            <w:vAlign w:val="center"/>
          </w:tcPr>
          <w:p>
            <w:pPr>
              <w:pStyle w:val="11"/>
            </w:pPr>
            <w:r>
              <w:t>91.35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22.87</w:t>
            </w:r>
          </w:p>
        </w:tc>
        <w:tc>
          <w:tcPr>
            <w:tcW w:w="2551" w:type="dxa"/>
            <w:vAlign w:val="center"/>
          </w:tcPr>
          <w:p>
            <w:pPr>
              <w:pStyle w:val="11"/>
            </w:pPr>
            <w:r>
              <w:t>22.87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2.10</w:t>
            </w:r>
          </w:p>
        </w:tc>
        <w:tc>
          <w:tcPr>
            <w:tcW w:w="2551" w:type="dxa"/>
            <w:vAlign w:val="center"/>
          </w:tcPr>
          <w:p>
            <w:pPr>
              <w:pStyle w:val="11"/>
            </w:pPr>
            <w:r>
              <w:t>2.10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2.10</w:t>
            </w:r>
          </w:p>
        </w:tc>
        <w:tc>
          <w:tcPr>
            <w:tcW w:w="2551" w:type="dxa"/>
            <w:vAlign w:val="center"/>
          </w:tcPr>
          <w:p>
            <w:pPr>
              <w:pStyle w:val="11"/>
            </w:pPr>
            <w:r>
              <w:t>2.10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50.25</w:t>
            </w:r>
          </w:p>
        </w:tc>
        <w:tc>
          <w:tcPr>
            <w:tcW w:w="2551" w:type="dxa"/>
            <w:vAlign w:val="center"/>
          </w:tcPr>
          <w:p>
            <w:pPr>
              <w:pStyle w:val="11"/>
            </w:pPr>
            <w:r>
              <w:t>50.25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50.25</w:t>
            </w:r>
          </w:p>
        </w:tc>
        <w:tc>
          <w:tcPr>
            <w:tcW w:w="2551" w:type="dxa"/>
            <w:vAlign w:val="center"/>
          </w:tcPr>
          <w:p>
            <w:pPr>
              <w:pStyle w:val="11"/>
            </w:pPr>
            <w:r>
              <w:t>50.25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13.41</w:t>
            </w:r>
          </w:p>
        </w:tc>
        <w:tc>
          <w:tcPr>
            <w:tcW w:w="2551" w:type="dxa"/>
            <w:vAlign w:val="center"/>
          </w:tcPr>
          <w:p>
            <w:pPr>
              <w:pStyle w:val="11"/>
            </w:pPr>
            <w:r>
              <w:t>13.41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36.84</w:t>
            </w:r>
          </w:p>
        </w:tc>
        <w:tc>
          <w:tcPr>
            <w:tcW w:w="2551" w:type="dxa"/>
            <w:vAlign w:val="center"/>
          </w:tcPr>
          <w:p>
            <w:pPr>
              <w:pStyle w:val="11"/>
            </w:pPr>
            <w:r>
              <w:t>36.84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54.09</w:t>
            </w:r>
          </w:p>
        </w:tc>
        <w:tc>
          <w:tcPr>
            <w:tcW w:w="2551" w:type="dxa"/>
            <w:vAlign w:val="center"/>
          </w:tcPr>
          <w:p>
            <w:pPr>
              <w:pStyle w:val="11"/>
            </w:pPr>
            <w:r>
              <w:t>54.09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54.09</w:t>
            </w:r>
          </w:p>
        </w:tc>
        <w:tc>
          <w:tcPr>
            <w:tcW w:w="2551" w:type="dxa"/>
            <w:vAlign w:val="center"/>
          </w:tcPr>
          <w:p>
            <w:pPr>
              <w:pStyle w:val="11"/>
            </w:pPr>
            <w:r>
              <w:t>54.09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54.09</w:t>
            </w:r>
          </w:p>
        </w:tc>
        <w:tc>
          <w:tcPr>
            <w:tcW w:w="2551" w:type="dxa"/>
            <w:vAlign w:val="center"/>
          </w:tcPr>
          <w:p>
            <w:pPr>
              <w:pStyle w:val="11"/>
            </w:pPr>
            <w:r>
              <w:t>54.09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2662.18</w:t>
            </w:r>
          </w:p>
        </w:tc>
        <w:tc>
          <w:tcPr>
            <w:tcW w:w="2551" w:type="dxa"/>
            <w:vAlign w:val="center"/>
          </w:tcPr>
          <w:p>
            <w:pPr>
              <w:pStyle w:val="11"/>
            </w:pPr>
            <w:r>
              <w:t>1827.30</w:t>
            </w:r>
          </w:p>
        </w:tc>
        <w:tc>
          <w:tcPr>
            <w:tcW w:w="2551" w:type="dxa"/>
            <w:vAlign w:val="center"/>
          </w:tcPr>
          <w:p>
            <w:pPr>
              <w:pStyle w:val="11"/>
            </w:pPr>
            <w:r>
              <w:t>834.88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1969.60</w:t>
            </w:r>
          </w:p>
        </w:tc>
        <w:tc>
          <w:tcPr>
            <w:tcW w:w="2551" w:type="dxa"/>
            <w:vAlign w:val="center"/>
          </w:tcPr>
          <w:p>
            <w:pPr>
              <w:pStyle w:val="11"/>
            </w:pPr>
            <w:r>
              <w:t>1827.30</w:t>
            </w:r>
          </w:p>
        </w:tc>
        <w:tc>
          <w:tcPr>
            <w:tcW w:w="2551" w:type="dxa"/>
            <w:vAlign w:val="center"/>
          </w:tcPr>
          <w:p>
            <w:pPr>
              <w:pStyle w:val="11"/>
            </w:pPr>
            <w:r>
              <w:t>142.30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2240101</w:t>
            </w:r>
          </w:p>
        </w:tc>
        <w:tc>
          <w:tcPr>
            <w:tcW w:w="4535" w:type="dxa"/>
            <w:vAlign w:val="center"/>
          </w:tcPr>
          <w:p>
            <w:pPr>
              <w:pStyle w:val="12"/>
            </w:pPr>
            <w:r>
              <w:t>行政运行</w:t>
            </w:r>
          </w:p>
        </w:tc>
        <w:tc>
          <w:tcPr>
            <w:tcW w:w="2551" w:type="dxa"/>
            <w:vAlign w:val="center"/>
          </w:tcPr>
          <w:p>
            <w:pPr>
              <w:pStyle w:val="11"/>
            </w:pPr>
            <w:r>
              <w:t>1159.13</w:t>
            </w:r>
          </w:p>
        </w:tc>
        <w:tc>
          <w:tcPr>
            <w:tcW w:w="2551" w:type="dxa"/>
            <w:vAlign w:val="center"/>
          </w:tcPr>
          <w:p>
            <w:pPr>
              <w:pStyle w:val="11"/>
            </w:pPr>
            <w:r>
              <w:t>1159.13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37.60</w:t>
            </w:r>
          </w:p>
        </w:tc>
        <w:tc>
          <w:tcPr>
            <w:tcW w:w="2551" w:type="dxa"/>
            <w:vAlign w:val="center"/>
          </w:tcPr>
          <w:p>
            <w:pPr>
              <w:pStyle w:val="11"/>
            </w:pPr>
          </w:p>
        </w:tc>
        <w:tc>
          <w:tcPr>
            <w:tcW w:w="2551" w:type="dxa"/>
            <w:vAlign w:val="center"/>
          </w:tcPr>
          <w:p>
            <w:pPr>
              <w:pStyle w:val="11"/>
            </w:pPr>
            <w:r>
              <w:t>37.60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2240106</w:t>
            </w:r>
          </w:p>
        </w:tc>
        <w:tc>
          <w:tcPr>
            <w:tcW w:w="4535" w:type="dxa"/>
            <w:vAlign w:val="center"/>
          </w:tcPr>
          <w:p>
            <w:pPr>
              <w:pStyle w:val="12"/>
            </w:pPr>
            <w:r>
              <w:t>安全监管</w:t>
            </w:r>
          </w:p>
        </w:tc>
        <w:tc>
          <w:tcPr>
            <w:tcW w:w="2551" w:type="dxa"/>
            <w:vAlign w:val="center"/>
          </w:tcPr>
          <w:p>
            <w:pPr>
              <w:pStyle w:val="11"/>
            </w:pPr>
            <w:r>
              <w:t>4.90</w:t>
            </w:r>
          </w:p>
        </w:tc>
        <w:tc>
          <w:tcPr>
            <w:tcW w:w="2551" w:type="dxa"/>
            <w:vAlign w:val="center"/>
          </w:tcPr>
          <w:p>
            <w:pPr>
              <w:pStyle w:val="11"/>
            </w:pPr>
          </w:p>
        </w:tc>
        <w:tc>
          <w:tcPr>
            <w:tcW w:w="2551" w:type="dxa"/>
            <w:vAlign w:val="center"/>
          </w:tcPr>
          <w:p>
            <w:pPr>
              <w:pStyle w:val="11"/>
            </w:pPr>
            <w:r>
              <w:t>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2240108</w:t>
            </w:r>
          </w:p>
        </w:tc>
        <w:tc>
          <w:tcPr>
            <w:tcW w:w="4535" w:type="dxa"/>
            <w:vAlign w:val="center"/>
          </w:tcPr>
          <w:p>
            <w:pPr>
              <w:pStyle w:val="12"/>
            </w:pPr>
            <w:r>
              <w:t>应急救援</w:t>
            </w:r>
          </w:p>
        </w:tc>
        <w:tc>
          <w:tcPr>
            <w:tcW w:w="2551" w:type="dxa"/>
            <w:vAlign w:val="center"/>
          </w:tcPr>
          <w:p>
            <w:pPr>
              <w:pStyle w:val="11"/>
            </w:pPr>
            <w:r>
              <w:t>99.80</w:t>
            </w:r>
          </w:p>
        </w:tc>
        <w:tc>
          <w:tcPr>
            <w:tcW w:w="2551" w:type="dxa"/>
            <w:vAlign w:val="center"/>
          </w:tcPr>
          <w:p>
            <w:pPr>
              <w:pStyle w:val="11"/>
            </w:pPr>
          </w:p>
        </w:tc>
        <w:tc>
          <w:tcPr>
            <w:tcW w:w="2551" w:type="dxa"/>
            <w:vAlign w:val="center"/>
          </w:tcPr>
          <w:p>
            <w:pPr>
              <w:pStyle w:val="11"/>
            </w:pPr>
            <w:r>
              <w:t>99.80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2240150</w:t>
            </w:r>
          </w:p>
        </w:tc>
        <w:tc>
          <w:tcPr>
            <w:tcW w:w="4535" w:type="dxa"/>
            <w:vAlign w:val="center"/>
          </w:tcPr>
          <w:p>
            <w:pPr>
              <w:pStyle w:val="12"/>
            </w:pPr>
            <w:r>
              <w:t>事业运行</w:t>
            </w:r>
          </w:p>
        </w:tc>
        <w:tc>
          <w:tcPr>
            <w:tcW w:w="2551" w:type="dxa"/>
            <w:vAlign w:val="center"/>
          </w:tcPr>
          <w:p>
            <w:pPr>
              <w:pStyle w:val="11"/>
            </w:pPr>
            <w:r>
              <w:t>668.17</w:t>
            </w:r>
          </w:p>
        </w:tc>
        <w:tc>
          <w:tcPr>
            <w:tcW w:w="2551" w:type="dxa"/>
            <w:vAlign w:val="center"/>
          </w:tcPr>
          <w:p>
            <w:pPr>
              <w:pStyle w:val="11"/>
            </w:pPr>
            <w:r>
              <w:t>668.17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22402</w:t>
            </w:r>
          </w:p>
        </w:tc>
        <w:tc>
          <w:tcPr>
            <w:tcW w:w="4535" w:type="dxa"/>
            <w:vAlign w:val="center"/>
          </w:tcPr>
          <w:p>
            <w:pPr>
              <w:pStyle w:val="12"/>
            </w:pPr>
            <w:r>
              <w:t>消防救援事务</w:t>
            </w:r>
          </w:p>
        </w:tc>
        <w:tc>
          <w:tcPr>
            <w:tcW w:w="2551" w:type="dxa"/>
            <w:vAlign w:val="center"/>
          </w:tcPr>
          <w:p>
            <w:pPr>
              <w:pStyle w:val="11"/>
            </w:pPr>
            <w:r>
              <w:t>153.02</w:t>
            </w:r>
          </w:p>
        </w:tc>
        <w:tc>
          <w:tcPr>
            <w:tcW w:w="2551" w:type="dxa"/>
            <w:vAlign w:val="center"/>
          </w:tcPr>
          <w:p>
            <w:pPr>
              <w:pStyle w:val="11"/>
            </w:pPr>
          </w:p>
        </w:tc>
        <w:tc>
          <w:tcPr>
            <w:tcW w:w="2551" w:type="dxa"/>
            <w:vAlign w:val="center"/>
          </w:tcPr>
          <w:p>
            <w:pPr>
              <w:pStyle w:val="11"/>
            </w:pPr>
            <w:r>
              <w:t>153.02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2240204</w:t>
            </w:r>
          </w:p>
        </w:tc>
        <w:tc>
          <w:tcPr>
            <w:tcW w:w="4535" w:type="dxa"/>
            <w:vAlign w:val="center"/>
          </w:tcPr>
          <w:p>
            <w:pPr>
              <w:pStyle w:val="12"/>
            </w:pPr>
            <w:r>
              <w:t>消防应急救援</w:t>
            </w:r>
          </w:p>
        </w:tc>
        <w:tc>
          <w:tcPr>
            <w:tcW w:w="2551" w:type="dxa"/>
            <w:vAlign w:val="center"/>
          </w:tcPr>
          <w:p>
            <w:pPr>
              <w:pStyle w:val="11"/>
            </w:pPr>
            <w:r>
              <w:t>153.02</w:t>
            </w:r>
          </w:p>
        </w:tc>
        <w:tc>
          <w:tcPr>
            <w:tcW w:w="2551" w:type="dxa"/>
            <w:vAlign w:val="center"/>
          </w:tcPr>
          <w:p>
            <w:pPr>
              <w:pStyle w:val="11"/>
            </w:pPr>
          </w:p>
        </w:tc>
        <w:tc>
          <w:tcPr>
            <w:tcW w:w="2551" w:type="dxa"/>
            <w:vAlign w:val="center"/>
          </w:tcPr>
          <w:p>
            <w:pPr>
              <w:pStyle w:val="11"/>
            </w:pPr>
            <w:r>
              <w:t>153.02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22404</w:t>
            </w:r>
          </w:p>
        </w:tc>
        <w:tc>
          <w:tcPr>
            <w:tcW w:w="4535" w:type="dxa"/>
            <w:vAlign w:val="center"/>
          </w:tcPr>
          <w:p>
            <w:pPr>
              <w:pStyle w:val="12"/>
            </w:pPr>
            <w:r>
              <w:t>矿山安全</w:t>
            </w:r>
          </w:p>
        </w:tc>
        <w:tc>
          <w:tcPr>
            <w:tcW w:w="2551" w:type="dxa"/>
            <w:vAlign w:val="center"/>
          </w:tcPr>
          <w:p>
            <w:pPr>
              <w:pStyle w:val="11"/>
            </w:pPr>
            <w:r>
              <w:t>212.27</w:t>
            </w:r>
          </w:p>
        </w:tc>
        <w:tc>
          <w:tcPr>
            <w:tcW w:w="2551" w:type="dxa"/>
            <w:vAlign w:val="center"/>
          </w:tcPr>
          <w:p>
            <w:pPr>
              <w:pStyle w:val="11"/>
            </w:pPr>
          </w:p>
        </w:tc>
        <w:tc>
          <w:tcPr>
            <w:tcW w:w="2551" w:type="dxa"/>
            <w:vAlign w:val="center"/>
          </w:tcPr>
          <w:p>
            <w:pPr>
              <w:pStyle w:val="11"/>
            </w:pPr>
            <w:r>
              <w:t>212.27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2240404</w:t>
            </w:r>
          </w:p>
        </w:tc>
        <w:tc>
          <w:tcPr>
            <w:tcW w:w="4535" w:type="dxa"/>
            <w:vAlign w:val="center"/>
          </w:tcPr>
          <w:p>
            <w:pPr>
              <w:pStyle w:val="12"/>
            </w:pPr>
            <w:r>
              <w:t>矿山安全监察事务</w:t>
            </w:r>
          </w:p>
        </w:tc>
        <w:tc>
          <w:tcPr>
            <w:tcW w:w="2551" w:type="dxa"/>
            <w:vAlign w:val="center"/>
          </w:tcPr>
          <w:p>
            <w:pPr>
              <w:pStyle w:val="11"/>
            </w:pPr>
            <w:r>
              <w:t>212.27</w:t>
            </w:r>
          </w:p>
        </w:tc>
        <w:tc>
          <w:tcPr>
            <w:tcW w:w="2551" w:type="dxa"/>
            <w:vAlign w:val="center"/>
          </w:tcPr>
          <w:p>
            <w:pPr>
              <w:pStyle w:val="11"/>
            </w:pPr>
          </w:p>
        </w:tc>
        <w:tc>
          <w:tcPr>
            <w:tcW w:w="2551" w:type="dxa"/>
            <w:vAlign w:val="center"/>
          </w:tcPr>
          <w:p>
            <w:pPr>
              <w:pStyle w:val="11"/>
            </w:pPr>
            <w:r>
              <w:t>212.27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22407</w:t>
            </w:r>
          </w:p>
        </w:tc>
        <w:tc>
          <w:tcPr>
            <w:tcW w:w="4535" w:type="dxa"/>
            <w:vAlign w:val="center"/>
          </w:tcPr>
          <w:p>
            <w:pPr>
              <w:pStyle w:val="12"/>
            </w:pPr>
            <w:r>
              <w:t>自然灾害救灾及恢复重建支出</w:t>
            </w:r>
          </w:p>
        </w:tc>
        <w:tc>
          <w:tcPr>
            <w:tcW w:w="2551" w:type="dxa"/>
            <w:vAlign w:val="center"/>
          </w:tcPr>
          <w:p>
            <w:pPr>
              <w:pStyle w:val="11"/>
            </w:pPr>
            <w:r>
              <w:t>327.29</w:t>
            </w:r>
          </w:p>
        </w:tc>
        <w:tc>
          <w:tcPr>
            <w:tcW w:w="2551" w:type="dxa"/>
            <w:vAlign w:val="center"/>
          </w:tcPr>
          <w:p>
            <w:pPr>
              <w:pStyle w:val="11"/>
            </w:pPr>
          </w:p>
        </w:tc>
        <w:tc>
          <w:tcPr>
            <w:tcW w:w="2551" w:type="dxa"/>
            <w:vAlign w:val="center"/>
          </w:tcPr>
          <w:p>
            <w:pPr>
              <w:pStyle w:val="11"/>
            </w:pPr>
            <w:r>
              <w:t>327.29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2240703</w:t>
            </w:r>
          </w:p>
        </w:tc>
        <w:tc>
          <w:tcPr>
            <w:tcW w:w="4535" w:type="dxa"/>
            <w:vAlign w:val="center"/>
          </w:tcPr>
          <w:p>
            <w:pPr>
              <w:pStyle w:val="12"/>
            </w:pPr>
            <w:r>
              <w:t>自然灾害救灾补助</w:t>
            </w:r>
          </w:p>
        </w:tc>
        <w:tc>
          <w:tcPr>
            <w:tcW w:w="2551" w:type="dxa"/>
            <w:vAlign w:val="center"/>
          </w:tcPr>
          <w:p>
            <w:pPr>
              <w:pStyle w:val="11"/>
            </w:pPr>
            <w:r>
              <w:t>327.29</w:t>
            </w:r>
          </w:p>
        </w:tc>
        <w:tc>
          <w:tcPr>
            <w:tcW w:w="2551" w:type="dxa"/>
            <w:vAlign w:val="center"/>
          </w:tcPr>
          <w:p>
            <w:pPr>
              <w:pStyle w:val="11"/>
            </w:pPr>
          </w:p>
        </w:tc>
        <w:tc>
          <w:tcPr>
            <w:tcW w:w="2551" w:type="dxa"/>
            <w:vAlign w:val="center"/>
          </w:tcPr>
          <w:p>
            <w:pPr>
              <w:pStyle w:val="11"/>
            </w:pPr>
            <w:r>
              <w:t>327.29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2086.37</w:t>
            </w:r>
          </w:p>
        </w:tc>
        <w:tc>
          <w:tcPr>
            <w:tcW w:w="2551" w:type="dxa"/>
            <w:vAlign w:val="center"/>
          </w:tcPr>
          <w:p>
            <w:pPr>
              <w:pStyle w:val="15"/>
            </w:pPr>
            <w:r>
              <w:t>2037.08</w:t>
            </w:r>
          </w:p>
        </w:tc>
        <w:tc>
          <w:tcPr>
            <w:tcW w:w="2551" w:type="dxa"/>
            <w:vAlign w:val="center"/>
          </w:tcPr>
          <w:p>
            <w:pPr>
              <w:pStyle w:val="15"/>
            </w:pPr>
            <w:r>
              <w:t>49.29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1996.57</w:t>
            </w:r>
          </w:p>
        </w:tc>
        <w:tc>
          <w:tcPr>
            <w:tcW w:w="2551" w:type="dxa"/>
            <w:vAlign w:val="center"/>
          </w:tcPr>
          <w:p>
            <w:pPr>
              <w:pStyle w:val="11"/>
            </w:pPr>
            <w:r>
              <w:t>1996.57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568.60</w:t>
            </w:r>
          </w:p>
        </w:tc>
        <w:tc>
          <w:tcPr>
            <w:tcW w:w="2551" w:type="dxa"/>
            <w:vAlign w:val="center"/>
          </w:tcPr>
          <w:p>
            <w:pPr>
              <w:pStyle w:val="11"/>
            </w:pPr>
            <w:r>
              <w:t>568.60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85.63</w:t>
            </w:r>
          </w:p>
        </w:tc>
        <w:tc>
          <w:tcPr>
            <w:tcW w:w="2551" w:type="dxa"/>
            <w:vAlign w:val="center"/>
          </w:tcPr>
          <w:p>
            <w:pPr>
              <w:pStyle w:val="11"/>
            </w:pPr>
            <w:r>
              <w:t>85.63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23.74</w:t>
            </w:r>
          </w:p>
        </w:tc>
        <w:tc>
          <w:tcPr>
            <w:tcW w:w="2551" w:type="dxa"/>
            <w:vAlign w:val="center"/>
          </w:tcPr>
          <w:p>
            <w:pPr>
              <w:pStyle w:val="11"/>
            </w:pPr>
            <w:r>
              <w:t>23.74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162.88</w:t>
            </w:r>
          </w:p>
        </w:tc>
        <w:tc>
          <w:tcPr>
            <w:tcW w:w="2551" w:type="dxa"/>
            <w:vAlign w:val="center"/>
          </w:tcPr>
          <w:p>
            <w:pPr>
              <w:pStyle w:val="11"/>
            </w:pPr>
            <w:r>
              <w:t>162.88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91.35</w:t>
            </w:r>
          </w:p>
        </w:tc>
        <w:tc>
          <w:tcPr>
            <w:tcW w:w="2551" w:type="dxa"/>
            <w:vAlign w:val="center"/>
          </w:tcPr>
          <w:p>
            <w:pPr>
              <w:pStyle w:val="11"/>
            </w:pPr>
            <w:r>
              <w:t>91.35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22.87</w:t>
            </w:r>
          </w:p>
        </w:tc>
        <w:tc>
          <w:tcPr>
            <w:tcW w:w="2551" w:type="dxa"/>
            <w:vAlign w:val="center"/>
          </w:tcPr>
          <w:p>
            <w:pPr>
              <w:pStyle w:val="11"/>
            </w:pPr>
            <w:r>
              <w:t>22.87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50.25</w:t>
            </w:r>
          </w:p>
        </w:tc>
        <w:tc>
          <w:tcPr>
            <w:tcW w:w="2551" w:type="dxa"/>
            <w:vAlign w:val="center"/>
          </w:tcPr>
          <w:p>
            <w:pPr>
              <w:pStyle w:val="11"/>
            </w:pPr>
            <w:r>
              <w:t>50.25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3.43</w:t>
            </w:r>
          </w:p>
        </w:tc>
        <w:tc>
          <w:tcPr>
            <w:tcW w:w="2551" w:type="dxa"/>
            <w:vAlign w:val="center"/>
          </w:tcPr>
          <w:p>
            <w:pPr>
              <w:pStyle w:val="11"/>
            </w:pPr>
            <w:r>
              <w:t>3.43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54.09</w:t>
            </w:r>
          </w:p>
        </w:tc>
        <w:tc>
          <w:tcPr>
            <w:tcW w:w="2551" w:type="dxa"/>
            <w:vAlign w:val="center"/>
          </w:tcPr>
          <w:p>
            <w:pPr>
              <w:pStyle w:val="11"/>
            </w:pPr>
            <w:r>
              <w:t>54.09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933.74</w:t>
            </w:r>
          </w:p>
        </w:tc>
        <w:tc>
          <w:tcPr>
            <w:tcW w:w="2551" w:type="dxa"/>
            <w:vAlign w:val="center"/>
          </w:tcPr>
          <w:p>
            <w:pPr>
              <w:pStyle w:val="11"/>
            </w:pPr>
            <w:r>
              <w:t>933.74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49.29</w:t>
            </w:r>
          </w:p>
        </w:tc>
        <w:tc>
          <w:tcPr>
            <w:tcW w:w="2551" w:type="dxa"/>
            <w:vAlign w:val="center"/>
          </w:tcPr>
          <w:p>
            <w:pPr>
              <w:pStyle w:val="11"/>
            </w:pPr>
          </w:p>
        </w:tc>
        <w:tc>
          <w:tcPr>
            <w:tcW w:w="2551" w:type="dxa"/>
            <w:vAlign w:val="center"/>
          </w:tcPr>
          <w:p>
            <w:pPr>
              <w:pStyle w:val="11"/>
            </w:pPr>
            <w:r>
              <w:t>49.29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9.84</w:t>
            </w:r>
          </w:p>
        </w:tc>
        <w:tc>
          <w:tcPr>
            <w:tcW w:w="2551" w:type="dxa"/>
            <w:vAlign w:val="center"/>
          </w:tcPr>
          <w:p>
            <w:pPr>
              <w:pStyle w:val="11"/>
            </w:pPr>
          </w:p>
        </w:tc>
        <w:tc>
          <w:tcPr>
            <w:tcW w:w="2551" w:type="dxa"/>
            <w:vAlign w:val="center"/>
          </w:tcPr>
          <w:p>
            <w:pPr>
              <w:pStyle w:val="11"/>
            </w:pPr>
            <w:r>
              <w:t>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1.06</w:t>
            </w:r>
          </w:p>
        </w:tc>
        <w:tc>
          <w:tcPr>
            <w:tcW w:w="2551" w:type="dxa"/>
            <w:vAlign w:val="center"/>
          </w:tcPr>
          <w:p>
            <w:pPr>
              <w:pStyle w:val="11"/>
            </w:pPr>
          </w:p>
        </w:tc>
        <w:tc>
          <w:tcPr>
            <w:tcW w:w="2551" w:type="dxa"/>
            <w:vAlign w:val="center"/>
          </w:tcPr>
          <w:p>
            <w:pPr>
              <w:pStyle w:val="11"/>
            </w:pPr>
            <w:r>
              <w:t>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3.01</w:t>
            </w:r>
          </w:p>
        </w:tc>
        <w:tc>
          <w:tcPr>
            <w:tcW w:w="2551" w:type="dxa"/>
            <w:vAlign w:val="center"/>
          </w:tcPr>
          <w:p>
            <w:pPr>
              <w:pStyle w:val="11"/>
            </w:pPr>
          </w:p>
        </w:tc>
        <w:tc>
          <w:tcPr>
            <w:tcW w:w="2551" w:type="dxa"/>
            <w:vAlign w:val="center"/>
          </w:tcPr>
          <w:p>
            <w:pPr>
              <w:pStyle w:val="11"/>
            </w:pPr>
            <w:r>
              <w:t>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11.67</w:t>
            </w:r>
          </w:p>
        </w:tc>
        <w:tc>
          <w:tcPr>
            <w:tcW w:w="2551" w:type="dxa"/>
            <w:vAlign w:val="center"/>
          </w:tcPr>
          <w:p>
            <w:pPr>
              <w:pStyle w:val="11"/>
            </w:pPr>
          </w:p>
        </w:tc>
        <w:tc>
          <w:tcPr>
            <w:tcW w:w="2551" w:type="dxa"/>
            <w:vAlign w:val="center"/>
          </w:tcPr>
          <w:p>
            <w:pPr>
              <w:pStyle w:val="11"/>
            </w:pPr>
            <w:r>
              <w:t>11.67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0.43</w:t>
            </w:r>
          </w:p>
        </w:tc>
        <w:tc>
          <w:tcPr>
            <w:tcW w:w="2551" w:type="dxa"/>
            <w:vAlign w:val="center"/>
          </w:tcPr>
          <w:p>
            <w:pPr>
              <w:pStyle w:val="11"/>
            </w:pPr>
          </w:p>
        </w:tc>
        <w:tc>
          <w:tcPr>
            <w:tcW w:w="2551" w:type="dxa"/>
            <w:vAlign w:val="center"/>
          </w:tcPr>
          <w:p>
            <w:pPr>
              <w:pStyle w:val="11"/>
            </w:pPr>
            <w:r>
              <w:t>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2.80</w:t>
            </w:r>
          </w:p>
        </w:tc>
        <w:tc>
          <w:tcPr>
            <w:tcW w:w="2551" w:type="dxa"/>
            <w:vAlign w:val="center"/>
          </w:tcPr>
          <w:p>
            <w:pPr>
              <w:pStyle w:val="11"/>
            </w:pPr>
          </w:p>
        </w:tc>
        <w:tc>
          <w:tcPr>
            <w:tcW w:w="2551" w:type="dxa"/>
            <w:vAlign w:val="center"/>
          </w:tcPr>
          <w:p>
            <w:pPr>
              <w:pStyle w:val="11"/>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18.09</w:t>
            </w:r>
          </w:p>
        </w:tc>
        <w:tc>
          <w:tcPr>
            <w:tcW w:w="2551" w:type="dxa"/>
            <w:vAlign w:val="center"/>
          </w:tcPr>
          <w:p>
            <w:pPr>
              <w:pStyle w:val="11"/>
            </w:pPr>
          </w:p>
        </w:tc>
        <w:tc>
          <w:tcPr>
            <w:tcW w:w="2551" w:type="dxa"/>
            <w:vAlign w:val="center"/>
          </w:tcPr>
          <w:p>
            <w:pPr>
              <w:pStyle w:val="11"/>
            </w:pPr>
            <w:r>
              <w:t>18.09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40.51</w:t>
            </w:r>
          </w:p>
        </w:tc>
        <w:tc>
          <w:tcPr>
            <w:tcW w:w="2551" w:type="dxa"/>
            <w:vAlign w:val="center"/>
          </w:tcPr>
          <w:p>
            <w:pPr>
              <w:pStyle w:val="11"/>
            </w:pPr>
            <w:r>
              <w:t>40.51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11.34</w:t>
            </w:r>
          </w:p>
        </w:tc>
        <w:tc>
          <w:tcPr>
            <w:tcW w:w="2551" w:type="dxa"/>
            <w:vAlign w:val="center"/>
          </w:tcPr>
          <w:p>
            <w:pPr>
              <w:pStyle w:val="11"/>
            </w:pPr>
            <w:r>
              <w:t>11.34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27.07</w:t>
            </w:r>
          </w:p>
        </w:tc>
        <w:tc>
          <w:tcPr>
            <w:tcW w:w="2551" w:type="dxa"/>
            <w:vAlign w:val="center"/>
          </w:tcPr>
          <w:p>
            <w:pPr>
              <w:pStyle w:val="11"/>
            </w:pPr>
            <w:r>
              <w:t>27.07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2.10</w:t>
            </w:r>
          </w:p>
        </w:tc>
        <w:tc>
          <w:tcPr>
            <w:tcW w:w="2551" w:type="dxa"/>
            <w:vAlign w:val="center"/>
          </w:tcPr>
          <w:p>
            <w:pPr>
              <w:pStyle w:val="11"/>
            </w:pPr>
            <w:r>
              <w:t>2.10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116.00</w:t>
            </w:r>
          </w:p>
        </w:tc>
        <w:tc>
          <w:tcPr>
            <w:tcW w:w="2551" w:type="dxa"/>
            <w:vAlign w:val="center"/>
          </w:tcPr>
          <w:p>
            <w:pPr>
              <w:pStyle w:val="15"/>
            </w:pPr>
          </w:p>
        </w:tc>
        <w:tc>
          <w:tcPr>
            <w:tcW w:w="2551" w:type="dxa"/>
            <w:vAlign w:val="center"/>
          </w:tcPr>
          <w:p>
            <w:pPr>
              <w:pStyle w:val="15"/>
            </w:pPr>
            <w: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116.00</w:t>
            </w:r>
          </w:p>
        </w:tc>
        <w:tc>
          <w:tcPr>
            <w:tcW w:w="2551" w:type="dxa"/>
            <w:vAlign w:val="center"/>
          </w:tcPr>
          <w:p>
            <w:pPr>
              <w:pStyle w:val="11"/>
            </w:pPr>
          </w:p>
        </w:tc>
        <w:tc>
          <w:tcPr>
            <w:tcW w:w="2551" w:type="dxa"/>
            <w:vAlign w:val="center"/>
          </w:tcPr>
          <w:p>
            <w:pPr>
              <w:pStyle w:val="11"/>
            </w:pPr>
            <w: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116.00</w:t>
            </w:r>
          </w:p>
        </w:tc>
        <w:tc>
          <w:tcPr>
            <w:tcW w:w="2551" w:type="dxa"/>
            <w:vAlign w:val="center"/>
          </w:tcPr>
          <w:p>
            <w:pPr>
              <w:pStyle w:val="11"/>
            </w:pPr>
          </w:p>
        </w:tc>
        <w:tc>
          <w:tcPr>
            <w:tcW w:w="2551" w:type="dxa"/>
            <w:vAlign w:val="center"/>
          </w:tcPr>
          <w:p>
            <w:pPr>
              <w:pStyle w:val="11"/>
            </w:pPr>
            <w: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2120816</w:t>
            </w:r>
          </w:p>
        </w:tc>
        <w:tc>
          <w:tcPr>
            <w:tcW w:w="4535" w:type="dxa"/>
            <w:vAlign w:val="center"/>
          </w:tcPr>
          <w:p>
            <w:pPr>
              <w:pStyle w:val="12"/>
            </w:pPr>
            <w:r>
              <w:t>农业农村生态环境支出</w:t>
            </w:r>
          </w:p>
        </w:tc>
        <w:tc>
          <w:tcPr>
            <w:tcW w:w="2551" w:type="dxa"/>
            <w:vAlign w:val="center"/>
          </w:tcPr>
          <w:p>
            <w:pPr>
              <w:pStyle w:val="11"/>
            </w:pPr>
            <w:r>
              <w:t>116.00</w:t>
            </w:r>
          </w:p>
        </w:tc>
        <w:tc>
          <w:tcPr>
            <w:tcW w:w="2551" w:type="dxa"/>
            <w:vAlign w:val="center"/>
          </w:tcPr>
          <w:p>
            <w:pPr>
              <w:pStyle w:val="11"/>
            </w:pPr>
          </w:p>
        </w:tc>
        <w:tc>
          <w:tcPr>
            <w:tcW w:w="2551" w:type="dxa"/>
            <w:vAlign w:val="center"/>
          </w:tcPr>
          <w:p>
            <w:pPr>
              <w:pStyle w:val="11"/>
            </w:pPr>
            <w:r>
              <w:t>116.00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5.40</w:t>
            </w:r>
          </w:p>
        </w:tc>
        <w:tc>
          <w:tcPr>
            <w:tcW w:w="2381" w:type="dxa"/>
            <w:vAlign w:val="center"/>
          </w:tcPr>
          <w:p>
            <w:pPr>
              <w:pStyle w:val="15"/>
            </w:pPr>
            <w:r>
              <w:t>5.40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5.40</w:t>
            </w:r>
          </w:p>
        </w:tc>
        <w:tc>
          <w:tcPr>
            <w:tcW w:w="2381" w:type="dxa"/>
            <w:vAlign w:val="center"/>
          </w:tcPr>
          <w:p>
            <w:pPr>
              <w:pStyle w:val="11"/>
            </w:pPr>
            <w:r>
              <w:t>5.40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5.20</w:t>
            </w:r>
          </w:p>
        </w:tc>
        <w:tc>
          <w:tcPr>
            <w:tcW w:w="2381" w:type="dxa"/>
            <w:vAlign w:val="center"/>
          </w:tcPr>
          <w:p>
            <w:pPr>
              <w:pStyle w:val="11"/>
            </w:pPr>
            <w:r>
              <w:t>5.20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5.20</w:t>
            </w:r>
          </w:p>
        </w:tc>
        <w:tc>
          <w:tcPr>
            <w:tcW w:w="2381" w:type="dxa"/>
            <w:vAlign w:val="center"/>
          </w:tcPr>
          <w:p>
            <w:pPr>
              <w:pStyle w:val="11"/>
            </w:pPr>
            <w:r>
              <w:t>5.20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0.20</w:t>
            </w:r>
          </w:p>
        </w:tc>
        <w:tc>
          <w:tcPr>
            <w:tcW w:w="2381" w:type="dxa"/>
            <w:vAlign w:val="center"/>
          </w:tcPr>
          <w:p>
            <w:pPr>
              <w:pStyle w:val="11"/>
            </w:pPr>
            <w:r>
              <w:t>0.20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青龙满族自治县应急管理局本级2026年单位预算信息公开情况说明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按照《中华人民共和国预算法》、《地方预决算公开操作规程》和《关于进一步推进预算公开工作的实施意见》规定，现将青龙满族自治县应急管理局本级2026年单位预算公开如下：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单位职责：</w:t>
      </w:r>
    </w:p>
    <w:p>
      <w:pPr>
        <w:pStyle w:val="17"/>
      </w:pPr>
      <w:r>
        <w:t>（一）负责应急管理工作，指导全县各级各部门应对安全生产类、自然灾害类等突发事件和综合防灾减灾救灾工作。负责安全生产综合监督管理和工矿商贸行业安全生产监督管理工作。</w:t>
      </w:r>
    </w:p>
    <w:p>
      <w:pPr>
        <w:pStyle w:val="17"/>
      </w:pPr>
      <w:r>
        <w:t>（二）贯彻执行应急管理、安全生产等政策规定，组织编制县应急体系建设、安全生产和综合防灾减灾规划。</w:t>
      </w:r>
    </w:p>
    <w:p>
      <w:pPr>
        <w:pStyle w:val="17"/>
      </w:pPr>
      <w:r>
        <w:t>（三）指导应急预案体系建设，建立完善事故灾难和自然灾害分级应对制度，组织编制县总体应急预案和安全生产类、自然灾害类专项预案，综合协调应急预案衔接工作，组织开展预案演练，推动应急避难设施建设。</w:t>
      </w:r>
    </w:p>
    <w:p>
      <w:pPr>
        <w:pStyle w:val="17"/>
      </w:pPr>
      <w:r>
        <w:t>（四）牵头建立统一的全县应急管理信息系统，负责信息传输渠道的规划和布局，建立监测预警和灾情报告制度，健全自然灾害信息资源获取和共享机制，依法统一发布灾情。</w:t>
      </w:r>
    </w:p>
    <w:p>
      <w:pPr>
        <w:pStyle w:val="17"/>
      </w:pPr>
      <w:r>
        <w:t>（五）组织开展安全生产类、自然灾害类等突发事件应急救援，承担县应对重大灾害指挥部工作，综合研判突发事件发展态势并提出应对建议，协助县委、县政府指定的负责同志组织重大灾害应急处置工作。</w:t>
      </w:r>
    </w:p>
    <w:p>
      <w:pPr>
        <w:pStyle w:val="17"/>
      </w:pPr>
      <w:r>
        <w:t>（六）统一协调指挥各类应急专业队伍，建立应急协调联动机制，推进指挥平台对接，衔接解放军和武警部队参与应急救援工作。</w:t>
      </w:r>
    </w:p>
    <w:p>
      <w:pPr>
        <w:pStyle w:val="17"/>
      </w:pPr>
      <w:r>
        <w:t>（七）统筹应急救援力量建设，负责消防、森林火灾扑救、抗洪抢险、地震和地质灾害救援、生产安全事故救援等专业应急救援力量建设，管理县综合性应急救援队伍。</w:t>
      </w:r>
    </w:p>
    <w:p>
      <w:pPr>
        <w:pStyle w:val="17"/>
      </w:pPr>
      <w:r>
        <w:t>（八）负责消防管理工作，指导全县消防监督、火灾预防、火灾扑救等工作。</w:t>
      </w:r>
    </w:p>
    <w:p>
      <w:pPr>
        <w:pStyle w:val="17"/>
      </w:pPr>
      <w:r>
        <w:t>（九）组织开展水旱灾害、地震和地质灾害等防治工作，负责自然灾害综合监测预警工作，指导开展自然灾害综合风险评估工作。</w:t>
      </w:r>
    </w:p>
    <w:p>
      <w:pPr>
        <w:pStyle w:val="17"/>
      </w:pPr>
      <w:r>
        <w:t>（十）组织实施灾害救助工作，开展灾情核查、损失评估、救灾捐赠工作，管理、分配省救灾款物并监督使用。</w:t>
      </w:r>
    </w:p>
    <w:p>
      <w:pPr>
        <w:pStyle w:val="17"/>
      </w:pPr>
      <w:r>
        <w:t>（十一）依法行使县安全生产综合监督管理职权，指导协调、监督检查县有关部门和各乡镇政府（含经济技术开发区、物流产业聚集区）的安全生产工作，组织开展安全生产巡查、考核工作。</w:t>
      </w:r>
    </w:p>
    <w:p>
      <w:pPr>
        <w:pStyle w:val="17"/>
      </w:pPr>
      <w:r>
        <w:t>（十二）依法监督检查工矿商贸生产经营单位和驻青企业贯彻执行安全生产法律法规情况，及其安全生产条件和有关设备（特种设备除外）、材料、劳动防护用品的安全生产管理工作。负责危险化学品安全监督管理工作和烟花爆竹安全生产监督管理工作。</w:t>
      </w:r>
    </w:p>
    <w:p>
      <w:pPr>
        <w:pStyle w:val="17"/>
      </w:pPr>
      <w:r>
        <w:t>（十三）依法组织指导生产安全事故调查处理，监督事故查处和责任追究落实情况。组织开展自然灾害类突发事件的调查评估工作。</w:t>
      </w:r>
    </w:p>
    <w:p>
      <w:pPr>
        <w:pStyle w:val="17"/>
      </w:pPr>
      <w:r>
        <w:t>（十四）制定应急物资储备和应急救援装备规划并组织实施，会同县粮食和物资储备局等部门建立健全应急物资信息平台和调拨制度，在救灾时统一调度。</w:t>
      </w:r>
    </w:p>
    <w:p>
      <w:pPr>
        <w:pStyle w:val="17"/>
      </w:pPr>
      <w:r>
        <w:t>（十五）负责应急管理、安全生产宣传教育和培训工作，指导协调应急管理、安全生产的科学技术研究、推广应用和信息化建设工作。</w:t>
      </w:r>
    </w:p>
    <w:p>
      <w:pPr>
        <w:pStyle w:val="17"/>
      </w:pPr>
      <w:r>
        <w:t>（十六）组织指导煤炭资源的合理开发和煤炭产业结构调整，承担全县煤矿安全、煤炭生产监管责任，组织开展对煤矿企业执法检查。</w:t>
      </w:r>
    </w:p>
    <w:p>
      <w:pPr>
        <w:pStyle w:val="17"/>
      </w:pPr>
      <w:r>
        <w:t>（十七）贯彻落实国家、省、市、县防震减灾工作方针政策、法律法规和行业标准，贯彻执行国家、省、市、县地震监测预报制度；负责地震监测和震情信息发布工作；负责会同有关部门拟订全县防震减灾规划，参与制定地震灾区重建规划。</w:t>
      </w:r>
    </w:p>
    <w:p>
      <w:pPr>
        <w:pStyle w:val="17"/>
      </w:pPr>
      <w:r>
        <w:t>（十八）完成县委、县政府交办的其他任务。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青龙满族自治县应急管理局本级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3037.26万元，其中：一般公共预算收入1855.54万元，基金预算收入116.00万元，国有资本经营预算收入0.00万元，财政专户核拨收入0.00万元，单位资金收入0.00万元，上年结转结余1065.72万元。</w:t>
      </w:r>
    </w:p>
    <w:p>
      <w:pPr>
        <w:pStyle w:val="18"/>
      </w:pPr>
      <w:r>
        <w:t>2、支出说明</w:t>
      </w:r>
    </w:p>
    <w:p>
      <w:pPr>
        <w:pStyle w:val="18"/>
      </w:pPr>
      <w:r>
        <w:t>收支预算总表支出栏、基本支出表、项目支出表按经济分类和支出功能分类科目编制，反映青龙满族自治县应急管理局本级年度单位预算中支出预算的总体情况。2026年支出预算3037.26万元，其中基本支出2086.37万元，包括人员经费2037.08万元和日常公用经费49.29万元；项目支出950.88万元，主要为安全生产监管综合执法专项经费4.9万元；安委办经费27万元；非煤矿山隐患排查及应急治理工作经费6.9万元；应急灾害风险防治专项经费3.7万元；购置基本防护装备经费0.0206万元；关于提前下达2025年非煤矿山综合治理专项资金的通知（冀财建[2024]287号）212.27万元；关于提前下达2025年困难地区消防装备购置费的通知（冀财建【2024】265号）85万元；关于提前下达2026年自然灾害救助资金（农房保险试点补助经费）的通知（冀财建[2025]217号）74.1904万元；关于下达2025年自然灾害救灾资金（冬春临时生活困难救助）的通知（冀财建[2025]248号）203.42万元；关于下达省级2025年自然灾害救灾资金（冬春临时生活困难救助）的通知（冀财建[2025]248号）49.68万元；应急救援经费167.799675万元；尾矿库治理资金50万元，其他项目经费66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3037.26万元，较2025年预算减少2612.84万元，其中：基本支出减少299.98万元，主要为人员经费减少230.5万元；日常公用经费减少69.48万元。项目支出减少2312.87万元，主要为城乡和社区支出减少344万元；应急管理事务减少205.8万元；消防救援事务减少63.2万元；矿山安全减少139.22万元；自然灾害救灾及恢复重建支出减少768.65万元；其他灾害防治及应急管理支出减少792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5.40万元，其中因公出国（境）费0.00万元；公务用车购置及运维费5.20万元（其中：公务用车购置费为0.00万元，公务用车运维费5.20万元)；公务接待费0.20万元。与2025年相比增加</w:t>
      </w:r>
      <w:r>
        <w:rPr>
          <w:rFonts w:hint="eastAsia"/>
          <w:lang w:val="en-US" w:eastAsia="zh-CN"/>
        </w:rPr>
        <w:t>0</w:t>
      </w:r>
      <w:r>
        <w:t>万元，增减变化的主要原因是与上年度持平。</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1、安全生产监管综合执法专项经费绩效目标表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13032125P00334910306W</w:t>
            </w:r>
          </w:p>
        </w:tc>
        <w:tc>
          <w:tcPr>
            <w:tcW w:w="2835" w:type="dxa"/>
            <w:vAlign w:val="center"/>
          </w:tcPr>
          <w:p>
            <w:pPr>
              <w:pStyle w:val="10"/>
            </w:pPr>
            <w:r>
              <w:t>项目名称</w:t>
            </w:r>
          </w:p>
        </w:tc>
        <w:tc>
          <w:tcPr>
            <w:tcW w:w="6095" w:type="dxa"/>
            <w:gridSpan w:val="3"/>
            <w:vAlign w:val="center"/>
          </w:tcPr>
          <w:p>
            <w:pPr>
              <w:pStyle w:val="12"/>
            </w:pPr>
            <w:r>
              <w:t>安全生产监管综合执法专项经费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w:t>
            </w:r>
          </w:p>
        </w:tc>
        <w:tc>
          <w:tcPr>
            <w:tcW w:w="2835" w:type="dxa"/>
            <w:vAlign w:val="center"/>
          </w:tcPr>
          <w:p>
            <w:pPr>
              <w:pStyle w:val="10"/>
            </w:pPr>
            <w:r>
              <w:t>其中：财政    资金</w:t>
            </w:r>
          </w:p>
        </w:tc>
        <w:tc>
          <w:tcPr>
            <w:tcW w:w="2551" w:type="dxa"/>
            <w:vAlign w:val="center"/>
          </w:tcPr>
          <w:p>
            <w:pPr>
              <w:pStyle w:val="12"/>
            </w:pPr>
            <w:r>
              <w:t>2.50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预算安排2.5万元，其中：财政拨款2.5万元，主要用于开展安全生产监督检查工作支出。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1.通过开展安全生产监督检查工作，推进安全生产专项整治等重点工作，提升生产经营单位本质安全水平，努力夯实安全生产基础，不断提升安全保障能力和安全监管能力。</w:t>
            </w:r>
          </w:p>
          <w:p>
            <w:pPr>
              <w:pStyle w:val="12"/>
            </w:pPr>
            <w:r>
              <w:t>2.通过开展安全生产监督检查工作，督促各级各部门进一步落实安全生产监管责任，各生产经营单位全面落实安全生产责任主体，全县生产安全事故起数和死亡人数继续下降，减少较大事故，遏制重特大事故，安全生产形势持续稳定好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执法文书</w:t>
            </w:r>
          </w:p>
        </w:tc>
        <w:tc>
          <w:tcPr>
            <w:tcW w:w="5386" w:type="dxa"/>
            <w:vAlign w:val="center"/>
          </w:tcPr>
          <w:p>
            <w:pPr>
              <w:pStyle w:val="12"/>
            </w:pPr>
            <w:r>
              <w:t>反映印刷执法文书的数量</w:t>
            </w:r>
          </w:p>
        </w:tc>
        <w:tc>
          <w:tcPr>
            <w:tcW w:w="2268" w:type="dxa"/>
            <w:vAlign w:val="center"/>
          </w:tcPr>
          <w:p>
            <w:pPr>
              <w:pStyle w:val="12"/>
            </w:pPr>
            <w:r>
              <w:t>≥500份</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安全生产宣传手册</w:t>
            </w:r>
          </w:p>
        </w:tc>
        <w:tc>
          <w:tcPr>
            <w:tcW w:w="5386" w:type="dxa"/>
            <w:vAlign w:val="center"/>
          </w:tcPr>
          <w:p>
            <w:pPr>
              <w:pStyle w:val="12"/>
            </w:pPr>
            <w:r>
              <w:t>反映印刷安全生产宣传手册的数量</w:t>
            </w:r>
          </w:p>
        </w:tc>
        <w:tc>
          <w:tcPr>
            <w:tcW w:w="2268" w:type="dxa"/>
            <w:vAlign w:val="center"/>
          </w:tcPr>
          <w:p>
            <w:pPr>
              <w:pStyle w:val="12"/>
            </w:pPr>
            <w:r>
              <w:t>≥1000份</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执法检查的次数</w:t>
            </w:r>
          </w:p>
        </w:tc>
        <w:tc>
          <w:tcPr>
            <w:tcW w:w="5386" w:type="dxa"/>
            <w:vAlign w:val="center"/>
          </w:tcPr>
          <w:p>
            <w:pPr>
              <w:pStyle w:val="12"/>
            </w:pPr>
            <w:r>
              <w:t>反映进行执法检查的次数</w:t>
            </w:r>
          </w:p>
        </w:tc>
        <w:tc>
          <w:tcPr>
            <w:tcW w:w="2268" w:type="dxa"/>
            <w:vAlign w:val="center"/>
          </w:tcPr>
          <w:p>
            <w:pPr>
              <w:pStyle w:val="12"/>
            </w:pPr>
            <w:r>
              <w:t>≥297次</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隐患排查率</w:t>
            </w:r>
          </w:p>
        </w:tc>
        <w:tc>
          <w:tcPr>
            <w:tcW w:w="5386" w:type="dxa"/>
            <w:vAlign w:val="center"/>
          </w:tcPr>
          <w:p>
            <w:pPr>
              <w:pStyle w:val="12"/>
            </w:pPr>
            <w:r>
              <w:t>实际隐患排查数量占隐患总数的比例</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生产经营单位执法检查率</w:t>
            </w:r>
          </w:p>
        </w:tc>
        <w:tc>
          <w:tcPr>
            <w:tcW w:w="5386" w:type="dxa"/>
            <w:vAlign w:val="center"/>
          </w:tcPr>
          <w:p>
            <w:pPr>
              <w:pStyle w:val="12"/>
            </w:pPr>
            <w:r>
              <w:t>本年实际执法检查的生产经营单位数占应检查单位总数的比率</w:t>
            </w:r>
          </w:p>
        </w:tc>
        <w:tc>
          <w:tcPr>
            <w:tcW w:w="2268" w:type="dxa"/>
            <w:vAlign w:val="center"/>
          </w:tcPr>
          <w:p>
            <w:pPr>
              <w:pStyle w:val="12"/>
            </w:pPr>
            <w:r>
              <w:t>100%</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行政处罚率</w:t>
            </w:r>
          </w:p>
        </w:tc>
        <w:tc>
          <w:tcPr>
            <w:tcW w:w="5386" w:type="dxa"/>
            <w:vAlign w:val="center"/>
          </w:tcPr>
          <w:p>
            <w:pPr>
              <w:pStyle w:val="12"/>
            </w:pPr>
            <w:r>
              <w:t>对违法行为实施行政处罚的条数占执法发现的违法行为总数的比率</w:t>
            </w:r>
          </w:p>
        </w:tc>
        <w:tc>
          <w:tcPr>
            <w:tcW w:w="2268" w:type="dxa"/>
            <w:vAlign w:val="center"/>
          </w:tcPr>
          <w:p>
            <w:pPr>
              <w:pStyle w:val="12"/>
            </w:pPr>
            <w:r>
              <w:t>100%</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隐患整改率</w:t>
            </w:r>
          </w:p>
        </w:tc>
        <w:tc>
          <w:tcPr>
            <w:tcW w:w="5386" w:type="dxa"/>
            <w:vAlign w:val="center"/>
          </w:tcPr>
          <w:p>
            <w:pPr>
              <w:pStyle w:val="12"/>
            </w:pPr>
            <w:r>
              <w:t>实际隐患整改的数量占应整改隐患数量的比率</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完成执法检查隐患整改的时间</w:t>
            </w:r>
          </w:p>
        </w:tc>
        <w:tc>
          <w:tcPr>
            <w:tcW w:w="2268" w:type="dxa"/>
            <w:vAlign w:val="center"/>
          </w:tcPr>
          <w:p>
            <w:pPr>
              <w:pStyle w:val="12"/>
            </w:pPr>
            <w:r>
              <w:t>年度内完成</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w:t>
            </w:r>
          </w:p>
        </w:tc>
        <w:tc>
          <w:tcPr>
            <w:tcW w:w="5386" w:type="dxa"/>
            <w:vAlign w:val="center"/>
          </w:tcPr>
          <w:p>
            <w:pPr>
              <w:pStyle w:val="12"/>
            </w:pPr>
            <w:r>
              <w:t>反映用于办公用品采购费用</w:t>
            </w:r>
          </w:p>
        </w:tc>
        <w:tc>
          <w:tcPr>
            <w:tcW w:w="2268" w:type="dxa"/>
            <w:vAlign w:val="center"/>
          </w:tcPr>
          <w:p>
            <w:pPr>
              <w:pStyle w:val="12"/>
            </w:pPr>
            <w:r>
              <w:t>≤2.5万元</w:t>
            </w:r>
          </w:p>
        </w:tc>
        <w:tc>
          <w:tcPr>
            <w:tcW w:w="1276" w:type="dxa"/>
            <w:vAlign w:val="center"/>
          </w:tcPr>
          <w:p>
            <w:pPr>
              <w:pStyle w:val="12"/>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强化企业各项安全保障措施落实到位率</w:t>
            </w:r>
          </w:p>
        </w:tc>
        <w:tc>
          <w:tcPr>
            <w:tcW w:w="5386" w:type="dxa"/>
            <w:vAlign w:val="center"/>
          </w:tcPr>
          <w:p>
            <w:pPr>
              <w:pStyle w:val="12"/>
            </w:pPr>
            <w:r>
              <w:t>防止重点行业、重点企业、重点区域发生重特大安全生产事故，强化企业各项安全保障措施落实到位</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安全监管能力提升率</w:t>
            </w:r>
          </w:p>
        </w:tc>
        <w:tc>
          <w:tcPr>
            <w:tcW w:w="5386" w:type="dxa"/>
            <w:vAlign w:val="center"/>
          </w:tcPr>
          <w:p>
            <w:pPr>
              <w:pStyle w:val="12"/>
            </w:pPr>
            <w:r>
              <w:t>反映执法人员安全监管能力提高的比例</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接受检查企业满意度</w:t>
            </w:r>
          </w:p>
        </w:tc>
        <w:tc>
          <w:tcPr>
            <w:tcW w:w="5386" w:type="dxa"/>
            <w:vAlign w:val="center"/>
          </w:tcPr>
          <w:p>
            <w:pPr>
              <w:pStyle w:val="12"/>
            </w:pPr>
            <w:r>
              <w:t>接受检查企业对所提供指导的满意程度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2、安全生产监管综合执法专项经费绩效目标表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13032126P003349103772</w:t>
            </w:r>
          </w:p>
        </w:tc>
        <w:tc>
          <w:tcPr>
            <w:tcW w:w="2835" w:type="dxa"/>
            <w:vAlign w:val="center"/>
          </w:tcPr>
          <w:p>
            <w:pPr>
              <w:pStyle w:val="10"/>
            </w:pPr>
            <w:r>
              <w:t>项目名称</w:t>
            </w:r>
          </w:p>
        </w:tc>
        <w:tc>
          <w:tcPr>
            <w:tcW w:w="6095" w:type="dxa"/>
            <w:gridSpan w:val="3"/>
            <w:vAlign w:val="center"/>
          </w:tcPr>
          <w:p>
            <w:pPr>
              <w:pStyle w:val="12"/>
            </w:pPr>
            <w:r>
              <w:t>安全生产监管综合执法专项经费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w:t>
            </w:r>
          </w:p>
        </w:tc>
        <w:tc>
          <w:tcPr>
            <w:tcW w:w="2835" w:type="dxa"/>
            <w:vAlign w:val="center"/>
          </w:tcPr>
          <w:p>
            <w:pPr>
              <w:pStyle w:val="10"/>
            </w:pPr>
            <w:r>
              <w:t>其中：财政    资金</w:t>
            </w:r>
          </w:p>
        </w:tc>
        <w:tc>
          <w:tcPr>
            <w:tcW w:w="2551" w:type="dxa"/>
            <w:vAlign w:val="center"/>
          </w:tcPr>
          <w:p>
            <w:pPr>
              <w:pStyle w:val="12"/>
            </w:pPr>
            <w:r>
              <w:t>2.40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预算安排2.4万元，其中财政拨款2.4万元，主要用于安全生产费用支出。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安全生产监督检查工作，督促各级各部门进一步落实安全生产监管责任，各生产经营单位全面落实安全生产责任主体，全县生产安全事故起数和死亡人数继续下降，减少较大事故，遏制重特大事故，安全生产形势持续稳定好转。</w:t>
            </w:r>
          </w:p>
          <w:p>
            <w:pPr>
              <w:pStyle w:val="12"/>
            </w:pPr>
            <w:r>
              <w:t>2.通过开展安全生产监督检查工作，推进安全生产专项整治等重点工作，提升生产经营单位本质安全水平，努力夯实安全生产基础，不断提升安全保障能力和安全监管能力。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执法文书</w:t>
            </w:r>
          </w:p>
        </w:tc>
        <w:tc>
          <w:tcPr>
            <w:tcW w:w="5386" w:type="dxa"/>
            <w:vAlign w:val="center"/>
          </w:tcPr>
          <w:p>
            <w:pPr>
              <w:pStyle w:val="12"/>
            </w:pPr>
            <w:r>
              <w:t>反映印刷执法文书的数量</w:t>
            </w:r>
          </w:p>
        </w:tc>
        <w:tc>
          <w:tcPr>
            <w:tcW w:w="2268" w:type="dxa"/>
            <w:vAlign w:val="center"/>
          </w:tcPr>
          <w:p>
            <w:pPr>
              <w:pStyle w:val="12"/>
            </w:pPr>
            <w:r>
              <w:t>≥500份</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安全生产宣传手册</w:t>
            </w:r>
          </w:p>
        </w:tc>
        <w:tc>
          <w:tcPr>
            <w:tcW w:w="5386" w:type="dxa"/>
            <w:vAlign w:val="center"/>
          </w:tcPr>
          <w:p>
            <w:pPr>
              <w:pStyle w:val="12"/>
            </w:pPr>
            <w:r>
              <w:t>反映印刷安全生产宣传手册的数量</w:t>
            </w:r>
          </w:p>
        </w:tc>
        <w:tc>
          <w:tcPr>
            <w:tcW w:w="2268" w:type="dxa"/>
            <w:vAlign w:val="center"/>
          </w:tcPr>
          <w:p>
            <w:pPr>
              <w:pStyle w:val="12"/>
            </w:pPr>
            <w:r>
              <w:t>≥1000份</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专家人次</w:t>
            </w:r>
          </w:p>
        </w:tc>
        <w:tc>
          <w:tcPr>
            <w:tcW w:w="5386" w:type="dxa"/>
            <w:vAlign w:val="center"/>
          </w:tcPr>
          <w:p>
            <w:pPr>
              <w:pStyle w:val="12"/>
            </w:pPr>
            <w:r>
              <w:t>反映聘请专家的人次</w:t>
            </w:r>
          </w:p>
        </w:tc>
        <w:tc>
          <w:tcPr>
            <w:tcW w:w="2268" w:type="dxa"/>
            <w:vAlign w:val="center"/>
          </w:tcPr>
          <w:p>
            <w:pPr>
              <w:pStyle w:val="12"/>
            </w:pPr>
            <w:r>
              <w:t>≥10人次</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执法检查的次数</w:t>
            </w:r>
          </w:p>
        </w:tc>
        <w:tc>
          <w:tcPr>
            <w:tcW w:w="5386" w:type="dxa"/>
            <w:vAlign w:val="center"/>
          </w:tcPr>
          <w:p>
            <w:pPr>
              <w:pStyle w:val="12"/>
            </w:pPr>
            <w:r>
              <w:t>反映进行执法检查的次数</w:t>
            </w:r>
          </w:p>
        </w:tc>
        <w:tc>
          <w:tcPr>
            <w:tcW w:w="2268" w:type="dxa"/>
            <w:vAlign w:val="center"/>
          </w:tcPr>
          <w:p>
            <w:pPr>
              <w:pStyle w:val="12"/>
            </w:pPr>
            <w:r>
              <w:t>≥297次</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隐患排查率</w:t>
            </w:r>
          </w:p>
        </w:tc>
        <w:tc>
          <w:tcPr>
            <w:tcW w:w="5386" w:type="dxa"/>
            <w:vAlign w:val="center"/>
          </w:tcPr>
          <w:p>
            <w:pPr>
              <w:pStyle w:val="12"/>
            </w:pPr>
            <w:r>
              <w:t>实际隐患排查数量占隐患总数的比例</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生产经营单位执法检查率</w:t>
            </w:r>
          </w:p>
        </w:tc>
        <w:tc>
          <w:tcPr>
            <w:tcW w:w="5386" w:type="dxa"/>
            <w:vAlign w:val="center"/>
          </w:tcPr>
          <w:p>
            <w:pPr>
              <w:pStyle w:val="12"/>
            </w:pPr>
            <w:r>
              <w:t>本年实际执法检查的生产经营单位数占应检查单位总数的比率</w:t>
            </w:r>
          </w:p>
        </w:tc>
        <w:tc>
          <w:tcPr>
            <w:tcW w:w="2268" w:type="dxa"/>
            <w:vAlign w:val="center"/>
          </w:tcPr>
          <w:p>
            <w:pPr>
              <w:pStyle w:val="12"/>
            </w:pPr>
            <w:r>
              <w:t>100%</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行政处罚率</w:t>
            </w:r>
          </w:p>
        </w:tc>
        <w:tc>
          <w:tcPr>
            <w:tcW w:w="5386" w:type="dxa"/>
            <w:vAlign w:val="center"/>
          </w:tcPr>
          <w:p>
            <w:pPr>
              <w:pStyle w:val="12"/>
            </w:pPr>
            <w:r>
              <w:t>对违法行为实施行政处罚的条数占执法发现的违法行为总数的比率</w:t>
            </w:r>
          </w:p>
        </w:tc>
        <w:tc>
          <w:tcPr>
            <w:tcW w:w="2268" w:type="dxa"/>
            <w:vAlign w:val="center"/>
          </w:tcPr>
          <w:p>
            <w:pPr>
              <w:pStyle w:val="12"/>
            </w:pPr>
            <w:r>
              <w:t>100%</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隐患整改率</w:t>
            </w:r>
          </w:p>
        </w:tc>
        <w:tc>
          <w:tcPr>
            <w:tcW w:w="5386" w:type="dxa"/>
            <w:vAlign w:val="center"/>
          </w:tcPr>
          <w:p>
            <w:pPr>
              <w:pStyle w:val="12"/>
            </w:pPr>
            <w:r>
              <w:t>实际隐患整改的数量占应整改隐患数量的比率</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完成执法检查隐患整改的时间</w:t>
            </w:r>
          </w:p>
        </w:tc>
        <w:tc>
          <w:tcPr>
            <w:tcW w:w="2268" w:type="dxa"/>
            <w:vAlign w:val="center"/>
          </w:tcPr>
          <w:p>
            <w:pPr>
              <w:pStyle w:val="12"/>
            </w:pPr>
            <w:r>
              <w:t>年度内完成</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w:t>
            </w:r>
          </w:p>
        </w:tc>
        <w:tc>
          <w:tcPr>
            <w:tcW w:w="5386" w:type="dxa"/>
            <w:vAlign w:val="center"/>
          </w:tcPr>
          <w:p>
            <w:pPr>
              <w:pStyle w:val="12"/>
            </w:pPr>
            <w:r>
              <w:t>反映用于办公用品采购费用</w:t>
            </w:r>
          </w:p>
        </w:tc>
        <w:tc>
          <w:tcPr>
            <w:tcW w:w="2268" w:type="dxa"/>
            <w:vAlign w:val="center"/>
          </w:tcPr>
          <w:p>
            <w:pPr>
              <w:pStyle w:val="12"/>
            </w:pPr>
            <w:r>
              <w:t>≤1.2万元</w:t>
            </w:r>
          </w:p>
        </w:tc>
        <w:tc>
          <w:tcPr>
            <w:tcW w:w="1276" w:type="dxa"/>
            <w:vAlign w:val="center"/>
          </w:tcPr>
          <w:p>
            <w:pPr>
              <w:pStyle w:val="12"/>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公车运行维护费</w:t>
            </w:r>
          </w:p>
        </w:tc>
        <w:tc>
          <w:tcPr>
            <w:tcW w:w="5386" w:type="dxa"/>
            <w:vAlign w:val="center"/>
          </w:tcPr>
          <w:p>
            <w:pPr>
              <w:pStyle w:val="12"/>
            </w:pPr>
            <w:r>
              <w:t>反映用于公车使用费用</w:t>
            </w:r>
          </w:p>
        </w:tc>
        <w:tc>
          <w:tcPr>
            <w:tcW w:w="2268" w:type="dxa"/>
            <w:vAlign w:val="center"/>
          </w:tcPr>
          <w:p>
            <w:pPr>
              <w:pStyle w:val="12"/>
            </w:pPr>
            <w:r>
              <w:t>≤1.2万元</w:t>
            </w:r>
          </w:p>
        </w:tc>
        <w:tc>
          <w:tcPr>
            <w:tcW w:w="1276" w:type="dxa"/>
            <w:vAlign w:val="center"/>
          </w:tcPr>
          <w:p>
            <w:pPr>
              <w:pStyle w:val="12"/>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强化企业各项安全保障措施落实到位率</w:t>
            </w:r>
          </w:p>
        </w:tc>
        <w:tc>
          <w:tcPr>
            <w:tcW w:w="5386" w:type="dxa"/>
            <w:vAlign w:val="center"/>
          </w:tcPr>
          <w:p>
            <w:pPr>
              <w:pStyle w:val="12"/>
            </w:pPr>
            <w:r>
              <w:t>防止重点行业、重点企业、重点区域发生重特大安全生产事故，强化企业各项安全保障措施落实到位</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安全监管能力提升率</w:t>
            </w:r>
          </w:p>
        </w:tc>
        <w:tc>
          <w:tcPr>
            <w:tcW w:w="5386" w:type="dxa"/>
            <w:vAlign w:val="center"/>
          </w:tcPr>
          <w:p>
            <w:pPr>
              <w:pStyle w:val="12"/>
            </w:pPr>
            <w:r>
              <w:t>反映执法人员安全监管能力提高的比例</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接受检查企业满意度</w:t>
            </w:r>
          </w:p>
        </w:tc>
        <w:tc>
          <w:tcPr>
            <w:tcW w:w="5386" w:type="dxa"/>
            <w:vAlign w:val="center"/>
          </w:tcPr>
          <w:p>
            <w:pPr>
              <w:pStyle w:val="12"/>
            </w:pPr>
            <w:r>
              <w:t>接受检查企业对所提供指导的满意程度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3、安委办经费绩效目标表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13032125P00334910365G</w:t>
            </w:r>
          </w:p>
        </w:tc>
        <w:tc>
          <w:tcPr>
            <w:tcW w:w="2835" w:type="dxa"/>
            <w:vAlign w:val="center"/>
          </w:tcPr>
          <w:p>
            <w:pPr>
              <w:pStyle w:val="10"/>
            </w:pPr>
            <w:r>
              <w:t>项目名称</w:t>
            </w:r>
          </w:p>
        </w:tc>
        <w:tc>
          <w:tcPr>
            <w:tcW w:w="6095" w:type="dxa"/>
            <w:gridSpan w:val="3"/>
            <w:vAlign w:val="center"/>
          </w:tcPr>
          <w:p>
            <w:pPr>
              <w:pStyle w:val="12"/>
            </w:pPr>
            <w:r>
              <w:t>安委办经费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27.00</w:t>
            </w:r>
          </w:p>
        </w:tc>
        <w:tc>
          <w:tcPr>
            <w:tcW w:w="2835" w:type="dxa"/>
            <w:vAlign w:val="center"/>
          </w:tcPr>
          <w:p>
            <w:pPr>
              <w:pStyle w:val="10"/>
            </w:pPr>
            <w:r>
              <w:t>其中：财政    资金</w:t>
            </w:r>
          </w:p>
        </w:tc>
        <w:tc>
          <w:tcPr>
            <w:tcW w:w="2551" w:type="dxa"/>
            <w:vAlign w:val="center"/>
          </w:tcPr>
          <w:p>
            <w:pPr>
              <w:pStyle w:val="12"/>
            </w:pPr>
            <w:r>
              <w:t>27.00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预算安排27万元，其中：财政拨款27万元，主要用于安委办运营支出。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1.通过开展安全生产宣传教育培训和应急技能演练活动，保障日常日常宣传教育培训工作常态化开展。</w:t>
            </w:r>
          </w:p>
          <w:p>
            <w:pPr>
              <w:pStyle w:val="12"/>
            </w:pPr>
            <w:r>
              <w:t>2.通过开展安委办运营工作，努力夯实安全生产基础，不断提升安全保障能力和安全监管能力。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执法文书</w:t>
            </w:r>
          </w:p>
        </w:tc>
        <w:tc>
          <w:tcPr>
            <w:tcW w:w="5386" w:type="dxa"/>
            <w:vAlign w:val="center"/>
          </w:tcPr>
          <w:p>
            <w:pPr>
              <w:pStyle w:val="12"/>
            </w:pPr>
            <w:r>
              <w:t>反映印刷执法文书的数量</w:t>
            </w:r>
          </w:p>
        </w:tc>
        <w:tc>
          <w:tcPr>
            <w:tcW w:w="2268" w:type="dxa"/>
            <w:vAlign w:val="center"/>
          </w:tcPr>
          <w:p>
            <w:pPr>
              <w:pStyle w:val="12"/>
            </w:pPr>
            <w:r>
              <w:t>≥500份</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安全生产宣传手册</w:t>
            </w:r>
          </w:p>
        </w:tc>
        <w:tc>
          <w:tcPr>
            <w:tcW w:w="5386" w:type="dxa"/>
            <w:vAlign w:val="center"/>
          </w:tcPr>
          <w:p>
            <w:pPr>
              <w:pStyle w:val="12"/>
            </w:pPr>
            <w:r>
              <w:t>反映印刷安全生产宣传手册的数量</w:t>
            </w:r>
          </w:p>
        </w:tc>
        <w:tc>
          <w:tcPr>
            <w:tcW w:w="2268" w:type="dxa"/>
            <w:vAlign w:val="center"/>
          </w:tcPr>
          <w:p>
            <w:pPr>
              <w:pStyle w:val="12"/>
            </w:pPr>
            <w:r>
              <w:t>≥1000份</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执法检查的次数</w:t>
            </w:r>
          </w:p>
        </w:tc>
        <w:tc>
          <w:tcPr>
            <w:tcW w:w="5386" w:type="dxa"/>
            <w:vAlign w:val="center"/>
          </w:tcPr>
          <w:p>
            <w:pPr>
              <w:pStyle w:val="12"/>
            </w:pPr>
            <w:r>
              <w:t>反映进行执法检查的次数</w:t>
            </w:r>
          </w:p>
        </w:tc>
        <w:tc>
          <w:tcPr>
            <w:tcW w:w="2268" w:type="dxa"/>
            <w:vAlign w:val="center"/>
          </w:tcPr>
          <w:p>
            <w:pPr>
              <w:pStyle w:val="12"/>
            </w:pPr>
            <w:r>
              <w:t>≥297次</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隐患排查率</w:t>
            </w:r>
          </w:p>
        </w:tc>
        <w:tc>
          <w:tcPr>
            <w:tcW w:w="5386" w:type="dxa"/>
            <w:vAlign w:val="center"/>
          </w:tcPr>
          <w:p>
            <w:pPr>
              <w:pStyle w:val="12"/>
            </w:pPr>
            <w:r>
              <w:t>实际隐患排查数量占隐患总数的比例</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生产经营单位执法检查率</w:t>
            </w:r>
          </w:p>
        </w:tc>
        <w:tc>
          <w:tcPr>
            <w:tcW w:w="5386" w:type="dxa"/>
            <w:vAlign w:val="center"/>
          </w:tcPr>
          <w:p>
            <w:pPr>
              <w:pStyle w:val="12"/>
            </w:pPr>
            <w:r>
              <w:t>本年实际执法检查的生产经营单位数占应检查单位总数的比率</w:t>
            </w:r>
          </w:p>
        </w:tc>
        <w:tc>
          <w:tcPr>
            <w:tcW w:w="2268" w:type="dxa"/>
            <w:vAlign w:val="center"/>
          </w:tcPr>
          <w:p>
            <w:pPr>
              <w:pStyle w:val="12"/>
            </w:pPr>
            <w:r>
              <w:t>本年实际执法检查的生产经营单位数占应检查单位总数的比率100%</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隐患整改率</w:t>
            </w:r>
          </w:p>
        </w:tc>
        <w:tc>
          <w:tcPr>
            <w:tcW w:w="5386" w:type="dxa"/>
            <w:vAlign w:val="center"/>
          </w:tcPr>
          <w:p>
            <w:pPr>
              <w:pStyle w:val="12"/>
            </w:pPr>
            <w:r>
              <w:t>实际隐患整改的数量占应整改隐患数量的比率</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完成执法检查隐患整改的时间</w:t>
            </w:r>
          </w:p>
        </w:tc>
        <w:tc>
          <w:tcPr>
            <w:tcW w:w="2268" w:type="dxa"/>
            <w:vAlign w:val="center"/>
          </w:tcPr>
          <w:p>
            <w:pPr>
              <w:pStyle w:val="12"/>
            </w:pPr>
            <w:r>
              <w:t>年度内完成</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运营经费</w:t>
            </w:r>
          </w:p>
        </w:tc>
        <w:tc>
          <w:tcPr>
            <w:tcW w:w="5386" w:type="dxa"/>
            <w:vAlign w:val="center"/>
          </w:tcPr>
          <w:p>
            <w:pPr>
              <w:pStyle w:val="12"/>
            </w:pPr>
            <w:r>
              <w:t>反映用于安委办运营产生的费用</w:t>
            </w:r>
          </w:p>
        </w:tc>
        <w:tc>
          <w:tcPr>
            <w:tcW w:w="2268" w:type="dxa"/>
            <w:vAlign w:val="center"/>
          </w:tcPr>
          <w:p>
            <w:pPr>
              <w:pStyle w:val="12"/>
            </w:pPr>
            <w:r>
              <w:t>≤27万元</w:t>
            </w:r>
          </w:p>
        </w:tc>
        <w:tc>
          <w:tcPr>
            <w:tcW w:w="1276" w:type="dxa"/>
            <w:vAlign w:val="center"/>
          </w:tcPr>
          <w:p>
            <w:pPr>
              <w:pStyle w:val="12"/>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强化企业各项安全保障措施落实到位率</w:t>
            </w:r>
          </w:p>
        </w:tc>
        <w:tc>
          <w:tcPr>
            <w:tcW w:w="5386" w:type="dxa"/>
            <w:vAlign w:val="center"/>
          </w:tcPr>
          <w:p>
            <w:pPr>
              <w:pStyle w:val="12"/>
            </w:pPr>
            <w:r>
              <w:t>防止重点行业、重点企业、重点区域发生重特大安全生产事故，强化企业各项安全保障措施落实到位</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安全监管能力提升率</w:t>
            </w:r>
          </w:p>
        </w:tc>
        <w:tc>
          <w:tcPr>
            <w:tcW w:w="5386" w:type="dxa"/>
            <w:vAlign w:val="center"/>
          </w:tcPr>
          <w:p>
            <w:pPr>
              <w:pStyle w:val="12"/>
            </w:pPr>
            <w:r>
              <w:t>反映执法人员安全监管能力提高的比例</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接受检查企业满意度</w:t>
            </w:r>
          </w:p>
        </w:tc>
        <w:tc>
          <w:tcPr>
            <w:tcW w:w="5386" w:type="dxa"/>
            <w:vAlign w:val="center"/>
          </w:tcPr>
          <w:p>
            <w:pPr>
              <w:pStyle w:val="12"/>
            </w:pPr>
            <w:r>
              <w:t>接受检查企业对所提供指导的满意程度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4、非煤矿山隐患排查及应急治理工作经费绩效目标表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13032125P00334910307G</w:t>
            </w:r>
          </w:p>
        </w:tc>
        <w:tc>
          <w:tcPr>
            <w:tcW w:w="2835" w:type="dxa"/>
            <w:vAlign w:val="center"/>
          </w:tcPr>
          <w:p>
            <w:pPr>
              <w:pStyle w:val="10"/>
            </w:pPr>
            <w:r>
              <w:t>项目名称</w:t>
            </w:r>
          </w:p>
        </w:tc>
        <w:tc>
          <w:tcPr>
            <w:tcW w:w="6095" w:type="dxa"/>
            <w:gridSpan w:val="3"/>
            <w:vAlign w:val="center"/>
          </w:tcPr>
          <w:p>
            <w:pPr>
              <w:pStyle w:val="12"/>
            </w:pPr>
            <w:r>
              <w:t>非煤矿山隐患排查及应急治理工作经费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w:t>
            </w:r>
          </w:p>
        </w:tc>
        <w:tc>
          <w:tcPr>
            <w:tcW w:w="2835" w:type="dxa"/>
            <w:vAlign w:val="center"/>
          </w:tcPr>
          <w:p>
            <w:pPr>
              <w:pStyle w:val="10"/>
            </w:pPr>
            <w:r>
              <w:t>其中：财政    资金</w:t>
            </w:r>
          </w:p>
        </w:tc>
        <w:tc>
          <w:tcPr>
            <w:tcW w:w="2551" w:type="dxa"/>
            <w:vAlign w:val="center"/>
          </w:tcPr>
          <w:p>
            <w:pPr>
              <w:pStyle w:val="12"/>
            </w:pPr>
            <w:r>
              <w:t>4.50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预算安排4.5万元，其中：财政拨款4.5万元，主要用于非煤矿山隐患排查及应急治理工作开展支出。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1.通过非煤矿山隐患排查及应急治理工作开展，使全县尾矿库、采空区安全渡汛，确保企业生产和附近居民的生活环境及生命财产安全。</w:t>
            </w:r>
            <w:r>
              <w:tab/>
            </w:r>
          </w:p>
          <w:p>
            <w:pPr>
              <w:pStyle w:val="12"/>
            </w:pPr>
            <w:r>
              <w:t>2.通过非煤矿山隐患排查及应急治理工作开展，对存在危险风险的尾矿库、采空区、边坡等进行治理，对以前年度未完成的尾矿库和采空区治理项目进行完善。</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接受补助企业数量</w:t>
            </w:r>
          </w:p>
        </w:tc>
        <w:tc>
          <w:tcPr>
            <w:tcW w:w="5386" w:type="dxa"/>
            <w:vAlign w:val="center"/>
          </w:tcPr>
          <w:p>
            <w:pPr>
              <w:pStyle w:val="12"/>
            </w:pPr>
            <w:r>
              <w:t>反映接受补助企业数量</w:t>
            </w:r>
          </w:p>
        </w:tc>
        <w:tc>
          <w:tcPr>
            <w:tcW w:w="2268" w:type="dxa"/>
            <w:vAlign w:val="center"/>
          </w:tcPr>
          <w:p>
            <w:pPr>
              <w:pStyle w:val="12"/>
            </w:pPr>
            <w:r>
              <w:t>≥10家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治理尾矿库的数量</w:t>
            </w:r>
          </w:p>
        </w:tc>
        <w:tc>
          <w:tcPr>
            <w:tcW w:w="5386" w:type="dxa"/>
            <w:vAlign w:val="center"/>
          </w:tcPr>
          <w:p>
            <w:pPr>
              <w:pStyle w:val="12"/>
            </w:pPr>
            <w:r>
              <w:t>反映治理尾矿库的数量</w:t>
            </w:r>
          </w:p>
        </w:tc>
        <w:tc>
          <w:tcPr>
            <w:tcW w:w="2268" w:type="dxa"/>
            <w:vAlign w:val="center"/>
          </w:tcPr>
          <w:p>
            <w:pPr>
              <w:pStyle w:val="12"/>
            </w:pPr>
            <w:r>
              <w:t>≥3家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度汛尾矿库的数量</w:t>
            </w:r>
          </w:p>
        </w:tc>
        <w:tc>
          <w:tcPr>
            <w:tcW w:w="5386" w:type="dxa"/>
            <w:vAlign w:val="center"/>
          </w:tcPr>
          <w:p>
            <w:pPr>
              <w:pStyle w:val="12"/>
            </w:pPr>
            <w:r>
              <w:t>反映度汛尾矿库的数量</w:t>
            </w:r>
          </w:p>
        </w:tc>
        <w:tc>
          <w:tcPr>
            <w:tcW w:w="2268" w:type="dxa"/>
            <w:vAlign w:val="center"/>
          </w:tcPr>
          <w:p>
            <w:pPr>
              <w:pStyle w:val="12"/>
            </w:pPr>
            <w:r>
              <w:t>≥100家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治理采空区的数量</w:t>
            </w:r>
          </w:p>
        </w:tc>
        <w:tc>
          <w:tcPr>
            <w:tcW w:w="5386" w:type="dxa"/>
            <w:vAlign w:val="center"/>
          </w:tcPr>
          <w:p>
            <w:pPr>
              <w:pStyle w:val="12"/>
            </w:pPr>
            <w:r>
              <w:t>反映治理采空区的数量</w:t>
            </w:r>
          </w:p>
        </w:tc>
        <w:tc>
          <w:tcPr>
            <w:tcW w:w="2268" w:type="dxa"/>
            <w:vAlign w:val="center"/>
          </w:tcPr>
          <w:p>
            <w:pPr>
              <w:pStyle w:val="12"/>
            </w:pPr>
            <w:r>
              <w:t>≥1家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非煤矿山治理率</w:t>
            </w:r>
          </w:p>
        </w:tc>
        <w:tc>
          <w:tcPr>
            <w:tcW w:w="5386" w:type="dxa"/>
            <w:vAlign w:val="center"/>
          </w:tcPr>
          <w:p>
            <w:pPr>
              <w:pStyle w:val="12"/>
            </w:pPr>
            <w:r>
              <w:t>已治理的数量占应治理数量的比率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网络监测系统运行稳定率</w:t>
            </w:r>
          </w:p>
        </w:tc>
        <w:tc>
          <w:tcPr>
            <w:tcW w:w="5386" w:type="dxa"/>
            <w:vAlign w:val="center"/>
          </w:tcPr>
          <w:p>
            <w:pPr>
              <w:pStyle w:val="12"/>
            </w:pPr>
            <w:r>
              <w:t>反映尾矿库在线监测等网络系统运行稳定的比例</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非煤矿山及时处理率</w:t>
            </w:r>
          </w:p>
        </w:tc>
        <w:tc>
          <w:tcPr>
            <w:tcW w:w="5386" w:type="dxa"/>
            <w:vAlign w:val="center"/>
          </w:tcPr>
          <w:p>
            <w:pPr>
              <w:pStyle w:val="12"/>
            </w:pPr>
            <w:r>
              <w:t>发现并彻底整改非煤矿山安全生产隐患</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企业补助费用</w:t>
            </w:r>
          </w:p>
        </w:tc>
        <w:tc>
          <w:tcPr>
            <w:tcW w:w="5386" w:type="dxa"/>
            <w:vAlign w:val="center"/>
          </w:tcPr>
          <w:p>
            <w:pPr>
              <w:pStyle w:val="12"/>
            </w:pPr>
            <w:r>
              <w:t>反映用于非煤矿山治理补助的费用</w:t>
            </w:r>
          </w:p>
        </w:tc>
        <w:tc>
          <w:tcPr>
            <w:tcW w:w="2268" w:type="dxa"/>
            <w:vAlign w:val="center"/>
          </w:tcPr>
          <w:p>
            <w:pPr>
              <w:pStyle w:val="12"/>
            </w:pPr>
            <w:r>
              <w:t>≤4.5万元</w:t>
            </w:r>
          </w:p>
        </w:tc>
        <w:tc>
          <w:tcPr>
            <w:tcW w:w="1276" w:type="dxa"/>
            <w:vAlign w:val="center"/>
          </w:tcPr>
          <w:p>
            <w:pPr>
              <w:pStyle w:val="12"/>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确保非煤矿山企业安全生产</w:t>
            </w:r>
          </w:p>
        </w:tc>
        <w:tc>
          <w:tcPr>
            <w:tcW w:w="5386" w:type="dxa"/>
            <w:vAlign w:val="center"/>
          </w:tcPr>
          <w:p>
            <w:pPr>
              <w:pStyle w:val="12"/>
            </w:pPr>
            <w:r>
              <w:t>遏制较大以上安全生产事故的发生，确保煤矿和非煤矿山企业安全生产</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安全生产事故发生起数</w:t>
            </w:r>
          </w:p>
        </w:tc>
        <w:tc>
          <w:tcPr>
            <w:tcW w:w="5386" w:type="dxa"/>
            <w:vAlign w:val="center"/>
          </w:tcPr>
          <w:p>
            <w:pPr>
              <w:pStyle w:val="12"/>
            </w:pPr>
            <w:r>
              <w:t>安全生产事故发生起数</w:t>
            </w:r>
          </w:p>
        </w:tc>
        <w:tc>
          <w:tcPr>
            <w:tcW w:w="2268" w:type="dxa"/>
            <w:vAlign w:val="center"/>
          </w:tcPr>
          <w:p>
            <w:pPr>
              <w:pStyle w:val="12"/>
            </w:pPr>
            <w:r>
              <w:t>&lt;1起</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接受服务的单位对所提供服务的满意程度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5、非煤矿山隐患排查及应急治理工作经费绩效目标表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13032126P003349103799</w:t>
            </w:r>
          </w:p>
        </w:tc>
        <w:tc>
          <w:tcPr>
            <w:tcW w:w="2835" w:type="dxa"/>
            <w:vAlign w:val="center"/>
          </w:tcPr>
          <w:p>
            <w:pPr>
              <w:pStyle w:val="10"/>
            </w:pPr>
            <w:r>
              <w:t>项目名称</w:t>
            </w:r>
          </w:p>
        </w:tc>
        <w:tc>
          <w:tcPr>
            <w:tcW w:w="6095" w:type="dxa"/>
            <w:gridSpan w:val="3"/>
            <w:vAlign w:val="center"/>
          </w:tcPr>
          <w:p>
            <w:pPr>
              <w:pStyle w:val="12"/>
            </w:pPr>
            <w:r>
              <w:t>非煤矿山隐患排查及应急治理工作经费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w:t>
            </w:r>
          </w:p>
        </w:tc>
        <w:tc>
          <w:tcPr>
            <w:tcW w:w="2835" w:type="dxa"/>
            <w:vAlign w:val="center"/>
          </w:tcPr>
          <w:p>
            <w:pPr>
              <w:pStyle w:val="10"/>
            </w:pPr>
            <w:r>
              <w:t>其中：财政    资金</w:t>
            </w:r>
          </w:p>
        </w:tc>
        <w:tc>
          <w:tcPr>
            <w:tcW w:w="2551" w:type="dxa"/>
            <w:vAlign w:val="center"/>
          </w:tcPr>
          <w:p>
            <w:pPr>
              <w:pStyle w:val="12"/>
            </w:pPr>
            <w:r>
              <w:t>2.40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预算安排2.4万元，其中财政拨款2.4万元，主要用于非煤矿山隐患排查支出。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1.通过非煤矿山隐患排查及应急治理工作开展，对存在危险风险的尾矿库、采空区、边坡等进行治理，对以前年度未完成的尾矿库和采空区治理项目进行完善。</w:t>
            </w:r>
            <w:r>
              <w:tab/>
            </w:r>
            <w:r>
              <w:tab/>
            </w:r>
          </w:p>
          <w:p>
            <w:pPr>
              <w:pStyle w:val="12"/>
            </w:pPr>
            <w:r>
              <w:t>2.通过非煤矿山隐患排查及应急治理工作开展，使全县尾矿库、采空区安全渡汛，确保企业生产和附近居民的生活环境及生命财产安全。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接受补助企业数量</w:t>
            </w:r>
          </w:p>
        </w:tc>
        <w:tc>
          <w:tcPr>
            <w:tcW w:w="5386" w:type="dxa"/>
            <w:vAlign w:val="center"/>
          </w:tcPr>
          <w:p>
            <w:pPr>
              <w:pStyle w:val="12"/>
            </w:pPr>
            <w:r>
              <w:t>反映接受补助企业数量</w:t>
            </w:r>
          </w:p>
        </w:tc>
        <w:tc>
          <w:tcPr>
            <w:tcW w:w="2268" w:type="dxa"/>
            <w:vAlign w:val="center"/>
          </w:tcPr>
          <w:p>
            <w:pPr>
              <w:pStyle w:val="12"/>
            </w:pPr>
            <w:r>
              <w:t>≥10家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治理尾矿库的数量</w:t>
            </w:r>
          </w:p>
        </w:tc>
        <w:tc>
          <w:tcPr>
            <w:tcW w:w="5386" w:type="dxa"/>
            <w:vAlign w:val="center"/>
          </w:tcPr>
          <w:p>
            <w:pPr>
              <w:pStyle w:val="12"/>
            </w:pPr>
            <w:r>
              <w:t>反映治理尾矿库的数量</w:t>
            </w:r>
          </w:p>
        </w:tc>
        <w:tc>
          <w:tcPr>
            <w:tcW w:w="2268" w:type="dxa"/>
            <w:vAlign w:val="center"/>
          </w:tcPr>
          <w:p>
            <w:pPr>
              <w:pStyle w:val="12"/>
            </w:pPr>
            <w:r>
              <w:t>≥3家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度汛尾矿库的数量</w:t>
            </w:r>
          </w:p>
        </w:tc>
        <w:tc>
          <w:tcPr>
            <w:tcW w:w="5386" w:type="dxa"/>
            <w:vAlign w:val="center"/>
          </w:tcPr>
          <w:p>
            <w:pPr>
              <w:pStyle w:val="12"/>
            </w:pPr>
            <w:r>
              <w:t>反映度汛尾矿库的数量</w:t>
            </w:r>
          </w:p>
        </w:tc>
        <w:tc>
          <w:tcPr>
            <w:tcW w:w="2268" w:type="dxa"/>
            <w:vAlign w:val="center"/>
          </w:tcPr>
          <w:p>
            <w:pPr>
              <w:pStyle w:val="12"/>
            </w:pPr>
            <w:r>
              <w:t>≥100家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治理采空区的数量</w:t>
            </w:r>
          </w:p>
        </w:tc>
        <w:tc>
          <w:tcPr>
            <w:tcW w:w="5386" w:type="dxa"/>
            <w:vAlign w:val="center"/>
          </w:tcPr>
          <w:p>
            <w:pPr>
              <w:pStyle w:val="12"/>
            </w:pPr>
            <w:r>
              <w:t>反映治理采空区的数量</w:t>
            </w:r>
          </w:p>
        </w:tc>
        <w:tc>
          <w:tcPr>
            <w:tcW w:w="2268" w:type="dxa"/>
            <w:vAlign w:val="center"/>
          </w:tcPr>
          <w:p>
            <w:pPr>
              <w:pStyle w:val="12"/>
            </w:pPr>
            <w:r>
              <w:t>≥1家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非煤矿山治理率</w:t>
            </w:r>
          </w:p>
        </w:tc>
        <w:tc>
          <w:tcPr>
            <w:tcW w:w="5386" w:type="dxa"/>
            <w:vAlign w:val="center"/>
          </w:tcPr>
          <w:p>
            <w:pPr>
              <w:pStyle w:val="12"/>
            </w:pPr>
            <w:r>
              <w:t>已治理的数量占应治理数量的比率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网络监测系统运行稳定率</w:t>
            </w:r>
          </w:p>
        </w:tc>
        <w:tc>
          <w:tcPr>
            <w:tcW w:w="5386" w:type="dxa"/>
            <w:vAlign w:val="center"/>
          </w:tcPr>
          <w:p>
            <w:pPr>
              <w:pStyle w:val="12"/>
            </w:pPr>
            <w:r>
              <w:t>反映尾矿库在线监测等网络系统运行稳定的比例</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非煤矿山及时处理率</w:t>
            </w:r>
          </w:p>
        </w:tc>
        <w:tc>
          <w:tcPr>
            <w:tcW w:w="5386" w:type="dxa"/>
            <w:vAlign w:val="center"/>
          </w:tcPr>
          <w:p>
            <w:pPr>
              <w:pStyle w:val="12"/>
            </w:pPr>
            <w:r>
              <w:t>发现并彻底整改非煤矿山安全生产隐患</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w:t>
            </w:r>
          </w:p>
        </w:tc>
        <w:tc>
          <w:tcPr>
            <w:tcW w:w="5386" w:type="dxa"/>
            <w:vAlign w:val="center"/>
          </w:tcPr>
          <w:p>
            <w:pPr>
              <w:pStyle w:val="12"/>
            </w:pPr>
            <w:r>
              <w:t>反映用于非煤矿山治理办公的费用</w:t>
            </w:r>
          </w:p>
        </w:tc>
        <w:tc>
          <w:tcPr>
            <w:tcW w:w="2268" w:type="dxa"/>
            <w:vAlign w:val="center"/>
          </w:tcPr>
          <w:p>
            <w:pPr>
              <w:pStyle w:val="12"/>
            </w:pPr>
            <w:r>
              <w:t>≤0.4万元</w:t>
            </w:r>
          </w:p>
        </w:tc>
        <w:tc>
          <w:tcPr>
            <w:tcW w:w="1276" w:type="dxa"/>
            <w:vAlign w:val="center"/>
          </w:tcPr>
          <w:p>
            <w:pPr>
              <w:pStyle w:val="12"/>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劳务费</w:t>
            </w:r>
          </w:p>
        </w:tc>
        <w:tc>
          <w:tcPr>
            <w:tcW w:w="5386" w:type="dxa"/>
            <w:vAlign w:val="center"/>
          </w:tcPr>
          <w:p>
            <w:pPr>
              <w:pStyle w:val="12"/>
            </w:pPr>
            <w:r>
              <w:t>反应用于隐患排查专家服务费用</w:t>
            </w:r>
          </w:p>
        </w:tc>
        <w:tc>
          <w:tcPr>
            <w:tcW w:w="2268" w:type="dxa"/>
            <w:vAlign w:val="center"/>
          </w:tcPr>
          <w:p>
            <w:pPr>
              <w:pStyle w:val="12"/>
            </w:pPr>
            <w:r>
              <w:t>≤1.2万元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公车运行维护费</w:t>
            </w:r>
          </w:p>
        </w:tc>
        <w:tc>
          <w:tcPr>
            <w:tcW w:w="5386" w:type="dxa"/>
            <w:vAlign w:val="center"/>
          </w:tcPr>
          <w:p>
            <w:pPr>
              <w:pStyle w:val="12"/>
            </w:pPr>
            <w:r>
              <w:t>反映用于非煤矿山治理公车维护使用的费用</w:t>
            </w:r>
          </w:p>
        </w:tc>
        <w:tc>
          <w:tcPr>
            <w:tcW w:w="2268" w:type="dxa"/>
            <w:vAlign w:val="center"/>
          </w:tcPr>
          <w:p>
            <w:pPr>
              <w:pStyle w:val="12"/>
            </w:pPr>
            <w:r>
              <w:t>≤0.8万元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确保非煤矿山企业安全生产</w:t>
            </w:r>
          </w:p>
        </w:tc>
        <w:tc>
          <w:tcPr>
            <w:tcW w:w="5386" w:type="dxa"/>
            <w:vAlign w:val="center"/>
          </w:tcPr>
          <w:p>
            <w:pPr>
              <w:pStyle w:val="12"/>
            </w:pPr>
            <w:r>
              <w:t>遏制较大以上安全生产事故的发生，确保煤矿和非煤矿山企业安全生产</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安全生产事故发生起数</w:t>
            </w:r>
          </w:p>
        </w:tc>
        <w:tc>
          <w:tcPr>
            <w:tcW w:w="5386" w:type="dxa"/>
            <w:vAlign w:val="center"/>
          </w:tcPr>
          <w:p>
            <w:pPr>
              <w:pStyle w:val="12"/>
            </w:pPr>
            <w:r>
              <w:t>安全生产事故发生起数</w:t>
            </w:r>
          </w:p>
        </w:tc>
        <w:tc>
          <w:tcPr>
            <w:tcW w:w="2268" w:type="dxa"/>
            <w:vAlign w:val="center"/>
          </w:tcPr>
          <w:p>
            <w:pPr>
              <w:pStyle w:val="12"/>
            </w:pPr>
            <w:r>
              <w:t>0起</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接受服务的单位对所提供服务的满意程度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6、应急灾害风险防治专项经费绩效目标表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13032125P003349103084</w:t>
            </w:r>
          </w:p>
        </w:tc>
        <w:tc>
          <w:tcPr>
            <w:tcW w:w="2835" w:type="dxa"/>
            <w:vAlign w:val="center"/>
          </w:tcPr>
          <w:p>
            <w:pPr>
              <w:pStyle w:val="10"/>
            </w:pPr>
            <w:r>
              <w:t>项目名称</w:t>
            </w:r>
          </w:p>
        </w:tc>
        <w:tc>
          <w:tcPr>
            <w:tcW w:w="6095" w:type="dxa"/>
            <w:gridSpan w:val="3"/>
            <w:vAlign w:val="center"/>
          </w:tcPr>
          <w:p>
            <w:pPr>
              <w:pStyle w:val="12"/>
            </w:pPr>
            <w:r>
              <w:t>应急灾害风险防治专项经费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w:t>
            </w:r>
          </w:p>
        </w:tc>
        <w:tc>
          <w:tcPr>
            <w:tcW w:w="2835" w:type="dxa"/>
            <w:vAlign w:val="center"/>
          </w:tcPr>
          <w:p>
            <w:pPr>
              <w:pStyle w:val="10"/>
            </w:pPr>
            <w:r>
              <w:t>其中：财政    资金</w:t>
            </w:r>
          </w:p>
        </w:tc>
        <w:tc>
          <w:tcPr>
            <w:tcW w:w="2551" w:type="dxa"/>
            <w:vAlign w:val="center"/>
          </w:tcPr>
          <w:p>
            <w:pPr>
              <w:pStyle w:val="12"/>
            </w:pPr>
            <w:r>
              <w:t>2.10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预算安排2.1万元，其中：财政拨款2.1万元，主要用于开展应急灾害风险防治工作支出。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1.通过开展应急灾害风险防治工作，使灾情检查、灾害救助工作圆满完成。</w:t>
            </w:r>
            <w:r>
              <w:tab/>
            </w:r>
            <w:r>
              <w:tab/>
            </w:r>
            <w:r>
              <w:tab/>
            </w:r>
            <w:r>
              <w:tab/>
            </w:r>
            <w:r>
              <w:tab/>
            </w:r>
          </w:p>
          <w:p>
            <w:pPr>
              <w:pStyle w:val="12"/>
            </w:pPr>
            <w:r>
              <w:t>2.通过开展应急灾害风险防治工作，使组织协调重要应急物资的储备、调拨和紧急配送，承担救灾款物的管理、分配和监督使用管理工作如期完成。</w:t>
            </w:r>
          </w:p>
          <w:p>
            <w:pPr>
              <w:pStyle w:val="12"/>
            </w:pPr>
            <w:r>
              <w:t>3.通过开展应急灾害风险防治工作，使我县应急值守值班、应急预案编制演练、各项灾害防治工作正常开展。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用于应急防灾减灾宣传单</w:t>
            </w:r>
          </w:p>
        </w:tc>
        <w:tc>
          <w:tcPr>
            <w:tcW w:w="2268" w:type="dxa"/>
            <w:vAlign w:val="center"/>
          </w:tcPr>
          <w:p>
            <w:pPr>
              <w:pStyle w:val="12"/>
            </w:pPr>
            <w:r>
              <w:t>≥1000份</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灾害检查次数</w:t>
            </w:r>
          </w:p>
        </w:tc>
        <w:tc>
          <w:tcPr>
            <w:tcW w:w="5386" w:type="dxa"/>
            <w:vAlign w:val="center"/>
          </w:tcPr>
          <w:p>
            <w:pPr>
              <w:pStyle w:val="12"/>
            </w:pPr>
            <w:r>
              <w:t>反映年度灾害检查的次数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应急预案演练次数</w:t>
            </w:r>
          </w:p>
        </w:tc>
        <w:tc>
          <w:tcPr>
            <w:tcW w:w="5386" w:type="dxa"/>
            <w:vAlign w:val="center"/>
          </w:tcPr>
          <w:p>
            <w:pPr>
              <w:pStyle w:val="12"/>
            </w:pPr>
            <w:r>
              <w:t>反映应急预案演练的次数</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应急预案演练完成率</w:t>
            </w:r>
          </w:p>
        </w:tc>
        <w:tc>
          <w:tcPr>
            <w:tcW w:w="5386" w:type="dxa"/>
            <w:vAlign w:val="center"/>
          </w:tcPr>
          <w:p>
            <w:pPr>
              <w:pStyle w:val="12"/>
            </w:pPr>
            <w:r>
              <w:t>全县安全生产应急救援预案编制与备案工作实际完成情况与年初目标的比例情况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灾害检查完成率</w:t>
            </w:r>
          </w:p>
        </w:tc>
        <w:tc>
          <w:tcPr>
            <w:tcW w:w="5386" w:type="dxa"/>
            <w:vAlign w:val="center"/>
          </w:tcPr>
          <w:p>
            <w:pPr>
              <w:pStyle w:val="12"/>
            </w:pPr>
            <w:r>
              <w:t>反映完成灾害检查完成占计划数量的完成率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演练时间</w:t>
            </w:r>
          </w:p>
        </w:tc>
        <w:tc>
          <w:tcPr>
            <w:tcW w:w="5386" w:type="dxa"/>
            <w:vAlign w:val="center"/>
          </w:tcPr>
          <w:p>
            <w:pPr>
              <w:pStyle w:val="12"/>
            </w:pPr>
            <w:r>
              <w:t>反映应急预案演练时间</w:t>
            </w:r>
          </w:p>
        </w:tc>
        <w:tc>
          <w:tcPr>
            <w:tcW w:w="2268" w:type="dxa"/>
            <w:vAlign w:val="center"/>
          </w:tcPr>
          <w:p>
            <w:pPr>
              <w:pStyle w:val="12"/>
            </w:pPr>
            <w:r>
              <w:t>上半年一次、下半年一次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办公费成本</w:t>
            </w:r>
          </w:p>
        </w:tc>
        <w:tc>
          <w:tcPr>
            <w:tcW w:w="5386" w:type="dxa"/>
            <w:vAlign w:val="center"/>
          </w:tcPr>
          <w:p>
            <w:pPr>
              <w:pStyle w:val="12"/>
            </w:pPr>
            <w:r>
              <w:t>反映用于办公用品采购的</w:t>
            </w:r>
          </w:p>
        </w:tc>
        <w:tc>
          <w:tcPr>
            <w:tcW w:w="2268" w:type="dxa"/>
            <w:vAlign w:val="center"/>
          </w:tcPr>
          <w:p>
            <w:pPr>
              <w:pStyle w:val="12"/>
            </w:pPr>
            <w:r>
              <w:t>≤2.1万元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重特大安全生产事故发生率</w:t>
            </w:r>
          </w:p>
        </w:tc>
        <w:tc>
          <w:tcPr>
            <w:tcW w:w="5386" w:type="dxa"/>
            <w:vAlign w:val="center"/>
          </w:tcPr>
          <w:p>
            <w:pPr>
              <w:pStyle w:val="12"/>
            </w:pPr>
            <w:r>
              <w:t>防止重点行业、重点企业、重点区域发生重特大安全生产事故，强化企业各项安全保障措施落实到位</w:t>
            </w:r>
          </w:p>
        </w:tc>
        <w:tc>
          <w:tcPr>
            <w:tcW w:w="2268" w:type="dxa"/>
            <w:vAlign w:val="center"/>
          </w:tcPr>
          <w:p>
            <w:pPr>
              <w:pStyle w:val="12"/>
            </w:pPr>
            <w:r>
              <w:t>&lt;1事故</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减少灾害损失率</w:t>
            </w:r>
          </w:p>
        </w:tc>
        <w:tc>
          <w:tcPr>
            <w:tcW w:w="5386" w:type="dxa"/>
            <w:vAlign w:val="center"/>
          </w:tcPr>
          <w:p>
            <w:pPr>
              <w:pStyle w:val="12"/>
            </w:pPr>
            <w:r>
              <w:t>全县减少因灾损失率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受益对象满意程度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7、应急灾害风险防治专项经费绩效目标表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13032126P00334910380L</w:t>
            </w:r>
          </w:p>
        </w:tc>
        <w:tc>
          <w:tcPr>
            <w:tcW w:w="2835" w:type="dxa"/>
            <w:vAlign w:val="center"/>
          </w:tcPr>
          <w:p>
            <w:pPr>
              <w:pStyle w:val="10"/>
            </w:pPr>
            <w:r>
              <w:t>项目名称</w:t>
            </w:r>
          </w:p>
        </w:tc>
        <w:tc>
          <w:tcPr>
            <w:tcW w:w="6095" w:type="dxa"/>
            <w:gridSpan w:val="3"/>
            <w:vAlign w:val="center"/>
          </w:tcPr>
          <w:p>
            <w:pPr>
              <w:pStyle w:val="12"/>
            </w:pPr>
            <w:r>
              <w:t>应急灾害风险防治专项经费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w:t>
            </w:r>
          </w:p>
        </w:tc>
        <w:tc>
          <w:tcPr>
            <w:tcW w:w="2835" w:type="dxa"/>
            <w:vAlign w:val="center"/>
          </w:tcPr>
          <w:p>
            <w:pPr>
              <w:pStyle w:val="10"/>
            </w:pPr>
            <w:r>
              <w:t>其中：财政    资金</w:t>
            </w:r>
          </w:p>
        </w:tc>
        <w:tc>
          <w:tcPr>
            <w:tcW w:w="2551" w:type="dxa"/>
            <w:vAlign w:val="center"/>
          </w:tcPr>
          <w:p>
            <w:pPr>
              <w:pStyle w:val="12"/>
            </w:pPr>
            <w:r>
              <w:t>1.60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预算安排1.6万元，其中财政拨款1.6万元，主要用于应急灾害风险防治支出。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1.通过开展应急灾害风险防治工作，使组织协调重要应急物资的储备、调拨和紧急配送，承担救灾款物的管理、分配和监督使用管理工作如期完成。</w:t>
            </w:r>
          </w:p>
          <w:p>
            <w:pPr>
              <w:pStyle w:val="12"/>
            </w:pPr>
            <w:r>
              <w:t>2.通过开展应急灾害风险防治工作，使我县应急值守值班、应急预案编制演练、各项灾害防治工作正常开展。</w:t>
            </w:r>
          </w:p>
          <w:p>
            <w:pPr>
              <w:pStyle w:val="12"/>
            </w:pPr>
            <w:r>
              <w:t>3.通过开展应急灾害风险防治工作，使灾情检查、灾害救助工作圆满完成。</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用于应急防灾减灾宣传单</w:t>
            </w:r>
          </w:p>
        </w:tc>
        <w:tc>
          <w:tcPr>
            <w:tcW w:w="2268" w:type="dxa"/>
            <w:vAlign w:val="center"/>
          </w:tcPr>
          <w:p>
            <w:pPr>
              <w:pStyle w:val="12"/>
            </w:pPr>
            <w:r>
              <w:t>≥1000份</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灾害检查次数</w:t>
            </w:r>
          </w:p>
        </w:tc>
        <w:tc>
          <w:tcPr>
            <w:tcW w:w="5386" w:type="dxa"/>
            <w:vAlign w:val="center"/>
          </w:tcPr>
          <w:p>
            <w:pPr>
              <w:pStyle w:val="12"/>
            </w:pPr>
            <w:r>
              <w:t>反映年度灾害检查的次数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应急预案演练次数</w:t>
            </w:r>
          </w:p>
        </w:tc>
        <w:tc>
          <w:tcPr>
            <w:tcW w:w="5386" w:type="dxa"/>
            <w:vAlign w:val="center"/>
          </w:tcPr>
          <w:p>
            <w:pPr>
              <w:pStyle w:val="12"/>
            </w:pPr>
            <w:r>
              <w:t>反映应急预案演练的次数</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应急预案演练完成率</w:t>
            </w:r>
          </w:p>
        </w:tc>
        <w:tc>
          <w:tcPr>
            <w:tcW w:w="5386" w:type="dxa"/>
            <w:vAlign w:val="center"/>
          </w:tcPr>
          <w:p>
            <w:pPr>
              <w:pStyle w:val="12"/>
            </w:pPr>
            <w:r>
              <w:t>全县安全生产应急救援预案编制与备案工作实际完成情况与年初目标的比例情况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灾害检查完成率</w:t>
            </w:r>
          </w:p>
        </w:tc>
        <w:tc>
          <w:tcPr>
            <w:tcW w:w="5386" w:type="dxa"/>
            <w:vAlign w:val="center"/>
          </w:tcPr>
          <w:p>
            <w:pPr>
              <w:pStyle w:val="12"/>
            </w:pPr>
            <w:r>
              <w:t>反映完成灾害检查完成占计划数量的完成率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演练时间</w:t>
            </w:r>
          </w:p>
        </w:tc>
        <w:tc>
          <w:tcPr>
            <w:tcW w:w="5386" w:type="dxa"/>
            <w:vAlign w:val="center"/>
          </w:tcPr>
          <w:p>
            <w:pPr>
              <w:pStyle w:val="12"/>
            </w:pPr>
            <w:r>
              <w:t>反映应急预案演练时间</w:t>
            </w:r>
          </w:p>
        </w:tc>
        <w:tc>
          <w:tcPr>
            <w:tcW w:w="2268" w:type="dxa"/>
            <w:vAlign w:val="center"/>
          </w:tcPr>
          <w:p>
            <w:pPr>
              <w:pStyle w:val="12"/>
            </w:pPr>
            <w:r>
              <w:t>上半年一次、下半年一次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印刷费成本</w:t>
            </w:r>
          </w:p>
        </w:tc>
        <w:tc>
          <w:tcPr>
            <w:tcW w:w="5386" w:type="dxa"/>
            <w:vAlign w:val="center"/>
          </w:tcPr>
          <w:p>
            <w:pPr>
              <w:pStyle w:val="12"/>
            </w:pPr>
            <w:r>
              <w:t>反映印刷费用</w:t>
            </w:r>
          </w:p>
        </w:tc>
        <w:tc>
          <w:tcPr>
            <w:tcW w:w="2268" w:type="dxa"/>
            <w:vAlign w:val="center"/>
          </w:tcPr>
          <w:p>
            <w:pPr>
              <w:pStyle w:val="12"/>
            </w:pPr>
            <w:r>
              <w:t>≤0.2万元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其他交通费成本</w:t>
            </w:r>
          </w:p>
        </w:tc>
        <w:tc>
          <w:tcPr>
            <w:tcW w:w="5386" w:type="dxa"/>
            <w:vAlign w:val="center"/>
          </w:tcPr>
          <w:p>
            <w:pPr>
              <w:pStyle w:val="12"/>
            </w:pPr>
            <w:r>
              <w:t>反映租车等费用</w:t>
            </w:r>
          </w:p>
        </w:tc>
        <w:tc>
          <w:tcPr>
            <w:tcW w:w="2268" w:type="dxa"/>
            <w:vAlign w:val="center"/>
          </w:tcPr>
          <w:p>
            <w:pPr>
              <w:pStyle w:val="12"/>
            </w:pPr>
            <w:r>
              <w:t>≤0.2万元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办公费成本</w:t>
            </w:r>
          </w:p>
        </w:tc>
        <w:tc>
          <w:tcPr>
            <w:tcW w:w="5386" w:type="dxa"/>
            <w:vAlign w:val="center"/>
          </w:tcPr>
          <w:p>
            <w:pPr>
              <w:pStyle w:val="12"/>
            </w:pPr>
            <w:r>
              <w:t>反映用于办公用品采购的</w:t>
            </w:r>
          </w:p>
        </w:tc>
        <w:tc>
          <w:tcPr>
            <w:tcW w:w="2268" w:type="dxa"/>
            <w:vAlign w:val="center"/>
          </w:tcPr>
          <w:p>
            <w:pPr>
              <w:pStyle w:val="12"/>
            </w:pPr>
            <w:r>
              <w:t>≤0.8万元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公车运行维护费成本</w:t>
            </w:r>
          </w:p>
        </w:tc>
        <w:tc>
          <w:tcPr>
            <w:tcW w:w="5386" w:type="dxa"/>
            <w:vAlign w:val="center"/>
          </w:tcPr>
          <w:p>
            <w:pPr>
              <w:pStyle w:val="12"/>
            </w:pPr>
            <w:r>
              <w:t>反映用于公车使用费用</w:t>
            </w:r>
          </w:p>
        </w:tc>
        <w:tc>
          <w:tcPr>
            <w:tcW w:w="2268" w:type="dxa"/>
            <w:vAlign w:val="center"/>
          </w:tcPr>
          <w:p>
            <w:pPr>
              <w:pStyle w:val="12"/>
            </w:pPr>
            <w:r>
              <w:t>≤0.4万元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重特大安全生产事故发生率</w:t>
            </w:r>
          </w:p>
        </w:tc>
        <w:tc>
          <w:tcPr>
            <w:tcW w:w="5386" w:type="dxa"/>
            <w:vAlign w:val="center"/>
          </w:tcPr>
          <w:p>
            <w:pPr>
              <w:pStyle w:val="12"/>
            </w:pPr>
            <w:r>
              <w:t>防止重点行业、重点企业、重点区域发生重特大安全生产事故，强化企业各项安全保障措施落实到位</w:t>
            </w:r>
          </w:p>
        </w:tc>
        <w:tc>
          <w:tcPr>
            <w:tcW w:w="2268" w:type="dxa"/>
            <w:vAlign w:val="center"/>
          </w:tcPr>
          <w:p>
            <w:pPr>
              <w:pStyle w:val="12"/>
            </w:pPr>
            <w:r>
              <w:t>0事故</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减少灾害损失率</w:t>
            </w:r>
          </w:p>
        </w:tc>
        <w:tc>
          <w:tcPr>
            <w:tcW w:w="5386" w:type="dxa"/>
            <w:vAlign w:val="center"/>
          </w:tcPr>
          <w:p>
            <w:pPr>
              <w:pStyle w:val="12"/>
            </w:pPr>
            <w:r>
              <w:t>全县减少因灾损失率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受益对象满意程度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8、购置基本防护装备经费绩效目标表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13032125P003351100082</w:t>
            </w:r>
          </w:p>
        </w:tc>
        <w:tc>
          <w:tcPr>
            <w:tcW w:w="2835" w:type="dxa"/>
            <w:vAlign w:val="center"/>
          </w:tcPr>
          <w:p>
            <w:pPr>
              <w:pStyle w:val="10"/>
            </w:pPr>
            <w:r>
              <w:t>项目名称</w:t>
            </w:r>
          </w:p>
        </w:tc>
        <w:tc>
          <w:tcPr>
            <w:tcW w:w="6095" w:type="dxa"/>
            <w:gridSpan w:val="3"/>
            <w:vAlign w:val="center"/>
          </w:tcPr>
          <w:p>
            <w:pPr>
              <w:pStyle w:val="12"/>
            </w:pPr>
            <w:r>
              <w:t>购置基本防护装备经费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0.02</w:t>
            </w:r>
          </w:p>
        </w:tc>
        <w:tc>
          <w:tcPr>
            <w:tcW w:w="2835" w:type="dxa"/>
            <w:vAlign w:val="center"/>
          </w:tcPr>
          <w:p>
            <w:pPr>
              <w:pStyle w:val="10"/>
            </w:pPr>
            <w:r>
              <w:t>其中：财政    资金</w:t>
            </w:r>
          </w:p>
        </w:tc>
        <w:tc>
          <w:tcPr>
            <w:tcW w:w="2551" w:type="dxa"/>
            <w:vAlign w:val="center"/>
          </w:tcPr>
          <w:p>
            <w:pPr>
              <w:pStyle w:val="12"/>
            </w:pPr>
            <w:r>
              <w:t>0.02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预算安排0.0206万元，其中：财政拨款0.0206万元，主要用于购置基本防护装备支出。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1.通过购置基本防护装备，保证消防站正常执勤备战。</w:t>
            </w:r>
          </w:p>
          <w:p>
            <w:pPr>
              <w:pStyle w:val="12"/>
            </w:pPr>
            <w:r>
              <w:t>2.通过购置基本防护装备，保障本地抢险救援任务顺利完成。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消防装备数量</w:t>
            </w:r>
          </w:p>
        </w:tc>
        <w:tc>
          <w:tcPr>
            <w:tcW w:w="5386" w:type="dxa"/>
            <w:vAlign w:val="center"/>
          </w:tcPr>
          <w:p>
            <w:pPr>
              <w:pStyle w:val="12"/>
            </w:pPr>
            <w:r>
              <w:t>反映购买消防装备总数</w:t>
            </w:r>
          </w:p>
        </w:tc>
        <w:tc>
          <w:tcPr>
            <w:tcW w:w="2268" w:type="dxa"/>
            <w:vAlign w:val="center"/>
          </w:tcPr>
          <w:p>
            <w:pPr>
              <w:pStyle w:val="12"/>
            </w:pPr>
            <w:r>
              <w:t>≥267个</w:t>
            </w:r>
          </w:p>
        </w:tc>
        <w:tc>
          <w:tcPr>
            <w:tcW w:w="1276" w:type="dxa"/>
            <w:vAlign w:val="center"/>
          </w:tcPr>
          <w:p>
            <w:pPr>
              <w:pStyle w:val="12"/>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装备验收合格率</w:t>
            </w:r>
          </w:p>
        </w:tc>
        <w:tc>
          <w:tcPr>
            <w:tcW w:w="5386" w:type="dxa"/>
            <w:vAlign w:val="center"/>
          </w:tcPr>
          <w:p>
            <w:pPr>
              <w:pStyle w:val="12"/>
            </w:pPr>
            <w:r>
              <w:t>验收合格</w:t>
            </w:r>
          </w:p>
        </w:tc>
        <w:tc>
          <w:tcPr>
            <w:tcW w:w="2268" w:type="dxa"/>
            <w:vAlign w:val="center"/>
          </w:tcPr>
          <w:p>
            <w:pPr>
              <w:pStyle w:val="12"/>
            </w:pPr>
            <w:r>
              <w:t>验收合格</w:t>
            </w:r>
          </w:p>
        </w:tc>
        <w:tc>
          <w:tcPr>
            <w:tcW w:w="1276" w:type="dxa"/>
            <w:vAlign w:val="center"/>
          </w:tcPr>
          <w:p>
            <w:pPr>
              <w:pStyle w:val="12"/>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配发时间</w:t>
            </w:r>
          </w:p>
        </w:tc>
        <w:tc>
          <w:tcPr>
            <w:tcW w:w="5386" w:type="dxa"/>
            <w:vAlign w:val="center"/>
          </w:tcPr>
          <w:p>
            <w:pPr>
              <w:pStyle w:val="12"/>
            </w:pPr>
            <w:r>
              <w:t>当年配发</w:t>
            </w:r>
          </w:p>
        </w:tc>
        <w:tc>
          <w:tcPr>
            <w:tcW w:w="2268" w:type="dxa"/>
            <w:vAlign w:val="center"/>
          </w:tcPr>
          <w:p>
            <w:pPr>
              <w:pStyle w:val="12"/>
            </w:pPr>
            <w:r>
              <w:t>年底前配发完毕</w:t>
            </w:r>
          </w:p>
        </w:tc>
        <w:tc>
          <w:tcPr>
            <w:tcW w:w="1276" w:type="dxa"/>
            <w:vAlign w:val="center"/>
          </w:tcPr>
          <w:p>
            <w:pPr>
              <w:pStyle w:val="12"/>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提高消防救援水平</w:t>
            </w:r>
          </w:p>
        </w:tc>
        <w:tc>
          <w:tcPr>
            <w:tcW w:w="5386" w:type="dxa"/>
            <w:vAlign w:val="center"/>
          </w:tcPr>
          <w:p>
            <w:pPr>
              <w:pStyle w:val="12"/>
            </w:pPr>
            <w:r>
              <w:t>消防救援能力提升</w:t>
            </w:r>
          </w:p>
        </w:tc>
        <w:tc>
          <w:tcPr>
            <w:tcW w:w="2268" w:type="dxa"/>
            <w:vAlign w:val="center"/>
          </w:tcPr>
          <w:p>
            <w:pPr>
              <w:pStyle w:val="12"/>
            </w:pPr>
            <w:r>
              <w:t>≤0.02万元</w:t>
            </w:r>
          </w:p>
        </w:tc>
        <w:tc>
          <w:tcPr>
            <w:tcW w:w="1276" w:type="dxa"/>
            <w:vAlign w:val="center"/>
          </w:tcPr>
          <w:p>
            <w:pPr>
              <w:pStyle w:val="12"/>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保障辖区消防安全稳定</w:t>
            </w:r>
          </w:p>
        </w:tc>
        <w:tc>
          <w:tcPr>
            <w:tcW w:w="5386" w:type="dxa"/>
            <w:vAlign w:val="center"/>
          </w:tcPr>
          <w:p>
            <w:pPr>
              <w:pStyle w:val="12"/>
            </w:pPr>
            <w:r>
              <w:t>满足地区消防安保及地方经济建设消防安全需求</w:t>
            </w:r>
          </w:p>
        </w:tc>
        <w:tc>
          <w:tcPr>
            <w:tcW w:w="2268" w:type="dxa"/>
            <w:vAlign w:val="center"/>
          </w:tcPr>
          <w:p>
            <w:pPr>
              <w:pStyle w:val="12"/>
            </w:pPr>
            <w:r>
              <w:t>及时处置火灾、抢险救援等事故</w:t>
            </w:r>
          </w:p>
          <w:p>
            <w:pPr>
              <w:pStyle w:val="12"/>
            </w:pPr>
            <w:r>
              <w:t>灾害</w:t>
            </w:r>
          </w:p>
        </w:tc>
        <w:tc>
          <w:tcPr>
            <w:tcW w:w="1276" w:type="dxa"/>
            <w:vAlign w:val="center"/>
          </w:tcPr>
          <w:p>
            <w:pPr>
              <w:pStyle w:val="12"/>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减少灾害损失率</w:t>
            </w:r>
          </w:p>
        </w:tc>
        <w:tc>
          <w:tcPr>
            <w:tcW w:w="5386" w:type="dxa"/>
            <w:vAlign w:val="center"/>
          </w:tcPr>
          <w:p>
            <w:pPr>
              <w:pStyle w:val="12"/>
            </w:pPr>
            <w:r>
              <w:t>全县减少因灾损失率</w:t>
            </w:r>
          </w:p>
        </w:tc>
        <w:tc>
          <w:tcPr>
            <w:tcW w:w="2268" w:type="dxa"/>
            <w:vAlign w:val="center"/>
          </w:tcPr>
          <w:p>
            <w:pPr>
              <w:pStyle w:val="12"/>
            </w:pPr>
            <w:r>
              <w:t>≥95%</w:t>
            </w:r>
          </w:p>
        </w:tc>
        <w:tc>
          <w:tcPr>
            <w:tcW w:w="1276" w:type="dxa"/>
            <w:vAlign w:val="center"/>
          </w:tcPr>
          <w:p>
            <w:pPr>
              <w:pStyle w:val="12"/>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提升消防救援水平</w:t>
            </w:r>
          </w:p>
        </w:tc>
        <w:tc>
          <w:tcPr>
            <w:tcW w:w="5386" w:type="dxa"/>
            <w:vAlign w:val="center"/>
          </w:tcPr>
          <w:p>
            <w:pPr>
              <w:pStyle w:val="12"/>
            </w:pPr>
            <w:r>
              <w:t>能够保障消防员安全顺利处置火灾、抢险救援等灾害事故</w:t>
            </w:r>
          </w:p>
        </w:tc>
        <w:tc>
          <w:tcPr>
            <w:tcW w:w="2268" w:type="dxa"/>
            <w:vAlign w:val="center"/>
          </w:tcPr>
          <w:p>
            <w:pPr>
              <w:pStyle w:val="12"/>
            </w:pPr>
            <w:r>
              <w:t>保障配齐基本防护装备</w:t>
            </w:r>
          </w:p>
        </w:tc>
        <w:tc>
          <w:tcPr>
            <w:tcW w:w="1276" w:type="dxa"/>
            <w:vAlign w:val="center"/>
          </w:tcPr>
          <w:p>
            <w:pPr>
              <w:pStyle w:val="12"/>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消防救援指战员满意度</w:t>
            </w:r>
          </w:p>
        </w:tc>
        <w:tc>
          <w:tcPr>
            <w:tcW w:w="5386" w:type="dxa"/>
            <w:vAlign w:val="center"/>
          </w:tcPr>
          <w:p>
            <w:pPr>
              <w:pStyle w:val="12"/>
            </w:pPr>
            <w:r>
              <w:t>调查指战员反馈满意和较满意的数量占参与调查指战员总数量的比率</w:t>
            </w:r>
          </w:p>
        </w:tc>
        <w:tc>
          <w:tcPr>
            <w:tcW w:w="2268" w:type="dxa"/>
            <w:vAlign w:val="center"/>
          </w:tcPr>
          <w:p>
            <w:pPr>
              <w:pStyle w:val="12"/>
            </w:pPr>
            <w:r>
              <w:t>≥95%</w:t>
            </w:r>
          </w:p>
        </w:tc>
        <w:tc>
          <w:tcPr>
            <w:tcW w:w="1276" w:type="dxa"/>
            <w:vAlign w:val="center"/>
          </w:tcPr>
          <w:p>
            <w:pPr>
              <w:pStyle w:val="12"/>
            </w:pPr>
            <w:r>
              <w:t>《城市消防站建设标准》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9、关于提前下达2025年非煤矿山综合治理专项资金的通知（冀财建[2024]287号）绩效目标表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13032125P00010210005H</w:t>
            </w:r>
          </w:p>
        </w:tc>
        <w:tc>
          <w:tcPr>
            <w:tcW w:w="2835" w:type="dxa"/>
            <w:vAlign w:val="center"/>
          </w:tcPr>
          <w:p>
            <w:pPr>
              <w:pStyle w:val="10"/>
            </w:pPr>
            <w:r>
              <w:t>项目名称</w:t>
            </w:r>
          </w:p>
        </w:tc>
        <w:tc>
          <w:tcPr>
            <w:tcW w:w="6095" w:type="dxa"/>
            <w:gridSpan w:val="3"/>
            <w:vAlign w:val="center"/>
          </w:tcPr>
          <w:p>
            <w:pPr>
              <w:pStyle w:val="12"/>
            </w:pPr>
            <w:r>
              <w:t>关于提前下达2025年非煤矿山综合治理专项资金的通知（冀财建[2024]287号）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212.27</w:t>
            </w:r>
          </w:p>
        </w:tc>
        <w:tc>
          <w:tcPr>
            <w:tcW w:w="2835" w:type="dxa"/>
            <w:vAlign w:val="center"/>
          </w:tcPr>
          <w:p>
            <w:pPr>
              <w:pStyle w:val="10"/>
            </w:pPr>
            <w:r>
              <w:t>其中：财政    资金</w:t>
            </w:r>
          </w:p>
        </w:tc>
        <w:tc>
          <w:tcPr>
            <w:tcW w:w="2551" w:type="dxa"/>
            <w:vAlign w:val="center"/>
          </w:tcPr>
          <w:p>
            <w:pPr>
              <w:pStyle w:val="12"/>
            </w:pPr>
            <w:r>
              <w:t>212.27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预算安排212.27万元，其中：财政拨款212.27万元，主要用于非煤矿山隐患排查及应急治理工作开展支出。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1.通过非煤矿山隐患排查及应急治理工作开展，使全县尾矿库、采空区安全渡汛，确保企业生产和附近居民的生活环境及生命财产安全。</w:t>
            </w:r>
          </w:p>
          <w:p>
            <w:pPr>
              <w:pStyle w:val="12"/>
            </w:pPr>
            <w:r>
              <w:t>2.通过非煤矿山隐患排查及应急治理工作开展，对存在危险风险的尾矿库、采空区、边坡等进行治理，对以前年度未完成的尾矿库和采空区治理项目进行完善。</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接受补助企业数量</w:t>
            </w:r>
          </w:p>
        </w:tc>
        <w:tc>
          <w:tcPr>
            <w:tcW w:w="5386" w:type="dxa"/>
            <w:vAlign w:val="center"/>
          </w:tcPr>
          <w:p>
            <w:pPr>
              <w:pStyle w:val="12"/>
            </w:pPr>
            <w:r>
              <w:t>反映接受补助企业数量</w:t>
            </w:r>
          </w:p>
        </w:tc>
        <w:tc>
          <w:tcPr>
            <w:tcW w:w="2268" w:type="dxa"/>
            <w:vAlign w:val="center"/>
          </w:tcPr>
          <w:p>
            <w:pPr>
              <w:pStyle w:val="12"/>
            </w:pPr>
            <w:r>
              <w:t>≥10家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治理尾矿库的数量</w:t>
            </w:r>
          </w:p>
        </w:tc>
        <w:tc>
          <w:tcPr>
            <w:tcW w:w="5386" w:type="dxa"/>
            <w:vAlign w:val="center"/>
          </w:tcPr>
          <w:p>
            <w:pPr>
              <w:pStyle w:val="12"/>
            </w:pPr>
            <w:r>
              <w:t>反映治理尾矿库的数量</w:t>
            </w:r>
          </w:p>
        </w:tc>
        <w:tc>
          <w:tcPr>
            <w:tcW w:w="2268" w:type="dxa"/>
            <w:vAlign w:val="center"/>
          </w:tcPr>
          <w:p>
            <w:pPr>
              <w:pStyle w:val="12"/>
            </w:pPr>
            <w:r>
              <w:t>≥2家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非煤矿山治理率</w:t>
            </w:r>
          </w:p>
        </w:tc>
        <w:tc>
          <w:tcPr>
            <w:tcW w:w="5386" w:type="dxa"/>
            <w:vAlign w:val="center"/>
          </w:tcPr>
          <w:p>
            <w:pPr>
              <w:pStyle w:val="12"/>
            </w:pPr>
            <w:r>
              <w:t>已治理的数量占应治理数量的比率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网络监测系统运行稳定率</w:t>
            </w:r>
          </w:p>
        </w:tc>
        <w:tc>
          <w:tcPr>
            <w:tcW w:w="5386" w:type="dxa"/>
            <w:vAlign w:val="center"/>
          </w:tcPr>
          <w:p>
            <w:pPr>
              <w:pStyle w:val="12"/>
            </w:pPr>
            <w:r>
              <w:t>反映尾矿库在线监测等网络系统运行稳定的比例</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非煤矿山及时处理率</w:t>
            </w:r>
          </w:p>
        </w:tc>
        <w:tc>
          <w:tcPr>
            <w:tcW w:w="5386" w:type="dxa"/>
            <w:vAlign w:val="center"/>
          </w:tcPr>
          <w:p>
            <w:pPr>
              <w:pStyle w:val="12"/>
            </w:pPr>
            <w:r>
              <w:t>发现并彻底整改非煤矿山安全生产隐患</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企业补助费用</w:t>
            </w:r>
          </w:p>
        </w:tc>
        <w:tc>
          <w:tcPr>
            <w:tcW w:w="5386" w:type="dxa"/>
            <w:vAlign w:val="center"/>
          </w:tcPr>
          <w:p>
            <w:pPr>
              <w:pStyle w:val="12"/>
            </w:pPr>
            <w:r>
              <w:t>反映用于非煤矿山治理补助的费用</w:t>
            </w:r>
          </w:p>
        </w:tc>
        <w:tc>
          <w:tcPr>
            <w:tcW w:w="2268" w:type="dxa"/>
            <w:vAlign w:val="center"/>
          </w:tcPr>
          <w:p>
            <w:pPr>
              <w:pStyle w:val="12"/>
            </w:pPr>
            <w:r>
              <w:t>≤212.27万元</w:t>
            </w:r>
          </w:p>
        </w:tc>
        <w:tc>
          <w:tcPr>
            <w:tcW w:w="1276" w:type="dxa"/>
            <w:vAlign w:val="center"/>
          </w:tcPr>
          <w:p>
            <w:pPr>
              <w:pStyle w:val="12"/>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确保非煤矿山企业安全生产</w:t>
            </w:r>
          </w:p>
        </w:tc>
        <w:tc>
          <w:tcPr>
            <w:tcW w:w="5386" w:type="dxa"/>
            <w:vAlign w:val="center"/>
          </w:tcPr>
          <w:p>
            <w:pPr>
              <w:pStyle w:val="12"/>
            </w:pPr>
            <w:r>
              <w:t>遏制较大以上安全生产事故的发生，确保煤矿和非煤矿山企业安全生产</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安全生产事故发生起数</w:t>
            </w:r>
          </w:p>
        </w:tc>
        <w:tc>
          <w:tcPr>
            <w:tcW w:w="5386" w:type="dxa"/>
            <w:vAlign w:val="center"/>
          </w:tcPr>
          <w:p>
            <w:pPr>
              <w:pStyle w:val="12"/>
            </w:pPr>
            <w:r>
              <w:t>安全生产事故发生起数</w:t>
            </w:r>
          </w:p>
        </w:tc>
        <w:tc>
          <w:tcPr>
            <w:tcW w:w="2268" w:type="dxa"/>
            <w:vAlign w:val="center"/>
          </w:tcPr>
          <w:p>
            <w:pPr>
              <w:pStyle w:val="12"/>
            </w:pPr>
            <w:r>
              <w:t>&lt;1起</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接受服务的单位对所提供服务的满意程度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10、关于提前下达2025年困难地区消防装备购置费的通知（冀财建【2024】265号）绩效目标表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13032125P00335110007E</w:t>
            </w:r>
          </w:p>
        </w:tc>
        <w:tc>
          <w:tcPr>
            <w:tcW w:w="2835" w:type="dxa"/>
            <w:vAlign w:val="center"/>
          </w:tcPr>
          <w:p>
            <w:pPr>
              <w:pStyle w:val="10"/>
            </w:pPr>
            <w:r>
              <w:t>项目名称</w:t>
            </w:r>
          </w:p>
        </w:tc>
        <w:tc>
          <w:tcPr>
            <w:tcW w:w="6095" w:type="dxa"/>
            <w:gridSpan w:val="3"/>
            <w:vAlign w:val="center"/>
          </w:tcPr>
          <w:p>
            <w:pPr>
              <w:pStyle w:val="12"/>
            </w:pPr>
            <w:r>
              <w:t>关于提前下达2025年困难地区消防装备购置费的通知（冀财建【2024】265号）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85.00</w:t>
            </w:r>
          </w:p>
        </w:tc>
        <w:tc>
          <w:tcPr>
            <w:tcW w:w="2835" w:type="dxa"/>
            <w:vAlign w:val="center"/>
          </w:tcPr>
          <w:p>
            <w:pPr>
              <w:pStyle w:val="10"/>
            </w:pPr>
            <w:r>
              <w:t>其中：财政    资金</w:t>
            </w:r>
          </w:p>
        </w:tc>
        <w:tc>
          <w:tcPr>
            <w:tcW w:w="2551" w:type="dxa"/>
            <w:vAlign w:val="center"/>
          </w:tcPr>
          <w:p>
            <w:pPr>
              <w:pStyle w:val="12"/>
            </w:pPr>
            <w:r>
              <w:t>85.00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预算安排85万元，其中：财政拨款85万元，主要用于购置消防车支出。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1.通过购置消防车一部，保障本地抢险救援任务顺利完成。</w:t>
            </w:r>
          </w:p>
          <w:p>
            <w:pPr>
              <w:pStyle w:val="12"/>
            </w:pPr>
            <w:r>
              <w:t>2.通过购置消防车一部，提升本地消防救援能力。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消防车数量</w:t>
            </w:r>
          </w:p>
        </w:tc>
        <w:tc>
          <w:tcPr>
            <w:tcW w:w="5386" w:type="dxa"/>
            <w:vAlign w:val="center"/>
          </w:tcPr>
          <w:p>
            <w:pPr>
              <w:pStyle w:val="12"/>
            </w:pPr>
            <w:r>
              <w:t>一部</w:t>
            </w:r>
          </w:p>
        </w:tc>
        <w:tc>
          <w:tcPr>
            <w:tcW w:w="2268" w:type="dxa"/>
            <w:vAlign w:val="center"/>
          </w:tcPr>
          <w:p>
            <w:pPr>
              <w:pStyle w:val="12"/>
            </w:pPr>
            <w:r>
              <w:t>1部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装备验收合格率</w:t>
            </w:r>
          </w:p>
        </w:tc>
        <w:tc>
          <w:tcPr>
            <w:tcW w:w="5386" w:type="dxa"/>
            <w:vAlign w:val="center"/>
          </w:tcPr>
          <w:p>
            <w:pPr>
              <w:pStyle w:val="12"/>
            </w:pPr>
            <w:r>
              <w:t>验收合格</w:t>
            </w:r>
          </w:p>
        </w:tc>
        <w:tc>
          <w:tcPr>
            <w:tcW w:w="2268" w:type="dxa"/>
            <w:vAlign w:val="center"/>
          </w:tcPr>
          <w:p>
            <w:pPr>
              <w:pStyle w:val="12"/>
            </w:pPr>
            <w:r>
              <w:t>验收合格</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配发时间</w:t>
            </w:r>
          </w:p>
        </w:tc>
        <w:tc>
          <w:tcPr>
            <w:tcW w:w="5386" w:type="dxa"/>
            <w:vAlign w:val="center"/>
          </w:tcPr>
          <w:p>
            <w:pPr>
              <w:pStyle w:val="12"/>
            </w:pPr>
            <w:r>
              <w:t>当年配发</w:t>
            </w:r>
          </w:p>
        </w:tc>
        <w:tc>
          <w:tcPr>
            <w:tcW w:w="2268" w:type="dxa"/>
            <w:vAlign w:val="center"/>
          </w:tcPr>
          <w:p>
            <w:pPr>
              <w:pStyle w:val="12"/>
            </w:pPr>
            <w:r>
              <w:t>年底前配发完毕</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提高消防救援水平</w:t>
            </w:r>
          </w:p>
        </w:tc>
        <w:tc>
          <w:tcPr>
            <w:tcW w:w="5386" w:type="dxa"/>
            <w:vAlign w:val="center"/>
          </w:tcPr>
          <w:p>
            <w:pPr>
              <w:pStyle w:val="12"/>
            </w:pPr>
            <w:r>
              <w:t>困难地区消防救援能力提升</w:t>
            </w:r>
          </w:p>
        </w:tc>
        <w:tc>
          <w:tcPr>
            <w:tcW w:w="2268" w:type="dxa"/>
            <w:vAlign w:val="center"/>
          </w:tcPr>
          <w:p>
            <w:pPr>
              <w:pStyle w:val="12"/>
            </w:pPr>
            <w:r>
              <w:t>≤85万元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保障辖区消防安全稳定</w:t>
            </w:r>
          </w:p>
        </w:tc>
        <w:tc>
          <w:tcPr>
            <w:tcW w:w="5386" w:type="dxa"/>
            <w:vAlign w:val="center"/>
          </w:tcPr>
          <w:p>
            <w:pPr>
              <w:pStyle w:val="12"/>
            </w:pPr>
            <w:r>
              <w:t>满足地区消防安保及地方经济建设消防安全需求</w:t>
            </w:r>
          </w:p>
        </w:tc>
        <w:tc>
          <w:tcPr>
            <w:tcW w:w="2268" w:type="dxa"/>
            <w:vAlign w:val="center"/>
          </w:tcPr>
          <w:p>
            <w:pPr>
              <w:pStyle w:val="12"/>
            </w:pPr>
            <w:r>
              <w:t>及时处置火灾、抢险救援等事故</w:t>
            </w:r>
          </w:p>
          <w:p>
            <w:pPr>
              <w:pStyle w:val="12"/>
            </w:pPr>
            <w:r>
              <w:t>灾害</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减少灾害损失率</w:t>
            </w:r>
          </w:p>
        </w:tc>
        <w:tc>
          <w:tcPr>
            <w:tcW w:w="5386" w:type="dxa"/>
            <w:vAlign w:val="center"/>
          </w:tcPr>
          <w:p>
            <w:pPr>
              <w:pStyle w:val="12"/>
            </w:pPr>
            <w:r>
              <w:t>全县减少因灾损失率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提高消防救援水平</w:t>
            </w:r>
          </w:p>
        </w:tc>
        <w:tc>
          <w:tcPr>
            <w:tcW w:w="5386" w:type="dxa"/>
            <w:vAlign w:val="center"/>
          </w:tcPr>
          <w:p>
            <w:pPr>
              <w:pStyle w:val="12"/>
            </w:pPr>
            <w:r>
              <w:t>困难地区消防救援能力提升</w:t>
            </w:r>
          </w:p>
        </w:tc>
        <w:tc>
          <w:tcPr>
            <w:tcW w:w="2268" w:type="dxa"/>
            <w:vAlign w:val="center"/>
          </w:tcPr>
          <w:p>
            <w:pPr>
              <w:pStyle w:val="12"/>
            </w:pPr>
            <w:r>
              <w:t>能够顺利处置火灾、抢险救援等灾害事故</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消防救援指战员满意度</w:t>
            </w:r>
          </w:p>
        </w:tc>
        <w:tc>
          <w:tcPr>
            <w:tcW w:w="5386" w:type="dxa"/>
            <w:vAlign w:val="center"/>
          </w:tcPr>
          <w:p>
            <w:pPr>
              <w:pStyle w:val="12"/>
            </w:pPr>
            <w:r>
              <w:t>调查指战员反馈满意和较满意的数量占参与调查指战员总数量的比率</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11、关于提前下达2026年自然灾害救助资金（农房保险试点补助经费）的通知（冀财建[2025]217号）绩效目标表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13032126P00010210013L</w:t>
            </w:r>
          </w:p>
        </w:tc>
        <w:tc>
          <w:tcPr>
            <w:tcW w:w="2835" w:type="dxa"/>
            <w:vAlign w:val="center"/>
          </w:tcPr>
          <w:p>
            <w:pPr>
              <w:pStyle w:val="10"/>
            </w:pPr>
            <w:r>
              <w:t>项目名称</w:t>
            </w:r>
          </w:p>
        </w:tc>
        <w:tc>
          <w:tcPr>
            <w:tcW w:w="6095" w:type="dxa"/>
            <w:gridSpan w:val="3"/>
            <w:vAlign w:val="center"/>
          </w:tcPr>
          <w:p>
            <w:pPr>
              <w:pStyle w:val="12"/>
            </w:pPr>
            <w:r>
              <w:t>关于提前下达2026年自然灾害救助资金（农房保险试点补助经费）的通知（冀财建[2025]217号）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74.19</w:t>
            </w:r>
          </w:p>
        </w:tc>
        <w:tc>
          <w:tcPr>
            <w:tcW w:w="2835" w:type="dxa"/>
            <w:vAlign w:val="center"/>
          </w:tcPr>
          <w:p>
            <w:pPr>
              <w:pStyle w:val="10"/>
            </w:pPr>
            <w:r>
              <w:t>其中：财政    资金</w:t>
            </w:r>
          </w:p>
        </w:tc>
        <w:tc>
          <w:tcPr>
            <w:tcW w:w="2551" w:type="dxa"/>
            <w:vAlign w:val="center"/>
          </w:tcPr>
          <w:p>
            <w:pPr>
              <w:pStyle w:val="12"/>
            </w:pPr>
            <w:r>
              <w:t>74.19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预算安排74.1904万元，其中财政拨款74.1904万元，主要用于农房保险支出。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1.通过开展农房政策保险工作，对参加2026年农房保险农户进行参险补助。</w:t>
            </w:r>
            <w:r>
              <w:tab/>
            </w:r>
            <w:r>
              <w:tab/>
            </w:r>
            <w:r>
              <w:tab/>
            </w:r>
          </w:p>
          <w:p>
            <w:pPr>
              <w:pStyle w:val="12"/>
            </w:pPr>
            <w:r>
              <w:t>2.通过开展农房政策保险工作，提高农村住房防灾减灾能力，保障困难群众住房安全。</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参加农房保险户数</w:t>
            </w:r>
          </w:p>
        </w:tc>
        <w:tc>
          <w:tcPr>
            <w:tcW w:w="5386" w:type="dxa"/>
            <w:vAlign w:val="center"/>
          </w:tcPr>
          <w:p>
            <w:pPr>
              <w:pStyle w:val="12"/>
            </w:pPr>
            <w:r>
              <w:t>反映本年来参加政策性农村住房灾害保险补助的户数</w:t>
            </w:r>
          </w:p>
        </w:tc>
        <w:tc>
          <w:tcPr>
            <w:tcW w:w="2268" w:type="dxa"/>
            <w:vAlign w:val="center"/>
          </w:tcPr>
          <w:p>
            <w:pPr>
              <w:pStyle w:val="12"/>
            </w:pPr>
            <w:r>
              <w:t>≥16.47万户</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救助率</w:t>
            </w:r>
          </w:p>
        </w:tc>
        <w:tc>
          <w:tcPr>
            <w:tcW w:w="5386" w:type="dxa"/>
            <w:vAlign w:val="center"/>
          </w:tcPr>
          <w:p>
            <w:pPr>
              <w:pStyle w:val="12"/>
            </w:pPr>
            <w:r>
              <w:t>反映救助参加农房保险的农户占应救助农户的比率</w:t>
            </w:r>
          </w:p>
        </w:tc>
        <w:tc>
          <w:tcPr>
            <w:tcW w:w="2268" w:type="dxa"/>
            <w:vAlign w:val="center"/>
          </w:tcPr>
          <w:p>
            <w:pPr>
              <w:pStyle w:val="12"/>
            </w:pPr>
            <w:r>
              <w:t>100%</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个人负担比例</w:t>
            </w:r>
          </w:p>
        </w:tc>
        <w:tc>
          <w:tcPr>
            <w:tcW w:w="5386" w:type="dxa"/>
            <w:vAlign w:val="center"/>
          </w:tcPr>
          <w:p>
            <w:pPr>
              <w:pStyle w:val="12"/>
            </w:pPr>
            <w:r>
              <w:t>反映农户个人负担的比例</w:t>
            </w:r>
          </w:p>
        </w:tc>
        <w:tc>
          <w:tcPr>
            <w:tcW w:w="2268" w:type="dxa"/>
            <w:vAlign w:val="center"/>
          </w:tcPr>
          <w:p>
            <w:pPr>
              <w:pStyle w:val="12"/>
            </w:pPr>
            <w:r>
              <w:t>18%</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救助完成时间</w:t>
            </w:r>
          </w:p>
        </w:tc>
        <w:tc>
          <w:tcPr>
            <w:tcW w:w="5386" w:type="dxa"/>
            <w:vAlign w:val="center"/>
          </w:tcPr>
          <w:p>
            <w:pPr>
              <w:pStyle w:val="12"/>
            </w:pPr>
            <w:r>
              <w:t>反映对受灾农房发放补助的时间</w:t>
            </w:r>
          </w:p>
        </w:tc>
        <w:tc>
          <w:tcPr>
            <w:tcW w:w="2268" w:type="dxa"/>
            <w:vAlign w:val="center"/>
          </w:tcPr>
          <w:p>
            <w:pPr>
              <w:pStyle w:val="12"/>
            </w:pPr>
            <w:r>
              <w:t>一个月内完成救助</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保额标准</w:t>
            </w:r>
          </w:p>
        </w:tc>
        <w:tc>
          <w:tcPr>
            <w:tcW w:w="5386" w:type="dxa"/>
            <w:vAlign w:val="center"/>
          </w:tcPr>
          <w:p>
            <w:pPr>
              <w:pStyle w:val="12"/>
            </w:pPr>
            <w:r>
              <w:t>反映每户每年保额标准</w:t>
            </w:r>
          </w:p>
        </w:tc>
        <w:tc>
          <w:tcPr>
            <w:tcW w:w="2268" w:type="dxa"/>
            <w:vAlign w:val="center"/>
          </w:tcPr>
          <w:p>
            <w:pPr>
              <w:pStyle w:val="12"/>
            </w:pPr>
            <w:r>
              <w:t>4万元</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政策性农村住房灾害保险补助配套标准</w:t>
            </w:r>
          </w:p>
        </w:tc>
        <w:tc>
          <w:tcPr>
            <w:tcW w:w="2268" w:type="dxa"/>
            <w:vAlign w:val="center"/>
          </w:tcPr>
          <w:p>
            <w:pPr>
              <w:pStyle w:val="12"/>
            </w:pPr>
            <w:r>
              <w:t>8元</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政策知晓率</w:t>
            </w:r>
          </w:p>
        </w:tc>
        <w:tc>
          <w:tcPr>
            <w:tcW w:w="5386" w:type="dxa"/>
            <w:vAlign w:val="center"/>
          </w:tcPr>
          <w:p>
            <w:pPr>
              <w:pStyle w:val="12"/>
            </w:pPr>
            <w:r>
              <w:t>反映对政策性农村住房灾害保险补助的知晓情况</w:t>
            </w:r>
          </w:p>
        </w:tc>
        <w:tc>
          <w:tcPr>
            <w:tcW w:w="2268" w:type="dxa"/>
            <w:vAlign w:val="center"/>
          </w:tcPr>
          <w:p>
            <w:pPr>
              <w:pStyle w:val="12"/>
            </w:pPr>
            <w:r>
              <w:t>≥90%</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受益人口数量</w:t>
            </w:r>
          </w:p>
        </w:tc>
        <w:tc>
          <w:tcPr>
            <w:tcW w:w="5386" w:type="dxa"/>
            <w:vAlign w:val="center"/>
          </w:tcPr>
          <w:p>
            <w:pPr>
              <w:pStyle w:val="12"/>
            </w:pPr>
            <w:r>
              <w:t>反映政策性农村住房灾害保险补助累计受益人口数</w:t>
            </w:r>
          </w:p>
        </w:tc>
        <w:tc>
          <w:tcPr>
            <w:tcW w:w="2268" w:type="dxa"/>
            <w:vAlign w:val="center"/>
          </w:tcPr>
          <w:p>
            <w:pPr>
              <w:pStyle w:val="12"/>
            </w:pPr>
            <w:r>
              <w:t>≥16.47万</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受益对象的满意程度</w:t>
            </w:r>
          </w:p>
        </w:tc>
        <w:tc>
          <w:tcPr>
            <w:tcW w:w="2268" w:type="dxa"/>
            <w:vAlign w:val="center"/>
          </w:tcPr>
          <w:p>
            <w:pPr>
              <w:pStyle w:val="12"/>
            </w:pPr>
            <w:r>
              <w:t>≥95%</w:t>
            </w:r>
          </w:p>
        </w:tc>
        <w:tc>
          <w:tcPr>
            <w:tcW w:w="1276" w:type="dxa"/>
            <w:vAlign w:val="center"/>
          </w:tcPr>
          <w:p>
            <w:pPr>
              <w:pStyle w:val="12"/>
            </w:pPr>
            <w:r>
              <w:t>年度计划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12、关于下达2025年自然灾害救灾资金（冬春临时生活困难救助）的通知（冀财建[2025]248号）绩效目标表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13032125P00010210026W</w:t>
            </w:r>
          </w:p>
        </w:tc>
        <w:tc>
          <w:tcPr>
            <w:tcW w:w="2835" w:type="dxa"/>
            <w:vAlign w:val="center"/>
          </w:tcPr>
          <w:p>
            <w:pPr>
              <w:pStyle w:val="10"/>
            </w:pPr>
            <w:r>
              <w:t>项目名称</w:t>
            </w:r>
          </w:p>
        </w:tc>
        <w:tc>
          <w:tcPr>
            <w:tcW w:w="6095" w:type="dxa"/>
            <w:gridSpan w:val="3"/>
            <w:vAlign w:val="center"/>
          </w:tcPr>
          <w:p>
            <w:pPr>
              <w:pStyle w:val="12"/>
            </w:pPr>
            <w:r>
              <w:t>关于下达2025年自然灾害救灾资金（冬春临时生活困难救助）的通知（冀财建[2025]248号）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203.42</w:t>
            </w:r>
          </w:p>
        </w:tc>
        <w:tc>
          <w:tcPr>
            <w:tcW w:w="2835" w:type="dxa"/>
            <w:vAlign w:val="center"/>
          </w:tcPr>
          <w:p>
            <w:pPr>
              <w:pStyle w:val="10"/>
            </w:pPr>
            <w:r>
              <w:t>其中：财政    资金</w:t>
            </w:r>
          </w:p>
        </w:tc>
        <w:tc>
          <w:tcPr>
            <w:tcW w:w="2551" w:type="dxa"/>
            <w:vAlign w:val="center"/>
          </w:tcPr>
          <w:p>
            <w:pPr>
              <w:pStyle w:val="12"/>
            </w:pPr>
            <w:r>
              <w:t>203.42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预算资金203.42万元，其中财政拨款203.42万元，主要用于自然灾害救助支出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60%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1.通过此项目的实施，使全县受灾农户得到及时救助，使其都能安全过冬。</w:t>
            </w:r>
          </w:p>
          <w:p>
            <w:pPr>
              <w:pStyle w:val="12"/>
            </w:pPr>
            <w:r>
              <w:t>2.通过此项目的实施，使全县受灾人口得到及时救助，防止受灾人口因灾返贫；</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救助的户数</w:t>
            </w:r>
          </w:p>
        </w:tc>
        <w:tc>
          <w:tcPr>
            <w:tcW w:w="5386" w:type="dxa"/>
            <w:vAlign w:val="center"/>
          </w:tcPr>
          <w:p>
            <w:pPr>
              <w:pStyle w:val="12"/>
            </w:pPr>
            <w:r>
              <w:t>反映因灾需要救助的农户数量</w:t>
            </w:r>
          </w:p>
        </w:tc>
        <w:tc>
          <w:tcPr>
            <w:tcW w:w="2268" w:type="dxa"/>
            <w:vAlign w:val="center"/>
          </w:tcPr>
          <w:p>
            <w:pPr>
              <w:pStyle w:val="12"/>
            </w:pPr>
            <w:r>
              <w:t>3356户</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救助的人口</w:t>
            </w:r>
          </w:p>
        </w:tc>
        <w:tc>
          <w:tcPr>
            <w:tcW w:w="5386" w:type="dxa"/>
            <w:vAlign w:val="center"/>
          </w:tcPr>
          <w:p>
            <w:pPr>
              <w:pStyle w:val="12"/>
            </w:pPr>
            <w:r>
              <w:t>反映因灾需要救助的人口数量</w:t>
            </w:r>
          </w:p>
        </w:tc>
        <w:tc>
          <w:tcPr>
            <w:tcW w:w="2268" w:type="dxa"/>
            <w:vAlign w:val="center"/>
          </w:tcPr>
          <w:p>
            <w:pPr>
              <w:pStyle w:val="12"/>
            </w:pPr>
            <w:r>
              <w:t>6714人</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救助户数比率</w:t>
            </w:r>
          </w:p>
        </w:tc>
        <w:tc>
          <w:tcPr>
            <w:tcW w:w="5386" w:type="dxa"/>
            <w:vAlign w:val="center"/>
          </w:tcPr>
          <w:p>
            <w:pPr>
              <w:pStyle w:val="12"/>
            </w:pPr>
            <w:r>
              <w:t>反映实际救助的数量占应救助数量的比率</w:t>
            </w:r>
          </w:p>
        </w:tc>
        <w:tc>
          <w:tcPr>
            <w:tcW w:w="2268" w:type="dxa"/>
            <w:vAlign w:val="center"/>
          </w:tcPr>
          <w:p>
            <w:pPr>
              <w:pStyle w:val="12"/>
            </w:pPr>
            <w:r>
              <w:t>100%</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救助人口比率</w:t>
            </w:r>
          </w:p>
        </w:tc>
        <w:tc>
          <w:tcPr>
            <w:tcW w:w="5386" w:type="dxa"/>
            <w:vAlign w:val="center"/>
          </w:tcPr>
          <w:p>
            <w:pPr>
              <w:pStyle w:val="12"/>
            </w:pPr>
            <w:r>
              <w:t>反映实际救助的人口数量占应救助人口数量的比率</w:t>
            </w:r>
          </w:p>
        </w:tc>
        <w:tc>
          <w:tcPr>
            <w:tcW w:w="2268" w:type="dxa"/>
            <w:vAlign w:val="center"/>
          </w:tcPr>
          <w:p>
            <w:pPr>
              <w:pStyle w:val="12"/>
            </w:pPr>
            <w:r>
              <w:t>100%</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救助完成时间</w:t>
            </w:r>
          </w:p>
        </w:tc>
        <w:tc>
          <w:tcPr>
            <w:tcW w:w="2268" w:type="dxa"/>
            <w:vAlign w:val="center"/>
          </w:tcPr>
          <w:p>
            <w:pPr>
              <w:pStyle w:val="12"/>
            </w:pPr>
            <w:r>
              <w:t>2025年12月底前完成</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救助户数资金成本</w:t>
            </w:r>
          </w:p>
        </w:tc>
        <w:tc>
          <w:tcPr>
            <w:tcW w:w="5386" w:type="dxa"/>
            <w:vAlign w:val="center"/>
          </w:tcPr>
          <w:p>
            <w:pPr>
              <w:pStyle w:val="12"/>
            </w:pPr>
            <w:r>
              <w:t>反映平均每户救助资金金额</w:t>
            </w:r>
          </w:p>
        </w:tc>
        <w:tc>
          <w:tcPr>
            <w:tcW w:w="2268" w:type="dxa"/>
            <w:vAlign w:val="center"/>
          </w:tcPr>
          <w:p>
            <w:pPr>
              <w:pStyle w:val="12"/>
            </w:pPr>
            <w:r>
              <w:t>1161元/户</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救助人口资金成本</w:t>
            </w:r>
          </w:p>
        </w:tc>
        <w:tc>
          <w:tcPr>
            <w:tcW w:w="5386" w:type="dxa"/>
            <w:vAlign w:val="center"/>
          </w:tcPr>
          <w:p>
            <w:pPr>
              <w:pStyle w:val="12"/>
            </w:pPr>
            <w:r>
              <w:t>反映平均每人救助资金金额</w:t>
            </w:r>
          </w:p>
        </w:tc>
        <w:tc>
          <w:tcPr>
            <w:tcW w:w="2268" w:type="dxa"/>
            <w:vAlign w:val="center"/>
          </w:tcPr>
          <w:p>
            <w:pPr>
              <w:pStyle w:val="12"/>
            </w:pPr>
            <w:r>
              <w:t>581元/人</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经济效益指标</w:t>
            </w:r>
          </w:p>
        </w:tc>
        <w:tc>
          <w:tcPr>
            <w:tcW w:w="5386" w:type="dxa"/>
            <w:vAlign w:val="center"/>
          </w:tcPr>
          <w:p>
            <w:pPr>
              <w:pStyle w:val="12"/>
            </w:pPr>
            <w:r>
              <w:t>减少受灾农户生活成本</w:t>
            </w:r>
          </w:p>
        </w:tc>
        <w:tc>
          <w:tcPr>
            <w:tcW w:w="2268" w:type="dxa"/>
            <w:vAlign w:val="center"/>
          </w:tcPr>
          <w:p>
            <w:pPr>
              <w:pStyle w:val="12"/>
            </w:pPr>
            <w:r>
              <w:t>203.42万元</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5386" w:type="dxa"/>
            <w:vAlign w:val="center"/>
          </w:tcPr>
          <w:p>
            <w:pPr>
              <w:pStyle w:val="12"/>
            </w:pPr>
            <w:r>
              <w:t>救助受灾农户</w:t>
            </w:r>
          </w:p>
        </w:tc>
        <w:tc>
          <w:tcPr>
            <w:tcW w:w="2268" w:type="dxa"/>
            <w:vAlign w:val="center"/>
          </w:tcPr>
          <w:p>
            <w:pPr>
              <w:pStyle w:val="12"/>
            </w:pPr>
            <w:r>
              <w:t>3356户</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5386" w:type="dxa"/>
            <w:vAlign w:val="center"/>
          </w:tcPr>
          <w:p>
            <w:pPr>
              <w:pStyle w:val="12"/>
            </w:pPr>
            <w:r>
              <w:t>防止农户因灾返贫比率</w:t>
            </w:r>
          </w:p>
        </w:tc>
        <w:tc>
          <w:tcPr>
            <w:tcW w:w="2268" w:type="dxa"/>
            <w:vAlign w:val="center"/>
          </w:tcPr>
          <w:p>
            <w:pPr>
              <w:pStyle w:val="12"/>
            </w:pPr>
            <w:r>
              <w:t>≥95%</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受灾群众满意程度</w:t>
            </w:r>
          </w:p>
        </w:tc>
        <w:tc>
          <w:tcPr>
            <w:tcW w:w="5386" w:type="dxa"/>
            <w:vAlign w:val="center"/>
          </w:tcPr>
          <w:p>
            <w:pPr>
              <w:pStyle w:val="12"/>
            </w:pPr>
            <w:r>
              <w:t>满意的受灾群众占总受灾的比率</w:t>
            </w:r>
          </w:p>
        </w:tc>
        <w:tc>
          <w:tcPr>
            <w:tcW w:w="2268" w:type="dxa"/>
            <w:vAlign w:val="center"/>
          </w:tcPr>
          <w:p>
            <w:pPr>
              <w:pStyle w:val="12"/>
            </w:pPr>
            <w:r>
              <w:t>≥95%</w:t>
            </w:r>
          </w:p>
        </w:tc>
        <w:tc>
          <w:tcPr>
            <w:tcW w:w="1276" w:type="dxa"/>
            <w:vAlign w:val="center"/>
          </w:tcPr>
          <w:p>
            <w:pPr>
              <w:pStyle w:val="12"/>
            </w:pPr>
            <w:r>
              <w:t>年度救助计划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13、关于下达省级2025年自然灾害救灾资金（冬春临时生活困难救助）的通知（冀财建[2025]248号）绩效目标表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13032125P00010210027G</w:t>
            </w:r>
          </w:p>
        </w:tc>
        <w:tc>
          <w:tcPr>
            <w:tcW w:w="2835" w:type="dxa"/>
            <w:vAlign w:val="center"/>
          </w:tcPr>
          <w:p>
            <w:pPr>
              <w:pStyle w:val="10"/>
            </w:pPr>
            <w:r>
              <w:t>项目名称</w:t>
            </w:r>
          </w:p>
        </w:tc>
        <w:tc>
          <w:tcPr>
            <w:tcW w:w="6095" w:type="dxa"/>
            <w:gridSpan w:val="3"/>
            <w:vAlign w:val="center"/>
          </w:tcPr>
          <w:p>
            <w:pPr>
              <w:pStyle w:val="12"/>
            </w:pPr>
            <w:r>
              <w:t>关于下达省级2025年自然灾害救灾资金（冬春临时生活困难救助）的通知（冀财建[2025]248号）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49.68</w:t>
            </w:r>
          </w:p>
        </w:tc>
        <w:tc>
          <w:tcPr>
            <w:tcW w:w="2835" w:type="dxa"/>
            <w:vAlign w:val="center"/>
          </w:tcPr>
          <w:p>
            <w:pPr>
              <w:pStyle w:val="10"/>
            </w:pPr>
            <w:r>
              <w:t>其中：财政    资金</w:t>
            </w:r>
          </w:p>
        </w:tc>
        <w:tc>
          <w:tcPr>
            <w:tcW w:w="2551" w:type="dxa"/>
            <w:vAlign w:val="center"/>
          </w:tcPr>
          <w:p>
            <w:pPr>
              <w:pStyle w:val="12"/>
            </w:pPr>
            <w:r>
              <w:t>49.68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预算资金49.68万元，其中财政拨款49.68万元，主要用于自然灾害救助支出。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60%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1.通过此项目的实施，使全县受灾农户得到及时救助，使其都能安全过冬。</w:t>
            </w:r>
          </w:p>
          <w:p>
            <w:pPr>
              <w:pStyle w:val="12"/>
            </w:pPr>
            <w:r>
              <w:t>2.通过此项目的实施，使全县受灾人口得到及时救助，防止受灾人口因灾返贫；</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救助的户数</w:t>
            </w:r>
          </w:p>
        </w:tc>
        <w:tc>
          <w:tcPr>
            <w:tcW w:w="5386" w:type="dxa"/>
            <w:vAlign w:val="center"/>
          </w:tcPr>
          <w:p>
            <w:pPr>
              <w:pStyle w:val="12"/>
            </w:pPr>
            <w:r>
              <w:t>反映因灾需要救助的农户数量</w:t>
            </w:r>
          </w:p>
        </w:tc>
        <w:tc>
          <w:tcPr>
            <w:tcW w:w="2268" w:type="dxa"/>
            <w:vAlign w:val="center"/>
          </w:tcPr>
          <w:p>
            <w:pPr>
              <w:pStyle w:val="12"/>
            </w:pPr>
            <w:r>
              <w:t>3356户</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救助的人口</w:t>
            </w:r>
          </w:p>
        </w:tc>
        <w:tc>
          <w:tcPr>
            <w:tcW w:w="5386" w:type="dxa"/>
            <w:vAlign w:val="center"/>
          </w:tcPr>
          <w:p>
            <w:pPr>
              <w:pStyle w:val="12"/>
            </w:pPr>
            <w:r>
              <w:t>反映因灾需要救助的人口数量</w:t>
            </w:r>
          </w:p>
        </w:tc>
        <w:tc>
          <w:tcPr>
            <w:tcW w:w="2268" w:type="dxa"/>
            <w:vAlign w:val="center"/>
          </w:tcPr>
          <w:p>
            <w:pPr>
              <w:pStyle w:val="12"/>
            </w:pPr>
            <w:r>
              <w:t>6714人</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救助户数比率</w:t>
            </w:r>
          </w:p>
        </w:tc>
        <w:tc>
          <w:tcPr>
            <w:tcW w:w="5386" w:type="dxa"/>
            <w:vAlign w:val="center"/>
          </w:tcPr>
          <w:p>
            <w:pPr>
              <w:pStyle w:val="12"/>
            </w:pPr>
            <w:r>
              <w:t>反映实际救助的数量占应救助数量的比率</w:t>
            </w:r>
          </w:p>
        </w:tc>
        <w:tc>
          <w:tcPr>
            <w:tcW w:w="2268" w:type="dxa"/>
            <w:vAlign w:val="center"/>
          </w:tcPr>
          <w:p>
            <w:pPr>
              <w:pStyle w:val="12"/>
            </w:pPr>
            <w:r>
              <w:t>100%</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救助人口比率</w:t>
            </w:r>
          </w:p>
        </w:tc>
        <w:tc>
          <w:tcPr>
            <w:tcW w:w="5386" w:type="dxa"/>
            <w:vAlign w:val="center"/>
          </w:tcPr>
          <w:p>
            <w:pPr>
              <w:pStyle w:val="12"/>
            </w:pPr>
            <w:r>
              <w:t>反映实际救助的人口数量占应救助人口数量的比率</w:t>
            </w:r>
          </w:p>
        </w:tc>
        <w:tc>
          <w:tcPr>
            <w:tcW w:w="2268" w:type="dxa"/>
            <w:vAlign w:val="center"/>
          </w:tcPr>
          <w:p>
            <w:pPr>
              <w:pStyle w:val="12"/>
            </w:pPr>
            <w:r>
              <w:t>100%</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救助完成时间</w:t>
            </w:r>
          </w:p>
        </w:tc>
        <w:tc>
          <w:tcPr>
            <w:tcW w:w="2268" w:type="dxa"/>
            <w:vAlign w:val="center"/>
          </w:tcPr>
          <w:p>
            <w:pPr>
              <w:pStyle w:val="12"/>
            </w:pPr>
            <w:r>
              <w:t>2025年12月底前完成</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救助户数资金成本</w:t>
            </w:r>
          </w:p>
        </w:tc>
        <w:tc>
          <w:tcPr>
            <w:tcW w:w="5386" w:type="dxa"/>
            <w:vAlign w:val="center"/>
          </w:tcPr>
          <w:p>
            <w:pPr>
              <w:pStyle w:val="12"/>
            </w:pPr>
            <w:r>
              <w:t>反映平均每户救助资金金额</w:t>
            </w:r>
          </w:p>
        </w:tc>
        <w:tc>
          <w:tcPr>
            <w:tcW w:w="2268" w:type="dxa"/>
            <w:vAlign w:val="center"/>
          </w:tcPr>
          <w:p>
            <w:pPr>
              <w:pStyle w:val="12"/>
            </w:pPr>
            <w:r>
              <w:t>1161元/户</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救助人口资金成本</w:t>
            </w:r>
          </w:p>
        </w:tc>
        <w:tc>
          <w:tcPr>
            <w:tcW w:w="5386" w:type="dxa"/>
            <w:vAlign w:val="center"/>
          </w:tcPr>
          <w:p>
            <w:pPr>
              <w:pStyle w:val="12"/>
            </w:pPr>
            <w:r>
              <w:t>反映平均每人救助资金金额</w:t>
            </w:r>
          </w:p>
        </w:tc>
        <w:tc>
          <w:tcPr>
            <w:tcW w:w="2268" w:type="dxa"/>
            <w:vAlign w:val="center"/>
          </w:tcPr>
          <w:p>
            <w:pPr>
              <w:pStyle w:val="12"/>
            </w:pPr>
            <w:r>
              <w:t>581元/人</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经济效益指标</w:t>
            </w:r>
          </w:p>
        </w:tc>
        <w:tc>
          <w:tcPr>
            <w:tcW w:w="5386" w:type="dxa"/>
            <w:vAlign w:val="center"/>
          </w:tcPr>
          <w:p>
            <w:pPr>
              <w:pStyle w:val="12"/>
            </w:pPr>
            <w:r>
              <w:t>减少受灾农户生活成本</w:t>
            </w:r>
          </w:p>
        </w:tc>
        <w:tc>
          <w:tcPr>
            <w:tcW w:w="2268" w:type="dxa"/>
            <w:vAlign w:val="center"/>
          </w:tcPr>
          <w:p>
            <w:pPr>
              <w:pStyle w:val="12"/>
            </w:pPr>
            <w:r>
              <w:t>203.42万元</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5386" w:type="dxa"/>
            <w:vAlign w:val="center"/>
          </w:tcPr>
          <w:p>
            <w:pPr>
              <w:pStyle w:val="12"/>
            </w:pPr>
            <w:r>
              <w:t>救助受灾农户</w:t>
            </w:r>
          </w:p>
        </w:tc>
        <w:tc>
          <w:tcPr>
            <w:tcW w:w="2268" w:type="dxa"/>
            <w:vAlign w:val="center"/>
          </w:tcPr>
          <w:p>
            <w:pPr>
              <w:pStyle w:val="12"/>
            </w:pPr>
            <w:r>
              <w:t>3356户</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5386" w:type="dxa"/>
            <w:vAlign w:val="center"/>
          </w:tcPr>
          <w:p>
            <w:pPr>
              <w:pStyle w:val="12"/>
            </w:pPr>
            <w:r>
              <w:t>防止农户因灾返贫比率</w:t>
            </w:r>
          </w:p>
        </w:tc>
        <w:tc>
          <w:tcPr>
            <w:tcW w:w="2268" w:type="dxa"/>
            <w:vAlign w:val="center"/>
          </w:tcPr>
          <w:p>
            <w:pPr>
              <w:pStyle w:val="12"/>
            </w:pPr>
            <w:r>
              <w:t>≥95%</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受灾群众满意程度</w:t>
            </w:r>
          </w:p>
        </w:tc>
        <w:tc>
          <w:tcPr>
            <w:tcW w:w="5386" w:type="dxa"/>
            <w:vAlign w:val="center"/>
          </w:tcPr>
          <w:p>
            <w:pPr>
              <w:pStyle w:val="12"/>
            </w:pPr>
            <w:r>
              <w:t>满意的受灾群众占总受灾的比率</w:t>
            </w:r>
          </w:p>
        </w:tc>
        <w:tc>
          <w:tcPr>
            <w:tcW w:w="2268" w:type="dxa"/>
            <w:vAlign w:val="center"/>
          </w:tcPr>
          <w:p>
            <w:pPr>
              <w:pStyle w:val="12"/>
            </w:pPr>
            <w:r>
              <w:t>≥95%</w:t>
            </w:r>
          </w:p>
        </w:tc>
        <w:tc>
          <w:tcPr>
            <w:tcW w:w="1276" w:type="dxa"/>
            <w:vAlign w:val="center"/>
          </w:tcPr>
          <w:p>
            <w:pPr>
              <w:pStyle w:val="12"/>
            </w:pPr>
            <w:r>
              <w:t>年度救助计划</w:t>
            </w:r>
          </w:p>
        </w:tc>
      </w:tr>
    </w:tbl>
    <w:p>
      <w:pPr>
        <w:sectPr>
          <w:pgSz w:w="16840" w:h="11900" w:orient="landscape"/>
          <w:pgMar w:top="1361" w:right="1020" w:bottom="1134" w:left="1020" w:header="720" w:footer="720" w:gutter="0"/>
          <w:cols w:space="720" w:num="1"/>
        </w:sectPr>
      </w:pPr>
    </w:p>
    <w:p>
      <w:pPr>
        <w:spacing w:before="0" w:after="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4</w:t>
      </w:r>
      <w:r>
        <w:rPr>
          <w:rFonts w:ascii="方正仿宋_GBK" w:hAnsi="方正仿宋_GBK" w:eastAsia="方正仿宋_GBK" w:cs="方正仿宋_GBK"/>
          <w:b/>
          <w:color w:val="000000"/>
          <w:sz w:val="28"/>
        </w:rPr>
        <w:t>、尾矿库治理资金绩效目标表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13032126P00011610237B</w:t>
            </w:r>
          </w:p>
        </w:tc>
        <w:tc>
          <w:tcPr>
            <w:tcW w:w="2835" w:type="dxa"/>
            <w:vAlign w:val="center"/>
          </w:tcPr>
          <w:p>
            <w:pPr>
              <w:pStyle w:val="10"/>
            </w:pPr>
            <w:r>
              <w:t>项目名称</w:t>
            </w:r>
          </w:p>
        </w:tc>
        <w:tc>
          <w:tcPr>
            <w:tcW w:w="6095" w:type="dxa"/>
            <w:gridSpan w:val="3"/>
            <w:vAlign w:val="center"/>
          </w:tcPr>
          <w:p>
            <w:pPr>
              <w:pStyle w:val="12"/>
            </w:pPr>
            <w:r>
              <w:t>尾矿库治理资金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预算安排50万元，其中政府性基金安排50万元，主要用于尾矿库治理支出。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1.通过该项目的实施，对存在危险风险的尾矿库进行治理，全面发现并彻底整改非煤矿山安全生产风险管控和隐患排查治理。</w:t>
            </w:r>
          </w:p>
          <w:p>
            <w:pPr>
              <w:pStyle w:val="12"/>
            </w:pPr>
            <w:r>
              <w:t>2.通过对该项目的实施，及时发现并消除选厂存在的安全生产隐患，防止发生安全生产事故。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接受补助企业数量</w:t>
            </w:r>
          </w:p>
        </w:tc>
        <w:tc>
          <w:tcPr>
            <w:tcW w:w="5386" w:type="dxa"/>
            <w:vAlign w:val="center"/>
          </w:tcPr>
          <w:p>
            <w:pPr>
              <w:pStyle w:val="12"/>
            </w:pPr>
            <w:r>
              <w:t>反映接受补助企业数量</w:t>
            </w:r>
          </w:p>
        </w:tc>
        <w:tc>
          <w:tcPr>
            <w:tcW w:w="2268" w:type="dxa"/>
            <w:vAlign w:val="center"/>
          </w:tcPr>
          <w:p>
            <w:pPr>
              <w:pStyle w:val="12"/>
            </w:pPr>
            <w:r>
              <w:t>2家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治理尾矿库的数量</w:t>
            </w:r>
          </w:p>
        </w:tc>
        <w:tc>
          <w:tcPr>
            <w:tcW w:w="5386" w:type="dxa"/>
            <w:vAlign w:val="center"/>
          </w:tcPr>
          <w:p>
            <w:pPr>
              <w:pStyle w:val="12"/>
            </w:pPr>
            <w:r>
              <w:t>反映治理尾矿库的数量</w:t>
            </w:r>
          </w:p>
        </w:tc>
        <w:tc>
          <w:tcPr>
            <w:tcW w:w="2268" w:type="dxa"/>
            <w:vAlign w:val="center"/>
          </w:tcPr>
          <w:p>
            <w:pPr>
              <w:pStyle w:val="12"/>
            </w:pPr>
            <w:r>
              <w:t>2座</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尾矿库治理率</w:t>
            </w:r>
          </w:p>
        </w:tc>
        <w:tc>
          <w:tcPr>
            <w:tcW w:w="5386" w:type="dxa"/>
            <w:vAlign w:val="center"/>
          </w:tcPr>
          <w:p>
            <w:pPr>
              <w:pStyle w:val="12"/>
            </w:pPr>
            <w:r>
              <w:t>已治理的数量占应治理数量的比率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非煤矿山及时处理率</w:t>
            </w:r>
          </w:p>
        </w:tc>
        <w:tc>
          <w:tcPr>
            <w:tcW w:w="5386" w:type="dxa"/>
            <w:vAlign w:val="center"/>
          </w:tcPr>
          <w:p>
            <w:pPr>
              <w:pStyle w:val="12"/>
            </w:pPr>
            <w:r>
              <w:t>发现并彻底整改非煤矿山安全生产隐患</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完成治理时效</w:t>
            </w:r>
          </w:p>
        </w:tc>
        <w:tc>
          <w:tcPr>
            <w:tcW w:w="5386" w:type="dxa"/>
            <w:vAlign w:val="center"/>
          </w:tcPr>
          <w:p>
            <w:pPr>
              <w:pStyle w:val="12"/>
            </w:pPr>
            <w:r>
              <w:t>完成尾矿库治理的时间</w:t>
            </w:r>
          </w:p>
        </w:tc>
        <w:tc>
          <w:tcPr>
            <w:tcW w:w="2268" w:type="dxa"/>
            <w:vAlign w:val="center"/>
          </w:tcPr>
          <w:p>
            <w:pPr>
              <w:pStyle w:val="12"/>
            </w:pPr>
            <w:r>
              <w:t>三年内完成</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企业补助成本</w:t>
            </w:r>
          </w:p>
        </w:tc>
        <w:tc>
          <w:tcPr>
            <w:tcW w:w="5386" w:type="dxa"/>
            <w:vAlign w:val="center"/>
          </w:tcPr>
          <w:p>
            <w:pPr>
              <w:pStyle w:val="12"/>
            </w:pPr>
            <w:r>
              <w:t>反映用于尾矿库治理补助的单位成本</w:t>
            </w:r>
          </w:p>
        </w:tc>
        <w:tc>
          <w:tcPr>
            <w:tcW w:w="2268" w:type="dxa"/>
            <w:vAlign w:val="center"/>
          </w:tcPr>
          <w:p>
            <w:pPr>
              <w:pStyle w:val="12"/>
            </w:pPr>
            <w:r>
              <w:t>≤50万元</w:t>
            </w:r>
          </w:p>
        </w:tc>
        <w:tc>
          <w:tcPr>
            <w:tcW w:w="1276" w:type="dxa"/>
            <w:vAlign w:val="center"/>
          </w:tcPr>
          <w:p>
            <w:pPr>
              <w:pStyle w:val="12"/>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确保非煤矿山企业安全生产</w:t>
            </w:r>
          </w:p>
        </w:tc>
        <w:tc>
          <w:tcPr>
            <w:tcW w:w="5386" w:type="dxa"/>
            <w:vAlign w:val="center"/>
          </w:tcPr>
          <w:p>
            <w:pPr>
              <w:pStyle w:val="12"/>
            </w:pPr>
            <w:r>
              <w:t>遏制较大以上安全生产事故的发生，确保煤矿和非煤矿山企业安全生产</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安全生产事故发生起数</w:t>
            </w:r>
          </w:p>
        </w:tc>
        <w:tc>
          <w:tcPr>
            <w:tcW w:w="5386" w:type="dxa"/>
            <w:vAlign w:val="center"/>
          </w:tcPr>
          <w:p>
            <w:pPr>
              <w:pStyle w:val="12"/>
            </w:pPr>
            <w:r>
              <w:t>安全生产事故发生起数</w:t>
            </w:r>
          </w:p>
        </w:tc>
        <w:tc>
          <w:tcPr>
            <w:tcW w:w="2268" w:type="dxa"/>
            <w:vAlign w:val="center"/>
          </w:tcPr>
          <w:p>
            <w:pPr>
              <w:pStyle w:val="12"/>
            </w:pPr>
            <w:r>
              <w:t>≤1起</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接受服务的单位对所提供服务的满意程度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5</w:t>
      </w:r>
      <w:r>
        <w:rPr>
          <w:rFonts w:ascii="方正仿宋_GBK" w:hAnsi="方正仿宋_GBK" w:eastAsia="方正仿宋_GBK" w:cs="方正仿宋_GBK"/>
          <w:b/>
          <w:color w:val="000000"/>
          <w:sz w:val="28"/>
        </w:rPr>
        <w:t>、应急救援经费绩效目标表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13032125P00010210004X</w:t>
            </w:r>
          </w:p>
        </w:tc>
        <w:tc>
          <w:tcPr>
            <w:tcW w:w="2835" w:type="dxa"/>
            <w:vAlign w:val="center"/>
          </w:tcPr>
          <w:p>
            <w:pPr>
              <w:pStyle w:val="10"/>
            </w:pPr>
            <w:r>
              <w:t>项目名称</w:t>
            </w:r>
          </w:p>
        </w:tc>
        <w:tc>
          <w:tcPr>
            <w:tcW w:w="6095" w:type="dxa"/>
            <w:gridSpan w:val="3"/>
            <w:vAlign w:val="center"/>
          </w:tcPr>
          <w:p>
            <w:pPr>
              <w:pStyle w:val="12"/>
            </w:pPr>
            <w:r>
              <w:t>应急救援经费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99.80</w:t>
            </w:r>
          </w:p>
        </w:tc>
        <w:tc>
          <w:tcPr>
            <w:tcW w:w="2835" w:type="dxa"/>
            <w:vAlign w:val="center"/>
          </w:tcPr>
          <w:p>
            <w:pPr>
              <w:pStyle w:val="10"/>
            </w:pPr>
            <w:r>
              <w:t>其中：财政    资金</w:t>
            </w:r>
          </w:p>
        </w:tc>
        <w:tc>
          <w:tcPr>
            <w:tcW w:w="2551" w:type="dxa"/>
            <w:vAlign w:val="center"/>
          </w:tcPr>
          <w:p>
            <w:pPr>
              <w:pStyle w:val="12"/>
            </w:pPr>
            <w:r>
              <w:t>99.80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预算安排99.799675万元，其中：财政拨款99.799675万元，主要用于防汛防火支出。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1.通过开展应急救援工作，使组织协调重要应急物资的储备、调拨和紧急配送，承担救灾款物的管理、分配和监督使用管理工作如期完成。</w:t>
            </w:r>
          </w:p>
          <w:p>
            <w:pPr>
              <w:pStyle w:val="12"/>
            </w:pPr>
            <w:r>
              <w:t>2.通过开展应急救援工作，值守值班、应急预案编制演练、各项灾害防治工作正常开展。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用于应急防灾减灾宣传单</w:t>
            </w:r>
          </w:p>
        </w:tc>
        <w:tc>
          <w:tcPr>
            <w:tcW w:w="2268" w:type="dxa"/>
            <w:vAlign w:val="center"/>
          </w:tcPr>
          <w:p>
            <w:pPr>
              <w:pStyle w:val="12"/>
            </w:pPr>
            <w:r>
              <w:t>≥1000份</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灾害检查次数</w:t>
            </w:r>
          </w:p>
        </w:tc>
        <w:tc>
          <w:tcPr>
            <w:tcW w:w="5386" w:type="dxa"/>
            <w:vAlign w:val="center"/>
          </w:tcPr>
          <w:p>
            <w:pPr>
              <w:pStyle w:val="12"/>
            </w:pPr>
            <w:r>
              <w:t>反映年度灾害检查的次数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应急预案演练次数</w:t>
            </w:r>
          </w:p>
        </w:tc>
        <w:tc>
          <w:tcPr>
            <w:tcW w:w="5386" w:type="dxa"/>
            <w:vAlign w:val="center"/>
          </w:tcPr>
          <w:p>
            <w:pPr>
              <w:pStyle w:val="12"/>
            </w:pPr>
            <w:r>
              <w:t>反映应急预案演练的次数</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应急预案演练完成率</w:t>
            </w:r>
          </w:p>
        </w:tc>
        <w:tc>
          <w:tcPr>
            <w:tcW w:w="5386" w:type="dxa"/>
            <w:vAlign w:val="center"/>
          </w:tcPr>
          <w:p>
            <w:pPr>
              <w:pStyle w:val="12"/>
            </w:pPr>
            <w:r>
              <w:t>全县安全生产应急救援预案编制与备案工作实际完成情况与年初目标的比例情况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灾害检查完成率</w:t>
            </w:r>
          </w:p>
        </w:tc>
        <w:tc>
          <w:tcPr>
            <w:tcW w:w="5386" w:type="dxa"/>
            <w:vAlign w:val="center"/>
          </w:tcPr>
          <w:p>
            <w:pPr>
              <w:pStyle w:val="12"/>
            </w:pPr>
            <w:r>
              <w:t>反映完成灾害检查完成占计划数量的完成率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演练时间</w:t>
            </w:r>
          </w:p>
        </w:tc>
        <w:tc>
          <w:tcPr>
            <w:tcW w:w="5386" w:type="dxa"/>
            <w:vAlign w:val="center"/>
          </w:tcPr>
          <w:p>
            <w:pPr>
              <w:pStyle w:val="12"/>
            </w:pPr>
            <w:r>
              <w:t>反映应急预案演练时间</w:t>
            </w:r>
          </w:p>
        </w:tc>
        <w:tc>
          <w:tcPr>
            <w:tcW w:w="2268" w:type="dxa"/>
            <w:vAlign w:val="center"/>
          </w:tcPr>
          <w:p>
            <w:pPr>
              <w:pStyle w:val="12"/>
            </w:pPr>
            <w:r>
              <w:t>上半年一次、下半年一次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办公费成本</w:t>
            </w:r>
          </w:p>
        </w:tc>
        <w:tc>
          <w:tcPr>
            <w:tcW w:w="5386" w:type="dxa"/>
            <w:vAlign w:val="center"/>
          </w:tcPr>
          <w:p>
            <w:pPr>
              <w:pStyle w:val="12"/>
            </w:pPr>
            <w:r>
              <w:t>反映用于办公用品采购的</w:t>
            </w:r>
          </w:p>
        </w:tc>
        <w:tc>
          <w:tcPr>
            <w:tcW w:w="2268" w:type="dxa"/>
            <w:vAlign w:val="center"/>
          </w:tcPr>
          <w:p>
            <w:pPr>
              <w:pStyle w:val="12"/>
            </w:pPr>
            <w:r>
              <w:t>≤55.8万元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租赁费成本</w:t>
            </w:r>
          </w:p>
        </w:tc>
        <w:tc>
          <w:tcPr>
            <w:tcW w:w="5386" w:type="dxa"/>
            <w:vAlign w:val="center"/>
          </w:tcPr>
          <w:p>
            <w:pPr>
              <w:pStyle w:val="12"/>
            </w:pPr>
            <w:r>
              <w:t>反映用于森防装备储存的费用</w:t>
            </w:r>
          </w:p>
        </w:tc>
        <w:tc>
          <w:tcPr>
            <w:tcW w:w="2268" w:type="dxa"/>
            <w:vAlign w:val="center"/>
          </w:tcPr>
          <w:p>
            <w:pPr>
              <w:pStyle w:val="12"/>
            </w:pPr>
            <w:r>
              <w:t>≤12万元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被装购置费成本</w:t>
            </w:r>
          </w:p>
        </w:tc>
        <w:tc>
          <w:tcPr>
            <w:tcW w:w="5386" w:type="dxa"/>
            <w:vAlign w:val="center"/>
          </w:tcPr>
          <w:p>
            <w:pPr>
              <w:pStyle w:val="12"/>
            </w:pPr>
            <w:r>
              <w:t>反映用于森防救援大队队员被装购置的费用</w:t>
            </w:r>
          </w:p>
        </w:tc>
        <w:tc>
          <w:tcPr>
            <w:tcW w:w="2268" w:type="dxa"/>
            <w:vAlign w:val="center"/>
          </w:tcPr>
          <w:p>
            <w:pPr>
              <w:pStyle w:val="12"/>
            </w:pPr>
            <w:r>
              <w:t>≤10万元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其他交通费用</w:t>
            </w:r>
          </w:p>
        </w:tc>
        <w:tc>
          <w:tcPr>
            <w:tcW w:w="5386" w:type="dxa"/>
            <w:vAlign w:val="center"/>
          </w:tcPr>
          <w:p>
            <w:pPr>
              <w:pStyle w:val="12"/>
            </w:pPr>
            <w:r>
              <w:t>反映用于租用社会车辆费用</w:t>
            </w:r>
          </w:p>
        </w:tc>
        <w:tc>
          <w:tcPr>
            <w:tcW w:w="2268" w:type="dxa"/>
            <w:vAlign w:val="center"/>
          </w:tcPr>
          <w:p>
            <w:pPr>
              <w:pStyle w:val="12"/>
            </w:pPr>
            <w:r>
              <w:t>≤22万元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重特大安全生产事故发生率</w:t>
            </w:r>
          </w:p>
        </w:tc>
        <w:tc>
          <w:tcPr>
            <w:tcW w:w="5386" w:type="dxa"/>
            <w:vAlign w:val="center"/>
          </w:tcPr>
          <w:p>
            <w:pPr>
              <w:pStyle w:val="12"/>
            </w:pPr>
            <w:r>
              <w:t>防止重点行业、重点企业、重点区域发生重特大安全生产事故，强化企业各项安全保障措施落实到位</w:t>
            </w:r>
          </w:p>
        </w:tc>
        <w:tc>
          <w:tcPr>
            <w:tcW w:w="2268" w:type="dxa"/>
            <w:vAlign w:val="center"/>
          </w:tcPr>
          <w:p>
            <w:pPr>
              <w:pStyle w:val="12"/>
            </w:pPr>
            <w:r>
              <w:t>&lt;1事故</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减少灾害损失率</w:t>
            </w:r>
          </w:p>
        </w:tc>
        <w:tc>
          <w:tcPr>
            <w:tcW w:w="5386" w:type="dxa"/>
            <w:vAlign w:val="center"/>
          </w:tcPr>
          <w:p>
            <w:pPr>
              <w:pStyle w:val="12"/>
            </w:pPr>
            <w:r>
              <w:t>全县减少因灾损失率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受益对象满意程度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6</w:t>
      </w:r>
      <w:bookmarkStart w:id="1" w:name="_GoBack"/>
      <w:bookmarkEnd w:id="1"/>
      <w:r>
        <w:rPr>
          <w:rFonts w:ascii="方正仿宋_GBK" w:hAnsi="方正仿宋_GBK" w:eastAsia="方正仿宋_GBK" w:cs="方正仿宋_GBK"/>
          <w:b/>
          <w:color w:val="000000"/>
          <w:sz w:val="28"/>
        </w:rPr>
        <w:t>、应急救援经费绩效目标表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13032126P00010210009E</w:t>
            </w:r>
          </w:p>
        </w:tc>
        <w:tc>
          <w:tcPr>
            <w:tcW w:w="2835" w:type="dxa"/>
            <w:vAlign w:val="center"/>
          </w:tcPr>
          <w:p>
            <w:pPr>
              <w:pStyle w:val="10"/>
            </w:pPr>
            <w:r>
              <w:t>项目名称</w:t>
            </w:r>
          </w:p>
        </w:tc>
        <w:tc>
          <w:tcPr>
            <w:tcW w:w="6095" w:type="dxa"/>
            <w:gridSpan w:val="3"/>
            <w:vAlign w:val="center"/>
          </w:tcPr>
          <w:p>
            <w:pPr>
              <w:pStyle w:val="12"/>
            </w:pPr>
            <w:r>
              <w:t>应急救援经费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68.00</w:t>
            </w:r>
          </w:p>
        </w:tc>
        <w:tc>
          <w:tcPr>
            <w:tcW w:w="2835" w:type="dxa"/>
            <w:vAlign w:val="center"/>
          </w:tcPr>
          <w:p>
            <w:pPr>
              <w:pStyle w:val="10"/>
            </w:pPr>
            <w:r>
              <w:t>其中：财政    资金</w:t>
            </w:r>
          </w:p>
        </w:tc>
        <w:tc>
          <w:tcPr>
            <w:tcW w:w="2551" w:type="dxa"/>
            <w:vAlign w:val="center"/>
          </w:tcPr>
          <w:p>
            <w:pPr>
              <w:pStyle w:val="12"/>
            </w:pPr>
            <w:r>
              <w:t>68.00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预算安排68万元，其中财政拨款28万元、罚没安排40万元，主要用于应急救援支出。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1.通过开展应急救援工作，值守值班、应急预案编制演练、各项灾害防治工作正常开展。</w:t>
            </w:r>
          </w:p>
          <w:p>
            <w:pPr>
              <w:pStyle w:val="12"/>
            </w:pPr>
            <w:r>
              <w:t>2.通过开展应急救援工作，使组织协调重要应急物资的储备、调拨和紧急配送，承担救灾款物的管理、分配和监督使用管理工作如期完成。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用于应急防灾减灾宣传单</w:t>
            </w:r>
          </w:p>
        </w:tc>
        <w:tc>
          <w:tcPr>
            <w:tcW w:w="2268" w:type="dxa"/>
            <w:vAlign w:val="center"/>
          </w:tcPr>
          <w:p>
            <w:pPr>
              <w:pStyle w:val="12"/>
            </w:pPr>
            <w:r>
              <w:t>≥1000份</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灾害检查次数</w:t>
            </w:r>
          </w:p>
        </w:tc>
        <w:tc>
          <w:tcPr>
            <w:tcW w:w="5386" w:type="dxa"/>
            <w:vAlign w:val="center"/>
          </w:tcPr>
          <w:p>
            <w:pPr>
              <w:pStyle w:val="12"/>
            </w:pPr>
            <w:r>
              <w:t>反映年度灾害检查的次数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应急预案演练次数</w:t>
            </w:r>
          </w:p>
        </w:tc>
        <w:tc>
          <w:tcPr>
            <w:tcW w:w="5386" w:type="dxa"/>
            <w:vAlign w:val="center"/>
          </w:tcPr>
          <w:p>
            <w:pPr>
              <w:pStyle w:val="12"/>
            </w:pPr>
            <w:r>
              <w:t>反映应急预案演练的次数</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应急预案演练完成率</w:t>
            </w:r>
          </w:p>
        </w:tc>
        <w:tc>
          <w:tcPr>
            <w:tcW w:w="5386" w:type="dxa"/>
            <w:vAlign w:val="center"/>
          </w:tcPr>
          <w:p>
            <w:pPr>
              <w:pStyle w:val="12"/>
            </w:pPr>
            <w:r>
              <w:t>全县安全生产应急救援预案编制与备案工作实际完成情况与年初目标的比例情况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灾害检查完成率</w:t>
            </w:r>
          </w:p>
        </w:tc>
        <w:tc>
          <w:tcPr>
            <w:tcW w:w="5386" w:type="dxa"/>
            <w:vAlign w:val="center"/>
          </w:tcPr>
          <w:p>
            <w:pPr>
              <w:pStyle w:val="12"/>
            </w:pPr>
            <w:r>
              <w:t>反映完成灾害检查完成占计划数量的完成率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演练时间</w:t>
            </w:r>
          </w:p>
        </w:tc>
        <w:tc>
          <w:tcPr>
            <w:tcW w:w="5386" w:type="dxa"/>
            <w:vAlign w:val="center"/>
          </w:tcPr>
          <w:p>
            <w:pPr>
              <w:pStyle w:val="12"/>
            </w:pPr>
            <w:r>
              <w:t>反映应急预案演练时间</w:t>
            </w:r>
          </w:p>
        </w:tc>
        <w:tc>
          <w:tcPr>
            <w:tcW w:w="2268" w:type="dxa"/>
            <w:vAlign w:val="center"/>
          </w:tcPr>
          <w:p>
            <w:pPr>
              <w:pStyle w:val="12"/>
            </w:pPr>
            <w:r>
              <w:t>上半年一次、下半年一次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办公费成本</w:t>
            </w:r>
          </w:p>
        </w:tc>
        <w:tc>
          <w:tcPr>
            <w:tcW w:w="5386" w:type="dxa"/>
            <w:vAlign w:val="center"/>
          </w:tcPr>
          <w:p>
            <w:pPr>
              <w:pStyle w:val="12"/>
            </w:pPr>
            <w:r>
              <w:t>反映用于办公用品采购的</w:t>
            </w:r>
          </w:p>
        </w:tc>
        <w:tc>
          <w:tcPr>
            <w:tcW w:w="2268" w:type="dxa"/>
            <w:vAlign w:val="center"/>
          </w:tcPr>
          <w:p>
            <w:pPr>
              <w:pStyle w:val="12"/>
            </w:pPr>
            <w:r>
              <w:t>≤28.12万元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网络运行服务成本</w:t>
            </w:r>
          </w:p>
        </w:tc>
        <w:tc>
          <w:tcPr>
            <w:tcW w:w="5386" w:type="dxa"/>
            <w:vAlign w:val="center"/>
          </w:tcPr>
          <w:p>
            <w:pPr>
              <w:pStyle w:val="12"/>
            </w:pPr>
            <w:r>
              <w:t>反映用于电话通讯网络服务费用</w:t>
            </w:r>
          </w:p>
        </w:tc>
        <w:tc>
          <w:tcPr>
            <w:tcW w:w="2268" w:type="dxa"/>
            <w:vAlign w:val="center"/>
          </w:tcPr>
          <w:p>
            <w:pPr>
              <w:pStyle w:val="12"/>
            </w:pPr>
            <w:r>
              <w:t>≤3.9万元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电费</w:t>
            </w:r>
          </w:p>
        </w:tc>
        <w:tc>
          <w:tcPr>
            <w:tcW w:w="5386" w:type="dxa"/>
            <w:vAlign w:val="center"/>
          </w:tcPr>
          <w:p>
            <w:pPr>
              <w:pStyle w:val="12"/>
            </w:pPr>
            <w:r>
              <w:t>反映用电费用</w:t>
            </w:r>
          </w:p>
        </w:tc>
        <w:tc>
          <w:tcPr>
            <w:tcW w:w="2268" w:type="dxa"/>
            <w:vAlign w:val="center"/>
          </w:tcPr>
          <w:p>
            <w:pPr>
              <w:pStyle w:val="12"/>
            </w:pPr>
            <w:r>
              <w:t>≤18.5万元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其他交通费用</w:t>
            </w:r>
          </w:p>
        </w:tc>
        <w:tc>
          <w:tcPr>
            <w:tcW w:w="5386" w:type="dxa"/>
            <w:vAlign w:val="center"/>
          </w:tcPr>
          <w:p>
            <w:pPr>
              <w:pStyle w:val="12"/>
            </w:pPr>
            <w:r>
              <w:t>反映用于租用社会车辆费用</w:t>
            </w:r>
          </w:p>
        </w:tc>
        <w:tc>
          <w:tcPr>
            <w:tcW w:w="2268" w:type="dxa"/>
            <w:vAlign w:val="center"/>
          </w:tcPr>
          <w:p>
            <w:pPr>
              <w:pStyle w:val="12"/>
            </w:pPr>
            <w:r>
              <w:t>≤17.48万元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重特大安全生产事故发生率</w:t>
            </w:r>
          </w:p>
        </w:tc>
        <w:tc>
          <w:tcPr>
            <w:tcW w:w="5386" w:type="dxa"/>
            <w:vAlign w:val="center"/>
          </w:tcPr>
          <w:p>
            <w:pPr>
              <w:pStyle w:val="12"/>
            </w:pPr>
            <w:r>
              <w:t>防止重点行业、重点企业、重点区域发生重特大安全生产事故，强化企业各项安全保障措施落实到位</w:t>
            </w:r>
          </w:p>
        </w:tc>
        <w:tc>
          <w:tcPr>
            <w:tcW w:w="2268" w:type="dxa"/>
            <w:vAlign w:val="center"/>
          </w:tcPr>
          <w:p>
            <w:pPr>
              <w:pStyle w:val="12"/>
            </w:pPr>
            <w:r>
              <w:t>0事故</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减少灾害损失率</w:t>
            </w:r>
          </w:p>
        </w:tc>
        <w:tc>
          <w:tcPr>
            <w:tcW w:w="5386" w:type="dxa"/>
            <w:vAlign w:val="center"/>
          </w:tcPr>
          <w:p>
            <w:pPr>
              <w:pStyle w:val="12"/>
            </w:pPr>
            <w:r>
              <w:t>全县减少因灾损失率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受益对象满意程度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11.65</w:t>
            </w:r>
          </w:p>
        </w:tc>
        <w:tc>
          <w:tcPr>
            <w:tcW w:w="964" w:type="dxa"/>
            <w:vAlign w:val="center"/>
          </w:tcPr>
          <w:p>
            <w:pPr>
              <w:pStyle w:val="15"/>
            </w:pPr>
            <w:r>
              <w:t>11.65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青龙满族自治县应急管理局本级小计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11.65</w:t>
            </w:r>
          </w:p>
        </w:tc>
        <w:tc>
          <w:tcPr>
            <w:tcW w:w="964" w:type="dxa"/>
            <w:vAlign w:val="center"/>
          </w:tcPr>
          <w:p>
            <w:pPr>
              <w:pStyle w:val="15"/>
            </w:pPr>
            <w:r>
              <w:t>11.65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29.01</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1.15</w:t>
            </w:r>
          </w:p>
        </w:tc>
        <w:tc>
          <w:tcPr>
            <w:tcW w:w="964" w:type="dxa"/>
            <w:vAlign w:val="center"/>
          </w:tcPr>
          <w:p>
            <w:pPr>
              <w:pStyle w:val="11"/>
            </w:pPr>
            <w:r>
              <w:t>1.15</w:t>
            </w:r>
          </w:p>
        </w:tc>
        <w:tc>
          <w:tcPr>
            <w:tcW w:w="964" w:type="dxa"/>
            <w:vAlign w:val="center"/>
          </w:tcPr>
          <w:p>
            <w:pPr>
              <w:pStyle w:val="11"/>
            </w:pPr>
            <w:r>
              <w:t>1.15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29.01</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600</w:t>
            </w:r>
          </w:p>
        </w:tc>
        <w:tc>
          <w:tcPr>
            <w:tcW w:w="850" w:type="dxa"/>
            <w:vAlign w:val="center"/>
          </w:tcPr>
          <w:p>
            <w:pPr>
              <w:pStyle w:val="11"/>
            </w:pPr>
            <w:r>
              <w:t>0.01</w:t>
            </w:r>
          </w:p>
        </w:tc>
        <w:tc>
          <w:tcPr>
            <w:tcW w:w="964" w:type="dxa"/>
            <w:vAlign w:val="center"/>
          </w:tcPr>
          <w:p>
            <w:pPr>
              <w:pStyle w:val="11"/>
            </w:pPr>
            <w:r>
              <w:t>5.10</w:t>
            </w:r>
          </w:p>
        </w:tc>
        <w:tc>
          <w:tcPr>
            <w:tcW w:w="964" w:type="dxa"/>
            <w:vAlign w:val="center"/>
          </w:tcPr>
          <w:p>
            <w:pPr>
              <w:pStyle w:val="11"/>
            </w:pPr>
            <w:r>
              <w:t>5.10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公用经费一</w:t>
            </w:r>
          </w:p>
        </w:tc>
        <w:tc>
          <w:tcPr>
            <w:tcW w:w="964" w:type="dxa"/>
            <w:vAlign w:val="center"/>
          </w:tcPr>
          <w:p>
            <w:pPr>
              <w:pStyle w:val="11"/>
            </w:pPr>
            <w:r>
              <w:t>29.01</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29.01</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29.01</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1.80</w:t>
            </w:r>
          </w:p>
        </w:tc>
        <w:tc>
          <w:tcPr>
            <w:tcW w:w="964" w:type="dxa"/>
            <w:vAlign w:val="center"/>
          </w:tcPr>
          <w:p>
            <w:pPr>
              <w:pStyle w:val="11"/>
            </w:pPr>
            <w:r>
              <w:t>1.80</w:t>
            </w:r>
          </w:p>
        </w:tc>
        <w:tc>
          <w:tcPr>
            <w:tcW w:w="964" w:type="dxa"/>
            <w:vAlign w:val="center"/>
          </w:tcPr>
          <w:p>
            <w:pPr>
              <w:pStyle w:val="11"/>
            </w:pPr>
            <w:r>
              <w:t>1.80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安全生产监管综合执法专项经费</w:t>
            </w:r>
          </w:p>
        </w:tc>
        <w:tc>
          <w:tcPr>
            <w:tcW w:w="964" w:type="dxa"/>
            <w:vAlign w:val="center"/>
          </w:tcPr>
          <w:p>
            <w:pPr>
              <w:pStyle w:val="11"/>
            </w:pPr>
            <w:r>
              <w:t>2.40</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安全生产监管综合执法专项经费</w:t>
            </w:r>
          </w:p>
        </w:tc>
        <w:tc>
          <w:tcPr>
            <w:tcW w:w="964" w:type="dxa"/>
            <w:vAlign w:val="center"/>
          </w:tcPr>
          <w:p>
            <w:pPr>
              <w:pStyle w:val="11"/>
            </w:pPr>
            <w:r>
              <w:t>2.40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非煤矿山隐患排查及应急治理工作经费</w:t>
            </w:r>
          </w:p>
        </w:tc>
        <w:tc>
          <w:tcPr>
            <w:tcW w:w="964" w:type="dxa"/>
            <w:vAlign w:val="center"/>
          </w:tcPr>
          <w:p>
            <w:pPr>
              <w:pStyle w:val="11"/>
            </w:pPr>
            <w:r>
              <w:t>2.40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0.80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应急灾害风险防治专项经费</w:t>
            </w:r>
          </w:p>
        </w:tc>
        <w:tc>
          <w:tcPr>
            <w:tcW w:w="964" w:type="dxa"/>
            <w:vAlign w:val="center"/>
          </w:tcPr>
          <w:p>
            <w:pPr>
              <w:pStyle w:val="11"/>
            </w:pPr>
            <w:r>
              <w:t>1.60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应急灾害风险防治专项经费</w:t>
            </w:r>
          </w:p>
        </w:tc>
        <w:tc>
          <w:tcPr>
            <w:tcW w:w="964" w:type="dxa"/>
            <w:vAlign w:val="center"/>
          </w:tcPr>
          <w:p>
            <w:pPr>
              <w:pStyle w:val="11"/>
            </w:pPr>
            <w:r>
              <w:t>1.60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0.40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青龙满族自治县应急管理局本级上年末固定资产金额为1063.23万元（详见下表）。本年度拟购置固定资产总额为0.00万元，已按要求列入政府采购预算，详见政府采购预算表。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1063.23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881.69</w:t>
            </w:r>
          </w:p>
        </w:tc>
        <w:tc>
          <w:tcPr>
            <w:tcW w:w="2835" w:type="dxa"/>
            <w:vAlign w:val="center"/>
          </w:tcPr>
          <w:p>
            <w:pPr>
              <w:pStyle w:val="11"/>
            </w:pPr>
            <w:r>
              <w:t>75.80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881.69</w:t>
            </w:r>
          </w:p>
        </w:tc>
        <w:tc>
          <w:tcPr>
            <w:tcW w:w="2835" w:type="dxa"/>
            <w:vAlign w:val="center"/>
          </w:tcPr>
          <w:p>
            <w:pPr>
              <w:pStyle w:val="11"/>
            </w:pPr>
            <w:r>
              <w:t>75.80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21.88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t>318.60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1032</w:t>
            </w:r>
          </w:p>
        </w:tc>
        <w:tc>
          <w:tcPr>
            <w:tcW w:w="2835" w:type="dxa"/>
            <w:vAlign w:val="center"/>
          </w:tcPr>
          <w:p>
            <w:pPr>
              <w:pStyle w:val="11"/>
            </w:pPr>
            <w:r>
              <w:t>646.95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黑体">
    <w:altName w:val="宋体"/>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C503CF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58</Pages>
  <TotalTime>2</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2026-02-01T17:24:00Z</dcterms:created>
  <dc:creator>Administrator</dc:creator>
  <cp:lastModifiedBy>Administrator</cp:lastModifiedBy>
  <dcterms:modified xsi:type="dcterms:W3CDTF">2026-02-01T09:24:18Z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996FC53C98314337B62B59042F123FAF</vt:lpwstr>
  </property>
</Properties>
</file>