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92</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92</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93</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94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348青龙满族自治县交通运输局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11338.35</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686.78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190.95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83.10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r>
              <w:t>15282.37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195.95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11338.35</w:t>
            </w:r>
          </w:p>
        </w:tc>
        <w:tc>
          <w:tcPr>
            <w:tcW w:w="4535" w:type="dxa"/>
            <w:vAlign w:val="center"/>
          </w:tcPr>
          <w:p>
            <w:pPr>
              <w:pStyle w:val="15"/>
            </w:pPr>
            <w:r>
              <w:t>本年支出合计</w:t>
            </w:r>
          </w:p>
        </w:tc>
        <w:tc>
          <w:tcPr>
            <w:tcW w:w="2126" w:type="dxa"/>
            <w:vAlign w:val="center"/>
          </w:tcPr>
          <w:p>
            <w:pPr>
              <w:pStyle w:val="16"/>
            </w:pPr>
            <w:r>
              <w:t>16439.15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5100.81</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16439.15</w:t>
            </w:r>
          </w:p>
        </w:tc>
        <w:tc>
          <w:tcPr>
            <w:tcW w:w="4535" w:type="dxa"/>
            <w:vAlign w:val="center"/>
          </w:tcPr>
          <w:p>
            <w:pPr>
              <w:pStyle w:val="15"/>
            </w:pPr>
            <w:r>
              <w:t>支出总计</w:t>
            </w:r>
          </w:p>
        </w:tc>
        <w:tc>
          <w:tcPr>
            <w:tcW w:w="2126" w:type="dxa"/>
            <w:vAlign w:val="center"/>
          </w:tcPr>
          <w:p>
            <w:pPr>
              <w:pStyle w:val="16"/>
            </w:pPr>
            <w:r>
              <w:t>16439.15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348青龙满族自治县交通运输局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16439.15</w:t>
            </w:r>
          </w:p>
        </w:tc>
        <w:tc>
          <w:tcPr>
            <w:tcW w:w="1134" w:type="dxa"/>
            <w:vAlign w:val="center"/>
          </w:tcPr>
          <w:p>
            <w:pPr>
              <w:pStyle w:val="16"/>
            </w:pPr>
            <w:r>
              <w:t>11338.35</w:t>
            </w:r>
          </w:p>
        </w:tc>
        <w:tc>
          <w:tcPr>
            <w:tcW w:w="1134" w:type="dxa"/>
            <w:vAlign w:val="center"/>
          </w:tcPr>
          <w:p>
            <w:pPr>
              <w:pStyle w:val="16"/>
            </w:pPr>
            <w:r>
              <w:t>11338.35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5100.81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686.78</w:t>
            </w:r>
          </w:p>
        </w:tc>
        <w:tc>
          <w:tcPr>
            <w:tcW w:w="1134" w:type="dxa"/>
            <w:vAlign w:val="center"/>
          </w:tcPr>
          <w:p>
            <w:pPr>
              <w:pStyle w:val="12"/>
            </w:pPr>
            <w:r>
              <w:t>686.78</w:t>
            </w:r>
          </w:p>
        </w:tc>
        <w:tc>
          <w:tcPr>
            <w:tcW w:w="1134" w:type="dxa"/>
            <w:vAlign w:val="center"/>
          </w:tcPr>
          <w:p>
            <w:pPr>
              <w:pStyle w:val="12"/>
            </w:pPr>
            <w:r>
              <w:t>686.78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677.67</w:t>
            </w:r>
          </w:p>
        </w:tc>
        <w:tc>
          <w:tcPr>
            <w:tcW w:w="1134" w:type="dxa"/>
            <w:vAlign w:val="center"/>
          </w:tcPr>
          <w:p>
            <w:pPr>
              <w:pStyle w:val="12"/>
            </w:pPr>
            <w:r>
              <w:t>677.67</w:t>
            </w:r>
          </w:p>
        </w:tc>
        <w:tc>
          <w:tcPr>
            <w:tcW w:w="1134" w:type="dxa"/>
            <w:vAlign w:val="center"/>
          </w:tcPr>
          <w:p>
            <w:pPr>
              <w:pStyle w:val="12"/>
            </w:pPr>
            <w:r>
              <w:t>677.67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116.23</w:t>
            </w:r>
          </w:p>
        </w:tc>
        <w:tc>
          <w:tcPr>
            <w:tcW w:w="1134" w:type="dxa"/>
            <w:vAlign w:val="center"/>
          </w:tcPr>
          <w:p>
            <w:pPr>
              <w:pStyle w:val="12"/>
            </w:pPr>
            <w:r>
              <w:t>116.23</w:t>
            </w:r>
          </w:p>
        </w:tc>
        <w:tc>
          <w:tcPr>
            <w:tcW w:w="1134" w:type="dxa"/>
            <w:vAlign w:val="center"/>
          </w:tcPr>
          <w:p>
            <w:pPr>
              <w:pStyle w:val="12"/>
            </w:pPr>
            <w:r>
              <w:t>116.23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381.77</w:t>
            </w:r>
          </w:p>
        </w:tc>
        <w:tc>
          <w:tcPr>
            <w:tcW w:w="1134" w:type="dxa"/>
            <w:vAlign w:val="center"/>
          </w:tcPr>
          <w:p>
            <w:pPr>
              <w:pStyle w:val="12"/>
            </w:pPr>
            <w:r>
              <w:t>381.77</w:t>
            </w:r>
          </w:p>
        </w:tc>
        <w:tc>
          <w:tcPr>
            <w:tcW w:w="1134" w:type="dxa"/>
            <w:vAlign w:val="center"/>
          </w:tcPr>
          <w:p>
            <w:pPr>
              <w:pStyle w:val="12"/>
            </w:pPr>
            <w:r>
              <w:t>381.77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179.66</w:t>
            </w:r>
          </w:p>
        </w:tc>
        <w:tc>
          <w:tcPr>
            <w:tcW w:w="1134" w:type="dxa"/>
            <w:vAlign w:val="center"/>
          </w:tcPr>
          <w:p>
            <w:pPr>
              <w:pStyle w:val="12"/>
            </w:pPr>
            <w:r>
              <w:t>179.66</w:t>
            </w:r>
          </w:p>
        </w:tc>
        <w:tc>
          <w:tcPr>
            <w:tcW w:w="1134" w:type="dxa"/>
            <w:vAlign w:val="center"/>
          </w:tcPr>
          <w:p>
            <w:pPr>
              <w:pStyle w:val="12"/>
            </w:pPr>
            <w:r>
              <w:t>179.66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9.11</w:t>
            </w:r>
          </w:p>
        </w:tc>
        <w:tc>
          <w:tcPr>
            <w:tcW w:w="1134" w:type="dxa"/>
            <w:vAlign w:val="center"/>
          </w:tcPr>
          <w:p>
            <w:pPr>
              <w:pStyle w:val="12"/>
            </w:pPr>
            <w:r>
              <w:t>9.11</w:t>
            </w:r>
          </w:p>
        </w:tc>
        <w:tc>
          <w:tcPr>
            <w:tcW w:w="1134" w:type="dxa"/>
            <w:vAlign w:val="center"/>
          </w:tcPr>
          <w:p>
            <w:pPr>
              <w:pStyle w:val="12"/>
            </w:pPr>
            <w:r>
              <w:t>9.11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9.11</w:t>
            </w:r>
          </w:p>
        </w:tc>
        <w:tc>
          <w:tcPr>
            <w:tcW w:w="1134" w:type="dxa"/>
            <w:vAlign w:val="center"/>
          </w:tcPr>
          <w:p>
            <w:pPr>
              <w:pStyle w:val="12"/>
            </w:pPr>
            <w:r>
              <w:t>9.11</w:t>
            </w:r>
          </w:p>
        </w:tc>
        <w:tc>
          <w:tcPr>
            <w:tcW w:w="1134" w:type="dxa"/>
            <w:vAlign w:val="center"/>
          </w:tcPr>
          <w:p>
            <w:pPr>
              <w:pStyle w:val="12"/>
            </w:pPr>
            <w:r>
              <w:t>9.11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190.95</w:t>
            </w:r>
          </w:p>
        </w:tc>
        <w:tc>
          <w:tcPr>
            <w:tcW w:w="1134" w:type="dxa"/>
            <w:vAlign w:val="center"/>
          </w:tcPr>
          <w:p>
            <w:pPr>
              <w:pStyle w:val="12"/>
            </w:pPr>
            <w:r>
              <w:t>190.95</w:t>
            </w:r>
          </w:p>
        </w:tc>
        <w:tc>
          <w:tcPr>
            <w:tcW w:w="1134" w:type="dxa"/>
            <w:vAlign w:val="center"/>
          </w:tcPr>
          <w:p>
            <w:pPr>
              <w:pStyle w:val="12"/>
            </w:pPr>
            <w:r>
              <w:t>190.95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190.95</w:t>
            </w:r>
          </w:p>
        </w:tc>
        <w:tc>
          <w:tcPr>
            <w:tcW w:w="1134" w:type="dxa"/>
            <w:vAlign w:val="center"/>
          </w:tcPr>
          <w:p>
            <w:pPr>
              <w:pStyle w:val="12"/>
            </w:pPr>
            <w:r>
              <w:t>190.95</w:t>
            </w:r>
          </w:p>
        </w:tc>
        <w:tc>
          <w:tcPr>
            <w:tcW w:w="1134" w:type="dxa"/>
            <w:vAlign w:val="center"/>
          </w:tcPr>
          <w:p>
            <w:pPr>
              <w:pStyle w:val="12"/>
            </w:pPr>
            <w:r>
              <w:t>190.95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8.56</w:t>
            </w:r>
          </w:p>
        </w:tc>
        <w:tc>
          <w:tcPr>
            <w:tcW w:w="1134" w:type="dxa"/>
            <w:vAlign w:val="center"/>
          </w:tcPr>
          <w:p>
            <w:pPr>
              <w:pStyle w:val="12"/>
            </w:pPr>
            <w:r>
              <w:t>8.56</w:t>
            </w:r>
          </w:p>
        </w:tc>
        <w:tc>
          <w:tcPr>
            <w:tcW w:w="1134" w:type="dxa"/>
            <w:vAlign w:val="center"/>
          </w:tcPr>
          <w:p>
            <w:pPr>
              <w:pStyle w:val="12"/>
            </w:pPr>
            <w:r>
              <w:t>8.56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182.39</w:t>
            </w:r>
          </w:p>
        </w:tc>
        <w:tc>
          <w:tcPr>
            <w:tcW w:w="1134" w:type="dxa"/>
            <w:vAlign w:val="center"/>
          </w:tcPr>
          <w:p>
            <w:pPr>
              <w:pStyle w:val="12"/>
            </w:pPr>
            <w:r>
              <w:t>182.39</w:t>
            </w:r>
          </w:p>
        </w:tc>
        <w:tc>
          <w:tcPr>
            <w:tcW w:w="1134" w:type="dxa"/>
            <w:vAlign w:val="center"/>
          </w:tcPr>
          <w:p>
            <w:pPr>
              <w:pStyle w:val="12"/>
            </w:pPr>
            <w:r>
              <w:t>182.39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83.10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21305</w:t>
            </w:r>
          </w:p>
        </w:tc>
        <w:tc>
          <w:tcPr>
            <w:tcW w:w="1559" w:type="dxa"/>
            <w:vAlign w:val="center"/>
          </w:tcPr>
          <w:p>
            <w:pPr>
              <w:pStyle w:val="13"/>
            </w:pPr>
            <w:r>
              <w:t>巩固脱贫攻坚成果衔接乡村振兴</w:t>
            </w:r>
          </w:p>
        </w:tc>
        <w:tc>
          <w:tcPr>
            <w:tcW w:w="1134" w:type="dxa"/>
            <w:vAlign w:val="center"/>
          </w:tcPr>
          <w:p>
            <w:pPr>
              <w:pStyle w:val="12"/>
            </w:pPr>
            <w:r>
              <w:t>83.10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2130504</w:t>
            </w:r>
          </w:p>
        </w:tc>
        <w:tc>
          <w:tcPr>
            <w:tcW w:w="1559" w:type="dxa"/>
            <w:vAlign w:val="center"/>
          </w:tcPr>
          <w:p>
            <w:pPr>
              <w:pStyle w:val="13"/>
            </w:pPr>
            <w:r>
              <w:t>农村基础设施建设</w:t>
            </w:r>
          </w:p>
        </w:tc>
        <w:tc>
          <w:tcPr>
            <w:tcW w:w="1134" w:type="dxa"/>
            <w:vAlign w:val="center"/>
          </w:tcPr>
          <w:p>
            <w:pPr>
              <w:pStyle w:val="12"/>
            </w:pPr>
            <w:r>
              <w:t>83.10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214</w:t>
            </w:r>
          </w:p>
        </w:tc>
        <w:tc>
          <w:tcPr>
            <w:tcW w:w="1559" w:type="dxa"/>
            <w:vAlign w:val="center"/>
          </w:tcPr>
          <w:p>
            <w:pPr>
              <w:pStyle w:val="13"/>
            </w:pPr>
            <w:r>
              <w:t>交通运输支出</w:t>
            </w:r>
          </w:p>
        </w:tc>
        <w:tc>
          <w:tcPr>
            <w:tcW w:w="1134" w:type="dxa"/>
            <w:vAlign w:val="center"/>
          </w:tcPr>
          <w:p>
            <w:pPr>
              <w:pStyle w:val="12"/>
            </w:pPr>
            <w:r>
              <w:t>15282.37</w:t>
            </w:r>
          </w:p>
        </w:tc>
        <w:tc>
          <w:tcPr>
            <w:tcW w:w="1134" w:type="dxa"/>
            <w:vAlign w:val="center"/>
          </w:tcPr>
          <w:p>
            <w:pPr>
              <w:pStyle w:val="12"/>
            </w:pPr>
            <w:r>
              <w:t>10264.66</w:t>
            </w:r>
          </w:p>
        </w:tc>
        <w:tc>
          <w:tcPr>
            <w:tcW w:w="1134" w:type="dxa"/>
            <w:vAlign w:val="center"/>
          </w:tcPr>
          <w:p>
            <w:pPr>
              <w:pStyle w:val="12"/>
            </w:pPr>
            <w:r>
              <w:t>10264.66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5017.71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21401</w:t>
            </w:r>
          </w:p>
        </w:tc>
        <w:tc>
          <w:tcPr>
            <w:tcW w:w="1559" w:type="dxa"/>
            <w:vAlign w:val="center"/>
          </w:tcPr>
          <w:p>
            <w:pPr>
              <w:pStyle w:val="13"/>
            </w:pPr>
            <w:r>
              <w:t>公路水路运输</w:t>
            </w:r>
          </w:p>
        </w:tc>
        <w:tc>
          <w:tcPr>
            <w:tcW w:w="1134" w:type="dxa"/>
            <w:vAlign w:val="center"/>
          </w:tcPr>
          <w:p>
            <w:pPr>
              <w:pStyle w:val="12"/>
            </w:pPr>
            <w:r>
              <w:t>14760.14</w:t>
            </w:r>
          </w:p>
        </w:tc>
        <w:tc>
          <w:tcPr>
            <w:tcW w:w="1134" w:type="dxa"/>
            <w:vAlign w:val="center"/>
          </w:tcPr>
          <w:p>
            <w:pPr>
              <w:pStyle w:val="12"/>
            </w:pPr>
            <w:r>
              <w:t>10004.66</w:t>
            </w:r>
          </w:p>
        </w:tc>
        <w:tc>
          <w:tcPr>
            <w:tcW w:w="1134" w:type="dxa"/>
            <w:vAlign w:val="center"/>
          </w:tcPr>
          <w:p>
            <w:pPr>
              <w:pStyle w:val="12"/>
            </w:pPr>
            <w:r>
              <w:t>10004.66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4755.48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2140101</w:t>
            </w:r>
          </w:p>
        </w:tc>
        <w:tc>
          <w:tcPr>
            <w:tcW w:w="1559" w:type="dxa"/>
            <w:vAlign w:val="center"/>
          </w:tcPr>
          <w:p>
            <w:pPr>
              <w:pStyle w:val="13"/>
            </w:pPr>
            <w:r>
              <w:t>行政运行</w:t>
            </w:r>
          </w:p>
        </w:tc>
        <w:tc>
          <w:tcPr>
            <w:tcW w:w="1134" w:type="dxa"/>
            <w:vAlign w:val="center"/>
          </w:tcPr>
          <w:p>
            <w:pPr>
              <w:pStyle w:val="12"/>
            </w:pPr>
            <w:r>
              <w:t>209.81</w:t>
            </w:r>
          </w:p>
        </w:tc>
        <w:tc>
          <w:tcPr>
            <w:tcW w:w="1134" w:type="dxa"/>
            <w:vAlign w:val="center"/>
          </w:tcPr>
          <w:p>
            <w:pPr>
              <w:pStyle w:val="12"/>
            </w:pPr>
            <w:r>
              <w:t>205.25</w:t>
            </w:r>
          </w:p>
        </w:tc>
        <w:tc>
          <w:tcPr>
            <w:tcW w:w="1134" w:type="dxa"/>
            <w:vAlign w:val="center"/>
          </w:tcPr>
          <w:p>
            <w:pPr>
              <w:pStyle w:val="12"/>
            </w:pPr>
            <w:r>
              <w:t>205.25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2140104</w:t>
            </w:r>
          </w:p>
        </w:tc>
        <w:tc>
          <w:tcPr>
            <w:tcW w:w="1559" w:type="dxa"/>
            <w:vAlign w:val="center"/>
          </w:tcPr>
          <w:p>
            <w:pPr>
              <w:pStyle w:val="13"/>
            </w:pPr>
            <w:r>
              <w:t>公路建设</w:t>
            </w:r>
          </w:p>
        </w:tc>
        <w:tc>
          <w:tcPr>
            <w:tcW w:w="1134" w:type="dxa"/>
            <w:vAlign w:val="center"/>
          </w:tcPr>
          <w:p>
            <w:pPr>
              <w:pStyle w:val="12"/>
            </w:pPr>
            <w:r>
              <w:t>4799.00</w:t>
            </w:r>
          </w:p>
        </w:tc>
        <w:tc>
          <w:tcPr>
            <w:tcW w:w="1134" w:type="dxa"/>
            <w:vAlign w:val="center"/>
          </w:tcPr>
          <w:p>
            <w:pPr>
              <w:pStyle w:val="12"/>
            </w:pPr>
            <w:r>
              <w:t>1879.00</w:t>
            </w:r>
          </w:p>
        </w:tc>
        <w:tc>
          <w:tcPr>
            <w:tcW w:w="1134" w:type="dxa"/>
            <w:vAlign w:val="center"/>
          </w:tcPr>
          <w:p>
            <w:pPr>
              <w:pStyle w:val="12"/>
            </w:pPr>
            <w:r>
              <w:t>1879.00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2920.00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2140106</w:t>
            </w:r>
          </w:p>
        </w:tc>
        <w:tc>
          <w:tcPr>
            <w:tcW w:w="1559" w:type="dxa"/>
            <w:vAlign w:val="center"/>
          </w:tcPr>
          <w:p>
            <w:pPr>
              <w:pStyle w:val="13"/>
            </w:pPr>
            <w:r>
              <w:t>公路养护</w:t>
            </w:r>
          </w:p>
        </w:tc>
        <w:tc>
          <w:tcPr>
            <w:tcW w:w="1134" w:type="dxa"/>
            <w:vAlign w:val="center"/>
          </w:tcPr>
          <w:p>
            <w:pPr>
              <w:pStyle w:val="12"/>
            </w:pPr>
            <w:r>
              <w:t>5305.21</w:t>
            </w:r>
          </w:p>
        </w:tc>
        <w:tc>
          <w:tcPr>
            <w:tcW w:w="1134" w:type="dxa"/>
            <w:vAlign w:val="center"/>
          </w:tcPr>
          <w:p>
            <w:pPr>
              <w:pStyle w:val="12"/>
            </w:pPr>
            <w:r>
              <w:t>4076.00</w:t>
            </w:r>
          </w:p>
        </w:tc>
        <w:tc>
          <w:tcPr>
            <w:tcW w:w="1134" w:type="dxa"/>
            <w:vAlign w:val="center"/>
          </w:tcPr>
          <w:p>
            <w:pPr>
              <w:pStyle w:val="12"/>
            </w:pPr>
            <w:r>
              <w:t>4076.00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1229.21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2140112</w:t>
            </w:r>
          </w:p>
        </w:tc>
        <w:tc>
          <w:tcPr>
            <w:tcW w:w="1559" w:type="dxa"/>
            <w:vAlign w:val="center"/>
          </w:tcPr>
          <w:p>
            <w:pPr>
              <w:pStyle w:val="13"/>
            </w:pPr>
            <w:r>
              <w:t>公路运输管理</w:t>
            </w:r>
          </w:p>
        </w:tc>
        <w:tc>
          <w:tcPr>
            <w:tcW w:w="1134" w:type="dxa"/>
            <w:vAlign w:val="center"/>
          </w:tcPr>
          <w:p>
            <w:pPr>
              <w:pStyle w:val="12"/>
            </w:pPr>
            <w:r>
              <w:t>658.94</w:t>
            </w:r>
          </w:p>
        </w:tc>
        <w:tc>
          <w:tcPr>
            <w:tcW w:w="1134" w:type="dxa"/>
            <w:vAlign w:val="center"/>
          </w:tcPr>
          <w:p>
            <w:pPr>
              <w:pStyle w:val="12"/>
            </w:pPr>
            <w:r>
              <w:t>278.94</w:t>
            </w:r>
          </w:p>
        </w:tc>
        <w:tc>
          <w:tcPr>
            <w:tcW w:w="1134" w:type="dxa"/>
            <w:vAlign w:val="center"/>
          </w:tcPr>
          <w:p>
            <w:pPr>
              <w:pStyle w:val="12"/>
            </w:pPr>
            <w:r>
              <w:t>278.94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2140199</w:t>
            </w:r>
          </w:p>
        </w:tc>
        <w:tc>
          <w:tcPr>
            <w:tcW w:w="1559" w:type="dxa"/>
            <w:vAlign w:val="center"/>
          </w:tcPr>
          <w:p>
            <w:pPr>
              <w:pStyle w:val="13"/>
            </w:pPr>
            <w:r>
              <w:t>其他公路水路运输支出</w:t>
            </w:r>
          </w:p>
        </w:tc>
        <w:tc>
          <w:tcPr>
            <w:tcW w:w="1134" w:type="dxa"/>
            <w:vAlign w:val="center"/>
          </w:tcPr>
          <w:p>
            <w:pPr>
              <w:pStyle w:val="12"/>
            </w:pPr>
            <w:r>
              <w:t>3787.18</w:t>
            </w:r>
          </w:p>
        </w:tc>
        <w:tc>
          <w:tcPr>
            <w:tcW w:w="1134" w:type="dxa"/>
            <w:vAlign w:val="center"/>
          </w:tcPr>
          <w:p>
            <w:pPr>
              <w:pStyle w:val="12"/>
            </w:pPr>
            <w:r>
              <w:t>3565.47</w:t>
            </w:r>
          </w:p>
        </w:tc>
        <w:tc>
          <w:tcPr>
            <w:tcW w:w="1134" w:type="dxa"/>
            <w:vAlign w:val="center"/>
          </w:tcPr>
          <w:p>
            <w:pPr>
              <w:pStyle w:val="12"/>
            </w:pPr>
            <w:r>
              <w:t>3565.47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21499</w:t>
            </w:r>
          </w:p>
        </w:tc>
        <w:tc>
          <w:tcPr>
            <w:tcW w:w="1559" w:type="dxa"/>
            <w:vAlign w:val="center"/>
          </w:tcPr>
          <w:p>
            <w:pPr>
              <w:pStyle w:val="13"/>
            </w:pPr>
            <w:r>
              <w:t>其他交通运输支出</w:t>
            </w:r>
          </w:p>
        </w:tc>
        <w:tc>
          <w:tcPr>
            <w:tcW w:w="1134" w:type="dxa"/>
            <w:vAlign w:val="center"/>
          </w:tcPr>
          <w:p>
            <w:pPr>
              <w:pStyle w:val="12"/>
            </w:pPr>
            <w:r>
              <w:t>522.23</w:t>
            </w:r>
          </w:p>
        </w:tc>
        <w:tc>
          <w:tcPr>
            <w:tcW w:w="1134" w:type="dxa"/>
            <w:vAlign w:val="center"/>
          </w:tcPr>
          <w:p>
            <w:pPr>
              <w:pStyle w:val="12"/>
            </w:pPr>
            <w:r>
              <w:t>260.00</w:t>
            </w:r>
          </w:p>
        </w:tc>
        <w:tc>
          <w:tcPr>
            <w:tcW w:w="1134" w:type="dxa"/>
            <w:vAlign w:val="center"/>
          </w:tcPr>
          <w:p>
            <w:pPr>
              <w:pStyle w:val="12"/>
            </w:pPr>
            <w:r>
              <w:t>260.00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262.23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2149901</w:t>
            </w:r>
          </w:p>
        </w:tc>
        <w:tc>
          <w:tcPr>
            <w:tcW w:w="1559" w:type="dxa"/>
            <w:vAlign w:val="center"/>
          </w:tcPr>
          <w:p>
            <w:pPr>
              <w:pStyle w:val="13"/>
            </w:pPr>
            <w:r>
              <w:t>公共交通运营补助</w:t>
            </w:r>
          </w:p>
        </w:tc>
        <w:tc>
          <w:tcPr>
            <w:tcW w:w="1134" w:type="dxa"/>
            <w:vAlign w:val="center"/>
          </w:tcPr>
          <w:p>
            <w:pPr>
              <w:pStyle w:val="12"/>
            </w:pPr>
            <w:r>
              <w:t>522.23</w:t>
            </w:r>
          </w:p>
        </w:tc>
        <w:tc>
          <w:tcPr>
            <w:tcW w:w="1134" w:type="dxa"/>
            <w:vAlign w:val="center"/>
          </w:tcPr>
          <w:p>
            <w:pPr>
              <w:pStyle w:val="12"/>
            </w:pPr>
            <w:r>
              <w:t>260.00</w:t>
            </w:r>
          </w:p>
        </w:tc>
        <w:tc>
          <w:tcPr>
            <w:tcW w:w="1134" w:type="dxa"/>
            <w:vAlign w:val="center"/>
          </w:tcPr>
          <w:p>
            <w:pPr>
              <w:pStyle w:val="12"/>
            </w:pPr>
            <w:r>
              <w:t>260.00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262.23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195.95</w:t>
            </w:r>
          </w:p>
        </w:tc>
        <w:tc>
          <w:tcPr>
            <w:tcW w:w="1134" w:type="dxa"/>
            <w:vAlign w:val="center"/>
          </w:tcPr>
          <w:p>
            <w:pPr>
              <w:pStyle w:val="12"/>
            </w:pPr>
            <w:r>
              <w:t>195.95</w:t>
            </w:r>
          </w:p>
        </w:tc>
        <w:tc>
          <w:tcPr>
            <w:tcW w:w="1134" w:type="dxa"/>
            <w:vAlign w:val="center"/>
          </w:tcPr>
          <w:p>
            <w:pPr>
              <w:pStyle w:val="12"/>
            </w:pPr>
            <w:r>
              <w:t>195.95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195.95</w:t>
            </w:r>
          </w:p>
        </w:tc>
        <w:tc>
          <w:tcPr>
            <w:tcW w:w="1134" w:type="dxa"/>
            <w:vAlign w:val="center"/>
          </w:tcPr>
          <w:p>
            <w:pPr>
              <w:pStyle w:val="12"/>
            </w:pPr>
            <w:r>
              <w:t>195.95</w:t>
            </w:r>
          </w:p>
        </w:tc>
        <w:tc>
          <w:tcPr>
            <w:tcW w:w="1134" w:type="dxa"/>
            <w:vAlign w:val="center"/>
          </w:tcPr>
          <w:p>
            <w:pPr>
              <w:pStyle w:val="12"/>
            </w:pPr>
            <w:r>
              <w:t>195.95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195.95</w:t>
            </w:r>
          </w:p>
        </w:tc>
        <w:tc>
          <w:tcPr>
            <w:tcW w:w="1134" w:type="dxa"/>
            <w:vAlign w:val="center"/>
          </w:tcPr>
          <w:p>
            <w:pPr>
              <w:pStyle w:val="12"/>
            </w:pPr>
            <w:r>
              <w:t>195.95</w:t>
            </w:r>
          </w:p>
        </w:tc>
        <w:tc>
          <w:tcPr>
            <w:tcW w:w="1134" w:type="dxa"/>
            <w:vAlign w:val="center"/>
          </w:tcPr>
          <w:p>
            <w:pPr>
              <w:pStyle w:val="12"/>
            </w:pPr>
            <w:r>
              <w:t>195.95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348青龙满族自治县交通运输局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16439.15</w:t>
            </w:r>
          </w:p>
        </w:tc>
        <w:tc>
          <w:tcPr>
            <w:tcW w:w="1361" w:type="dxa"/>
            <w:vAlign w:val="center"/>
          </w:tcPr>
          <w:p>
            <w:pPr>
              <w:pStyle w:val="16"/>
            </w:pPr>
            <w:r>
              <w:t>3641.97</w:t>
            </w:r>
          </w:p>
        </w:tc>
        <w:tc>
          <w:tcPr>
            <w:tcW w:w="1361" w:type="dxa"/>
            <w:vAlign w:val="center"/>
          </w:tcPr>
          <w:p>
            <w:pPr>
              <w:pStyle w:val="16"/>
            </w:pPr>
            <w:r>
              <w:t>12797.19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686.78</w:t>
            </w:r>
          </w:p>
        </w:tc>
        <w:tc>
          <w:tcPr>
            <w:tcW w:w="1361" w:type="dxa"/>
            <w:vAlign w:val="center"/>
          </w:tcPr>
          <w:p>
            <w:pPr>
              <w:pStyle w:val="12"/>
            </w:pPr>
            <w:r>
              <w:t>686.78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677.67</w:t>
            </w:r>
          </w:p>
        </w:tc>
        <w:tc>
          <w:tcPr>
            <w:tcW w:w="1361" w:type="dxa"/>
            <w:vAlign w:val="center"/>
          </w:tcPr>
          <w:p>
            <w:pPr>
              <w:pStyle w:val="12"/>
            </w:pPr>
            <w:r>
              <w:t>677.67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116.23</w:t>
            </w:r>
          </w:p>
        </w:tc>
        <w:tc>
          <w:tcPr>
            <w:tcW w:w="1361" w:type="dxa"/>
            <w:vAlign w:val="center"/>
          </w:tcPr>
          <w:p>
            <w:pPr>
              <w:pStyle w:val="12"/>
            </w:pPr>
            <w:r>
              <w:t>116.23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381.77</w:t>
            </w:r>
          </w:p>
        </w:tc>
        <w:tc>
          <w:tcPr>
            <w:tcW w:w="1361" w:type="dxa"/>
            <w:vAlign w:val="center"/>
          </w:tcPr>
          <w:p>
            <w:pPr>
              <w:pStyle w:val="12"/>
            </w:pPr>
            <w:r>
              <w:t>381.77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179.66</w:t>
            </w:r>
          </w:p>
        </w:tc>
        <w:tc>
          <w:tcPr>
            <w:tcW w:w="1361" w:type="dxa"/>
            <w:vAlign w:val="center"/>
          </w:tcPr>
          <w:p>
            <w:pPr>
              <w:pStyle w:val="12"/>
            </w:pPr>
            <w:r>
              <w:t>179.66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9.11</w:t>
            </w:r>
          </w:p>
        </w:tc>
        <w:tc>
          <w:tcPr>
            <w:tcW w:w="1361" w:type="dxa"/>
            <w:vAlign w:val="center"/>
          </w:tcPr>
          <w:p>
            <w:pPr>
              <w:pStyle w:val="12"/>
            </w:pPr>
            <w:r>
              <w:t>9.11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9.11</w:t>
            </w:r>
          </w:p>
        </w:tc>
        <w:tc>
          <w:tcPr>
            <w:tcW w:w="1361" w:type="dxa"/>
            <w:vAlign w:val="center"/>
          </w:tcPr>
          <w:p>
            <w:pPr>
              <w:pStyle w:val="12"/>
            </w:pPr>
            <w:r>
              <w:t>9.11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190.95</w:t>
            </w:r>
          </w:p>
        </w:tc>
        <w:tc>
          <w:tcPr>
            <w:tcW w:w="1361" w:type="dxa"/>
            <w:vAlign w:val="center"/>
          </w:tcPr>
          <w:p>
            <w:pPr>
              <w:pStyle w:val="12"/>
            </w:pPr>
            <w:r>
              <w:t>190.95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190.95</w:t>
            </w:r>
          </w:p>
        </w:tc>
        <w:tc>
          <w:tcPr>
            <w:tcW w:w="1361" w:type="dxa"/>
            <w:vAlign w:val="center"/>
          </w:tcPr>
          <w:p>
            <w:pPr>
              <w:pStyle w:val="12"/>
            </w:pPr>
            <w:r>
              <w:t>190.95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8.56</w:t>
            </w:r>
          </w:p>
        </w:tc>
        <w:tc>
          <w:tcPr>
            <w:tcW w:w="1361" w:type="dxa"/>
            <w:vAlign w:val="center"/>
          </w:tcPr>
          <w:p>
            <w:pPr>
              <w:pStyle w:val="12"/>
            </w:pPr>
            <w:r>
              <w:t>8.56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182.39</w:t>
            </w:r>
          </w:p>
        </w:tc>
        <w:tc>
          <w:tcPr>
            <w:tcW w:w="1361" w:type="dxa"/>
            <w:vAlign w:val="center"/>
          </w:tcPr>
          <w:p>
            <w:pPr>
              <w:pStyle w:val="12"/>
            </w:pPr>
            <w:r>
              <w:t>182.39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83.10</w:t>
            </w:r>
          </w:p>
        </w:tc>
        <w:tc>
          <w:tcPr>
            <w:tcW w:w="1361" w:type="dxa"/>
            <w:vAlign w:val="center"/>
          </w:tcPr>
          <w:p>
            <w:pPr>
              <w:pStyle w:val="12"/>
            </w:pPr>
          </w:p>
        </w:tc>
        <w:tc>
          <w:tcPr>
            <w:tcW w:w="1361" w:type="dxa"/>
            <w:vAlign w:val="center"/>
          </w:tcPr>
          <w:p>
            <w:pPr>
              <w:pStyle w:val="12"/>
            </w:pPr>
            <w:r>
              <w:t>83.10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21305</w:t>
            </w:r>
          </w:p>
        </w:tc>
        <w:tc>
          <w:tcPr>
            <w:tcW w:w="4535" w:type="dxa"/>
            <w:vAlign w:val="center"/>
          </w:tcPr>
          <w:p>
            <w:pPr>
              <w:pStyle w:val="13"/>
            </w:pPr>
            <w:r>
              <w:t>巩固脱贫攻坚成果衔接乡村振兴</w:t>
            </w:r>
          </w:p>
        </w:tc>
        <w:tc>
          <w:tcPr>
            <w:tcW w:w="1361" w:type="dxa"/>
            <w:vAlign w:val="center"/>
          </w:tcPr>
          <w:p>
            <w:pPr>
              <w:pStyle w:val="12"/>
            </w:pPr>
            <w:r>
              <w:t>83.10</w:t>
            </w:r>
          </w:p>
        </w:tc>
        <w:tc>
          <w:tcPr>
            <w:tcW w:w="1361" w:type="dxa"/>
            <w:vAlign w:val="center"/>
          </w:tcPr>
          <w:p>
            <w:pPr>
              <w:pStyle w:val="12"/>
            </w:pPr>
          </w:p>
        </w:tc>
        <w:tc>
          <w:tcPr>
            <w:tcW w:w="1361" w:type="dxa"/>
            <w:vAlign w:val="center"/>
          </w:tcPr>
          <w:p>
            <w:pPr>
              <w:pStyle w:val="12"/>
            </w:pPr>
            <w:r>
              <w:t>83.10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2130504</w:t>
            </w:r>
          </w:p>
        </w:tc>
        <w:tc>
          <w:tcPr>
            <w:tcW w:w="4535" w:type="dxa"/>
            <w:vAlign w:val="center"/>
          </w:tcPr>
          <w:p>
            <w:pPr>
              <w:pStyle w:val="13"/>
            </w:pPr>
            <w:r>
              <w:t>农村基础设施建设</w:t>
            </w:r>
          </w:p>
        </w:tc>
        <w:tc>
          <w:tcPr>
            <w:tcW w:w="1361" w:type="dxa"/>
            <w:vAlign w:val="center"/>
          </w:tcPr>
          <w:p>
            <w:pPr>
              <w:pStyle w:val="12"/>
            </w:pPr>
            <w:r>
              <w:t>83.10</w:t>
            </w:r>
          </w:p>
        </w:tc>
        <w:tc>
          <w:tcPr>
            <w:tcW w:w="1361" w:type="dxa"/>
            <w:vAlign w:val="center"/>
          </w:tcPr>
          <w:p>
            <w:pPr>
              <w:pStyle w:val="12"/>
            </w:pPr>
          </w:p>
        </w:tc>
        <w:tc>
          <w:tcPr>
            <w:tcW w:w="1361" w:type="dxa"/>
            <w:vAlign w:val="center"/>
          </w:tcPr>
          <w:p>
            <w:pPr>
              <w:pStyle w:val="12"/>
            </w:pPr>
            <w:r>
              <w:t>83.10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214</w:t>
            </w:r>
          </w:p>
        </w:tc>
        <w:tc>
          <w:tcPr>
            <w:tcW w:w="4535" w:type="dxa"/>
            <w:vAlign w:val="center"/>
          </w:tcPr>
          <w:p>
            <w:pPr>
              <w:pStyle w:val="13"/>
            </w:pPr>
            <w:r>
              <w:t>交通运输支出</w:t>
            </w:r>
          </w:p>
        </w:tc>
        <w:tc>
          <w:tcPr>
            <w:tcW w:w="1361" w:type="dxa"/>
            <w:vAlign w:val="center"/>
          </w:tcPr>
          <w:p>
            <w:pPr>
              <w:pStyle w:val="12"/>
            </w:pPr>
            <w:r>
              <w:t>15282.37</w:t>
            </w:r>
          </w:p>
        </w:tc>
        <w:tc>
          <w:tcPr>
            <w:tcW w:w="1361" w:type="dxa"/>
            <w:vAlign w:val="center"/>
          </w:tcPr>
          <w:p>
            <w:pPr>
              <w:pStyle w:val="12"/>
            </w:pPr>
            <w:r>
              <w:t>2568.28</w:t>
            </w:r>
          </w:p>
        </w:tc>
        <w:tc>
          <w:tcPr>
            <w:tcW w:w="1361" w:type="dxa"/>
            <w:vAlign w:val="center"/>
          </w:tcPr>
          <w:p>
            <w:pPr>
              <w:pStyle w:val="12"/>
            </w:pPr>
            <w:r>
              <w:t>12714.09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21401</w:t>
            </w:r>
          </w:p>
        </w:tc>
        <w:tc>
          <w:tcPr>
            <w:tcW w:w="4535" w:type="dxa"/>
            <w:vAlign w:val="center"/>
          </w:tcPr>
          <w:p>
            <w:pPr>
              <w:pStyle w:val="13"/>
            </w:pPr>
            <w:r>
              <w:t>公路水路运输</w:t>
            </w:r>
          </w:p>
        </w:tc>
        <w:tc>
          <w:tcPr>
            <w:tcW w:w="1361" w:type="dxa"/>
            <w:vAlign w:val="center"/>
          </w:tcPr>
          <w:p>
            <w:pPr>
              <w:pStyle w:val="12"/>
            </w:pPr>
            <w:r>
              <w:t>14760.14</w:t>
            </w:r>
          </w:p>
        </w:tc>
        <w:tc>
          <w:tcPr>
            <w:tcW w:w="1361" w:type="dxa"/>
            <w:vAlign w:val="center"/>
          </w:tcPr>
          <w:p>
            <w:pPr>
              <w:pStyle w:val="12"/>
            </w:pPr>
            <w:r>
              <w:t>2568.28</w:t>
            </w:r>
          </w:p>
        </w:tc>
        <w:tc>
          <w:tcPr>
            <w:tcW w:w="1361" w:type="dxa"/>
            <w:vAlign w:val="center"/>
          </w:tcPr>
          <w:p>
            <w:pPr>
              <w:pStyle w:val="12"/>
            </w:pPr>
            <w:r>
              <w:t>12191.86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2140101</w:t>
            </w:r>
          </w:p>
        </w:tc>
        <w:tc>
          <w:tcPr>
            <w:tcW w:w="4535" w:type="dxa"/>
            <w:vAlign w:val="center"/>
          </w:tcPr>
          <w:p>
            <w:pPr>
              <w:pStyle w:val="13"/>
            </w:pPr>
            <w:r>
              <w:t>行政运行</w:t>
            </w:r>
          </w:p>
        </w:tc>
        <w:tc>
          <w:tcPr>
            <w:tcW w:w="1361" w:type="dxa"/>
            <w:vAlign w:val="center"/>
          </w:tcPr>
          <w:p>
            <w:pPr>
              <w:pStyle w:val="12"/>
            </w:pPr>
            <w:r>
              <w:t>209.81</w:t>
            </w:r>
          </w:p>
        </w:tc>
        <w:tc>
          <w:tcPr>
            <w:tcW w:w="1361" w:type="dxa"/>
            <w:vAlign w:val="center"/>
          </w:tcPr>
          <w:p>
            <w:pPr>
              <w:pStyle w:val="12"/>
            </w:pPr>
            <w:r>
              <w:t>209.81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2140104</w:t>
            </w:r>
          </w:p>
        </w:tc>
        <w:tc>
          <w:tcPr>
            <w:tcW w:w="4535" w:type="dxa"/>
            <w:vAlign w:val="center"/>
          </w:tcPr>
          <w:p>
            <w:pPr>
              <w:pStyle w:val="13"/>
            </w:pPr>
            <w:r>
              <w:t>公路建设</w:t>
            </w:r>
          </w:p>
        </w:tc>
        <w:tc>
          <w:tcPr>
            <w:tcW w:w="1361" w:type="dxa"/>
            <w:vAlign w:val="center"/>
          </w:tcPr>
          <w:p>
            <w:pPr>
              <w:pStyle w:val="12"/>
            </w:pPr>
            <w:r>
              <w:t>4799.00</w:t>
            </w:r>
          </w:p>
        </w:tc>
        <w:tc>
          <w:tcPr>
            <w:tcW w:w="1361" w:type="dxa"/>
            <w:vAlign w:val="center"/>
          </w:tcPr>
          <w:p>
            <w:pPr>
              <w:pStyle w:val="12"/>
            </w:pPr>
          </w:p>
        </w:tc>
        <w:tc>
          <w:tcPr>
            <w:tcW w:w="1361" w:type="dxa"/>
            <w:vAlign w:val="center"/>
          </w:tcPr>
          <w:p>
            <w:pPr>
              <w:pStyle w:val="12"/>
            </w:pPr>
            <w:r>
              <w:t>4799.00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2140106</w:t>
            </w:r>
          </w:p>
        </w:tc>
        <w:tc>
          <w:tcPr>
            <w:tcW w:w="4535" w:type="dxa"/>
            <w:vAlign w:val="center"/>
          </w:tcPr>
          <w:p>
            <w:pPr>
              <w:pStyle w:val="13"/>
            </w:pPr>
            <w:r>
              <w:t>公路养护</w:t>
            </w:r>
          </w:p>
        </w:tc>
        <w:tc>
          <w:tcPr>
            <w:tcW w:w="1361" w:type="dxa"/>
            <w:vAlign w:val="center"/>
          </w:tcPr>
          <w:p>
            <w:pPr>
              <w:pStyle w:val="12"/>
            </w:pPr>
            <w:r>
              <w:t>5305.21</w:t>
            </w:r>
          </w:p>
        </w:tc>
        <w:tc>
          <w:tcPr>
            <w:tcW w:w="1361" w:type="dxa"/>
            <w:vAlign w:val="center"/>
          </w:tcPr>
          <w:p>
            <w:pPr>
              <w:pStyle w:val="12"/>
            </w:pPr>
          </w:p>
        </w:tc>
        <w:tc>
          <w:tcPr>
            <w:tcW w:w="1361" w:type="dxa"/>
            <w:vAlign w:val="center"/>
          </w:tcPr>
          <w:p>
            <w:pPr>
              <w:pStyle w:val="12"/>
            </w:pPr>
            <w:r>
              <w:t>5305.21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2140112</w:t>
            </w:r>
          </w:p>
        </w:tc>
        <w:tc>
          <w:tcPr>
            <w:tcW w:w="4535" w:type="dxa"/>
            <w:vAlign w:val="center"/>
          </w:tcPr>
          <w:p>
            <w:pPr>
              <w:pStyle w:val="13"/>
            </w:pPr>
            <w:r>
              <w:t>公路运输管理</w:t>
            </w:r>
          </w:p>
        </w:tc>
        <w:tc>
          <w:tcPr>
            <w:tcW w:w="1361" w:type="dxa"/>
            <w:vAlign w:val="center"/>
          </w:tcPr>
          <w:p>
            <w:pPr>
              <w:pStyle w:val="12"/>
            </w:pPr>
            <w:r>
              <w:t>658.94</w:t>
            </w:r>
          </w:p>
        </w:tc>
        <w:tc>
          <w:tcPr>
            <w:tcW w:w="1361" w:type="dxa"/>
            <w:vAlign w:val="center"/>
          </w:tcPr>
          <w:p>
            <w:pPr>
              <w:pStyle w:val="12"/>
            </w:pPr>
          </w:p>
        </w:tc>
        <w:tc>
          <w:tcPr>
            <w:tcW w:w="1361" w:type="dxa"/>
            <w:vAlign w:val="center"/>
          </w:tcPr>
          <w:p>
            <w:pPr>
              <w:pStyle w:val="12"/>
            </w:pPr>
            <w:r>
              <w:t>658.94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2140199</w:t>
            </w:r>
          </w:p>
        </w:tc>
        <w:tc>
          <w:tcPr>
            <w:tcW w:w="4535" w:type="dxa"/>
            <w:vAlign w:val="center"/>
          </w:tcPr>
          <w:p>
            <w:pPr>
              <w:pStyle w:val="13"/>
            </w:pPr>
            <w:r>
              <w:t>其他公路水路运输支出</w:t>
            </w:r>
          </w:p>
        </w:tc>
        <w:tc>
          <w:tcPr>
            <w:tcW w:w="1361" w:type="dxa"/>
            <w:vAlign w:val="center"/>
          </w:tcPr>
          <w:p>
            <w:pPr>
              <w:pStyle w:val="12"/>
            </w:pPr>
            <w:r>
              <w:t>3787.18</w:t>
            </w:r>
          </w:p>
        </w:tc>
        <w:tc>
          <w:tcPr>
            <w:tcW w:w="1361" w:type="dxa"/>
            <w:vAlign w:val="center"/>
          </w:tcPr>
          <w:p>
            <w:pPr>
              <w:pStyle w:val="12"/>
            </w:pPr>
            <w:r>
              <w:t>2358.47</w:t>
            </w:r>
          </w:p>
        </w:tc>
        <w:tc>
          <w:tcPr>
            <w:tcW w:w="1361" w:type="dxa"/>
            <w:vAlign w:val="center"/>
          </w:tcPr>
          <w:p>
            <w:pPr>
              <w:pStyle w:val="12"/>
            </w:pPr>
            <w:r>
              <w:t>1428.71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21499</w:t>
            </w:r>
          </w:p>
        </w:tc>
        <w:tc>
          <w:tcPr>
            <w:tcW w:w="4535" w:type="dxa"/>
            <w:vAlign w:val="center"/>
          </w:tcPr>
          <w:p>
            <w:pPr>
              <w:pStyle w:val="13"/>
            </w:pPr>
            <w:r>
              <w:t>其他交通运输支出</w:t>
            </w:r>
          </w:p>
        </w:tc>
        <w:tc>
          <w:tcPr>
            <w:tcW w:w="1361" w:type="dxa"/>
            <w:vAlign w:val="center"/>
          </w:tcPr>
          <w:p>
            <w:pPr>
              <w:pStyle w:val="12"/>
            </w:pPr>
            <w:r>
              <w:t>522.23</w:t>
            </w:r>
          </w:p>
        </w:tc>
        <w:tc>
          <w:tcPr>
            <w:tcW w:w="1361" w:type="dxa"/>
            <w:vAlign w:val="center"/>
          </w:tcPr>
          <w:p>
            <w:pPr>
              <w:pStyle w:val="12"/>
            </w:pPr>
          </w:p>
        </w:tc>
        <w:tc>
          <w:tcPr>
            <w:tcW w:w="1361" w:type="dxa"/>
            <w:vAlign w:val="center"/>
          </w:tcPr>
          <w:p>
            <w:pPr>
              <w:pStyle w:val="12"/>
            </w:pPr>
            <w:r>
              <w:t>522.23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2149901</w:t>
            </w:r>
          </w:p>
        </w:tc>
        <w:tc>
          <w:tcPr>
            <w:tcW w:w="4535" w:type="dxa"/>
            <w:vAlign w:val="center"/>
          </w:tcPr>
          <w:p>
            <w:pPr>
              <w:pStyle w:val="13"/>
            </w:pPr>
            <w:r>
              <w:t>公共交通运营补助</w:t>
            </w:r>
          </w:p>
        </w:tc>
        <w:tc>
          <w:tcPr>
            <w:tcW w:w="1361" w:type="dxa"/>
            <w:vAlign w:val="center"/>
          </w:tcPr>
          <w:p>
            <w:pPr>
              <w:pStyle w:val="12"/>
            </w:pPr>
            <w:r>
              <w:t>522.23</w:t>
            </w:r>
          </w:p>
        </w:tc>
        <w:tc>
          <w:tcPr>
            <w:tcW w:w="1361" w:type="dxa"/>
            <w:vAlign w:val="center"/>
          </w:tcPr>
          <w:p>
            <w:pPr>
              <w:pStyle w:val="12"/>
            </w:pPr>
          </w:p>
        </w:tc>
        <w:tc>
          <w:tcPr>
            <w:tcW w:w="1361" w:type="dxa"/>
            <w:vAlign w:val="center"/>
          </w:tcPr>
          <w:p>
            <w:pPr>
              <w:pStyle w:val="12"/>
            </w:pPr>
            <w:r>
              <w:t>522.23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195.95</w:t>
            </w:r>
          </w:p>
        </w:tc>
        <w:tc>
          <w:tcPr>
            <w:tcW w:w="1361" w:type="dxa"/>
            <w:vAlign w:val="center"/>
          </w:tcPr>
          <w:p>
            <w:pPr>
              <w:pStyle w:val="12"/>
            </w:pPr>
            <w:r>
              <w:t>195.95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195.95</w:t>
            </w:r>
          </w:p>
        </w:tc>
        <w:tc>
          <w:tcPr>
            <w:tcW w:w="1361" w:type="dxa"/>
            <w:vAlign w:val="center"/>
          </w:tcPr>
          <w:p>
            <w:pPr>
              <w:pStyle w:val="12"/>
            </w:pPr>
            <w:r>
              <w:t>195.95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195.95</w:t>
            </w:r>
          </w:p>
        </w:tc>
        <w:tc>
          <w:tcPr>
            <w:tcW w:w="1361" w:type="dxa"/>
            <w:vAlign w:val="center"/>
          </w:tcPr>
          <w:p>
            <w:pPr>
              <w:pStyle w:val="12"/>
            </w:pPr>
            <w:r>
              <w:t>195.95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348青龙满族自治县交通运输局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11338.35</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686.78</w:t>
            </w:r>
          </w:p>
        </w:tc>
        <w:tc>
          <w:tcPr>
            <w:tcW w:w="1474" w:type="dxa"/>
            <w:vAlign w:val="center"/>
          </w:tcPr>
          <w:p>
            <w:pPr>
              <w:pStyle w:val="12"/>
            </w:pPr>
            <w:r>
              <w:t>686.78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190.95</w:t>
            </w:r>
          </w:p>
        </w:tc>
        <w:tc>
          <w:tcPr>
            <w:tcW w:w="1474" w:type="dxa"/>
            <w:vAlign w:val="center"/>
          </w:tcPr>
          <w:p>
            <w:pPr>
              <w:pStyle w:val="12"/>
            </w:pPr>
            <w:r>
              <w:t>190.95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83.10</w:t>
            </w:r>
          </w:p>
        </w:tc>
        <w:tc>
          <w:tcPr>
            <w:tcW w:w="1474" w:type="dxa"/>
            <w:vAlign w:val="center"/>
          </w:tcPr>
          <w:p>
            <w:pPr>
              <w:pStyle w:val="12"/>
            </w:pPr>
            <w:r>
              <w:t>83.10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r>
              <w:t>15282.37</w:t>
            </w:r>
          </w:p>
        </w:tc>
        <w:tc>
          <w:tcPr>
            <w:tcW w:w="1474" w:type="dxa"/>
            <w:vAlign w:val="center"/>
          </w:tcPr>
          <w:p>
            <w:pPr>
              <w:pStyle w:val="12"/>
            </w:pPr>
            <w:r>
              <w:t>15282.37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195.95</w:t>
            </w:r>
          </w:p>
        </w:tc>
        <w:tc>
          <w:tcPr>
            <w:tcW w:w="1474" w:type="dxa"/>
            <w:vAlign w:val="center"/>
          </w:tcPr>
          <w:p>
            <w:pPr>
              <w:pStyle w:val="12"/>
            </w:pPr>
            <w:r>
              <w:t>195.95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11338.35</w:t>
            </w:r>
          </w:p>
        </w:tc>
        <w:tc>
          <w:tcPr>
            <w:tcW w:w="3402" w:type="dxa"/>
            <w:vAlign w:val="center"/>
          </w:tcPr>
          <w:p>
            <w:pPr>
              <w:pStyle w:val="15"/>
            </w:pPr>
            <w:r>
              <w:t>本年支出合计</w:t>
            </w:r>
          </w:p>
        </w:tc>
        <w:tc>
          <w:tcPr>
            <w:tcW w:w="1474" w:type="dxa"/>
            <w:vAlign w:val="center"/>
          </w:tcPr>
          <w:p>
            <w:pPr>
              <w:pStyle w:val="16"/>
            </w:pPr>
            <w:r>
              <w:t>16439.15</w:t>
            </w:r>
          </w:p>
        </w:tc>
        <w:tc>
          <w:tcPr>
            <w:tcW w:w="1474" w:type="dxa"/>
            <w:vAlign w:val="center"/>
          </w:tcPr>
          <w:p>
            <w:pPr>
              <w:pStyle w:val="16"/>
            </w:pPr>
            <w:r>
              <w:t>16439.15</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5100.81</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5100.81</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16439.15</w:t>
            </w:r>
          </w:p>
        </w:tc>
        <w:tc>
          <w:tcPr>
            <w:tcW w:w="3402" w:type="dxa"/>
            <w:vAlign w:val="center"/>
          </w:tcPr>
          <w:p>
            <w:pPr>
              <w:pStyle w:val="15"/>
            </w:pPr>
            <w:r>
              <w:t>支出总计</w:t>
            </w:r>
          </w:p>
        </w:tc>
        <w:tc>
          <w:tcPr>
            <w:tcW w:w="1474" w:type="dxa"/>
            <w:vAlign w:val="center"/>
          </w:tcPr>
          <w:p>
            <w:pPr>
              <w:pStyle w:val="16"/>
            </w:pPr>
            <w:r>
              <w:t>16439.15</w:t>
            </w:r>
          </w:p>
        </w:tc>
        <w:tc>
          <w:tcPr>
            <w:tcW w:w="1474" w:type="dxa"/>
            <w:vAlign w:val="center"/>
          </w:tcPr>
          <w:p>
            <w:pPr>
              <w:pStyle w:val="16"/>
            </w:pPr>
            <w:r>
              <w:t>16439.15</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348青龙满族自治县交通运输局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16439.15</w:t>
            </w:r>
          </w:p>
        </w:tc>
        <w:tc>
          <w:tcPr>
            <w:tcW w:w="2551" w:type="dxa"/>
            <w:vAlign w:val="center"/>
          </w:tcPr>
          <w:p>
            <w:pPr>
              <w:pStyle w:val="16"/>
            </w:pPr>
            <w:r>
              <w:t>3641.97</w:t>
            </w:r>
          </w:p>
        </w:tc>
        <w:tc>
          <w:tcPr>
            <w:tcW w:w="2551" w:type="dxa"/>
            <w:vAlign w:val="center"/>
          </w:tcPr>
          <w:p>
            <w:pPr>
              <w:pStyle w:val="16"/>
            </w:pPr>
            <w:r>
              <w:t>12797.19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686.78</w:t>
            </w:r>
          </w:p>
        </w:tc>
        <w:tc>
          <w:tcPr>
            <w:tcW w:w="2551" w:type="dxa"/>
            <w:vAlign w:val="center"/>
          </w:tcPr>
          <w:p>
            <w:pPr>
              <w:pStyle w:val="12"/>
            </w:pPr>
            <w:r>
              <w:t>686.78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677.67</w:t>
            </w:r>
          </w:p>
        </w:tc>
        <w:tc>
          <w:tcPr>
            <w:tcW w:w="2551" w:type="dxa"/>
            <w:vAlign w:val="center"/>
          </w:tcPr>
          <w:p>
            <w:pPr>
              <w:pStyle w:val="12"/>
            </w:pPr>
            <w:r>
              <w:t>677.67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116.23</w:t>
            </w:r>
          </w:p>
        </w:tc>
        <w:tc>
          <w:tcPr>
            <w:tcW w:w="2551" w:type="dxa"/>
            <w:vAlign w:val="center"/>
          </w:tcPr>
          <w:p>
            <w:pPr>
              <w:pStyle w:val="12"/>
            </w:pPr>
            <w:r>
              <w:t>116.23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381.77</w:t>
            </w:r>
          </w:p>
        </w:tc>
        <w:tc>
          <w:tcPr>
            <w:tcW w:w="2551" w:type="dxa"/>
            <w:vAlign w:val="center"/>
          </w:tcPr>
          <w:p>
            <w:pPr>
              <w:pStyle w:val="12"/>
            </w:pPr>
            <w:r>
              <w:t>381.77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179.66</w:t>
            </w:r>
          </w:p>
        </w:tc>
        <w:tc>
          <w:tcPr>
            <w:tcW w:w="2551" w:type="dxa"/>
            <w:vAlign w:val="center"/>
          </w:tcPr>
          <w:p>
            <w:pPr>
              <w:pStyle w:val="12"/>
            </w:pPr>
            <w:r>
              <w:t>179.66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9.11</w:t>
            </w:r>
          </w:p>
        </w:tc>
        <w:tc>
          <w:tcPr>
            <w:tcW w:w="2551" w:type="dxa"/>
            <w:vAlign w:val="center"/>
          </w:tcPr>
          <w:p>
            <w:pPr>
              <w:pStyle w:val="12"/>
            </w:pPr>
            <w:r>
              <w:t>9.11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9.11</w:t>
            </w:r>
          </w:p>
        </w:tc>
        <w:tc>
          <w:tcPr>
            <w:tcW w:w="2551" w:type="dxa"/>
            <w:vAlign w:val="center"/>
          </w:tcPr>
          <w:p>
            <w:pPr>
              <w:pStyle w:val="12"/>
            </w:pPr>
            <w:r>
              <w:t>9.11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190.95</w:t>
            </w:r>
          </w:p>
        </w:tc>
        <w:tc>
          <w:tcPr>
            <w:tcW w:w="2551" w:type="dxa"/>
            <w:vAlign w:val="center"/>
          </w:tcPr>
          <w:p>
            <w:pPr>
              <w:pStyle w:val="12"/>
            </w:pPr>
            <w:r>
              <w:t>190.95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190.95</w:t>
            </w:r>
          </w:p>
        </w:tc>
        <w:tc>
          <w:tcPr>
            <w:tcW w:w="2551" w:type="dxa"/>
            <w:vAlign w:val="center"/>
          </w:tcPr>
          <w:p>
            <w:pPr>
              <w:pStyle w:val="12"/>
            </w:pPr>
            <w:r>
              <w:t>190.95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8.56</w:t>
            </w:r>
          </w:p>
        </w:tc>
        <w:tc>
          <w:tcPr>
            <w:tcW w:w="2551" w:type="dxa"/>
            <w:vAlign w:val="center"/>
          </w:tcPr>
          <w:p>
            <w:pPr>
              <w:pStyle w:val="12"/>
            </w:pPr>
            <w:r>
              <w:t>8.56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182.39</w:t>
            </w:r>
          </w:p>
        </w:tc>
        <w:tc>
          <w:tcPr>
            <w:tcW w:w="2551" w:type="dxa"/>
            <w:vAlign w:val="center"/>
          </w:tcPr>
          <w:p>
            <w:pPr>
              <w:pStyle w:val="12"/>
            </w:pPr>
            <w:r>
              <w:t>182.39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83.10</w:t>
            </w:r>
          </w:p>
        </w:tc>
        <w:tc>
          <w:tcPr>
            <w:tcW w:w="2551" w:type="dxa"/>
            <w:vAlign w:val="center"/>
          </w:tcPr>
          <w:p>
            <w:pPr>
              <w:pStyle w:val="12"/>
            </w:pPr>
          </w:p>
        </w:tc>
        <w:tc>
          <w:tcPr>
            <w:tcW w:w="2551" w:type="dxa"/>
            <w:vAlign w:val="center"/>
          </w:tcPr>
          <w:p>
            <w:pPr>
              <w:pStyle w:val="12"/>
            </w:pPr>
            <w:r>
              <w:t>83.10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21305</w:t>
            </w:r>
          </w:p>
        </w:tc>
        <w:tc>
          <w:tcPr>
            <w:tcW w:w="4535" w:type="dxa"/>
            <w:vAlign w:val="center"/>
          </w:tcPr>
          <w:p>
            <w:pPr>
              <w:pStyle w:val="13"/>
            </w:pPr>
            <w:r>
              <w:t>巩固脱贫攻坚成果衔接乡村振兴</w:t>
            </w:r>
          </w:p>
        </w:tc>
        <w:tc>
          <w:tcPr>
            <w:tcW w:w="2551" w:type="dxa"/>
            <w:vAlign w:val="center"/>
          </w:tcPr>
          <w:p>
            <w:pPr>
              <w:pStyle w:val="12"/>
            </w:pPr>
            <w:r>
              <w:t>83.10</w:t>
            </w:r>
          </w:p>
        </w:tc>
        <w:tc>
          <w:tcPr>
            <w:tcW w:w="2551" w:type="dxa"/>
            <w:vAlign w:val="center"/>
          </w:tcPr>
          <w:p>
            <w:pPr>
              <w:pStyle w:val="12"/>
            </w:pPr>
          </w:p>
        </w:tc>
        <w:tc>
          <w:tcPr>
            <w:tcW w:w="2551" w:type="dxa"/>
            <w:vAlign w:val="center"/>
          </w:tcPr>
          <w:p>
            <w:pPr>
              <w:pStyle w:val="12"/>
            </w:pPr>
            <w:r>
              <w:t>83.10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2130504</w:t>
            </w:r>
          </w:p>
        </w:tc>
        <w:tc>
          <w:tcPr>
            <w:tcW w:w="4535" w:type="dxa"/>
            <w:vAlign w:val="center"/>
          </w:tcPr>
          <w:p>
            <w:pPr>
              <w:pStyle w:val="13"/>
            </w:pPr>
            <w:r>
              <w:t>农村基础设施建设</w:t>
            </w:r>
          </w:p>
        </w:tc>
        <w:tc>
          <w:tcPr>
            <w:tcW w:w="2551" w:type="dxa"/>
            <w:vAlign w:val="center"/>
          </w:tcPr>
          <w:p>
            <w:pPr>
              <w:pStyle w:val="12"/>
            </w:pPr>
            <w:r>
              <w:t>83.10</w:t>
            </w:r>
          </w:p>
        </w:tc>
        <w:tc>
          <w:tcPr>
            <w:tcW w:w="2551" w:type="dxa"/>
            <w:vAlign w:val="center"/>
          </w:tcPr>
          <w:p>
            <w:pPr>
              <w:pStyle w:val="12"/>
            </w:pPr>
          </w:p>
        </w:tc>
        <w:tc>
          <w:tcPr>
            <w:tcW w:w="2551" w:type="dxa"/>
            <w:vAlign w:val="center"/>
          </w:tcPr>
          <w:p>
            <w:pPr>
              <w:pStyle w:val="12"/>
            </w:pPr>
            <w:r>
              <w:t>83.10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214</w:t>
            </w:r>
          </w:p>
        </w:tc>
        <w:tc>
          <w:tcPr>
            <w:tcW w:w="4535" w:type="dxa"/>
            <w:vAlign w:val="center"/>
          </w:tcPr>
          <w:p>
            <w:pPr>
              <w:pStyle w:val="13"/>
            </w:pPr>
            <w:r>
              <w:t>交通运输支出</w:t>
            </w:r>
          </w:p>
        </w:tc>
        <w:tc>
          <w:tcPr>
            <w:tcW w:w="2551" w:type="dxa"/>
            <w:vAlign w:val="center"/>
          </w:tcPr>
          <w:p>
            <w:pPr>
              <w:pStyle w:val="12"/>
            </w:pPr>
            <w:r>
              <w:t>15282.37</w:t>
            </w:r>
          </w:p>
        </w:tc>
        <w:tc>
          <w:tcPr>
            <w:tcW w:w="2551" w:type="dxa"/>
            <w:vAlign w:val="center"/>
          </w:tcPr>
          <w:p>
            <w:pPr>
              <w:pStyle w:val="12"/>
            </w:pPr>
            <w:r>
              <w:t>2568.28</w:t>
            </w:r>
          </w:p>
        </w:tc>
        <w:tc>
          <w:tcPr>
            <w:tcW w:w="2551" w:type="dxa"/>
            <w:vAlign w:val="center"/>
          </w:tcPr>
          <w:p>
            <w:pPr>
              <w:pStyle w:val="12"/>
            </w:pPr>
            <w:r>
              <w:t>12714.09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21401</w:t>
            </w:r>
          </w:p>
        </w:tc>
        <w:tc>
          <w:tcPr>
            <w:tcW w:w="4535" w:type="dxa"/>
            <w:vAlign w:val="center"/>
          </w:tcPr>
          <w:p>
            <w:pPr>
              <w:pStyle w:val="13"/>
            </w:pPr>
            <w:r>
              <w:t>公路水路运输</w:t>
            </w:r>
          </w:p>
        </w:tc>
        <w:tc>
          <w:tcPr>
            <w:tcW w:w="2551" w:type="dxa"/>
            <w:vAlign w:val="center"/>
          </w:tcPr>
          <w:p>
            <w:pPr>
              <w:pStyle w:val="12"/>
            </w:pPr>
            <w:r>
              <w:t>14760.14</w:t>
            </w:r>
          </w:p>
        </w:tc>
        <w:tc>
          <w:tcPr>
            <w:tcW w:w="2551" w:type="dxa"/>
            <w:vAlign w:val="center"/>
          </w:tcPr>
          <w:p>
            <w:pPr>
              <w:pStyle w:val="12"/>
            </w:pPr>
            <w:r>
              <w:t>2568.28</w:t>
            </w:r>
          </w:p>
        </w:tc>
        <w:tc>
          <w:tcPr>
            <w:tcW w:w="2551" w:type="dxa"/>
            <w:vAlign w:val="center"/>
          </w:tcPr>
          <w:p>
            <w:pPr>
              <w:pStyle w:val="12"/>
            </w:pPr>
            <w:r>
              <w:t>12191.86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2140101</w:t>
            </w:r>
          </w:p>
        </w:tc>
        <w:tc>
          <w:tcPr>
            <w:tcW w:w="4535" w:type="dxa"/>
            <w:vAlign w:val="center"/>
          </w:tcPr>
          <w:p>
            <w:pPr>
              <w:pStyle w:val="13"/>
            </w:pPr>
            <w:r>
              <w:t>行政运行</w:t>
            </w:r>
          </w:p>
        </w:tc>
        <w:tc>
          <w:tcPr>
            <w:tcW w:w="2551" w:type="dxa"/>
            <w:vAlign w:val="center"/>
          </w:tcPr>
          <w:p>
            <w:pPr>
              <w:pStyle w:val="12"/>
            </w:pPr>
            <w:r>
              <w:t>209.81</w:t>
            </w:r>
          </w:p>
        </w:tc>
        <w:tc>
          <w:tcPr>
            <w:tcW w:w="2551" w:type="dxa"/>
            <w:vAlign w:val="center"/>
          </w:tcPr>
          <w:p>
            <w:pPr>
              <w:pStyle w:val="12"/>
            </w:pPr>
            <w:r>
              <w:t>209.81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2140104</w:t>
            </w:r>
          </w:p>
        </w:tc>
        <w:tc>
          <w:tcPr>
            <w:tcW w:w="4535" w:type="dxa"/>
            <w:vAlign w:val="center"/>
          </w:tcPr>
          <w:p>
            <w:pPr>
              <w:pStyle w:val="13"/>
            </w:pPr>
            <w:r>
              <w:t>公路建设</w:t>
            </w:r>
          </w:p>
        </w:tc>
        <w:tc>
          <w:tcPr>
            <w:tcW w:w="2551" w:type="dxa"/>
            <w:vAlign w:val="center"/>
          </w:tcPr>
          <w:p>
            <w:pPr>
              <w:pStyle w:val="12"/>
            </w:pPr>
            <w:r>
              <w:t>4799.00</w:t>
            </w:r>
          </w:p>
        </w:tc>
        <w:tc>
          <w:tcPr>
            <w:tcW w:w="2551" w:type="dxa"/>
            <w:vAlign w:val="center"/>
          </w:tcPr>
          <w:p>
            <w:pPr>
              <w:pStyle w:val="12"/>
            </w:pPr>
          </w:p>
        </w:tc>
        <w:tc>
          <w:tcPr>
            <w:tcW w:w="2551" w:type="dxa"/>
            <w:vAlign w:val="center"/>
          </w:tcPr>
          <w:p>
            <w:pPr>
              <w:pStyle w:val="12"/>
            </w:pPr>
            <w:r>
              <w:t>4799.00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2140106</w:t>
            </w:r>
          </w:p>
        </w:tc>
        <w:tc>
          <w:tcPr>
            <w:tcW w:w="4535" w:type="dxa"/>
            <w:vAlign w:val="center"/>
          </w:tcPr>
          <w:p>
            <w:pPr>
              <w:pStyle w:val="13"/>
            </w:pPr>
            <w:r>
              <w:t>公路养护</w:t>
            </w:r>
          </w:p>
        </w:tc>
        <w:tc>
          <w:tcPr>
            <w:tcW w:w="2551" w:type="dxa"/>
            <w:vAlign w:val="center"/>
          </w:tcPr>
          <w:p>
            <w:pPr>
              <w:pStyle w:val="12"/>
            </w:pPr>
            <w:r>
              <w:t>5305.21</w:t>
            </w:r>
          </w:p>
        </w:tc>
        <w:tc>
          <w:tcPr>
            <w:tcW w:w="2551" w:type="dxa"/>
            <w:vAlign w:val="center"/>
          </w:tcPr>
          <w:p>
            <w:pPr>
              <w:pStyle w:val="12"/>
            </w:pPr>
          </w:p>
        </w:tc>
        <w:tc>
          <w:tcPr>
            <w:tcW w:w="2551" w:type="dxa"/>
            <w:vAlign w:val="center"/>
          </w:tcPr>
          <w:p>
            <w:pPr>
              <w:pStyle w:val="12"/>
            </w:pPr>
            <w:r>
              <w:t>5305.21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2140112</w:t>
            </w:r>
          </w:p>
        </w:tc>
        <w:tc>
          <w:tcPr>
            <w:tcW w:w="4535" w:type="dxa"/>
            <w:vAlign w:val="center"/>
          </w:tcPr>
          <w:p>
            <w:pPr>
              <w:pStyle w:val="13"/>
            </w:pPr>
            <w:r>
              <w:t>公路运输管理</w:t>
            </w:r>
          </w:p>
        </w:tc>
        <w:tc>
          <w:tcPr>
            <w:tcW w:w="2551" w:type="dxa"/>
            <w:vAlign w:val="center"/>
          </w:tcPr>
          <w:p>
            <w:pPr>
              <w:pStyle w:val="12"/>
            </w:pPr>
            <w:r>
              <w:t>658.94</w:t>
            </w:r>
          </w:p>
        </w:tc>
        <w:tc>
          <w:tcPr>
            <w:tcW w:w="2551" w:type="dxa"/>
            <w:vAlign w:val="center"/>
          </w:tcPr>
          <w:p>
            <w:pPr>
              <w:pStyle w:val="12"/>
            </w:pPr>
          </w:p>
        </w:tc>
        <w:tc>
          <w:tcPr>
            <w:tcW w:w="2551" w:type="dxa"/>
            <w:vAlign w:val="center"/>
          </w:tcPr>
          <w:p>
            <w:pPr>
              <w:pStyle w:val="12"/>
            </w:pPr>
            <w:r>
              <w:t>658.94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2140199</w:t>
            </w:r>
          </w:p>
        </w:tc>
        <w:tc>
          <w:tcPr>
            <w:tcW w:w="4535" w:type="dxa"/>
            <w:vAlign w:val="center"/>
          </w:tcPr>
          <w:p>
            <w:pPr>
              <w:pStyle w:val="13"/>
            </w:pPr>
            <w:r>
              <w:t>其他公路水路运输支出</w:t>
            </w:r>
          </w:p>
        </w:tc>
        <w:tc>
          <w:tcPr>
            <w:tcW w:w="2551" w:type="dxa"/>
            <w:vAlign w:val="center"/>
          </w:tcPr>
          <w:p>
            <w:pPr>
              <w:pStyle w:val="12"/>
            </w:pPr>
            <w:r>
              <w:t>3787.18</w:t>
            </w:r>
          </w:p>
        </w:tc>
        <w:tc>
          <w:tcPr>
            <w:tcW w:w="2551" w:type="dxa"/>
            <w:vAlign w:val="center"/>
          </w:tcPr>
          <w:p>
            <w:pPr>
              <w:pStyle w:val="12"/>
            </w:pPr>
            <w:r>
              <w:t>2358.47</w:t>
            </w:r>
          </w:p>
        </w:tc>
        <w:tc>
          <w:tcPr>
            <w:tcW w:w="2551" w:type="dxa"/>
            <w:vAlign w:val="center"/>
          </w:tcPr>
          <w:p>
            <w:pPr>
              <w:pStyle w:val="12"/>
            </w:pPr>
            <w:r>
              <w:t>1428.71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21499</w:t>
            </w:r>
          </w:p>
        </w:tc>
        <w:tc>
          <w:tcPr>
            <w:tcW w:w="4535" w:type="dxa"/>
            <w:vAlign w:val="center"/>
          </w:tcPr>
          <w:p>
            <w:pPr>
              <w:pStyle w:val="13"/>
            </w:pPr>
            <w:r>
              <w:t>其他交通运输支出</w:t>
            </w:r>
          </w:p>
        </w:tc>
        <w:tc>
          <w:tcPr>
            <w:tcW w:w="2551" w:type="dxa"/>
            <w:vAlign w:val="center"/>
          </w:tcPr>
          <w:p>
            <w:pPr>
              <w:pStyle w:val="12"/>
            </w:pPr>
            <w:r>
              <w:t>522.23</w:t>
            </w:r>
          </w:p>
        </w:tc>
        <w:tc>
          <w:tcPr>
            <w:tcW w:w="2551" w:type="dxa"/>
            <w:vAlign w:val="center"/>
          </w:tcPr>
          <w:p>
            <w:pPr>
              <w:pStyle w:val="12"/>
            </w:pPr>
          </w:p>
        </w:tc>
        <w:tc>
          <w:tcPr>
            <w:tcW w:w="2551" w:type="dxa"/>
            <w:vAlign w:val="center"/>
          </w:tcPr>
          <w:p>
            <w:pPr>
              <w:pStyle w:val="12"/>
            </w:pPr>
            <w:r>
              <w:t>522.23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2149901</w:t>
            </w:r>
          </w:p>
        </w:tc>
        <w:tc>
          <w:tcPr>
            <w:tcW w:w="4535" w:type="dxa"/>
            <w:vAlign w:val="center"/>
          </w:tcPr>
          <w:p>
            <w:pPr>
              <w:pStyle w:val="13"/>
            </w:pPr>
            <w:r>
              <w:t>公共交通运营补助</w:t>
            </w:r>
          </w:p>
        </w:tc>
        <w:tc>
          <w:tcPr>
            <w:tcW w:w="2551" w:type="dxa"/>
            <w:vAlign w:val="center"/>
          </w:tcPr>
          <w:p>
            <w:pPr>
              <w:pStyle w:val="12"/>
            </w:pPr>
            <w:r>
              <w:t>522.23</w:t>
            </w:r>
          </w:p>
        </w:tc>
        <w:tc>
          <w:tcPr>
            <w:tcW w:w="2551" w:type="dxa"/>
            <w:vAlign w:val="center"/>
          </w:tcPr>
          <w:p>
            <w:pPr>
              <w:pStyle w:val="12"/>
            </w:pPr>
          </w:p>
        </w:tc>
        <w:tc>
          <w:tcPr>
            <w:tcW w:w="2551" w:type="dxa"/>
            <w:vAlign w:val="center"/>
          </w:tcPr>
          <w:p>
            <w:pPr>
              <w:pStyle w:val="12"/>
            </w:pPr>
            <w:r>
              <w:t>522.23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195.95</w:t>
            </w:r>
          </w:p>
        </w:tc>
        <w:tc>
          <w:tcPr>
            <w:tcW w:w="2551" w:type="dxa"/>
            <w:vAlign w:val="center"/>
          </w:tcPr>
          <w:p>
            <w:pPr>
              <w:pStyle w:val="12"/>
            </w:pPr>
            <w:r>
              <w:t>195.95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195.95</w:t>
            </w:r>
          </w:p>
        </w:tc>
        <w:tc>
          <w:tcPr>
            <w:tcW w:w="2551" w:type="dxa"/>
            <w:vAlign w:val="center"/>
          </w:tcPr>
          <w:p>
            <w:pPr>
              <w:pStyle w:val="12"/>
            </w:pPr>
            <w:r>
              <w:t>195.95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195.95</w:t>
            </w:r>
          </w:p>
        </w:tc>
        <w:tc>
          <w:tcPr>
            <w:tcW w:w="2551" w:type="dxa"/>
            <w:vAlign w:val="center"/>
          </w:tcPr>
          <w:p>
            <w:pPr>
              <w:pStyle w:val="12"/>
            </w:pPr>
            <w:r>
              <w:t>195.95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348青龙满族自治县交通运输局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3641.97</w:t>
            </w:r>
          </w:p>
        </w:tc>
        <w:tc>
          <w:tcPr>
            <w:tcW w:w="2551" w:type="dxa"/>
            <w:vAlign w:val="center"/>
          </w:tcPr>
          <w:p>
            <w:pPr>
              <w:pStyle w:val="16"/>
            </w:pPr>
            <w:r>
              <w:t>3549.45</w:t>
            </w:r>
          </w:p>
        </w:tc>
        <w:tc>
          <w:tcPr>
            <w:tcW w:w="2551" w:type="dxa"/>
            <w:vAlign w:val="center"/>
          </w:tcPr>
          <w:p>
            <w:pPr>
              <w:pStyle w:val="16"/>
            </w:pPr>
            <w:r>
              <w:t>92.52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3424.10</w:t>
            </w:r>
          </w:p>
        </w:tc>
        <w:tc>
          <w:tcPr>
            <w:tcW w:w="2551" w:type="dxa"/>
            <w:vAlign w:val="center"/>
          </w:tcPr>
          <w:p>
            <w:pPr>
              <w:pStyle w:val="12"/>
            </w:pPr>
            <w:r>
              <w:t>3424.10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1496.28</w:t>
            </w:r>
          </w:p>
        </w:tc>
        <w:tc>
          <w:tcPr>
            <w:tcW w:w="2551" w:type="dxa"/>
            <w:vAlign w:val="center"/>
          </w:tcPr>
          <w:p>
            <w:pPr>
              <w:pStyle w:val="12"/>
            </w:pPr>
            <w:r>
              <w:t>1496.28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155.35</w:t>
            </w:r>
          </w:p>
        </w:tc>
        <w:tc>
          <w:tcPr>
            <w:tcW w:w="2551" w:type="dxa"/>
            <w:vAlign w:val="center"/>
          </w:tcPr>
          <w:p>
            <w:pPr>
              <w:pStyle w:val="12"/>
            </w:pPr>
            <w:r>
              <w:t>155.35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15.08</w:t>
            </w:r>
          </w:p>
        </w:tc>
        <w:tc>
          <w:tcPr>
            <w:tcW w:w="2551" w:type="dxa"/>
            <w:vAlign w:val="center"/>
          </w:tcPr>
          <w:p>
            <w:pPr>
              <w:pStyle w:val="12"/>
            </w:pPr>
            <w:r>
              <w:t>15.08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772.31</w:t>
            </w:r>
          </w:p>
        </w:tc>
        <w:tc>
          <w:tcPr>
            <w:tcW w:w="2551" w:type="dxa"/>
            <w:vAlign w:val="center"/>
          </w:tcPr>
          <w:p>
            <w:pPr>
              <w:pStyle w:val="12"/>
            </w:pPr>
            <w:r>
              <w:t>772.31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381.77</w:t>
            </w:r>
          </w:p>
        </w:tc>
        <w:tc>
          <w:tcPr>
            <w:tcW w:w="2551" w:type="dxa"/>
            <w:vAlign w:val="center"/>
          </w:tcPr>
          <w:p>
            <w:pPr>
              <w:pStyle w:val="12"/>
            </w:pPr>
            <w:r>
              <w:t>381.77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179.66</w:t>
            </w:r>
          </w:p>
        </w:tc>
        <w:tc>
          <w:tcPr>
            <w:tcW w:w="2551" w:type="dxa"/>
            <w:vAlign w:val="center"/>
          </w:tcPr>
          <w:p>
            <w:pPr>
              <w:pStyle w:val="12"/>
            </w:pPr>
            <w:r>
              <w:t>179.66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190.95</w:t>
            </w:r>
          </w:p>
        </w:tc>
        <w:tc>
          <w:tcPr>
            <w:tcW w:w="2551" w:type="dxa"/>
            <w:vAlign w:val="center"/>
          </w:tcPr>
          <w:p>
            <w:pPr>
              <w:pStyle w:val="12"/>
            </w:pPr>
            <w:r>
              <w:t>190.95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36.75</w:t>
            </w:r>
          </w:p>
        </w:tc>
        <w:tc>
          <w:tcPr>
            <w:tcW w:w="2551" w:type="dxa"/>
            <w:vAlign w:val="center"/>
          </w:tcPr>
          <w:p>
            <w:pPr>
              <w:pStyle w:val="12"/>
            </w:pPr>
            <w:r>
              <w:t>36.75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195.95</w:t>
            </w:r>
          </w:p>
        </w:tc>
        <w:tc>
          <w:tcPr>
            <w:tcW w:w="2551" w:type="dxa"/>
            <w:vAlign w:val="center"/>
          </w:tcPr>
          <w:p>
            <w:pPr>
              <w:pStyle w:val="12"/>
            </w:pPr>
            <w:r>
              <w:t>195.95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92.52</w:t>
            </w:r>
          </w:p>
        </w:tc>
        <w:tc>
          <w:tcPr>
            <w:tcW w:w="2551" w:type="dxa"/>
            <w:vAlign w:val="center"/>
          </w:tcPr>
          <w:p>
            <w:pPr>
              <w:pStyle w:val="12"/>
            </w:pPr>
          </w:p>
        </w:tc>
        <w:tc>
          <w:tcPr>
            <w:tcW w:w="2551" w:type="dxa"/>
            <w:vAlign w:val="center"/>
          </w:tcPr>
          <w:p>
            <w:pPr>
              <w:pStyle w:val="12"/>
            </w:pPr>
            <w:r>
              <w:t>92.52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1.07</w:t>
            </w:r>
          </w:p>
        </w:tc>
        <w:tc>
          <w:tcPr>
            <w:tcW w:w="2551" w:type="dxa"/>
            <w:vAlign w:val="center"/>
          </w:tcPr>
          <w:p>
            <w:pPr>
              <w:pStyle w:val="12"/>
            </w:pPr>
          </w:p>
        </w:tc>
        <w:tc>
          <w:tcPr>
            <w:tcW w:w="2551" w:type="dxa"/>
            <w:vAlign w:val="center"/>
          </w:tcPr>
          <w:p>
            <w:pPr>
              <w:pStyle w:val="12"/>
            </w:pPr>
            <w:r>
              <w:t>1.07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2.40</w:t>
            </w:r>
          </w:p>
        </w:tc>
        <w:tc>
          <w:tcPr>
            <w:tcW w:w="2551" w:type="dxa"/>
            <w:vAlign w:val="center"/>
          </w:tcPr>
          <w:p>
            <w:pPr>
              <w:pStyle w:val="12"/>
            </w:pPr>
          </w:p>
        </w:tc>
        <w:tc>
          <w:tcPr>
            <w:tcW w:w="2551" w:type="dxa"/>
            <w:vAlign w:val="center"/>
          </w:tcPr>
          <w:p>
            <w:pPr>
              <w:pStyle w:val="12"/>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11.60</w:t>
            </w:r>
          </w:p>
        </w:tc>
        <w:tc>
          <w:tcPr>
            <w:tcW w:w="2551" w:type="dxa"/>
            <w:vAlign w:val="center"/>
          </w:tcPr>
          <w:p>
            <w:pPr>
              <w:pStyle w:val="12"/>
            </w:pPr>
          </w:p>
        </w:tc>
        <w:tc>
          <w:tcPr>
            <w:tcW w:w="2551" w:type="dxa"/>
            <w:vAlign w:val="center"/>
          </w:tcPr>
          <w:p>
            <w:pPr>
              <w:pStyle w:val="12"/>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29.50</w:t>
            </w:r>
          </w:p>
        </w:tc>
        <w:tc>
          <w:tcPr>
            <w:tcW w:w="2551" w:type="dxa"/>
            <w:vAlign w:val="center"/>
          </w:tcPr>
          <w:p>
            <w:pPr>
              <w:pStyle w:val="12"/>
            </w:pPr>
          </w:p>
        </w:tc>
        <w:tc>
          <w:tcPr>
            <w:tcW w:w="2551" w:type="dxa"/>
            <w:vAlign w:val="center"/>
          </w:tcPr>
          <w:p>
            <w:pPr>
              <w:pStyle w:val="12"/>
            </w:pPr>
            <w:r>
              <w:t>29.50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23.65</w:t>
            </w:r>
          </w:p>
        </w:tc>
        <w:tc>
          <w:tcPr>
            <w:tcW w:w="2551" w:type="dxa"/>
            <w:vAlign w:val="center"/>
          </w:tcPr>
          <w:p>
            <w:pPr>
              <w:pStyle w:val="12"/>
            </w:pPr>
          </w:p>
        </w:tc>
        <w:tc>
          <w:tcPr>
            <w:tcW w:w="2551" w:type="dxa"/>
            <w:vAlign w:val="center"/>
          </w:tcPr>
          <w:p>
            <w:pPr>
              <w:pStyle w:val="12"/>
            </w:pPr>
            <w:r>
              <w:t>23.65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2.80</w:t>
            </w:r>
          </w:p>
        </w:tc>
        <w:tc>
          <w:tcPr>
            <w:tcW w:w="2551" w:type="dxa"/>
            <w:vAlign w:val="center"/>
          </w:tcPr>
          <w:p>
            <w:pPr>
              <w:pStyle w:val="12"/>
            </w:pPr>
          </w:p>
        </w:tc>
        <w:tc>
          <w:tcPr>
            <w:tcW w:w="2551" w:type="dxa"/>
            <w:vAlign w:val="center"/>
          </w:tcPr>
          <w:p>
            <w:pPr>
              <w:pStyle w:val="12"/>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13.50</w:t>
            </w:r>
          </w:p>
        </w:tc>
        <w:tc>
          <w:tcPr>
            <w:tcW w:w="2551" w:type="dxa"/>
            <w:vAlign w:val="center"/>
          </w:tcPr>
          <w:p>
            <w:pPr>
              <w:pStyle w:val="12"/>
            </w:pPr>
          </w:p>
        </w:tc>
        <w:tc>
          <w:tcPr>
            <w:tcW w:w="2551" w:type="dxa"/>
            <w:vAlign w:val="center"/>
          </w:tcPr>
          <w:p>
            <w:pPr>
              <w:pStyle w:val="12"/>
            </w:pPr>
            <w:r>
              <w:t>13.50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125.34</w:t>
            </w:r>
          </w:p>
        </w:tc>
        <w:tc>
          <w:tcPr>
            <w:tcW w:w="2551" w:type="dxa"/>
            <w:vAlign w:val="center"/>
          </w:tcPr>
          <w:p>
            <w:pPr>
              <w:pStyle w:val="12"/>
            </w:pPr>
            <w:r>
              <w:t>125.34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116.23</w:t>
            </w:r>
          </w:p>
        </w:tc>
        <w:tc>
          <w:tcPr>
            <w:tcW w:w="2551" w:type="dxa"/>
            <w:vAlign w:val="center"/>
          </w:tcPr>
          <w:p>
            <w:pPr>
              <w:pStyle w:val="12"/>
            </w:pPr>
            <w:r>
              <w:t>116.23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9.11</w:t>
            </w:r>
          </w:p>
        </w:tc>
        <w:tc>
          <w:tcPr>
            <w:tcW w:w="2551" w:type="dxa"/>
            <w:vAlign w:val="center"/>
          </w:tcPr>
          <w:p>
            <w:pPr>
              <w:pStyle w:val="12"/>
            </w:pPr>
            <w:r>
              <w:t>9.11</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348青龙满族自治县交通运输局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348青龙满族自治县交通运输局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348青龙满族自治县交通运输局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51.60</w:t>
            </w:r>
          </w:p>
        </w:tc>
        <w:tc>
          <w:tcPr>
            <w:tcW w:w="2381" w:type="dxa"/>
            <w:vAlign w:val="center"/>
          </w:tcPr>
          <w:p>
            <w:pPr>
              <w:pStyle w:val="16"/>
            </w:pPr>
            <w:r>
              <w:t>51.60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51.60</w:t>
            </w:r>
          </w:p>
        </w:tc>
        <w:tc>
          <w:tcPr>
            <w:tcW w:w="2381" w:type="dxa"/>
            <w:vAlign w:val="center"/>
          </w:tcPr>
          <w:p>
            <w:pPr>
              <w:pStyle w:val="12"/>
            </w:pPr>
            <w:r>
              <w:t>51.60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51.60</w:t>
            </w:r>
          </w:p>
        </w:tc>
        <w:tc>
          <w:tcPr>
            <w:tcW w:w="2381" w:type="dxa"/>
            <w:vAlign w:val="center"/>
          </w:tcPr>
          <w:p>
            <w:pPr>
              <w:pStyle w:val="12"/>
            </w:pPr>
            <w:r>
              <w:t>51.60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r>
              <w:t>36.00</w:t>
            </w:r>
          </w:p>
        </w:tc>
        <w:tc>
          <w:tcPr>
            <w:tcW w:w="2381" w:type="dxa"/>
            <w:vAlign w:val="center"/>
          </w:tcPr>
          <w:p>
            <w:pPr>
              <w:pStyle w:val="12"/>
            </w:pPr>
            <w:r>
              <w:t>36.00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15.60</w:t>
            </w:r>
          </w:p>
        </w:tc>
        <w:tc>
          <w:tcPr>
            <w:tcW w:w="2381" w:type="dxa"/>
            <w:vAlign w:val="center"/>
          </w:tcPr>
          <w:p>
            <w:pPr>
              <w:pStyle w:val="12"/>
            </w:pPr>
            <w:r>
              <w:t>15.60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青龙满族自治县交通运输局2026年部门预算信息公开情况说明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青龙满族自治县交通运输局2026年部门预算信息公开情况说明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按照《中华人民共和国预算法》、《地方预决算公开操作规程》和《关于进一步推进预算公开工作的实施意见》规定，现将青龙满族自治县交通运输局2026年部门预算公开如下：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pStyle w:val="18"/>
      </w:pPr>
      <w:r>
        <w:rPr>
          <w:rFonts w:ascii="方正楷体_GBK" w:hAnsi="方正楷体_GBK" w:eastAsia="方正楷体_GBK" w:cs="方正楷体_GBK"/>
          <w:b/>
          <w:color w:val="000000"/>
          <w:sz w:val="32"/>
        </w:rPr>
        <w:t>部门职责：</w:t>
      </w:r>
      <w:r>
        <w:t>（一）贯彻执行国家、省、市有关交通运输行业发展的方针、政策和法律、法规、规章；承担全县综合运输体系的规划协调工作，会同有关单位组织编制全县综合运输体系规划，加快推进城乡交通运输一体化；承担国防交通战备工作。</w:t>
      </w:r>
    </w:p>
    <w:p>
      <w:pPr>
        <w:pStyle w:val="18"/>
      </w:pPr>
      <w:r>
        <w:t>（二）组织拟订全县国省干线公路、地方道路、城市客运中长期发展规划及交通基础设施、国省干线公路、地方道路、城市客运等专项规划并监督实施。</w:t>
      </w:r>
    </w:p>
    <w:p>
      <w:pPr>
        <w:pStyle w:val="18"/>
      </w:pPr>
      <w:r>
        <w:t>（三）贯彻执行国家、省、市有关物流业发展的法律、法规、政策和技术标准；参与拟订全县物流业发展规划，拟订有关政策和标准并监督实施。</w:t>
      </w:r>
    </w:p>
    <w:p>
      <w:pPr>
        <w:pStyle w:val="18"/>
      </w:pPr>
      <w:r>
        <w:t>（四）负责全县交通运输行业精神文明建设、职工队伍建设及思想政治工作；围绕全县交通运输工作中心，对重大决策、重要工作部署及重点交通运输建设项目的实施进行督察督办。</w:t>
      </w:r>
    </w:p>
    <w:p>
      <w:pPr>
        <w:pStyle w:val="18"/>
      </w:pPr>
      <w:r>
        <w:t>（五）负责交通运输系统财务管理和会计核算工作；负责交通运输行业养护资金、工程建设资金、预算外资金以及其他专项资金的筹集、管理、下拨、使用和监督工作；负责交通运输行业国有资产，专项资金的监管；组织交通运输行业内部审计工作，负责全县交通运输行业科技教育工作。</w:t>
      </w:r>
    </w:p>
    <w:p>
      <w:pPr>
        <w:pStyle w:val="18"/>
      </w:pPr>
      <w:r>
        <w:t>（六）负责全县交通运输行业信息化建设，监测分析运行情况，发布相关信息；负责全县交通运输行业环境保护和节能减排工作。</w:t>
      </w:r>
    </w:p>
    <w:p>
      <w:pPr>
        <w:pStyle w:val="18"/>
      </w:pPr>
      <w:r>
        <w:t>（七）指导全县公路、地方铁路、城市客运建设及运营的安全生产和应急管理。负责对交通运输行业内部安全管理进行综合指导和监督，督促法人安全责任制的落实；组织协调全县交通运输行业重特大责任事故应急救援和突发事件的处置， 依法组织或参与有关事故的调查处理工作。</w:t>
      </w:r>
    </w:p>
    <w:p>
      <w:pPr>
        <w:pStyle w:val="18"/>
      </w:pPr>
      <w:r>
        <w:t>（八）负责全县交通运输综合行政执法和队伍建设有关工作。组织、指导、协调并监督交通运输行业的行政执法、行政应讼及有关行政复议工作。</w:t>
      </w:r>
    </w:p>
    <w:p>
      <w:pPr>
        <w:pStyle w:val="18"/>
      </w:pPr>
      <w:r>
        <w:t>（九）负责运输市场、运输服务、车辆维修、运输场站、搬运装卸、汽车驾驶学校、驾驶员培训、出租汽车及现代物流业的行业管理。</w:t>
      </w:r>
    </w:p>
    <w:p>
      <w:pPr>
        <w:pStyle w:val="18"/>
      </w:pPr>
      <w:r>
        <w:t>（十）负责城市客运行业管理；负责城市公共交通基础设施建设、城市客运特许经营权的许可和运输市场监管工作； 紧急情况时临时接管城市客运业务的经营。</w:t>
      </w:r>
    </w:p>
    <w:p>
      <w:pPr>
        <w:pStyle w:val="18"/>
      </w:pPr>
      <w:r>
        <w:t>（十一）负责渔船检验和监督管理工作。</w:t>
      </w:r>
    </w:p>
    <w:p>
      <w:pPr>
        <w:pStyle w:val="18"/>
      </w:pPr>
      <w:r>
        <w:t>（十二）承担全县公路建设市场监管责任。拟订公路建设相关政策、制度和技术标准并监督实施；负责公路及其设施的建设、养护、管理和公路工程建设、工程质量的监督管理工作；负责全县交通运输基本建设项目招投标活动的监督管理。</w:t>
      </w:r>
    </w:p>
    <w:p>
      <w:pPr>
        <w:pStyle w:val="18"/>
      </w:pPr>
      <w:r>
        <w:t>（十三）承担全县公路工程建设、养护和管理责任；负责公路工程质量检查验收和编制工程预决算工作；负责工程技术资料的收集、整理工作，积极推广和使用公路建设和管养的新技术、新工艺；指导乡镇搞好农村公路建设规划、技术服务和工程质量的监督工作。</w:t>
      </w:r>
    </w:p>
    <w:p>
      <w:pPr>
        <w:pStyle w:val="18"/>
      </w:pPr>
      <w:r>
        <w:t>（十四）承办县政府交办的其他事项。</w:t>
      </w:r>
    </w:p>
    <w:p>
      <w:pPr>
        <w:pStyle w:val="18"/>
      </w:pPr>
    </w:p>
    <w:p>
      <w:pPr>
        <w:spacing w:before="0" w:after="0" w:line="240" w:lineRule="auto"/>
        <w:ind w:firstLine="643" w:firstLineChars="20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青龙满族自治县交通运输局本级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numPr>
          <w:ilvl w:val="0"/>
          <w:numId w:val="1"/>
        </w:numPr>
        <w:spacing w:before="10" w:after="10" w:line="360" w:lineRule="auto"/>
        <w:ind w:firstLine="640"/>
        <w:jc w:val="left"/>
        <w:outlineLvl w:val="2"/>
        <w:rPr>
          <w:rFonts w:ascii="黑体" w:hAnsi="黑体" w:eastAsia="黑体" w:cs="黑体"/>
          <w:color w:val="000000"/>
          <w:sz w:val="32"/>
        </w:rPr>
      </w:pPr>
      <w:bookmarkStart w:id="10" w:name="_Toc_3_3_0000000011"/>
      <w:r>
        <w:rPr>
          <w:rFonts w:ascii="黑体" w:hAnsi="黑体" w:eastAsia="黑体" w:cs="黑体"/>
          <w:color w:val="000000"/>
          <w:sz w:val="32"/>
        </w:rPr>
        <w:t>部门预算安排的总体情况</w:t>
      </w:r>
      <w:bookmarkEnd w:id="10"/>
    </w:p>
    <w:p>
      <w:pPr>
        <w:pStyle w:val="19"/>
      </w:pPr>
      <w:r>
        <w:t>按照预算管理有关规定，目前部门预算的编制实行综合预算管理，即全部收入和支出都反映在预算中。青龙满族自治县交通运输局机关及所属事业单位的收支包含在部门预算中。</w:t>
      </w:r>
    </w:p>
    <w:p>
      <w:pPr>
        <w:pStyle w:val="19"/>
      </w:pPr>
      <w:r>
        <w:t>1、收入说明</w:t>
      </w:r>
    </w:p>
    <w:p>
      <w:pPr>
        <w:pStyle w:val="19"/>
      </w:pPr>
      <w:r>
        <w:t>反映本部门当年全部收入。202</w:t>
      </w:r>
      <w:r>
        <w:rPr>
          <w:rFonts w:hint="eastAsia"/>
          <w:lang w:val="en-US" w:eastAsia="zh-CN"/>
        </w:rPr>
        <w:t>6</w:t>
      </w:r>
      <w:r>
        <w:t>年预算收入</w:t>
      </w:r>
      <w:r>
        <w:rPr>
          <w:rFonts w:hint="eastAsia"/>
          <w:lang w:val="en-US" w:eastAsia="zh-CN"/>
        </w:rPr>
        <w:t>16439.15</w:t>
      </w:r>
      <w:r>
        <w:t>万元，其中：一般公共预算收入</w:t>
      </w:r>
      <w:r>
        <w:rPr>
          <w:rFonts w:hint="eastAsia"/>
          <w:lang w:val="en-US" w:eastAsia="zh-CN"/>
        </w:rPr>
        <w:t>11338.35</w:t>
      </w:r>
      <w:r>
        <w:t>万元，基金预算收入</w:t>
      </w:r>
      <w:r>
        <w:rPr>
          <w:rFonts w:hint="eastAsia"/>
          <w:lang w:val="en-US" w:eastAsia="zh-CN"/>
        </w:rPr>
        <w:t>0</w:t>
      </w:r>
      <w:r>
        <w:t>万元，国有资本经营预算收入0.00万元，财政专户核拨收入0.00万元，单位资金收入0.00万元，上年结转结余</w:t>
      </w:r>
      <w:r>
        <w:rPr>
          <w:rFonts w:hint="eastAsia"/>
          <w:lang w:val="en-US" w:eastAsia="zh-CN"/>
        </w:rPr>
        <w:t>5100.81</w:t>
      </w:r>
      <w:r>
        <w:t>万元。</w:t>
      </w:r>
    </w:p>
    <w:p>
      <w:pPr>
        <w:pStyle w:val="19"/>
      </w:pPr>
      <w:r>
        <w:t>2、支出说明</w:t>
      </w:r>
    </w:p>
    <w:p>
      <w:pPr>
        <w:pStyle w:val="19"/>
      </w:pPr>
      <w:r>
        <w:t>收支预算总表支出栏、基本支出表、项目支出表按经济分类和支出功能分类科目编制，反映青龙满族自治县交通运输局年度部门预算中支出预算的总体情况。202</w:t>
      </w:r>
      <w:r>
        <w:rPr>
          <w:rFonts w:hint="eastAsia"/>
          <w:lang w:val="en-US" w:eastAsia="zh-CN"/>
        </w:rPr>
        <w:t>6</w:t>
      </w:r>
      <w:r>
        <w:t>年支出预算</w:t>
      </w:r>
      <w:r>
        <w:rPr>
          <w:rFonts w:hint="eastAsia"/>
        </w:rPr>
        <w:t>16439.15</w:t>
      </w:r>
      <w:r>
        <w:t>万元，其中基本支出</w:t>
      </w:r>
      <w:r>
        <w:rPr>
          <w:rFonts w:hint="eastAsia"/>
          <w:lang w:val="en-US" w:eastAsia="zh-CN"/>
        </w:rPr>
        <w:t>3641.97</w:t>
      </w:r>
      <w:r>
        <w:t>万元，包括人员经费</w:t>
      </w:r>
      <w:r>
        <w:rPr>
          <w:rFonts w:hint="eastAsia"/>
          <w:lang w:val="en-US" w:eastAsia="zh-CN"/>
        </w:rPr>
        <w:t>3549.45</w:t>
      </w:r>
      <w:r>
        <w:t>万元和日常公用经费</w:t>
      </w:r>
      <w:r>
        <w:rPr>
          <w:rFonts w:hint="eastAsia"/>
          <w:lang w:val="en-US" w:eastAsia="zh-CN"/>
        </w:rPr>
        <w:t>92.52</w:t>
      </w:r>
      <w:r>
        <w:t>万元；项目支出</w:t>
      </w:r>
      <w:r>
        <w:rPr>
          <w:rFonts w:hint="eastAsia"/>
          <w:lang w:val="en-US" w:eastAsia="zh-CN"/>
        </w:rPr>
        <w:t>12797.19</w:t>
      </w:r>
      <w:r>
        <w:t>万元，主要为</w:t>
      </w:r>
      <w:r>
        <w:rPr>
          <w:rFonts w:hint="eastAsia"/>
          <w:lang w:eastAsia="zh-CN"/>
        </w:rPr>
        <w:t>:</w:t>
      </w:r>
      <w:r>
        <w:rPr>
          <w:rFonts w:hint="eastAsia"/>
        </w:rPr>
        <w:t>202</w:t>
      </w:r>
      <w:r>
        <w:rPr>
          <w:rFonts w:hint="eastAsia"/>
          <w:lang w:val="en-US" w:eastAsia="zh-CN"/>
        </w:rPr>
        <w:t>5</w:t>
      </w:r>
      <w:r>
        <w:rPr>
          <w:rFonts w:hint="eastAsia"/>
        </w:rPr>
        <w:t>年结转项目16个，结转金额为</w:t>
      </w:r>
      <w:r>
        <w:rPr>
          <w:rFonts w:hint="eastAsia"/>
          <w:lang w:val="en-US" w:eastAsia="zh-CN"/>
        </w:rPr>
        <w:t>5100.81</w:t>
      </w:r>
      <w:r>
        <w:rPr>
          <w:rFonts w:hint="eastAsia"/>
        </w:rPr>
        <w:t>万元，其中县本级预算结转</w:t>
      </w:r>
      <w:r>
        <w:rPr>
          <w:rFonts w:hint="eastAsia"/>
          <w:lang w:val="en-US" w:eastAsia="zh-CN"/>
        </w:rPr>
        <w:t>3626.27</w:t>
      </w:r>
      <w:r>
        <w:rPr>
          <w:rFonts w:hint="eastAsia"/>
        </w:rPr>
        <w:t>万元，上级项目补助结转</w:t>
      </w:r>
      <w:r>
        <w:rPr>
          <w:rFonts w:hint="eastAsia"/>
          <w:lang w:val="en-US" w:eastAsia="zh-CN"/>
        </w:rPr>
        <w:t>1474.54</w:t>
      </w:r>
      <w:r>
        <w:rPr>
          <w:rFonts w:hint="eastAsia"/>
        </w:rPr>
        <w:t>万元。202</w:t>
      </w:r>
      <w:r>
        <w:rPr>
          <w:rFonts w:hint="eastAsia"/>
          <w:lang w:val="en-US" w:eastAsia="zh-CN"/>
        </w:rPr>
        <w:t>6</w:t>
      </w:r>
      <w:r>
        <w:rPr>
          <w:rFonts w:hint="eastAsia"/>
        </w:rPr>
        <w:t>年县本级及上级提前下达预算项目</w:t>
      </w:r>
      <w:r>
        <w:rPr>
          <w:rFonts w:hint="eastAsia"/>
          <w:lang w:val="en-US" w:eastAsia="zh-CN"/>
        </w:rPr>
        <w:t>18</w:t>
      </w:r>
      <w:r>
        <w:rPr>
          <w:rFonts w:hint="eastAsia"/>
        </w:rPr>
        <w:t>个，分别为：汽车站运营补助</w:t>
      </w:r>
      <w:r>
        <w:rPr>
          <w:rFonts w:hint="eastAsia"/>
          <w:lang w:val="en-US" w:eastAsia="zh-CN"/>
        </w:rPr>
        <w:t>60</w:t>
      </w:r>
      <w:r>
        <w:rPr>
          <w:rFonts w:hint="eastAsia"/>
        </w:rPr>
        <w:t>万元；普通国省干线公路日常养护经费（财力专款）1722万元；农村公路养护及运行补贴</w:t>
      </w:r>
      <w:r>
        <w:rPr>
          <w:rFonts w:hint="eastAsia"/>
          <w:lang w:val="en-US" w:eastAsia="zh-CN"/>
        </w:rPr>
        <w:t>450</w:t>
      </w:r>
      <w:r>
        <w:rPr>
          <w:rFonts w:hint="eastAsia"/>
        </w:rPr>
        <w:t>万元；农村公路养护工程资金（财力专款）524万元；农村公路建设改造工程资金（财力专款）511万元；交通战备费1万元；交通事业人员经费</w:t>
      </w:r>
      <w:r>
        <w:rPr>
          <w:rFonts w:hint="eastAsia"/>
          <w:lang w:val="en-US" w:eastAsia="zh-CN"/>
        </w:rPr>
        <w:t>340</w:t>
      </w:r>
      <w:r>
        <w:rPr>
          <w:rFonts w:hint="eastAsia"/>
        </w:rPr>
        <w:t>万元；国省干线养护及运行补贴</w:t>
      </w:r>
      <w:r>
        <w:rPr>
          <w:rFonts w:hint="eastAsia"/>
          <w:lang w:val="en-US" w:eastAsia="zh-CN"/>
        </w:rPr>
        <w:t>400</w:t>
      </w:r>
      <w:r>
        <w:rPr>
          <w:rFonts w:hint="eastAsia"/>
        </w:rPr>
        <w:t>万元；城市公交运营补贴</w:t>
      </w:r>
      <w:r>
        <w:rPr>
          <w:rFonts w:hint="eastAsia"/>
          <w:lang w:val="en-US" w:eastAsia="zh-CN"/>
        </w:rPr>
        <w:t>200</w:t>
      </w:r>
      <w:r>
        <w:rPr>
          <w:rFonts w:hint="eastAsia"/>
        </w:rPr>
        <w:t>万元；“三线”铁路建设民兵生活补贴</w:t>
      </w:r>
      <w:r>
        <w:rPr>
          <w:rFonts w:hint="eastAsia"/>
          <w:lang w:val="en-US" w:eastAsia="zh-CN"/>
        </w:rPr>
        <w:t>830</w:t>
      </w:r>
      <w:r>
        <w:rPr>
          <w:rFonts w:hint="eastAsia"/>
        </w:rPr>
        <w:t>万元；交通综合执法公务用车购置</w:t>
      </w:r>
      <w:r>
        <w:rPr>
          <w:rFonts w:hint="eastAsia"/>
          <w:lang w:val="en-US" w:eastAsia="zh-CN"/>
        </w:rPr>
        <w:t>36万元；</w:t>
      </w:r>
      <w:r>
        <w:rPr>
          <w:rFonts w:hint="eastAsia"/>
        </w:rPr>
        <w:t>关于提前下达2026年交通运输领域专项资金预算（第一批）的通知（冀财建[2025]241号）</w:t>
      </w:r>
      <w:r>
        <w:rPr>
          <w:rFonts w:hint="eastAsia"/>
          <w:lang w:val="en-US" w:eastAsia="zh-CN"/>
        </w:rPr>
        <w:t>1368</w:t>
      </w:r>
      <w:r>
        <w:rPr>
          <w:rFonts w:hint="eastAsia"/>
        </w:rPr>
        <w:t>万元；关于提前下达2026年普通国省干线公路建设养护发展专项资金的通知-普通国省干线公路日常养护补助（冀财建[2025]234号）</w:t>
      </w:r>
      <w:r>
        <w:rPr>
          <w:rFonts w:hint="eastAsia"/>
          <w:lang w:val="en-US" w:eastAsia="zh-CN"/>
        </w:rPr>
        <w:t>176万元</w:t>
      </w:r>
      <w:r>
        <w:rPr>
          <w:rFonts w:hint="eastAsia"/>
        </w:rPr>
        <w:t>；关于提前下达2026年普通国省干线公路建设养护发展专项资金的通知-治理货运车辆超限超载补助（冀财建[2025]234号）</w:t>
      </w:r>
      <w:r>
        <w:rPr>
          <w:rFonts w:hint="eastAsia"/>
          <w:lang w:val="en-US" w:eastAsia="zh-CN"/>
        </w:rPr>
        <w:t>38.94</w:t>
      </w:r>
      <w:r>
        <w:rPr>
          <w:rFonts w:hint="eastAsia"/>
        </w:rPr>
        <w:t>万元；关于提前下达2026年农村公路建设养护发展专项资金的通知-养护工程定额补助（冀财建[2025]235号）324万元；关关于提前下达2026年农村公路建设养护发展专项资金的通知-日常养护补助（冀财建[2025]235号）119万元；关于提前下达2026年农村公路建设养护发展专项资金的通知-建设改造补助（冀财建[2025]235号）</w:t>
      </w:r>
      <w:r>
        <w:rPr>
          <w:rFonts w:hint="eastAsia"/>
          <w:lang w:val="en-US" w:eastAsia="zh-CN"/>
        </w:rPr>
        <w:t>361</w:t>
      </w:r>
      <w:r>
        <w:rPr>
          <w:rFonts w:hint="eastAsia"/>
        </w:rPr>
        <w:t>万元；关于提前下达2026年普通国省干线公路建设养护发展专项资金的通知-治超非现场检测点建设补助（冀财建[2025]234号）</w:t>
      </w:r>
      <w:r>
        <w:rPr>
          <w:rFonts w:hint="eastAsia"/>
          <w:lang w:val="en-US" w:eastAsia="zh-CN"/>
        </w:rPr>
        <w:t>240</w:t>
      </w:r>
      <w:r>
        <w:rPr>
          <w:rFonts w:hint="eastAsia"/>
        </w:rPr>
        <w:t>万元。</w:t>
      </w:r>
    </w:p>
    <w:p>
      <w:pPr>
        <w:pStyle w:val="19"/>
      </w:pPr>
      <w:r>
        <w:t>3、比上年增减情况</w:t>
      </w:r>
    </w:p>
    <w:p>
      <w:pPr>
        <w:pStyle w:val="19"/>
      </w:pPr>
      <w:r>
        <w:t>202</w:t>
      </w:r>
      <w:r>
        <w:rPr>
          <w:rFonts w:hint="eastAsia"/>
          <w:lang w:val="en-US" w:eastAsia="zh-CN"/>
        </w:rPr>
        <w:t>6</w:t>
      </w:r>
      <w:r>
        <w:t>年预算收支安排</w:t>
      </w:r>
      <w:r>
        <w:rPr>
          <w:rFonts w:hint="eastAsia"/>
          <w:lang w:val="en-US" w:eastAsia="zh-CN"/>
        </w:rPr>
        <w:t>16439.15</w:t>
      </w:r>
      <w:r>
        <w:t>万元，较202</w:t>
      </w:r>
      <w:r>
        <w:rPr>
          <w:rFonts w:hint="eastAsia"/>
          <w:lang w:val="en-US" w:eastAsia="zh-CN"/>
        </w:rPr>
        <w:t>5</w:t>
      </w:r>
      <w:r>
        <w:t>年预算减少</w:t>
      </w:r>
      <w:r>
        <w:rPr>
          <w:rFonts w:hint="eastAsia"/>
          <w:lang w:val="en-US" w:eastAsia="zh-CN"/>
        </w:rPr>
        <w:t>1683.97</w:t>
      </w:r>
      <w:r>
        <w:t>万元，其中：基本支出增加</w:t>
      </w:r>
      <w:r>
        <w:rPr>
          <w:rFonts w:hint="eastAsia"/>
          <w:lang w:val="en-US" w:eastAsia="zh-CN"/>
        </w:rPr>
        <w:t>1112.14</w:t>
      </w:r>
      <w:r>
        <w:t>万元，主要为我单位</w:t>
      </w:r>
      <w:r>
        <w:rPr>
          <w:rFonts w:hint="eastAsia"/>
          <w:lang w:val="en-US" w:eastAsia="zh-CN"/>
        </w:rPr>
        <w:t>2026年度财政零补助事业编制104人，</w:t>
      </w:r>
      <w:r>
        <w:t>人员经费县级财政全额保障，所增加基本支出为人员经费支出。项目支出减少</w:t>
      </w:r>
      <w:r>
        <w:rPr>
          <w:rFonts w:hint="eastAsia"/>
          <w:lang w:val="en-US" w:eastAsia="zh-CN"/>
        </w:rPr>
        <w:t>2796.12</w:t>
      </w:r>
      <w:bookmarkStart w:id="20" w:name="_GoBack"/>
      <w:bookmarkEnd w:id="20"/>
      <w:r>
        <w:t>万元，主要为</w:t>
      </w:r>
      <w:r>
        <w:rPr>
          <w:rFonts w:hint="eastAsia"/>
        </w:rPr>
        <w:t>我单位202</w:t>
      </w:r>
      <w:r>
        <w:rPr>
          <w:rFonts w:hint="eastAsia"/>
          <w:lang w:val="en-US" w:eastAsia="zh-CN"/>
        </w:rPr>
        <w:t>6</w:t>
      </w:r>
      <w:r>
        <w:rPr>
          <w:rFonts w:hint="eastAsia"/>
        </w:rPr>
        <w:t>上级补助农村公路建设</w:t>
      </w:r>
      <w:r>
        <w:rPr>
          <w:rFonts w:hint="eastAsia"/>
          <w:lang w:eastAsia="zh-CN"/>
        </w:rPr>
        <w:t>项目</w:t>
      </w:r>
      <w:r>
        <w:rPr>
          <w:rFonts w:hint="eastAsia"/>
        </w:rPr>
        <w:t>资金较202</w:t>
      </w:r>
      <w:r>
        <w:rPr>
          <w:rFonts w:hint="eastAsia"/>
          <w:lang w:val="en-US" w:eastAsia="zh-CN"/>
        </w:rPr>
        <w:t>5</w:t>
      </w:r>
      <w:r>
        <w:rPr>
          <w:rFonts w:hint="eastAsia"/>
        </w:rPr>
        <w:t>年有所减少</w:t>
      </w:r>
      <w:r>
        <w:t>。</w:t>
      </w:r>
    </w:p>
    <w:p>
      <w:pPr>
        <w:numPr>
          <w:ilvl w:val="0"/>
          <w:numId w:val="0"/>
        </w:numPr>
        <w:spacing w:before="10" w:after="10" w:line="360" w:lineRule="auto"/>
        <w:jc w:val="left"/>
        <w:outlineLvl w:val="2"/>
        <w:rPr>
          <w:rFonts w:ascii="黑体" w:hAnsi="黑体" w:eastAsia="黑体" w:cs="黑体"/>
          <w:color w:val="000000"/>
          <w:sz w:val="32"/>
        </w:rPr>
      </w:pPr>
    </w:p>
    <w:p>
      <w:pPr>
        <w:pStyle w:val="19"/>
      </w:pPr>
    </w:p>
    <w:p>
      <w:pPr>
        <w:numPr>
          <w:ilvl w:val="0"/>
          <w:numId w:val="1"/>
        </w:numPr>
        <w:spacing w:before="10" w:after="10" w:line="360" w:lineRule="auto"/>
        <w:ind w:left="0" w:leftChars="0" w:firstLine="640" w:firstLineChars="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pStyle w:val="20"/>
        <w:spacing w:line="480" w:lineRule="exact"/>
      </w:pPr>
      <w:r>
        <w:rPr>
          <w:rFonts w:hint="eastAsia"/>
          <w:lang w:eastAsia="zh-CN"/>
        </w:rPr>
        <w:t>202</w:t>
      </w:r>
      <w:r>
        <w:rPr>
          <w:rFonts w:hint="eastAsia"/>
          <w:lang w:val="en-US" w:eastAsia="zh-CN"/>
        </w:rPr>
        <w:t>6</w:t>
      </w:r>
      <w:r>
        <w:rPr>
          <w:rFonts w:hint="eastAsia"/>
          <w:lang w:eastAsia="zh-CN"/>
        </w:rPr>
        <w:t>年，</w:t>
      </w:r>
      <w:r>
        <w:t xml:space="preserve">我单位机关运行经费共计安排 </w:t>
      </w:r>
      <w:r>
        <w:rPr>
          <w:rFonts w:hint="eastAsia"/>
          <w:lang w:val="en-US" w:eastAsia="zh-CN"/>
        </w:rPr>
        <w:t>92.52</w:t>
      </w:r>
      <w:r>
        <w:t>万元，主要用于办公费日常运行支出，其中办公费</w:t>
      </w:r>
      <w:r>
        <w:rPr>
          <w:rFonts w:hint="eastAsia"/>
          <w:lang w:eastAsia="zh-CN"/>
        </w:rPr>
        <w:t>1.0</w:t>
      </w:r>
      <w:r>
        <w:rPr>
          <w:rFonts w:hint="eastAsia"/>
          <w:lang w:val="en-US" w:eastAsia="zh-CN"/>
        </w:rPr>
        <w:t>7</w:t>
      </w:r>
      <w:r>
        <w:t>万元</w:t>
      </w:r>
      <w:r>
        <w:rPr>
          <w:rFonts w:hint="eastAsia"/>
          <w:lang w:eastAsia="zh-CN"/>
        </w:rPr>
        <w:t>、水费2.</w:t>
      </w:r>
      <w:r>
        <w:rPr>
          <w:rFonts w:hint="eastAsia"/>
          <w:lang w:val="en-US" w:eastAsia="zh-CN"/>
        </w:rPr>
        <w:t>40</w:t>
      </w:r>
      <w:r>
        <w:rPr>
          <w:rFonts w:hint="eastAsia"/>
          <w:lang w:eastAsia="zh-CN"/>
        </w:rPr>
        <w:t>万元、电费11.60万元、邮电费</w:t>
      </w:r>
      <w:r>
        <w:rPr>
          <w:rFonts w:hint="eastAsia"/>
          <w:lang w:val="en-US" w:eastAsia="zh-CN"/>
        </w:rPr>
        <w:t>3</w:t>
      </w:r>
      <w:r>
        <w:rPr>
          <w:rFonts w:hint="eastAsia"/>
          <w:lang w:eastAsia="zh-CN"/>
        </w:rPr>
        <w:t>.00万、取暖费29.5</w:t>
      </w:r>
      <w:r>
        <w:rPr>
          <w:rFonts w:hint="eastAsia"/>
          <w:lang w:val="en-US" w:eastAsia="zh-CN"/>
        </w:rPr>
        <w:t>0</w:t>
      </w:r>
      <w:r>
        <w:rPr>
          <w:rFonts w:hint="eastAsia"/>
          <w:lang w:eastAsia="zh-CN"/>
        </w:rPr>
        <w:t>万元、差旅费</w:t>
      </w:r>
      <w:r>
        <w:rPr>
          <w:rFonts w:hint="eastAsia"/>
          <w:lang w:val="en-US" w:eastAsia="zh-CN"/>
        </w:rPr>
        <w:t>23.65</w:t>
      </w:r>
      <w:r>
        <w:rPr>
          <w:rFonts w:hint="eastAsia"/>
          <w:lang w:eastAsia="zh-CN"/>
        </w:rPr>
        <w:t>万元、维修（护）费5万元、公务用车运行维护费</w:t>
      </w:r>
      <w:r>
        <w:rPr>
          <w:rFonts w:hint="eastAsia"/>
          <w:lang w:val="en-US" w:eastAsia="zh-CN"/>
        </w:rPr>
        <w:t>2.8</w:t>
      </w:r>
      <w:r>
        <w:rPr>
          <w:rFonts w:hint="eastAsia"/>
          <w:lang w:eastAsia="zh-CN"/>
        </w:rPr>
        <w:t>万元</w:t>
      </w:r>
      <w:r>
        <w:t>、公务交通补贴</w:t>
      </w:r>
      <w:r>
        <w:rPr>
          <w:rFonts w:hint="eastAsia"/>
          <w:lang w:val="en-US" w:eastAsia="zh-CN"/>
        </w:rPr>
        <w:t>13.5</w:t>
      </w:r>
      <w:r>
        <w:t>万元。</w:t>
      </w:r>
    </w:p>
    <w:p>
      <w:pPr>
        <w:pStyle w:val="20"/>
        <w:spacing w:line="480" w:lineRule="exact"/>
      </w:pPr>
    </w:p>
    <w:p>
      <w:pPr>
        <w:numPr>
          <w:ilvl w:val="0"/>
          <w:numId w:val="1"/>
        </w:numPr>
        <w:spacing w:before="10" w:after="10" w:line="360" w:lineRule="auto"/>
        <w:ind w:left="0" w:leftChars="0" w:firstLine="640" w:firstLineChars="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pPr>
        <w:pStyle w:val="20"/>
        <w:spacing w:line="480" w:lineRule="exact"/>
        <w:rPr>
          <w:rFonts w:hint="eastAsia"/>
          <w:lang w:eastAsia="zh-CN"/>
        </w:rPr>
      </w:pPr>
      <w:r>
        <w:rPr>
          <w:rFonts w:hint="eastAsia"/>
          <w:lang w:eastAsia="zh-CN"/>
        </w:rPr>
        <w:t>202</w:t>
      </w:r>
      <w:r>
        <w:rPr>
          <w:rFonts w:hint="eastAsia"/>
          <w:lang w:val="en-US" w:eastAsia="zh-CN"/>
        </w:rPr>
        <w:t>6</w:t>
      </w:r>
      <w:r>
        <w:rPr>
          <w:rFonts w:hint="eastAsia"/>
          <w:lang w:eastAsia="zh-CN"/>
        </w:rPr>
        <w:t xml:space="preserve">年，我单位财政拨款“三公”经费预算安排 </w:t>
      </w:r>
      <w:r>
        <w:rPr>
          <w:rFonts w:hint="eastAsia"/>
          <w:lang w:val="en-US" w:eastAsia="zh-CN"/>
        </w:rPr>
        <w:t>51.6</w:t>
      </w:r>
      <w:r>
        <w:rPr>
          <w:rFonts w:hint="eastAsia"/>
          <w:lang w:eastAsia="zh-CN"/>
        </w:rPr>
        <w:t>万元，其中因公出国（境）费 0 万元，同比无变化，原因是无因公出国（境）安排；公务用车购置及运维费</w:t>
      </w:r>
      <w:r>
        <w:rPr>
          <w:rFonts w:hint="eastAsia"/>
          <w:lang w:val="en-US" w:eastAsia="zh-CN"/>
        </w:rPr>
        <w:t>51.6</w:t>
      </w:r>
      <w:r>
        <w:rPr>
          <w:rFonts w:hint="eastAsia"/>
          <w:lang w:eastAsia="zh-CN"/>
        </w:rPr>
        <w:t xml:space="preserve">万元（其中：公务用车购置费为 </w:t>
      </w:r>
      <w:r>
        <w:rPr>
          <w:rFonts w:hint="eastAsia"/>
          <w:lang w:val="en-US" w:eastAsia="zh-CN"/>
        </w:rPr>
        <w:t>36</w:t>
      </w:r>
      <w:r>
        <w:rPr>
          <w:rFonts w:hint="eastAsia"/>
          <w:lang w:eastAsia="zh-CN"/>
        </w:rPr>
        <w:t xml:space="preserve"> 万元，公务用车运维费 </w:t>
      </w:r>
      <w:r>
        <w:rPr>
          <w:rFonts w:hint="eastAsia"/>
          <w:lang w:val="en-US" w:eastAsia="zh-CN"/>
        </w:rPr>
        <w:t>15.6</w:t>
      </w:r>
      <w:r>
        <w:rPr>
          <w:rFonts w:hint="eastAsia"/>
          <w:lang w:eastAsia="zh-CN"/>
        </w:rPr>
        <w:t xml:space="preserve">万元)；公务接待费 </w:t>
      </w:r>
      <w:r>
        <w:rPr>
          <w:rFonts w:hint="eastAsia"/>
          <w:lang w:val="en-US" w:eastAsia="zh-CN"/>
        </w:rPr>
        <w:t>0</w:t>
      </w:r>
      <w:r>
        <w:rPr>
          <w:rFonts w:hint="eastAsia"/>
          <w:lang w:eastAsia="zh-CN"/>
        </w:rPr>
        <w:t>万元。202</w:t>
      </w:r>
      <w:r>
        <w:rPr>
          <w:rFonts w:hint="eastAsia"/>
          <w:lang w:val="en-US" w:eastAsia="zh-CN"/>
        </w:rPr>
        <w:t>5</w:t>
      </w:r>
      <w:r>
        <w:rPr>
          <w:rFonts w:hint="eastAsia"/>
          <w:lang w:eastAsia="zh-CN"/>
        </w:rPr>
        <w:t>年三公经费预算安排</w:t>
      </w:r>
      <w:r>
        <w:rPr>
          <w:rFonts w:hint="eastAsia"/>
          <w:lang w:val="en-US" w:eastAsia="zh-CN"/>
        </w:rPr>
        <w:t>1</w:t>
      </w:r>
      <w:r>
        <w:rPr>
          <w:rFonts w:hint="eastAsia"/>
          <w:lang w:eastAsia="zh-CN"/>
        </w:rPr>
        <w:t>万元，202</w:t>
      </w:r>
      <w:r>
        <w:rPr>
          <w:rFonts w:hint="eastAsia"/>
          <w:lang w:val="en-US" w:eastAsia="zh-CN"/>
        </w:rPr>
        <w:t>6</w:t>
      </w:r>
      <w:r>
        <w:rPr>
          <w:rFonts w:hint="eastAsia"/>
          <w:lang w:eastAsia="zh-CN"/>
        </w:rPr>
        <w:t>年比202</w:t>
      </w:r>
      <w:r>
        <w:rPr>
          <w:rFonts w:hint="eastAsia"/>
          <w:lang w:val="en-US" w:eastAsia="zh-CN"/>
        </w:rPr>
        <w:t>5</w:t>
      </w:r>
      <w:r>
        <w:rPr>
          <w:rFonts w:hint="eastAsia"/>
          <w:lang w:eastAsia="zh-CN"/>
        </w:rPr>
        <w:t>年预算安排减少1.00万元，减少原因为：202</w:t>
      </w:r>
      <w:r>
        <w:rPr>
          <w:rFonts w:hint="eastAsia"/>
          <w:lang w:val="en-US" w:eastAsia="zh-CN"/>
        </w:rPr>
        <w:t>6</w:t>
      </w:r>
      <w:r>
        <w:rPr>
          <w:rFonts w:hint="eastAsia"/>
          <w:lang w:eastAsia="zh-CN"/>
        </w:rPr>
        <w:t>年我单位厉行节约，压缩招待费开支，招待费预算减少1.00万元。</w:t>
      </w:r>
    </w:p>
    <w:p>
      <w:pPr>
        <w:spacing w:before="10" w:after="10" w:line="360" w:lineRule="auto"/>
        <w:jc w:val="left"/>
        <w:outlineLvl w:val="2"/>
        <w:rPr>
          <w:rFonts w:ascii="黑体" w:hAnsi="黑体" w:eastAsia="黑体" w:cs="黑体"/>
          <w:color w:val="000000"/>
          <w:sz w:val="32"/>
        </w:rPr>
      </w:pPr>
      <w:bookmarkStart w:id="13" w:name="_Toc_3_3_0000000014"/>
    </w:p>
    <w:p>
      <w:pPr>
        <w:spacing w:before="10" w:after="10" w:line="360" w:lineRule="auto"/>
        <w:ind w:firstLine="640" w:firstLineChars="200"/>
        <w:jc w:val="left"/>
        <w:outlineLvl w:val="2"/>
      </w:pPr>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认真贯彻党的二十大精神，紧紧围绕京津冀协同发展，“一带一路”建设国家战略的实施和走加快转型、绿色发展、跨越提升的新路，以京津冀空间格局优化调整为基础，以强化四大发展功能为导向，以交通强国为重点，补齐基础设施短板，完善服务功能，提升运营管理效率，增加有效运输供给，加快构建南北贯通、东出西联的综合交通运输格局。公路建设方面，优化公路网结构、完善布局，构建高速公路、国省干线通道发达，高速公路连接线、省道干线支路成网，农村公路末梢广覆盖的便捷通畅公路网。一是加强全县“四好农村路”建设，保证全县公路畅通，重点解决农村公路的断头路、瓶颈路；消灭四五类危桥。二是交通工程质量监管全面覆盖。将全县交通建设重点项目全部纳入监管范围，工程优良率达到省、市标准。三是深入开展"打非治违"、“三超三驾”等专项治理活动，继续保持对非法营运车辆高压打击态势，加强对道路客运、危货运输、驾校、汽车维修等行业的日常监管治理，保证全县道路运输市场秩序更加规范有序。四是公路治超养护持之以恒。交通、公路、交警等单位紧密合作，重拳出击，全面开展专项行动，全县国省干线公路超限超载率明显降低，达到县政府超限率控制目标。加强公路日常养护管理，干线支线公路和农村公路优良率达到省、市考核标准。五是解决村民的出行安全问题和改善群众的生产生活条件。六是做好安全生产及大气污染防治工作，着力做好项目建设安全及道路运输安全保障工作，防止重大交通安全事故的发生。带动全县人民早日全面建成小康社会。</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（一）农村公路建设养护</w:t>
      </w:r>
    </w:p>
    <w:p>
      <w:pPr>
        <w:pStyle w:val="23"/>
      </w:pPr>
      <w:r>
        <w:t>1、绩效目标</w:t>
      </w:r>
    </w:p>
    <w:p>
      <w:pPr>
        <w:pStyle w:val="23"/>
      </w:pPr>
      <w:r>
        <w:t>完成全县县、乡及村级公路建设管理；组织实施全县农村公路养护工作；按照四好农村公路标准完成建设任务。</w:t>
      </w:r>
    </w:p>
    <w:p>
      <w:pPr>
        <w:pStyle w:val="23"/>
      </w:pPr>
      <w:r>
        <w:t>2、绩效指标</w:t>
      </w:r>
    </w:p>
    <w:p>
      <w:pPr>
        <w:pStyle w:val="23"/>
      </w:pPr>
      <w:r>
        <w:t>（1）</w:t>
      </w:r>
      <w:r>
        <w:tab/>
      </w:r>
      <w:r>
        <w:t>农村建公路及桥梁的设完成率达到 100%；</w:t>
      </w:r>
    </w:p>
    <w:p>
      <w:pPr>
        <w:pStyle w:val="23"/>
      </w:pPr>
      <w:r>
        <w:t>（2）</w:t>
      </w:r>
      <w:r>
        <w:tab/>
      </w:r>
      <w:r>
        <w:t>养护公里数（县道）≥289 公里；路肩培土公里数</w:t>
      </w:r>
      <w:r>
        <w:tab/>
      </w:r>
      <w:r>
        <w:t>≥20 公里、疏通边沟公里数≥40 公里；绿化养护公里数≥100 公里；</w:t>
      </w:r>
    </w:p>
    <w:p>
      <w:pPr>
        <w:pStyle w:val="23"/>
      </w:pPr>
      <w:r>
        <w:t>（3）</w:t>
      </w:r>
      <w:r>
        <w:tab/>
      </w:r>
      <w:r>
        <w:t>道路良好率</w:t>
      </w:r>
      <w:r>
        <w:tab/>
      </w:r>
      <w:r>
        <w:t>≥75%。</w:t>
      </w:r>
    </w:p>
    <w:p>
      <w:pPr>
        <w:pStyle w:val="23"/>
      </w:pPr>
      <w:r>
        <w:t>（二）国省干线公路养护</w:t>
      </w:r>
    </w:p>
    <w:p>
      <w:pPr>
        <w:pStyle w:val="23"/>
      </w:pPr>
      <w:r>
        <w:t>1、绩效目标</w:t>
      </w:r>
    </w:p>
    <w:p>
      <w:pPr>
        <w:pStyle w:val="23"/>
      </w:pPr>
      <w:r>
        <w:t>完成全年国省干线公路养护目标任务，保证干线公路畅通运行。</w:t>
      </w:r>
    </w:p>
    <w:p>
      <w:pPr>
        <w:pStyle w:val="23"/>
      </w:pPr>
      <w:r>
        <w:t>2、绩效指标</w:t>
      </w:r>
    </w:p>
    <w:p>
      <w:pPr>
        <w:pStyle w:val="23"/>
      </w:pPr>
      <w:r>
        <w:t>（1）</w:t>
      </w:r>
      <w:r>
        <w:tab/>
      </w:r>
      <w:r>
        <w:t>养护里程公里数≥295.03 公里；</w:t>
      </w:r>
    </w:p>
    <w:p>
      <w:pPr>
        <w:pStyle w:val="23"/>
      </w:pPr>
      <w:r>
        <w:t>（2）</w:t>
      </w:r>
      <w:r>
        <w:tab/>
      </w:r>
      <w:r>
        <w:t>道路良好率 ≥75%；</w:t>
      </w:r>
    </w:p>
    <w:p>
      <w:pPr>
        <w:pStyle w:val="23"/>
      </w:pPr>
      <w:r>
        <w:t>（3）</w:t>
      </w:r>
      <w:r>
        <w:tab/>
      </w:r>
      <w:r>
        <w:t>绿化补植完成率</w:t>
      </w:r>
      <w:r>
        <w:tab/>
      </w:r>
      <w:r>
        <w:t>100%</w:t>
      </w:r>
    </w:p>
    <w:p>
      <w:pPr>
        <w:pStyle w:val="23"/>
      </w:pPr>
      <w:r>
        <w:t>（三）道路客货运输管理</w:t>
      </w:r>
    </w:p>
    <w:p>
      <w:pPr>
        <w:pStyle w:val="23"/>
      </w:pPr>
      <w:r>
        <w:t>1、绩效目标</w:t>
      </w:r>
    </w:p>
    <w:p>
      <w:pPr>
        <w:pStyle w:val="23"/>
      </w:pPr>
      <w:r>
        <w:t>完成全县公路运输、城市客运、客货运输市场监管任务。指导全县公路运输、城市客运及运营的安全生产和应急管理。完成交通运输行业内部安全管理进行综合指导与监督，督促法人安全责任制的落实；组织协调全县交通运输行业重特大责任事故应急救援和突发事件的处置，依法组织或参与有关事故调查处理工作；完成国防交通战备工作。完成全县道路客、货运输市场、汽车维修市场、搬运装卸、运输服务、汽车综合性能检测、汽车驾驶学校和驾驶员培训工作的行业管理工作。</w:t>
      </w:r>
    </w:p>
    <w:p>
      <w:pPr>
        <w:pStyle w:val="23"/>
      </w:pPr>
      <w:r>
        <w:t>2、绩效指标</w:t>
      </w:r>
    </w:p>
    <w:p>
      <w:pPr>
        <w:pStyle w:val="23"/>
      </w:pPr>
      <w:r>
        <w:t>（1）</w:t>
      </w:r>
      <w:r>
        <w:tab/>
      </w:r>
      <w:r>
        <w:t>管理公交及出租车总辆数≥358 辆；管理农村客运班车总辆数≥80 台；</w:t>
      </w:r>
    </w:p>
    <w:p>
      <w:pPr>
        <w:pStyle w:val="23"/>
      </w:pPr>
      <w:r>
        <w:t>（2）</w:t>
      </w:r>
      <w:r>
        <w:tab/>
      </w:r>
      <w:r>
        <w:t>完成战备物资采购批次≥1 批；</w:t>
      </w:r>
    </w:p>
    <w:p>
      <w:pPr>
        <w:pStyle w:val="23"/>
      </w:pPr>
      <w:r>
        <w:t>（3）</w:t>
      </w:r>
      <w:r>
        <w:tab/>
      </w:r>
      <w:r>
        <w:t>对农村客运班车及公交车、出租车司机安全培训次数≥10 次；</w:t>
      </w:r>
    </w:p>
    <w:p>
      <w:pPr>
        <w:pStyle w:val="23"/>
      </w:pPr>
      <w:r>
        <w:t>（4）</w:t>
      </w:r>
      <w:r>
        <w:tab/>
      </w:r>
      <w:r>
        <w:t>对长途客运站、公交公司、出租车公司安全检查次数≥6 次；</w:t>
      </w:r>
    </w:p>
    <w:p>
      <w:pPr>
        <w:pStyle w:val="23"/>
      </w:pPr>
      <w:r>
        <w:t>（5）</w:t>
      </w:r>
      <w:r>
        <w:tab/>
      </w:r>
      <w:r>
        <w:t>监管覆盖率</w:t>
      </w:r>
      <w:r>
        <w:tab/>
      </w:r>
      <w:r>
        <w:t>100%</w:t>
      </w:r>
    </w:p>
    <w:p>
      <w:pPr>
        <w:pStyle w:val="23"/>
      </w:pPr>
      <w:r>
        <w:t>（四）道路路政、治超管理</w:t>
      </w:r>
    </w:p>
    <w:p>
      <w:pPr>
        <w:pStyle w:val="23"/>
      </w:pPr>
    </w:p>
    <w:p>
      <w:pPr>
        <w:pStyle w:val="23"/>
      </w:pPr>
    </w:p>
    <w:p>
      <w:pPr>
        <w:pStyle w:val="23"/>
      </w:pPr>
      <w:r>
        <w:t>1、绩效目标</w:t>
      </w:r>
    </w:p>
    <w:p>
      <w:pPr>
        <w:pStyle w:val="23"/>
      </w:pPr>
      <w:r>
        <w:t>完成道路损坏路赔费收缴工作；治理路域环境，维护路产路权；完成治超监控系统维护建设，严防严控货运超限超载， 开展监督检查全覆盖。完成治超站管理工作，保障其工作正常运行。</w:t>
      </w:r>
    </w:p>
    <w:p>
      <w:pPr>
        <w:pStyle w:val="23"/>
      </w:pPr>
      <w:r>
        <w:t>2、绩效指标</w:t>
      </w:r>
    </w:p>
    <w:p>
      <w:pPr>
        <w:pStyle w:val="23"/>
      </w:pPr>
      <w:r>
        <w:t>（1）</w:t>
      </w:r>
      <w:r>
        <w:tab/>
      </w:r>
      <w:r>
        <w:t>路政监管覆盖率 100%</w:t>
      </w:r>
    </w:p>
    <w:p>
      <w:pPr>
        <w:pStyle w:val="23"/>
      </w:pPr>
      <w:r>
        <w:t>（2）</w:t>
      </w:r>
      <w:r>
        <w:tab/>
      </w:r>
      <w:r>
        <w:t>治超检测站正常运行率 100%；</w:t>
      </w:r>
    </w:p>
    <w:p>
      <w:pPr>
        <w:pStyle w:val="23"/>
      </w:pPr>
      <w:r>
        <w:t>（3）</w:t>
      </w:r>
      <w:r>
        <w:tab/>
      </w:r>
      <w:r>
        <w:t>违章检测率 100%；</w:t>
      </w:r>
    </w:p>
    <w:p>
      <w:pPr>
        <w:pStyle w:val="23"/>
      </w:pPr>
      <w:r>
        <w:t>（4）</w:t>
      </w:r>
      <w:r>
        <w:tab/>
      </w:r>
      <w:r>
        <w:t>货车超限超载率 ≤5%；</w:t>
      </w:r>
    </w:p>
    <w:p>
      <w:pPr>
        <w:pStyle w:val="23"/>
      </w:pPr>
      <w:r>
        <w:t>（5）</w:t>
      </w:r>
      <w:r>
        <w:tab/>
      </w:r>
      <w:r>
        <w:t>路边违建拆除率≥90%；</w:t>
      </w:r>
    </w:p>
    <w:p>
      <w:pPr>
        <w:pStyle w:val="23"/>
      </w:pPr>
      <w:r>
        <w:t>（五）工程质量监督管理</w:t>
      </w:r>
    </w:p>
    <w:p>
      <w:pPr>
        <w:pStyle w:val="23"/>
      </w:pPr>
      <w:r>
        <w:t>1、绩效目标</w:t>
      </w:r>
    </w:p>
    <w:p>
      <w:pPr>
        <w:pStyle w:val="23"/>
      </w:pPr>
      <w:r>
        <w:t>负责交通运输领域工程质量监督行政执法工作，参与全县农村公路工程质量和安全生产监督、检查、指导，对已完成的农村公路、桥梁竣工验收，保证交通工程质量。</w:t>
      </w:r>
    </w:p>
    <w:p>
      <w:pPr>
        <w:pStyle w:val="23"/>
      </w:pPr>
      <w:r>
        <w:t>2、指标</w:t>
      </w:r>
    </w:p>
    <w:p>
      <w:pPr>
        <w:pStyle w:val="23"/>
      </w:pPr>
      <w:r>
        <w:t>监督检查覆盖率</w:t>
      </w:r>
      <w:r>
        <w:tab/>
      </w:r>
      <w:r>
        <w:t>100%</w:t>
      </w:r>
    </w:p>
    <w:p>
      <w:pPr>
        <w:pStyle w:val="23"/>
      </w:pPr>
      <w:r>
        <w:t>验收合格率</w:t>
      </w:r>
      <w:r>
        <w:tab/>
      </w:r>
      <w:r>
        <w:t>100%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（一）做好各项工作任务</w:t>
      </w:r>
    </w:p>
    <w:p>
      <w:pPr>
        <w:pStyle w:val="24"/>
      </w:pPr>
      <w:r>
        <w:t>以交通强国为重点，全面加强交通基础设施建设；以便捷服务为抓手，提升公路养护水平；以平安出行为宗旨，推进行业规范管理；以“双违整治”为驱动，全面展开“清零”工作；强化“两个责任”，推动党建工作再上新台阶。</w:t>
      </w:r>
    </w:p>
    <w:p>
      <w:pPr>
        <w:pStyle w:val="24"/>
      </w:pPr>
      <w:r>
        <w:t>（二）完善制度建设。进一步完善制度建设，优化城镇管理制度，完善考评制度，制定并完善项目资金的管理办法， 使用项目资金管理制度化、规范化，提高项目资金的使用效率。</w:t>
      </w:r>
    </w:p>
    <w:p>
      <w:pPr>
        <w:pStyle w:val="24"/>
      </w:pPr>
      <w:r>
        <w:t>（三）加强支出管理。全面加强支出管理，对项目经费支出加强监督管理，对每个项目及时跟进，确保项目经费按照预算进度使用，及时获取项目资金，确保支出进度达标。</w:t>
      </w:r>
    </w:p>
    <w:p>
      <w:pPr>
        <w:pStyle w:val="24"/>
      </w:pPr>
      <w:r>
        <w:t>（四）加强绩效运行监控。按照单位预算的要求，认真编制预算，对支出实行分类管理，要有支出标准、有制度依据， 严格按照绩效目标的要求，监控项目经费的使用，确保项目经费使用达到指标要求。</w:t>
      </w:r>
    </w:p>
    <w:p>
      <w:pPr>
        <w:pStyle w:val="24"/>
      </w:pPr>
      <w:r>
        <w:t>（五）做好绩效自评。及时做好绩效自评工作，对评价中发现问题及时整改，调整优化支出结构，提高项目资金的使用效率。</w:t>
      </w:r>
    </w:p>
    <w:p>
      <w:pPr>
        <w:pStyle w:val="24"/>
      </w:pPr>
      <w:r>
        <w:t>（六）规范财务资产管理。完善财务管理制度，严格审批程序，加强固定资产登记、使用和报废处置管理，做到支出合理，物尽其用。</w:t>
      </w:r>
    </w:p>
    <w:p>
      <w:pPr>
        <w:pStyle w:val="24"/>
      </w:pPr>
      <w:r>
        <w:t>（七）加强内部监督。加强内部监管制度建设，严格控制项目支出，认真开展资产清查和核实工作，同时积极配合有关单位的审计工作，确保绩效目标如期保质完成。</w:t>
      </w:r>
    </w:p>
    <w:p>
      <w:pPr>
        <w:pStyle w:val="24"/>
        <w:sectPr>
          <w:pgSz w:w="16840" w:h="11900" w:orient="landscape"/>
          <w:pgMar w:top="1361" w:right="1020" w:bottom="1361" w:left="1020" w:header="720" w:footer="720" w:gutter="0"/>
          <w:cols w:space="720" w:num="1"/>
        </w:sectPr>
      </w:pPr>
      <w:r>
        <w:t>（八）加强宣传培训调研等。加强人员培训，提高本单位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1280" w:firstLineChars="400"/>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1、2024年青龙满族自治县“四好农村路”提升工程绩效目标表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130321249GQMCE1THG8CM</w:t>
            </w:r>
          </w:p>
        </w:tc>
        <w:tc>
          <w:tcPr>
            <w:tcW w:w="2835" w:type="dxa"/>
            <w:vAlign w:val="center"/>
          </w:tcPr>
          <w:p>
            <w:pPr>
              <w:pStyle w:val="11"/>
            </w:pPr>
            <w:r>
              <w:t>项目名称</w:t>
            </w:r>
          </w:p>
        </w:tc>
        <w:tc>
          <w:tcPr>
            <w:tcW w:w="6095" w:type="dxa"/>
            <w:gridSpan w:val="3"/>
            <w:vAlign w:val="center"/>
          </w:tcPr>
          <w:p>
            <w:pPr>
              <w:pStyle w:val="13"/>
            </w:pPr>
            <w:r>
              <w:t>2024年青龙满族自治县“四好农村路”提升工程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550.00</w:t>
            </w:r>
          </w:p>
        </w:tc>
        <w:tc>
          <w:tcPr>
            <w:tcW w:w="2835" w:type="dxa"/>
            <w:vAlign w:val="center"/>
          </w:tcPr>
          <w:p>
            <w:pPr>
              <w:pStyle w:val="11"/>
            </w:pPr>
            <w:r>
              <w:t>其中：财政    资金</w:t>
            </w:r>
          </w:p>
        </w:tc>
        <w:tc>
          <w:tcPr>
            <w:tcW w:w="2551" w:type="dxa"/>
            <w:vAlign w:val="center"/>
          </w:tcPr>
          <w:p>
            <w:pPr>
              <w:pStyle w:val="13"/>
            </w:pPr>
            <w:r>
              <w:t>550.00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预算数550万元，其中财政资金550万元，主要用于2024年“四好农村路”提升工程项目资金支出。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1.通过项目实施，增加公众满意度，使公众满意度≥90%。</w:t>
            </w:r>
          </w:p>
          <w:p>
            <w:pPr>
              <w:pStyle w:val="13"/>
            </w:pPr>
            <w:r>
              <w:t>2.通过完成“四好农村路”提升工程，加强农村公路基础设施建设，改善区域内交通状况。</w:t>
            </w:r>
          </w:p>
          <w:p>
            <w:pPr>
              <w:pStyle w:val="13"/>
            </w:pPr>
            <w:r>
              <w:t>3.通过改善路况和路域环境，增强通行能力，方便群众出行，拉动地区经济增长。</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完成农村公路建设改造里程</w:t>
            </w:r>
          </w:p>
        </w:tc>
        <w:tc>
          <w:tcPr>
            <w:tcW w:w="5386" w:type="dxa"/>
            <w:vAlign w:val="center"/>
          </w:tcPr>
          <w:p>
            <w:pPr>
              <w:pStyle w:val="13"/>
            </w:pPr>
            <w:r>
              <w:t>反映实际完成农村公路建设改造里程</w:t>
            </w:r>
          </w:p>
        </w:tc>
        <w:tc>
          <w:tcPr>
            <w:tcW w:w="2268" w:type="dxa"/>
            <w:vAlign w:val="center"/>
          </w:tcPr>
          <w:p>
            <w:pPr>
              <w:pStyle w:val="13"/>
            </w:pPr>
            <w:r>
              <w:t>≥84.43公里</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按照工程进度，已完成工程达到合格标准比率，依据相关检测评定标准</w:t>
            </w:r>
          </w:p>
        </w:tc>
        <w:tc>
          <w:tcPr>
            <w:tcW w:w="2268" w:type="dxa"/>
            <w:vAlign w:val="center"/>
          </w:tcPr>
          <w:p>
            <w:pPr>
              <w:pStyle w:val="13"/>
            </w:pPr>
            <w:r>
              <w:t>100%</w:t>
            </w:r>
          </w:p>
        </w:tc>
        <w:tc>
          <w:tcPr>
            <w:tcW w:w="1276" w:type="dxa"/>
            <w:vAlign w:val="center"/>
          </w:tcPr>
          <w:p>
            <w:pPr>
              <w:pStyle w:val="13"/>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完成年度投资计划</w:t>
            </w:r>
          </w:p>
        </w:tc>
        <w:tc>
          <w:tcPr>
            <w:tcW w:w="5386" w:type="dxa"/>
            <w:vAlign w:val="center"/>
          </w:tcPr>
          <w:p>
            <w:pPr>
              <w:pStyle w:val="13"/>
            </w:pPr>
            <w:r>
              <w:t>按期完成年度投资计划</w:t>
            </w:r>
          </w:p>
        </w:tc>
        <w:tc>
          <w:tcPr>
            <w:tcW w:w="2268" w:type="dxa"/>
            <w:vAlign w:val="center"/>
          </w:tcPr>
          <w:p>
            <w:pPr>
              <w:pStyle w:val="13"/>
            </w:pPr>
            <w:r>
              <w:t>100%</w:t>
            </w:r>
          </w:p>
        </w:tc>
        <w:tc>
          <w:tcPr>
            <w:tcW w:w="1276" w:type="dxa"/>
            <w:vAlign w:val="center"/>
          </w:tcPr>
          <w:p>
            <w:pPr>
              <w:pStyle w:val="13"/>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道路改建成本(建筑安装工程费)</w:t>
            </w:r>
          </w:p>
        </w:tc>
        <w:tc>
          <w:tcPr>
            <w:tcW w:w="5386" w:type="dxa"/>
            <w:vAlign w:val="center"/>
          </w:tcPr>
          <w:p>
            <w:pPr>
              <w:pStyle w:val="13"/>
            </w:pPr>
            <w:r>
              <w:t>严格进行成本管控，按照政府招投标相关文件及合同支付要求进行资金的支付</w:t>
            </w:r>
          </w:p>
        </w:tc>
        <w:tc>
          <w:tcPr>
            <w:tcW w:w="2268" w:type="dxa"/>
            <w:vAlign w:val="center"/>
          </w:tcPr>
          <w:p>
            <w:pPr>
              <w:pStyle w:val="13"/>
            </w:pPr>
            <w:r>
              <w:t>≤550万元</w:t>
            </w:r>
          </w:p>
        </w:tc>
        <w:tc>
          <w:tcPr>
            <w:tcW w:w="1276" w:type="dxa"/>
            <w:vAlign w:val="center"/>
          </w:tcPr>
          <w:p>
            <w:pPr>
              <w:pStyle w:val="13"/>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经济影响</w:t>
            </w:r>
          </w:p>
        </w:tc>
        <w:tc>
          <w:tcPr>
            <w:tcW w:w="5386" w:type="dxa"/>
            <w:vAlign w:val="center"/>
          </w:tcPr>
          <w:p>
            <w:pPr>
              <w:pStyle w:val="13"/>
            </w:pPr>
            <w:r>
              <w:t>带动周边乡村经济增长，促进城乡经济一体化，增加群众收入</w:t>
            </w:r>
          </w:p>
        </w:tc>
        <w:tc>
          <w:tcPr>
            <w:tcW w:w="2268" w:type="dxa"/>
            <w:vAlign w:val="center"/>
          </w:tcPr>
          <w:p>
            <w:pPr>
              <w:pStyle w:val="13"/>
            </w:pPr>
            <w:r>
              <w:t>≥300万元</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改善居民的出行条件和村镇面貌，促进美丽乡村建设，构建和谐社会，解决周边群众出行难。</w:t>
            </w:r>
          </w:p>
        </w:tc>
        <w:tc>
          <w:tcPr>
            <w:tcW w:w="2268" w:type="dxa"/>
            <w:vAlign w:val="center"/>
          </w:tcPr>
          <w:p>
            <w:pPr>
              <w:pStyle w:val="13"/>
            </w:pPr>
            <w:r>
              <w:t>≥2.5万人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环境影响</w:t>
            </w:r>
          </w:p>
        </w:tc>
        <w:tc>
          <w:tcPr>
            <w:tcW w:w="5386" w:type="dxa"/>
            <w:vAlign w:val="center"/>
          </w:tcPr>
          <w:p>
            <w:pPr>
              <w:pStyle w:val="13"/>
            </w:pPr>
            <w:r>
              <w:t>减少汽车尾气排放，减少扬尘，改善人居环境，增加受益人口。</w:t>
            </w:r>
          </w:p>
        </w:tc>
        <w:tc>
          <w:tcPr>
            <w:tcW w:w="2268" w:type="dxa"/>
            <w:vAlign w:val="center"/>
          </w:tcPr>
          <w:p>
            <w:pPr>
              <w:pStyle w:val="13"/>
            </w:pPr>
            <w:r>
              <w:t>≥3万人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建设改造公路在合理使用年限适应交通需求</w:t>
            </w:r>
          </w:p>
        </w:tc>
        <w:tc>
          <w:tcPr>
            <w:tcW w:w="2268" w:type="dxa"/>
            <w:vAlign w:val="center"/>
          </w:tcPr>
          <w:p>
            <w:pPr>
              <w:pStyle w:val="13"/>
            </w:pPr>
            <w:r>
              <w:t>≥8年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≥90%</w:t>
            </w:r>
          </w:p>
        </w:tc>
        <w:tc>
          <w:tcPr>
            <w:tcW w:w="1276" w:type="dxa"/>
            <w:vAlign w:val="center"/>
          </w:tcPr>
          <w:p>
            <w:pPr>
              <w:pStyle w:val="13"/>
            </w:pPr>
            <w:r>
              <w:t>满意度调查问卷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2、2025年青龙满族自治县“四好农村路”提升工程绩效目标表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13032125VSQAW7GAXTNXC</w:t>
            </w:r>
          </w:p>
        </w:tc>
        <w:tc>
          <w:tcPr>
            <w:tcW w:w="2835" w:type="dxa"/>
            <w:vAlign w:val="center"/>
          </w:tcPr>
          <w:p>
            <w:pPr>
              <w:pStyle w:val="11"/>
            </w:pPr>
            <w:r>
              <w:t>项目名称</w:t>
            </w:r>
          </w:p>
        </w:tc>
        <w:tc>
          <w:tcPr>
            <w:tcW w:w="6095" w:type="dxa"/>
            <w:gridSpan w:val="3"/>
            <w:vAlign w:val="center"/>
          </w:tcPr>
          <w:p>
            <w:pPr>
              <w:pStyle w:val="13"/>
            </w:pPr>
            <w:r>
              <w:t>2025年青龙满族自治县“四好农村路”提升工程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540.00</w:t>
            </w:r>
          </w:p>
        </w:tc>
        <w:tc>
          <w:tcPr>
            <w:tcW w:w="2835" w:type="dxa"/>
            <w:vAlign w:val="center"/>
          </w:tcPr>
          <w:p>
            <w:pPr>
              <w:pStyle w:val="11"/>
            </w:pPr>
            <w:r>
              <w:t>其中：财政    资金</w:t>
            </w:r>
          </w:p>
        </w:tc>
        <w:tc>
          <w:tcPr>
            <w:tcW w:w="2551" w:type="dxa"/>
            <w:vAlign w:val="center"/>
          </w:tcPr>
          <w:p>
            <w:pPr>
              <w:pStyle w:val="13"/>
            </w:pPr>
            <w:r>
              <w:t>540.00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预算数540万元，其中财政资金540万元，主要用于2025年“四好农村路”提升工程项目资金支出。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1.通过完成“四好农村路”提升工程，加强农村公路基础设施建设，改善区域内交通状况。</w:t>
            </w:r>
          </w:p>
          <w:p>
            <w:pPr>
              <w:pStyle w:val="13"/>
            </w:pPr>
            <w:r>
              <w:t>2.通过改善路况和路域环境，增强通行能力，方便群众出行，拉动地区经济增长。</w:t>
            </w:r>
          </w:p>
          <w:p>
            <w:pPr>
              <w:pStyle w:val="13"/>
            </w:pPr>
            <w:r>
              <w:t>3.通过项目实施，增加公众满意度，使公众满意度≥90%。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完成农村公路建设改造里程</w:t>
            </w:r>
          </w:p>
        </w:tc>
        <w:tc>
          <w:tcPr>
            <w:tcW w:w="5386" w:type="dxa"/>
            <w:vAlign w:val="center"/>
          </w:tcPr>
          <w:p>
            <w:pPr>
              <w:pStyle w:val="13"/>
            </w:pPr>
            <w:r>
              <w:t>反映实际完成农村公路建设改造里程</w:t>
            </w:r>
          </w:p>
        </w:tc>
        <w:tc>
          <w:tcPr>
            <w:tcW w:w="2268" w:type="dxa"/>
            <w:vAlign w:val="center"/>
          </w:tcPr>
          <w:p>
            <w:pPr>
              <w:pStyle w:val="13"/>
            </w:pPr>
            <w:r>
              <w:t>≥91.26公里</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按照工程进度，已完成工程达到合格标准比率，依据相关检测评定标准</w:t>
            </w:r>
          </w:p>
        </w:tc>
        <w:tc>
          <w:tcPr>
            <w:tcW w:w="2268" w:type="dxa"/>
            <w:vAlign w:val="center"/>
          </w:tcPr>
          <w:p>
            <w:pPr>
              <w:pStyle w:val="13"/>
            </w:pPr>
            <w:r>
              <w:t>100%</w:t>
            </w:r>
          </w:p>
        </w:tc>
        <w:tc>
          <w:tcPr>
            <w:tcW w:w="1276" w:type="dxa"/>
            <w:vAlign w:val="center"/>
          </w:tcPr>
          <w:p>
            <w:pPr>
              <w:pStyle w:val="13"/>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完成年度投资计划</w:t>
            </w:r>
          </w:p>
        </w:tc>
        <w:tc>
          <w:tcPr>
            <w:tcW w:w="5386" w:type="dxa"/>
            <w:vAlign w:val="center"/>
          </w:tcPr>
          <w:p>
            <w:pPr>
              <w:pStyle w:val="13"/>
            </w:pPr>
            <w:r>
              <w:t>按期完成年度投资计划</w:t>
            </w:r>
          </w:p>
        </w:tc>
        <w:tc>
          <w:tcPr>
            <w:tcW w:w="2268" w:type="dxa"/>
            <w:vAlign w:val="center"/>
          </w:tcPr>
          <w:p>
            <w:pPr>
              <w:pStyle w:val="13"/>
            </w:pPr>
            <w:r>
              <w:t>100%</w:t>
            </w:r>
          </w:p>
        </w:tc>
        <w:tc>
          <w:tcPr>
            <w:tcW w:w="1276" w:type="dxa"/>
            <w:vAlign w:val="center"/>
          </w:tcPr>
          <w:p>
            <w:pPr>
              <w:pStyle w:val="13"/>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道路改建成本(建筑安装工程费)</w:t>
            </w:r>
          </w:p>
        </w:tc>
        <w:tc>
          <w:tcPr>
            <w:tcW w:w="5386" w:type="dxa"/>
            <w:vAlign w:val="center"/>
          </w:tcPr>
          <w:p>
            <w:pPr>
              <w:pStyle w:val="13"/>
            </w:pPr>
            <w:r>
              <w:t>严格进行成本管控，按照政府招投标相关文件及合同支付要求进行资金的支付</w:t>
            </w:r>
          </w:p>
        </w:tc>
        <w:tc>
          <w:tcPr>
            <w:tcW w:w="2268" w:type="dxa"/>
            <w:vAlign w:val="center"/>
          </w:tcPr>
          <w:p>
            <w:pPr>
              <w:pStyle w:val="13"/>
            </w:pPr>
            <w:r>
              <w:t>≤540万元</w:t>
            </w:r>
          </w:p>
        </w:tc>
        <w:tc>
          <w:tcPr>
            <w:tcW w:w="1276" w:type="dxa"/>
            <w:vAlign w:val="center"/>
          </w:tcPr>
          <w:p>
            <w:pPr>
              <w:pStyle w:val="13"/>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经济影响</w:t>
            </w:r>
          </w:p>
        </w:tc>
        <w:tc>
          <w:tcPr>
            <w:tcW w:w="5386" w:type="dxa"/>
            <w:vAlign w:val="center"/>
          </w:tcPr>
          <w:p>
            <w:pPr>
              <w:pStyle w:val="13"/>
            </w:pPr>
            <w:r>
              <w:t>带动周边乡村经济增长，促进城乡经济一体化，增加群众收入</w:t>
            </w:r>
          </w:p>
        </w:tc>
        <w:tc>
          <w:tcPr>
            <w:tcW w:w="2268" w:type="dxa"/>
            <w:vAlign w:val="center"/>
          </w:tcPr>
          <w:p>
            <w:pPr>
              <w:pStyle w:val="13"/>
            </w:pPr>
            <w:r>
              <w:t>≥300万元</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改善居民的出行条件和村镇面貌，促进美丽乡村建设，构建和谐社会，解决周边群众出行难。</w:t>
            </w:r>
          </w:p>
        </w:tc>
        <w:tc>
          <w:tcPr>
            <w:tcW w:w="2268" w:type="dxa"/>
            <w:vAlign w:val="center"/>
          </w:tcPr>
          <w:p>
            <w:pPr>
              <w:pStyle w:val="13"/>
            </w:pPr>
            <w:r>
              <w:t>≥5万人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环境影响</w:t>
            </w:r>
          </w:p>
        </w:tc>
        <w:tc>
          <w:tcPr>
            <w:tcW w:w="5386" w:type="dxa"/>
            <w:vAlign w:val="center"/>
          </w:tcPr>
          <w:p>
            <w:pPr>
              <w:pStyle w:val="13"/>
            </w:pPr>
            <w:r>
              <w:t>减少汽车尾气排放，减少扬尘，改善人居环境，增加受益人口。</w:t>
            </w:r>
          </w:p>
        </w:tc>
        <w:tc>
          <w:tcPr>
            <w:tcW w:w="2268" w:type="dxa"/>
            <w:vAlign w:val="center"/>
          </w:tcPr>
          <w:p>
            <w:pPr>
              <w:pStyle w:val="13"/>
            </w:pPr>
            <w:r>
              <w:t>≥6万人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建设改造公路在合理使用年限适应交通需求</w:t>
            </w:r>
          </w:p>
        </w:tc>
        <w:tc>
          <w:tcPr>
            <w:tcW w:w="2268" w:type="dxa"/>
            <w:vAlign w:val="center"/>
          </w:tcPr>
          <w:p>
            <w:pPr>
              <w:pStyle w:val="13"/>
            </w:pPr>
            <w:r>
              <w:t>≥8年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3、X631蛇刘线（西马道村—西蚂蚁滩村、厂沟段）道路改建工程绩效目标表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130321252E7MBOHNZ1VRA</w:t>
            </w:r>
          </w:p>
        </w:tc>
        <w:tc>
          <w:tcPr>
            <w:tcW w:w="2835" w:type="dxa"/>
            <w:vAlign w:val="center"/>
          </w:tcPr>
          <w:p>
            <w:pPr>
              <w:pStyle w:val="11"/>
            </w:pPr>
            <w:r>
              <w:t>项目名称</w:t>
            </w:r>
          </w:p>
        </w:tc>
        <w:tc>
          <w:tcPr>
            <w:tcW w:w="6095" w:type="dxa"/>
            <w:gridSpan w:val="3"/>
            <w:vAlign w:val="center"/>
          </w:tcPr>
          <w:p>
            <w:pPr>
              <w:pStyle w:val="13"/>
            </w:pPr>
            <w:r>
              <w:t>X631蛇刘线（西马道村—西蚂蚁滩村、厂沟段）道路改建工程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预算数100万元，其中财政资金100万元，主要用于蛇刘线道路改建工程项目资金支出。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1.通过完成项目工程5.24公里，加强农村公路基础设施建设。</w:t>
            </w:r>
          </w:p>
          <w:p>
            <w:pPr>
              <w:pStyle w:val="13"/>
            </w:pPr>
            <w:r>
              <w:t>2.通过改造农村公路工程，拉动地区经济增长。</w:t>
            </w:r>
          </w:p>
          <w:p>
            <w:pPr>
              <w:pStyle w:val="13"/>
            </w:pPr>
            <w:r>
              <w:t>3.通过改善路况，增强通行能力，方便群众出行。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完成公路建设里程</w:t>
            </w:r>
          </w:p>
        </w:tc>
        <w:tc>
          <w:tcPr>
            <w:tcW w:w="5386" w:type="dxa"/>
            <w:vAlign w:val="center"/>
          </w:tcPr>
          <w:p>
            <w:pPr>
              <w:pStyle w:val="13"/>
            </w:pPr>
            <w:r>
              <w:t>实际建设完成公路里程</w:t>
            </w:r>
          </w:p>
        </w:tc>
        <w:tc>
          <w:tcPr>
            <w:tcW w:w="2268" w:type="dxa"/>
            <w:vAlign w:val="center"/>
          </w:tcPr>
          <w:p>
            <w:pPr>
              <w:pStyle w:val="13"/>
            </w:pPr>
            <w:r>
              <w:t>≥5.24公里</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按照工程进度，已完成工程达到合格标准比率，依据相关检测评定标准</w:t>
            </w:r>
          </w:p>
        </w:tc>
        <w:tc>
          <w:tcPr>
            <w:tcW w:w="2268" w:type="dxa"/>
            <w:vAlign w:val="center"/>
          </w:tcPr>
          <w:p>
            <w:pPr>
              <w:pStyle w:val="13"/>
            </w:pPr>
            <w:r>
              <w:t>100%</w:t>
            </w:r>
          </w:p>
        </w:tc>
        <w:tc>
          <w:tcPr>
            <w:tcW w:w="1276" w:type="dxa"/>
            <w:vAlign w:val="center"/>
          </w:tcPr>
          <w:p>
            <w:pPr>
              <w:pStyle w:val="13"/>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完成年度支出计划</w:t>
            </w:r>
          </w:p>
        </w:tc>
        <w:tc>
          <w:tcPr>
            <w:tcW w:w="5386" w:type="dxa"/>
            <w:vAlign w:val="center"/>
          </w:tcPr>
          <w:p>
            <w:pPr>
              <w:pStyle w:val="13"/>
            </w:pPr>
            <w:r>
              <w:t>按期完成年度支出计划</w:t>
            </w:r>
          </w:p>
        </w:tc>
        <w:tc>
          <w:tcPr>
            <w:tcW w:w="2268" w:type="dxa"/>
            <w:vAlign w:val="center"/>
          </w:tcPr>
          <w:p>
            <w:pPr>
              <w:pStyle w:val="13"/>
            </w:pPr>
            <w:r>
              <w:t>100%</w:t>
            </w:r>
          </w:p>
        </w:tc>
        <w:tc>
          <w:tcPr>
            <w:tcW w:w="1276" w:type="dxa"/>
            <w:vAlign w:val="center"/>
          </w:tcPr>
          <w:p>
            <w:pPr>
              <w:pStyle w:val="13"/>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道路改建成本(建筑安装工程费)</w:t>
            </w:r>
          </w:p>
        </w:tc>
        <w:tc>
          <w:tcPr>
            <w:tcW w:w="5386" w:type="dxa"/>
            <w:vAlign w:val="center"/>
          </w:tcPr>
          <w:p>
            <w:pPr>
              <w:pStyle w:val="13"/>
            </w:pPr>
            <w:r>
              <w:t>严格进行成本管控，按照政府招投标相关文件及合同支付要求进行资金的支付</w:t>
            </w:r>
          </w:p>
        </w:tc>
        <w:tc>
          <w:tcPr>
            <w:tcW w:w="2268" w:type="dxa"/>
            <w:vAlign w:val="center"/>
          </w:tcPr>
          <w:p>
            <w:pPr>
              <w:pStyle w:val="13"/>
            </w:pPr>
            <w:r>
              <w:t>≤100万元</w:t>
            </w:r>
          </w:p>
        </w:tc>
        <w:tc>
          <w:tcPr>
            <w:tcW w:w="1276" w:type="dxa"/>
            <w:vAlign w:val="center"/>
          </w:tcPr>
          <w:p>
            <w:pPr>
              <w:pStyle w:val="13"/>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经济影响</w:t>
            </w:r>
          </w:p>
        </w:tc>
        <w:tc>
          <w:tcPr>
            <w:tcW w:w="5386" w:type="dxa"/>
            <w:vAlign w:val="center"/>
          </w:tcPr>
          <w:p>
            <w:pPr>
              <w:pStyle w:val="13"/>
            </w:pPr>
            <w:r>
              <w:t>带动周边乡村经济增长，促进城乡经济一体化，农村居民人均可支配收入同比增长比例</w:t>
            </w:r>
          </w:p>
        </w:tc>
        <w:tc>
          <w:tcPr>
            <w:tcW w:w="2268" w:type="dxa"/>
            <w:vAlign w:val="center"/>
          </w:tcPr>
          <w:p>
            <w:pPr>
              <w:pStyle w:val="13"/>
            </w:pPr>
            <w:r>
              <w:t>≥7.2%</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改善居民的出行条件和村镇面貌，促进美丽乡村建设，构建和谐社会，解决周边群众出行难。</w:t>
            </w:r>
          </w:p>
        </w:tc>
        <w:tc>
          <w:tcPr>
            <w:tcW w:w="2268" w:type="dxa"/>
            <w:vAlign w:val="center"/>
          </w:tcPr>
          <w:p>
            <w:pPr>
              <w:pStyle w:val="13"/>
            </w:pPr>
            <w:r>
              <w:t>≥40000人次</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环境影响</w:t>
            </w:r>
          </w:p>
        </w:tc>
        <w:tc>
          <w:tcPr>
            <w:tcW w:w="5386" w:type="dxa"/>
            <w:vAlign w:val="center"/>
          </w:tcPr>
          <w:p>
            <w:pPr>
              <w:pStyle w:val="13"/>
            </w:pPr>
            <w:r>
              <w:t>减少汽车尾气排放，减少扬尘，改善人居环境，增加受益人口。</w:t>
            </w:r>
          </w:p>
        </w:tc>
        <w:tc>
          <w:tcPr>
            <w:tcW w:w="2268" w:type="dxa"/>
            <w:vAlign w:val="center"/>
          </w:tcPr>
          <w:p>
            <w:pPr>
              <w:pStyle w:val="13"/>
            </w:pPr>
            <w:r>
              <w:t>≥50000人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改建公路在合理使用年限适应交通需求</w:t>
            </w:r>
          </w:p>
        </w:tc>
        <w:tc>
          <w:tcPr>
            <w:tcW w:w="2268" w:type="dxa"/>
            <w:vAlign w:val="center"/>
          </w:tcPr>
          <w:p>
            <w:pPr>
              <w:pStyle w:val="13"/>
            </w:pPr>
            <w:r>
              <w:t>≥10年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4、“三线”铁路建设民兵生活补贴绩效目标表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13032125P00008010001R</w:t>
            </w:r>
          </w:p>
        </w:tc>
        <w:tc>
          <w:tcPr>
            <w:tcW w:w="2835" w:type="dxa"/>
            <w:vAlign w:val="center"/>
          </w:tcPr>
          <w:p>
            <w:pPr>
              <w:pStyle w:val="11"/>
            </w:pPr>
            <w:r>
              <w:t>项目名称</w:t>
            </w:r>
          </w:p>
        </w:tc>
        <w:tc>
          <w:tcPr>
            <w:tcW w:w="6095" w:type="dxa"/>
            <w:gridSpan w:val="3"/>
            <w:vAlign w:val="center"/>
          </w:tcPr>
          <w:p>
            <w:pPr>
              <w:pStyle w:val="13"/>
            </w:pPr>
            <w:r>
              <w:t>“三线”铁路建设民兵生活补贴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221.71</w:t>
            </w:r>
          </w:p>
        </w:tc>
        <w:tc>
          <w:tcPr>
            <w:tcW w:w="2835" w:type="dxa"/>
            <w:vAlign w:val="center"/>
          </w:tcPr>
          <w:p>
            <w:pPr>
              <w:pStyle w:val="11"/>
            </w:pPr>
            <w:r>
              <w:t>其中：财政    资金</w:t>
            </w:r>
          </w:p>
        </w:tc>
        <w:tc>
          <w:tcPr>
            <w:tcW w:w="2551" w:type="dxa"/>
            <w:vAlign w:val="center"/>
          </w:tcPr>
          <w:p>
            <w:pPr>
              <w:pStyle w:val="13"/>
            </w:pPr>
            <w:r>
              <w:t>221.71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预算数221.709万元，其中财政资金221.709万元，主要用于“三线”铁路建设民兵生活补贴资金支出。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1.通过对”三线“铁路建设民兵生活补贴的发放，解决该群体热切期盼，维护该团体稳定。</w:t>
            </w:r>
          </w:p>
          <w:p>
            <w:pPr>
              <w:pStyle w:val="13"/>
            </w:pPr>
            <w:r>
              <w:t>2.通过对该群体生活补贴，增强群体满意度，群众满意度达到95%以上。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补贴人数</w:t>
            </w:r>
          </w:p>
        </w:tc>
        <w:tc>
          <w:tcPr>
            <w:tcW w:w="5386" w:type="dxa"/>
            <w:vAlign w:val="center"/>
          </w:tcPr>
          <w:p>
            <w:pPr>
              <w:pStyle w:val="13"/>
            </w:pPr>
            <w:r>
              <w:t>反映实际发放生活补贴人数</w:t>
            </w:r>
          </w:p>
        </w:tc>
        <w:tc>
          <w:tcPr>
            <w:tcW w:w="2268" w:type="dxa"/>
            <w:vAlign w:val="center"/>
          </w:tcPr>
          <w:p>
            <w:pPr>
              <w:pStyle w:val="13"/>
            </w:pPr>
            <w:r>
              <w:t>≤5103人</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发放准确率</w:t>
            </w:r>
          </w:p>
        </w:tc>
        <w:tc>
          <w:tcPr>
            <w:tcW w:w="5386" w:type="dxa"/>
            <w:vAlign w:val="center"/>
          </w:tcPr>
          <w:p>
            <w:pPr>
              <w:pStyle w:val="13"/>
            </w:pPr>
            <w:r>
              <w:t>反映实际发放人数占应发放人数的比率</w:t>
            </w:r>
          </w:p>
        </w:tc>
        <w:tc>
          <w:tcPr>
            <w:tcW w:w="2268" w:type="dxa"/>
            <w:vAlign w:val="center"/>
          </w:tcPr>
          <w:p>
            <w:pPr>
              <w:pStyle w:val="13"/>
            </w:pPr>
            <w:r>
              <w:t>100%</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发放及时性</w:t>
            </w:r>
          </w:p>
        </w:tc>
        <w:tc>
          <w:tcPr>
            <w:tcW w:w="5386" w:type="dxa"/>
            <w:vAlign w:val="center"/>
          </w:tcPr>
          <w:p>
            <w:pPr>
              <w:pStyle w:val="13"/>
            </w:pPr>
            <w:r>
              <w:t>在规定的时限内完成发放</w:t>
            </w:r>
          </w:p>
        </w:tc>
        <w:tc>
          <w:tcPr>
            <w:tcW w:w="2268" w:type="dxa"/>
            <w:vAlign w:val="center"/>
          </w:tcPr>
          <w:p>
            <w:pPr>
              <w:pStyle w:val="13"/>
            </w:pPr>
            <w:r>
              <w:t>2026年底以前</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补贴标准</w:t>
            </w:r>
          </w:p>
        </w:tc>
        <w:tc>
          <w:tcPr>
            <w:tcW w:w="5386" w:type="dxa"/>
            <w:vAlign w:val="center"/>
          </w:tcPr>
          <w:p>
            <w:pPr>
              <w:pStyle w:val="13"/>
            </w:pPr>
            <w:r>
              <w:t>参建一年的每人每月发放标准</w:t>
            </w:r>
          </w:p>
        </w:tc>
        <w:tc>
          <w:tcPr>
            <w:tcW w:w="2268" w:type="dxa"/>
            <w:vAlign w:val="center"/>
          </w:tcPr>
          <w:p>
            <w:pPr>
              <w:pStyle w:val="13"/>
            </w:pPr>
            <w:r>
              <w:t>45元/月</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补贴标准</w:t>
            </w:r>
          </w:p>
        </w:tc>
        <w:tc>
          <w:tcPr>
            <w:tcW w:w="5386" w:type="dxa"/>
            <w:vAlign w:val="center"/>
          </w:tcPr>
          <w:p>
            <w:pPr>
              <w:pStyle w:val="13"/>
            </w:pPr>
            <w:r>
              <w:t>参建两年的每人每月发放标准</w:t>
            </w:r>
          </w:p>
        </w:tc>
        <w:tc>
          <w:tcPr>
            <w:tcW w:w="2268" w:type="dxa"/>
            <w:vAlign w:val="center"/>
          </w:tcPr>
          <w:p>
            <w:pPr>
              <w:pStyle w:val="13"/>
            </w:pPr>
            <w:r>
              <w:t>90元/月</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补贴标准</w:t>
            </w:r>
          </w:p>
        </w:tc>
        <w:tc>
          <w:tcPr>
            <w:tcW w:w="5386" w:type="dxa"/>
            <w:vAlign w:val="center"/>
          </w:tcPr>
          <w:p>
            <w:pPr>
              <w:pStyle w:val="13"/>
            </w:pPr>
            <w:r>
              <w:t>参建三年的每人每月发放标准</w:t>
            </w:r>
          </w:p>
        </w:tc>
        <w:tc>
          <w:tcPr>
            <w:tcW w:w="2268" w:type="dxa"/>
            <w:vAlign w:val="center"/>
          </w:tcPr>
          <w:p>
            <w:pPr>
              <w:pStyle w:val="13"/>
            </w:pPr>
            <w:r>
              <w:t>135元/月</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补贴标准</w:t>
            </w:r>
          </w:p>
        </w:tc>
        <w:tc>
          <w:tcPr>
            <w:tcW w:w="5386" w:type="dxa"/>
            <w:vAlign w:val="center"/>
          </w:tcPr>
          <w:p>
            <w:pPr>
              <w:pStyle w:val="13"/>
            </w:pPr>
            <w:r>
              <w:t>参建三年以上的每人每月发放标准</w:t>
            </w:r>
          </w:p>
        </w:tc>
        <w:tc>
          <w:tcPr>
            <w:tcW w:w="2268" w:type="dxa"/>
            <w:vAlign w:val="center"/>
          </w:tcPr>
          <w:p>
            <w:pPr>
              <w:pStyle w:val="13"/>
            </w:pPr>
            <w:r>
              <w:t>150元/月</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通过发放补贴增加收益人口</w:t>
            </w:r>
          </w:p>
        </w:tc>
        <w:tc>
          <w:tcPr>
            <w:tcW w:w="2268" w:type="dxa"/>
            <w:vAlign w:val="center"/>
          </w:tcPr>
          <w:p>
            <w:pPr>
              <w:pStyle w:val="13"/>
            </w:pPr>
            <w:r>
              <w:t>≥5103人</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维护群体稳定</w:t>
            </w:r>
          </w:p>
        </w:tc>
        <w:tc>
          <w:tcPr>
            <w:tcW w:w="2268" w:type="dxa"/>
            <w:vAlign w:val="center"/>
          </w:tcPr>
          <w:p>
            <w:pPr>
              <w:pStyle w:val="13"/>
            </w:pPr>
            <w:r>
              <w:t>≥10年</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受益群体满意度</w:t>
            </w:r>
          </w:p>
        </w:tc>
        <w:tc>
          <w:tcPr>
            <w:tcW w:w="5386" w:type="dxa"/>
            <w:vAlign w:val="center"/>
          </w:tcPr>
          <w:p>
            <w:pPr>
              <w:pStyle w:val="13"/>
            </w:pPr>
            <w:r>
              <w:t>生活补贴受益群体满意度</w:t>
            </w:r>
          </w:p>
        </w:tc>
        <w:tc>
          <w:tcPr>
            <w:tcW w:w="2268" w:type="dxa"/>
            <w:vAlign w:val="center"/>
          </w:tcPr>
          <w:p>
            <w:pPr>
              <w:pStyle w:val="13"/>
            </w:pPr>
            <w:r>
              <w:t>≥95%</w:t>
            </w:r>
          </w:p>
        </w:tc>
        <w:tc>
          <w:tcPr>
            <w:tcW w:w="1276" w:type="dxa"/>
            <w:vAlign w:val="center"/>
          </w:tcPr>
          <w:p>
            <w:pPr>
              <w:pStyle w:val="13"/>
            </w:pPr>
            <w:r>
              <w:t>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5、“三线”铁路建设民兵生活补贴绩效目标表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13032126P00008010002U</w:t>
            </w:r>
          </w:p>
        </w:tc>
        <w:tc>
          <w:tcPr>
            <w:tcW w:w="2835" w:type="dxa"/>
            <w:vAlign w:val="center"/>
          </w:tcPr>
          <w:p>
            <w:pPr>
              <w:pStyle w:val="11"/>
            </w:pPr>
            <w:r>
              <w:t>项目名称</w:t>
            </w:r>
          </w:p>
        </w:tc>
        <w:tc>
          <w:tcPr>
            <w:tcW w:w="6095" w:type="dxa"/>
            <w:gridSpan w:val="3"/>
            <w:vAlign w:val="center"/>
          </w:tcPr>
          <w:p>
            <w:pPr>
              <w:pStyle w:val="13"/>
            </w:pPr>
            <w:r>
              <w:t>“三线”铁路建设民兵生活补贴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830.00</w:t>
            </w:r>
          </w:p>
        </w:tc>
        <w:tc>
          <w:tcPr>
            <w:tcW w:w="2835" w:type="dxa"/>
            <w:vAlign w:val="center"/>
          </w:tcPr>
          <w:p>
            <w:pPr>
              <w:pStyle w:val="11"/>
            </w:pPr>
            <w:r>
              <w:t>其中：财政    资金</w:t>
            </w:r>
          </w:p>
        </w:tc>
        <w:tc>
          <w:tcPr>
            <w:tcW w:w="2551" w:type="dxa"/>
            <w:vAlign w:val="center"/>
          </w:tcPr>
          <w:p>
            <w:pPr>
              <w:pStyle w:val="13"/>
            </w:pPr>
            <w:r>
              <w:t>830.00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预算数830万元，其中财政资金830万元，主要用于“三线”铁路建设民兵生活补贴资金支出。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1.通过对该群体生活补贴，增强群体满意度，群众满意度达到95%以上。</w:t>
            </w:r>
          </w:p>
          <w:p>
            <w:pPr>
              <w:pStyle w:val="13"/>
            </w:pPr>
            <w:r>
              <w:t>2.通过对”三线“铁路建设民兵生活补贴的发放，解决该群体热切期盼，维护该团体稳定。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补贴人数</w:t>
            </w:r>
          </w:p>
        </w:tc>
        <w:tc>
          <w:tcPr>
            <w:tcW w:w="5386" w:type="dxa"/>
            <w:vAlign w:val="center"/>
          </w:tcPr>
          <w:p>
            <w:pPr>
              <w:pStyle w:val="13"/>
            </w:pPr>
            <w:r>
              <w:t>反映实际发放生活补贴人数</w:t>
            </w:r>
          </w:p>
        </w:tc>
        <w:tc>
          <w:tcPr>
            <w:tcW w:w="2268" w:type="dxa"/>
            <w:vAlign w:val="center"/>
          </w:tcPr>
          <w:p>
            <w:pPr>
              <w:pStyle w:val="13"/>
            </w:pPr>
            <w:r>
              <w:t>≤4958人</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发放准确率</w:t>
            </w:r>
          </w:p>
        </w:tc>
        <w:tc>
          <w:tcPr>
            <w:tcW w:w="5386" w:type="dxa"/>
            <w:vAlign w:val="center"/>
          </w:tcPr>
          <w:p>
            <w:pPr>
              <w:pStyle w:val="13"/>
            </w:pPr>
            <w:r>
              <w:t>反映实际发放人数占应发放人数的比率</w:t>
            </w:r>
          </w:p>
        </w:tc>
        <w:tc>
          <w:tcPr>
            <w:tcW w:w="2268" w:type="dxa"/>
            <w:vAlign w:val="center"/>
          </w:tcPr>
          <w:p>
            <w:pPr>
              <w:pStyle w:val="13"/>
            </w:pPr>
            <w:r>
              <w:t>100%</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发放及时性</w:t>
            </w:r>
          </w:p>
        </w:tc>
        <w:tc>
          <w:tcPr>
            <w:tcW w:w="5386" w:type="dxa"/>
            <w:vAlign w:val="center"/>
          </w:tcPr>
          <w:p>
            <w:pPr>
              <w:pStyle w:val="13"/>
            </w:pPr>
            <w:r>
              <w:t>在规定的时限内完成发放</w:t>
            </w:r>
          </w:p>
        </w:tc>
        <w:tc>
          <w:tcPr>
            <w:tcW w:w="2268" w:type="dxa"/>
            <w:vAlign w:val="center"/>
          </w:tcPr>
          <w:p>
            <w:pPr>
              <w:pStyle w:val="13"/>
            </w:pPr>
            <w:r>
              <w:t>2026年底以前</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补贴标准</w:t>
            </w:r>
          </w:p>
        </w:tc>
        <w:tc>
          <w:tcPr>
            <w:tcW w:w="5386" w:type="dxa"/>
            <w:vAlign w:val="center"/>
          </w:tcPr>
          <w:p>
            <w:pPr>
              <w:pStyle w:val="13"/>
            </w:pPr>
            <w:r>
              <w:t>参建一年的每人每月发放标准</w:t>
            </w:r>
          </w:p>
        </w:tc>
        <w:tc>
          <w:tcPr>
            <w:tcW w:w="2268" w:type="dxa"/>
            <w:vAlign w:val="center"/>
          </w:tcPr>
          <w:p>
            <w:pPr>
              <w:pStyle w:val="13"/>
            </w:pPr>
            <w:r>
              <w:t>45元/月</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补贴标准</w:t>
            </w:r>
          </w:p>
        </w:tc>
        <w:tc>
          <w:tcPr>
            <w:tcW w:w="5386" w:type="dxa"/>
            <w:vAlign w:val="center"/>
          </w:tcPr>
          <w:p>
            <w:pPr>
              <w:pStyle w:val="13"/>
            </w:pPr>
            <w:r>
              <w:t>参建两年的每人每月发放标准</w:t>
            </w:r>
          </w:p>
        </w:tc>
        <w:tc>
          <w:tcPr>
            <w:tcW w:w="2268" w:type="dxa"/>
            <w:vAlign w:val="center"/>
          </w:tcPr>
          <w:p>
            <w:pPr>
              <w:pStyle w:val="13"/>
            </w:pPr>
            <w:r>
              <w:t>90元/月</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补贴标准</w:t>
            </w:r>
          </w:p>
        </w:tc>
        <w:tc>
          <w:tcPr>
            <w:tcW w:w="5386" w:type="dxa"/>
            <w:vAlign w:val="center"/>
          </w:tcPr>
          <w:p>
            <w:pPr>
              <w:pStyle w:val="13"/>
            </w:pPr>
            <w:r>
              <w:t>参建三年的每人每月发放标准</w:t>
            </w:r>
          </w:p>
        </w:tc>
        <w:tc>
          <w:tcPr>
            <w:tcW w:w="2268" w:type="dxa"/>
            <w:vAlign w:val="center"/>
          </w:tcPr>
          <w:p>
            <w:pPr>
              <w:pStyle w:val="13"/>
            </w:pPr>
            <w:r>
              <w:t>135元/月</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补贴标准</w:t>
            </w:r>
          </w:p>
        </w:tc>
        <w:tc>
          <w:tcPr>
            <w:tcW w:w="5386" w:type="dxa"/>
            <w:vAlign w:val="center"/>
          </w:tcPr>
          <w:p>
            <w:pPr>
              <w:pStyle w:val="13"/>
            </w:pPr>
            <w:r>
              <w:t>参建三年以上的每人每月发放标准</w:t>
            </w:r>
          </w:p>
        </w:tc>
        <w:tc>
          <w:tcPr>
            <w:tcW w:w="2268" w:type="dxa"/>
            <w:vAlign w:val="center"/>
          </w:tcPr>
          <w:p>
            <w:pPr>
              <w:pStyle w:val="13"/>
            </w:pPr>
            <w:r>
              <w:t>150元/月</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通过发放补贴增加收益人口</w:t>
            </w:r>
          </w:p>
        </w:tc>
        <w:tc>
          <w:tcPr>
            <w:tcW w:w="2268" w:type="dxa"/>
            <w:vAlign w:val="center"/>
          </w:tcPr>
          <w:p>
            <w:pPr>
              <w:pStyle w:val="13"/>
            </w:pPr>
            <w:r>
              <w:t>≥5103人</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维护群体稳定</w:t>
            </w:r>
          </w:p>
        </w:tc>
        <w:tc>
          <w:tcPr>
            <w:tcW w:w="2268" w:type="dxa"/>
            <w:vAlign w:val="center"/>
          </w:tcPr>
          <w:p>
            <w:pPr>
              <w:pStyle w:val="13"/>
            </w:pPr>
            <w:r>
              <w:t>≥10年</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受益群体满意度</w:t>
            </w:r>
          </w:p>
        </w:tc>
        <w:tc>
          <w:tcPr>
            <w:tcW w:w="5386" w:type="dxa"/>
            <w:vAlign w:val="center"/>
          </w:tcPr>
          <w:p>
            <w:pPr>
              <w:pStyle w:val="13"/>
            </w:pPr>
            <w:r>
              <w:t>生活补贴受益群体满意度</w:t>
            </w:r>
          </w:p>
        </w:tc>
        <w:tc>
          <w:tcPr>
            <w:tcW w:w="2268" w:type="dxa"/>
            <w:vAlign w:val="center"/>
          </w:tcPr>
          <w:p>
            <w:pPr>
              <w:pStyle w:val="13"/>
            </w:pPr>
            <w:r>
              <w:t>≥95%</w:t>
            </w:r>
          </w:p>
        </w:tc>
        <w:tc>
          <w:tcPr>
            <w:tcW w:w="1276" w:type="dxa"/>
            <w:vAlign w:val="center"/>
          </w:tcPr>
          <w:p>
            <w:pPr>
              <w:pStyle w:val="13"/>
            </w:pPr>
            <w:r>
              <w:t>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6、城市公交运营补贴绩效目标表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13032126P00008610005Q</w:t>
            </w:r>
          </w:p>
        </w:tc>
        <w:tc>
          <w:tcPr>
            <w:tcW w:w="2835" w:type="dxa"/>
            <w:vAlign w:val="center"/>
          </w:tcPr>
          <w:p>
            <w:pPr>
              <w:pStyle w:val="11"/>
            </w:pPr>
            <w:r>
              <w:t>项目名称</w:t>
            </w:r>
          </w:p>
        </w:tc>
        <w:tc>
          <w:tcPr>
            <w:tcW w:w="6095" w:type="dxa"/>
            <w:gridSpan w:val="3"/>
            <w:vAlign w:val="center"/>
          </w:tcPr>
          <w:p>
            <w:pPr>
              <w:pStyle w:val="13"/>
            </w:pPr>
            <w:r>
              <w:t>城市公交运营补贴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预算数200万元，其中财政资金200万元，主要用于城市公交运营补贴资金支出。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50000000%</w:t>
            </w:r>
          </w:p>
        </w:tc>
        <w:tc>
          <w:tcPr>
            <w:tcW w:w="2835" w:type="dxa"/>
            <w:vAlign w:val="center"/>
          </w:tcPr>
          <w:p>
            <w:pPr>
              <w:pStyle w:val="14"/>
            </w:pPr>
            <w:r>
              <w:t>100000000%</w:t>
            </w:r>
          </w:p>
        </w:tc>
        <w:tc>
          <w:tcPr>
            <w:tcW w:w="2551" w:type="dxa"/>
            <w:vAlign w:val="center"/>
          </w:tcPr>
          <w:p>
            <w:pPr>
              <w:pStyle w:val="14"/>
            </w:pPr>
            <w:r>
              <w:t>150000000%</w:t>
            </w:r>
          </w:p>
        </w:tc>
        <w:tc>
          <w:tcPr>
            <w:tcW w:w="3544" w:type="dxa"/>
            <w:gridSpan w:val="2"/>
            <w:vAlign w:val="center"/>
          </w:tcPr>
          <w:p>
            <w:pPr>
              <w:pStyle w:val="14"/>
            </w:pPr>
            <w:r>
              <w:t>200000000%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1.通过提高70周岁以上老年人、现役及退役残疾军人等特殊人群的幸福指数，达到提高社会满意度的效果。</w:t>
            </w:r>
            <w:r>
              <w:tab/>
            </w:r>
            <w:r>
              <w:tab/>
            </w:r>
            <w:r>
              <w:tab/>
            </w:r>
            <w:r>
              <w:tab/>
            </w:r>
            <w:r>
              <w:tab/>
            </w:r>
          </w:p>
          <w:p>
            <w:pPr>
              <w:pStyle w:val="13"/>
            </w:pPr>
            <w:r>
              <w:t>2.通过对公交公司给予的财政补贴，保证车辆正常运转，确保企业不因亏损而倒闭。</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补贴人数</w:t>
            </w:r>
          </w:p>
        </w:tc>
        <w:tc>
          <w:tcPr>
            <w:tcW w:w="5386" w:type="dxa"/>
            <w:vAlign w:val="center"/>
          </w:tcPr>
          <w:p>
            <w:pPr>
              <w:pStyle w:val="13"/>
            </w:pPr>
            <w:r>
              <w:t>对1.1米以下儿童，70岁以上老人，现役军人和退役残疾军人，现役人民警察，盲人五类人员总数量</w:t>
            </w:r>
          </w:p>
        </w:tc>
        <w:tc>
          <w:tcPr>
            <w:tcW w:w="2268" w:type="dxa"/>
            <w:vAlign w:val="center"/>
          </w:tcPr>
          <w:p>
            <w:pPr>
              <w:pStyle w:val="13"/>
            </w:pPr>
            <w:r>
              <w:t>≥200万人次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人数计算的准确率</w:t>
            </w:r>
          </w:p>
        </w:tc>
        <w:tc>
          <w:tcPr>
            <w:tcW w:w="5386" w:type="dxa"/>
            <w:vAlign w:val="center"/>
          </w:tcPr>
          <w:p>
            <w:pPr>
              <w:pStyle w:val="13"/>
            </w:pPr>
            <w:r>
              <w:t>反映补贴人次总数、标准计算准确性</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反映补贴发放准确率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发放及时性</w:t>
            </w:r>
          </w:p>
        </w:tc>
        <w:tc>
          <w:tcPr>
            <w:tcW w:w="5386" w:type="dxa"/>
            <w:vAlign w:val="center"/>
          </w:tcPr>
          <w:p>
            <w:pPr>
              <w:pStyle w:val="13"/>
            </w:pPr>
            <w:r>
              <w:t>反映补贴发放的及时性</w:t>
            </w:r>
          </w:p>
        </w:tc>
        <w:tc>
          <w:tcPr>
            <w:tcW w:w="2268" w:type="dxa"/>
            <w:vAlign w:val="center"/>
          </w:tcPr>
          <w:p>
            <w:pPr>
              <w:pStyle w:val="13"/>
            </w:pPr>
            <w:r>
              <w:t>2026年底前</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儿童补贴标准</w:t>
            </w:r>
          </w:p>
        </w:tc>
        <w:tc>
          <w:tcPr>
            <w:tcW w:w="5386" w:type="dxa"/>
            <w:vAlign w:val="center"/>
          </w:tcPr>
          <w:p>
            <w:pPr>
              <w:pStyle w:val="13"/>
            </w:pPr>
            <w:r>
              <w:t>按公交车运营线路票价计算</w:t>
            </w:r>
          </w:p>
        </w:tc>
        <w:tc>
          <w:tcPr>
            <w:tcW w:w="2268" w:type="dxa"/>
            <w:vAlign w:val="center"/>
          </w:tcPr>
          <w:p>
            <w:pPr>
              <w:pStyle w:val="13"/>
            </w:pPr>
            <w:r>
              <w:t>1元/人次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老人补贴标准</w:t>
            </w:r>
          </w:p>
        </w:tc>
        <w:tc>
          <w:tcPr>
            <w:tcW w:w="5386" w:type="dxa"/>
            <w:vAlign w:val="center"/>
          </w:tcPr>
          <w:p>
            <w:pPr>
              <w:pStyle w:val="13"/>
            </w:pPr>
            <w:r>
              <w:t>按公交车运营线路票价计算</w:t>
            </w:r>
          </w:p>
        </w:tc>
        <w:tc>
          <w:tcPr>
            <w:tcW w:w="2268" w:type="dxa"/>
            <w:vAlign w:val="center"/>
          </w:tcPr>
          <w:p>
            <w:pPr>
              <w:pStyle w:val="13"/>
            </w:pPr>
            <w:r>
              <w:t>2元/人次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项目实施，使五类人员出行直接受益，提高百姓认可度的人次</w:t>
            </w:r>
          </w:p>
        </w:tc>
        <w:tc>
          <w:tcPr>
            <w:tcW w:w="2268" w:type="dxa"/>
            <w:vAlign w:val="center"/>
          </w:tcPr>
          <w:p>
            <w:pPr>
              <w:pStyle w:val="13"/>
            </w:pPr>
            <w:r>
              <w:t>≥200万人次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缓解交通压力、减少减少车辆出行，降低尾气排放</w:t>
            </w:r>
          </w:p>
        </w:tc>
        <w:tc>
          <w:tcPr>
            <w:tcW w:w="5386" w:type="dxa"/>
            <w:vAlign w:val="center"/>
          </w:tcPr>
          <w:p>
            <w:pPr>
              <w:pStyle w:val="13"/>
            </w:pPr>
            <w:r>
              <w:t>减少车辆出行的次数</w:t>
            </w:r>
          </w:p>
        </w:tc>
        <w:tc>
          <w:tcPr>
            <w:tcW w:w="2268" w:type="dxa"/>
            <w:vAlign w:val="center"/>
          </w:tcPr>
          <w:p>
            <w:pPr>
              <w:pStyle w:val="13"/>
            </w:pPr>
            <w:r>
              <w:t>≥70万次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长期性</w:t>
            </w:r>
          </w:p>
        </w:tc>
        <w:tc>
          <w:tcPr>
            <w:tcW w:w="5386" w:type="dxa"/>
            <w:vAlign w:val="center"/>
          </w:tcPr>
          <w:p>
            <w:pPr>
              <w:pStyle w:val="13"/>
            </w:pPr>
            <w:r>
              <w:t>保证公交车辆正常运转率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7、城市客运补贴经费绩效目标表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13032125P00008610001U</w:t>
            </w:r>
          </w:p>
        </w:tc>
        <w:tc>
          <w:tcPr>
            <w:tcW w:w="2835" w:type="dxa"/>
            <w:vAlign w:val="center"/>
          </w:tcPr>
          <w:p>
            <w:pPr>
              <w:pStyle w:val="11"/>
            </w:pPr>
            <w:r>
              <w:t>项目名称</w:t>
            </w:r>
          </w:p>
        </w:tc>
        <w:tc>
          <w:tcPr>
            <w:tcW w:w="6095" w:type="dxa"/>
            <w:gridSpan w:val="3"/>
            <w:vAlign w:val="center"/>
          </w:tcPr>
          <w:p>
            <w:pPr>
              <w:pStyle w:val="13"/>
            </w:pPr>
            <w:r>
              <w:t>城市客运补贴经费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预算数100万元，其中财政资金100万元，主要用于城市客运补贴经费资金支出。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1.通过对公交公司给予的财政补贴，保证车辆正常运转，确保企业不因亏损而倒闭。</w:t>
            </w:r>
            <w:r>
              <w:tab/>
            </w:r>
            <w:r>
              <w:tab/>
            </w:r>
            <w:r>
              <w:tab/>
            </w:r>
            <w:r>
              <w:tab/>
            </w:r>
            <w:r>
              <w:tab/>
            </w:r>
          </w:p>
          <w:p>
            <w:pPr>
              <w:pStyle w:val="13"/>
            </w:pPr>
            <w:r>
              <w:t>2.通过提高70周岁以上老年人、现役及退役残疾军人等特殊人群的幸福指数，达到提高社会满意度的效果。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补贴人数</w:t>
            </w:r>
          </w:p>
        </w:tc>
        <w:tc>
          <w:tcPr>
            <w:tcW w:w="5386" w:type="dxa"/>
            <w:vAlign w:val="center"/>
          </w:tcPr>
          <w:p>
            <w:pPr>
              <w:pStyle w:val="13"/>
            </w:pPr>
            <w:r>
              <w:t>对1.1米以下儿童，70岁以上老人，现役军人和退役残疾军人，现役人民警察，盲人五类人员总数量</w:t>
            </w:r>
          </w:p>
        </w:tc>
        <w:tc>
          <w:tcPr>
            <w:tcW w:w="2268" w:type="dxa"/>
            <w:vAlign w:val="center"/>
          </w:tcPr>
          <w:p>
            <w:pPr>
              <w:pStyle w:val="13"/>
            </w:pPr>
            <w:r>
              <w:t>≥200万人次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人数计算的准确率</w:t>
            </w:r>
          </w:p>
        </w:tc>
        <w:tc>
          <w:tcPr>
            <w:tcW w:w="5386" w:type="dxa"/>
            <w:vAlign w:val="center"/>
          </w:tcPr>
          <w:p>
            <w:pPr>
              <w:pStyle w:val="13"/>
            </w:pPr>
            <w:r>
              <w:t>反映补贴人次总数、标准计算准确性</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反映补贴发放准确率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发放及时性</w:t>
            </w:r>
          </w:p>
        </w:tc>
        <w:tc>
          <w:tcPr>
            <w:tcW w:w="5386" w:type="dxa"/>
            <w:vAlign w:val="center"/>
          </w:tcPr>
          <w:p>
            <w:pPr>
              <w:pStyle w:val="13"/>
            </w:pPr>
            <w:r>
              <w:t>反映补贴发放的及时性</w:t>
            </w:r>
          </w:p>
        </w:tc>
        <w:tc>
          <w:tcPr>
            <w:tcW w:w="2268" w:type="dxa"/>
            <w:vAlign w:val="center"/>
          </w:tcPr>
          <w:p>
            <w:pPr>
              <w:pStyle w:val="13"/>
            </w:pPr>
            <w:r>
              <w:t>2026年底前</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儿童补贴标准</w:t>
            </w:r>
          </w:p>
        </w:tc>
        <w:tc>
          <w:tcPr>
            <w:tcW w:w="5386" w:type="dxa"/>
            <w:vAlign w:val="center"/>
          </w:tcPr>
          <w:p>
            <w:pPr>
              <w:pStyle w:val="13"/>
            </w:pPr>
            <w:r>
              <w:t>按公交车运营线路票价计算</w:t>
            </w:r>
          </w:p>
        </w:tc>
        <w:tc>
          <w:tcPr>
            <w:tcW w:w="2268" w:type="dxa"/>
            <w:vAlign w:val="center"/>
          </w:tcPr>
          <w:p>
            <w:pPr>
              <w:pStyle w:val="13"/>
            </w:pPr>
            <w:r>
              <w:t>1元/人次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老人补贴标准</w:t>
            </w:r>
          </w:p>
        </w:tc>
        <w:tc>
          <w:tcPr>
            <w:tcW w:w="5386" w:type="dxa"/>
            <w:vAlign w:val="center"/>
          </w:tcPr>
          <w:p>
            <w:pPr>
              <w:pStyle w:val="13"/>
            </w:pPr>
            <w:r>
              <w:t>按公交车运营线路票价计算</w:t>
            </w:r>
          </w:p>
        </w:tc>
        <w:tc>
          <w:tcPr>
            <w:tcW w:w="2268" w:type="dxa"/>
            <w:vAlign w:val="center"/>
          </w:tcPr>
          <w:p>
            <w:pPr>
              <w:pStyle w:val="13"/>
            </w:pPr>
            <w:r>
              <w:t>2元/人次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项目实施，使五类人员出行直接受益，提高百姓认可度的人次</w:t>
            </w:r>
          </w:p>
        </w:tc>
        <w:tc>
          <w:tcPr>
            <w:tcW w:w="2268" w:type="dxa"/>
            <w:vAlign w:val="center"/>
          </w:tcPr>
          <w:p>
            <w:pPr>
              <w:pStyle w:val="13"/>
            </w:pPr>
            <w:r>
              <w:t>≥200万人次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缓解交通压力、减少减少车辆出行，降低尾气排放</w:t>
            </w:r>
          </w:p>
        </w:tc>
        <w:tc>
          <w:tcPr>
            <w:tcW w:w="5386" w:type="dxa"/>
            <w:vAlign w:val="center"/>
          </w:tcPr>
          <w:p>
            <w:pPr>
              <w:pStyle w:val="13"/>
            </w:pPr>
            <w:r>
              <w:t>减少车辆出行的次数</w:t>
            </w:r>
          </w:p>
        </w:tc>
        <w:tc>
          <w:tcPr>
            <w:tcW w:w="2268" w:type="dxa"/>
            <w:vAlign w:val="center"/>
          </w:tcPr>
          <w:p>
            <w:pPr>
              <w:pStyle w:val="13"/>
            </w:pPr>
            <w:r>
              <w:t>≥70万次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长期性</w:t>
            </w:r>
          </w:p>
        </w:tc>
        <w:tc>
          <w:tcPr>
            <w:tcW w:w="5386" w:type="dxa"/>
            <w:vAlign w:val="center"/>
          </w:tcPr>
          <w:p>
            <w:pPr>
              <w:pStyle w:val="13"/>
            </w:pPr>
            <w:r>
              <w:t>保证公交车辆正常运转率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8、承秦高速青龙连接线（SLD9）广茶山段改建工程绩效目标表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130321230UVDLQ4WTSOC9</w:t>
            </w:r>
          </w:p>
        </w:tc>
        <w:tc>
          <w:tcPr>
            <w:tcW w:w="2835" w:type="dxa"/>
            <w:vAlign w:val="center"/>
          </w:tcPr>
          <w:p>
            <w:pPr>
              <w:pStyle w:val="11"/>
            </w:pPr>
            <w:r>
              <w:t>项目名称</w:t>
            </w:r>
          </w:p>
        </w:tc>
        <w:tc>
          <w:tcPr>
            <w:tcW w:w="6095" w:type="dxa"/>
            <w:gridSpan w:val="3"/>
            <w:vAlign w:val="center"/>
          </w:tcPr>
          <w:p>
            <w:pPr>
              <w:pStyle w:val="13"/>
            </w:pPr>
            <w:r>
              <w:t>承秦高速青龙连接线（SLD9）广茶山段改建工程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1500.00</w:t>
            </w:r>
          </w:p>
        </w:tc>
        <w:tc>
          <w:tcPr>
            <w:tcW w:w="2835" w:type="dxa"/>
            <w:vAlign w:val="center"/>
          </w:tcPr>
          <w:p>
            <w:pPr>
              <w:pStyle w:val="11"/>
            </w:pPr>
            <w:r>
              <w:t>其中：财政    资金</w:t>
            </w:r>
          </w:p>
        </w:tc>
        <w:tc>
          <w:tcPr>
            <w:tcW w:w="2551" w:type="dxa"/>
            <w:vAlign w:val="center"/>
          </w:tcPr>
          <w:p>
            <w:pPr>
              <w:pStyle w:val="13"/>
            </w:pPr>
            <w:r>
              <w:t>1500.00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预算数1500万元，其中财政资金1500万元，主要用于广茶山互通项目建设资金支出。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1.通过项目的实施，提升县城城市形象、促进县城经济发展。</w:t>
            </w:r>
          </w:p>
          <w:p>
            <w:pPr>
              <w:pStyle w:val="13"/>
            </w:pPr>
            <w:r>
              <w:t>2.通过项目的实施，提升公众满意度，使公众满意度达到90%以上。</w:t>
            </w:r>
          </w:p>
          <w:p>
            <w:pPr>
              <w:pStyle w:val="13"/>
            </w:pPr>
            <w:r>
              <w:t>3.通过完成互通道路建设1.1公里，大中型桥梁3座，达到改善路况，增强通行能力，疏解交通压力。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完成建设桥梁数量</w:t>
            </w:r>
          </w:p>
        </w:tc>
        <w:tc>
          <w:tcPr>
            <w:tcW w:w="5386" w:type="dxa"/>
            <w:vAlign w:val="center"/>
          </w:tcPr>
          <w:p>
            <w:pPr>
              <w:pStyle w:val="13"/>
            </w:pPr>
            <w:r>
              <w:t>反映完成建设桥梁数量。</w:t>
            </w:r>
          </w:p>
        </w:tc>
        <w:tc>
          <w:tcPr>
            <w:tcW w:w="2268" w:type="dxa"/>
            <w:vAlign w:val="center"/>
          </w:tcPr>
          <w:p>
            <w:pPr>
              <w:pStyle w:val="13"/>
            </w:pPr>
            <w:r>
              <w:t>3座</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完成公路建设里程</w:t>
            </w:r>
          </w:p>
        </w:tc>
        <w:tc>
          <w:tcPr>
            <w:tcW w:w="5386" w:type="dxa"/>
            <w:vAlign w:val="center"/>
          </w:tcPr>
          <w:p>
            <w:pPr>
              <w:pStyle w:val="13"/>
            </w:pPr>
            <w:r>
              <w:t>反映完成公路建设里程数。</w:t>
            </w:r>
          </w:p>
        </w:tc>
        <w:tc>
          <w:tcPr>
            <w:tcW w:w="2268" w:type="dxa"/>
            <w:vAlign w:val="center"/>
          </w:tcPr>
          <w:p>
            <w:pPr>
              <w:pStyle w:val="13"/>
            </w:pPr>
            <w:r>
              <w:t>≥1.1公里</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按照工程进度，已完成工程达到合格标准，依据相关检测评定标准。</w:t>
            </w:r>
          </w:p>
        </w:tc>
        <w:tc>
          <w:tcPr>
            <w:tcW w:w="2268" w:type="dxa"/>
            <w:vAlign w:val="center"/>
          </w:tcPr>
          <w:p>
            <w:pPr>
              <w:pStyle w:val="13"/>
            </w:pPr>
            <w:r>
              <w:t>100%</w:t>
            </w:r>
          </w:p>
        </w:tc>
        <w:tc>
          <w:tcPr>
            <w:tcW w:w="1276" w:type="dxa"/>
            <w:vAlign w:val="center"/>
          </w:tcPr>
          <w:p>
            <w:pPr>
              <w:pStyle w:val="13"/>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工程完工及时性</w:t>
            </w:r>
          </w:p>
        </w:tc>
        <w:tc>
          <w:tcPr>
            <w:tcW w:w="5386" w:type="dxa"/>
            <w:vAlign w:val="center"/>
          </w:tcPr>
          <w:p>
            <w:pPr>
              <w:pStyle w:val="13"/>
            </w:pPr>
            <w:r>
              <w:t>按合同约定及计划完成项目建设工作。</w:t>
            </w:r>
          </w:p>
        </w:tc>
        <w:tc>
          <w:tcPr>
            <w:tcW w:w="2268" w:type="dxa"/>
            <w:vAlign w:val="center"/>
          </w:tcPr>
          <w:p>
            <w:pPr>
              <w:pStyle w:val="13"/>
            </w:pPr>
            <w:r>
              <w:t>100%</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工程建设成本（建安费用）</w:t>
            </w:r>
          </w:p>
        </w:tc>
        <w:tc>
          <w:tcPr>
            <w:tcW w:w="5386" w:type="dxa"/>
            <w:vAlign w:val="center"/>
          </w:tcPr>
          <w:p>
            <w:pPr>
              <w:pStyle w:val="13"/>
            </w:pPr>
            <w:r>
              <w:t>严格进行成本管控，按照政府招投标相关文件及合同支付要求进行资金的支付。</w:t>
            </w:r>
          </w:p>
        </w:tc>
        <w:tc>
          <w:tcPr>
            <w:tcW w:w="2268" w:type="dxa"/>
            <w:vAlign w:val="center"/>
          </w:tcPr>
          <w:p>
            <w:pPr>
              <w:pStyle w:val="13"/>
            </w:pPr>
            <w:r>
              <w:t>≤1500万元</w:t>
            </w:r>
          </w:p>
        </w:tc>
        <w:tc>
          <w:tcPr>
            <w:tcW w:w="1276" w:type="dxa"/>
            <w:vAlign w:val="center"/>
          </w:tcPr>
          <w:p>
            <w:pPr>
              <w:pStyle w:val="13"/>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拉动经济发展</w:t>
            </w:r>
          </w:p>
        </w:tc>
        <w:tc>
          <w:tcPr>
            <w:tcW w:w="5386" w:type="dxa"/>
            <w:vAlign w:val="center"/>
          </w:tcPr>
          <w:p>
            <w:pPr>
              <w:pStyle w:val="13"/>
            </w:pPr>
            <w:r>
              <w:t>项目实施拉动地区经济发展；建成运营后创造价值；促进城镇居民增收。</w:t>
            </w:r>
          </w:p>
        </w:tc>
        <w:tc>
          <w:tcPr>
            <w:tcW w:w="2268" w:type="dxa"/>
            <w:vAlign w:val="center"/>
          </w:tcPr>
          <w:p>
            <w:pPr>
              <w:pStyle w:val="13"/>
            </w:pPr>
            <w:r>
              <w:t>≥200万元</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改善出行条件影响面</w:t>
            </w:r>
          </w:p>
        </w:tc>
        <w:tc>
          <w:tcPr>
            <w:tcW w:w="5386" w:type="dxa"/>
            <w:vAlign w:val="center"/>
          </w:tcPr>
          <w:p>
            <w:pPr>
              <w:pStyle w:val="13"/>
            </w:pPr>
            <w:r>
              <w:t>改善城镇居民的出行条件和城镇面貌，解决周边群众出行难，方便群众出行人数。</w:t>
            </w:r>
          </w:p>
        </w:tc>
        <w:tc>
          <w:tcPr>
            <w:tcW w:w="2268" w:type="dxa"/>
            <w:vAlign w:val="center"/>
          </w:tcPr>
          <w:p>
            <w:pPr>
              <w:pStyle w:val="13"/>
            </w:pPr>
            <w:r>
              <w:t>≥15万人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环境影响</w:t>
            </w:r>
          </w:p>
        </w:tc>
        <w:tc>
          <w:tcPr>
            <w:tcW w:w="5386" w:type="dxa"/>
            <w:vAlign w:val="center"/>
          </w:tcPr>
          <w:p>
            <w:pPr>
              <w:pStyle w:val="13"/>
            </w:pPr>
            <w:r>
              <w:t>环境影响，减少尾气排放，减少扬尘，增加受益人口。</w:t>
            </w:r>
          </w:p>
        </w:tc>
        <w:tc>
          <w:tcPr>
            <w:tcW w:w="2268" w:type="dxa"/>
            <w:vAlign w:val="center"/>
          </w:tcPr>
          <w:p>
            <w:pPr>
              <w:pStyle w:val="13"/>
            </w:pPr>
            <w:r>
              <w:t>≥12万人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长期影响，改建公路、桥梁在合理使用年限适应交通需求。</w:t>
            </w:r>
          </w:p>
        </w:tc>
        <w:tc>
          <w:tcPr>
            <w:tcW w:w="2268" w:type="dxa"/>
            <w:vAlign w:val="center"/>
          </w:tcPr>
          <w:p>
            <w:pPr>
              <w:pStyle w:val="13"/>
            </w:pPr>
            <w:r>
              <w:t>≥10年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改善通行条件群众满意度。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9、关于清算2025年农村客运补贴、城市交通发展奖励资金的通知-农村道路客运补贴资金（冀财建[2025]155号）绩效目标表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13032125P00008610007H</w:t>
            </w:r>
          </w:p>
        </w:tc>
        <w:tc>
          <w:tcPr>
            <w:tcW w:w="2835" w:type="dxa"/>
            <w:vAlign w:val="center"/>
          </w:tcPr>
          <w:p>
            <w:pPr>
              <w:pStyle w:val="11"/>
            </w:pPr>
            <w:r>
              <w:t>项目名称</w:t>
            </w:r>
          </w:p>
        </w:tc>
        <w:tc>
          <w:tcPr>
            <w:tcW w:w="6095" w:type="dxa"/>
            <w:gridSpan w:val="3"/>
            <w:vAlign w:val="center"/>
          </w:tcPr>
          <w:p>
            <w:pPr>
              <w:pStyle w:val="13"/>
            </w:pPr>
            <w:r>
              <w:t>关于清算2025年农村客运补贴、城市交通发展奖励资金的通知-农村道路客运补贴资金（冀财建[2025]155号）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12.21</w:t>
            </w:r>
          </w:p>
        </w:tc>
        <w:tc>
          <w:tcPr>
            <w:tcW w:w="2835" w:type="dxa"/>
            <w:vAlign w:val="center"/>
          </w:tcPr>
          <w:p>
            <w:pPr>
              <w:pStyle w:val="11"/>
            </w:pPr>
            <w:r>
              <w:t>其中：财政    资金</w:t>
            </w:r>
          </w:p>
        </w:tc>
        <w:tc>
          <w:tcPr>
            <w:tcW w:w="2551" w:type="dxa"/>
            <w:vAlign w:val="center"/>
          </w:tcPr>
          <w:p>
            <w:pPr>
              <w:pStyle w:val="13"/>
            </w:pPr>
            <w:r>
              <w:t>12.21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预算数12.21万元，其中财政资金12.21万元，主要用于农村道路客运补贴资金支出。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1.通过开展农村客运站运行补贴审核发放工作，保障乡镇和建制村通客车的汽车客运站正常运转。</w:t>
            </w:r>
            <w:r>
              <w:tab/>
            </w:r>
            <w:r>
              <w:tab/>
            </w:r>
          </w:p>
          <w:p>
            <w:pPr>
              <w:pStyle w:val="13"/>
            </w:pPr>
            <w:r>
              <w:t>2.通过开展运营补贴审核发放工作，保障乡镇和建制村通客车的农村客运班车和城市公共汽电车向农村延伸覆盖。</w:t>
            </w:r>
            <w:r>
              <w:tab/>
            </w:r>
            <w:r>
              <w:tab/>
            </w:r>
            <w:r>
              <w:tab/>
            </w:r>
          </w:p>
          <w:p>
            <w:pPr>
              <w:pStyle w:val="13"/>
            </w:pPr>
            <w:r>
              <w:t>3.通过开展农村客运班车及向农村延伸公交车运营补贴工作，保障农村道路客运健康发展，提高运营服务水平。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城市公交车数量</w:t>
            </w:r>
          </w:p>
        </w:tc>
        <w:tc>
          <w:tcPr>
            <w:tcW w:w="5386" w:type="dxa"/>
            <w:vAlign w:val="center"/>
          </w:tcPr>
          <w:p>
            <w:pPr>
              <w:pStyle w:val="13"/>
            </w:pPr>
            <w:r>
              <w:t>反映城市公共汽电车延伸至农村的城市公交车数量</w:t>
            </w:r>
          </w:p>
        </w:tc>
        <w:tc>
          <w:tcPr>
            <w:tcW w:w="2268" w:type="dxa"/>
            <w:vAlign w:val="center"/>
          </w:tcPr>
          <w:p>
            <w:pPr>
              <w:pStyle w:val="13"/>
            </w:pPr>
            <w:r>
              <w:t>70辆</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三级以上汽车客运站运营数</w:t>
            </w:r>
          </w:p>
        </w:tc>
        <w:tc>
          <w:tcPr>
            <w:tcW w:w="5386" w:type="dxa"/>
            <w:vAlign w:val="center"/>
          </w:tcPr>
          <w:p>
            <w:pPr>
              <w:pStyle w:val="13"/>
            </w:pPr>
            <w:r>
              <w:t>保障服务建制村通客车的三级以上汽车客运站运营数量</w:t>
            </w:r>
          </w:p>
        </w:tc>
        <w:tc>
          <w:tcPr>
            <w:tcW w:w="2268" w:type="dxa"/>
            <w:vAlign w:val="center"/>
          </w:tcPr>
          <w:p>
            <w:pPr>
              <w:pStyle w:val="13"/>
            </w:pPr>
            <w:r>
              <w:t>1个</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资金使用合规性</w:t>
            </w:r>
          </w:p>
        </w:tc>
        <w:tc>
          <w:tcPr>
            <w:tcW w:w="5386" w:type="dxa"/>
            <w:vAlign w:val="center"/>
          </w:tcPr>
          <w:p>
            <w:pPr>
              <w:pStyle w:val="13"/>
            </w:pPr>
            <w:r>
              <w:t>资金发放程序规范，资金使用合规</w:t>
            </w:r>
          </w:p>
        </w:tc>
        <w:tc>
          <w:tcPr>
            <w:tcW w:w="2268" w:type="dxa"/>
            <w:vAlign w:val="center"/>
          </w:tcPr>
          <w:p>
            <w:pPr>
              <w:pStyle w:val="13"/>
            </w:pPr>
            <w:r>
              <w:t>100%</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按相关文件要求时限完成工作</w:t>
            </w:r>
          </w:p>
        </w:tc>
        <w:tc>
          <w:tcPr>
            <w:tcW w:w="2268" w:type="dxa"/>
            <w:vAlign w:val="center"/>
          </w:tcPr>
          <w:p>
            <w:pPr>
              <w:pStyle w:val="13"/>
            </w:pPr>
            <w:r>
              <w:t>100%</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补贴资金使用控制数</w:t>
            </w:r>
          </w:p>
        </w:tc>
        <w:tc>
          <w:tcPr>
            <w:tcW w:w="5386" w:type="dxa"/>
            <w:vAlign w:val="center"/>
          </w:tcPr>
          <w:p>
            <w:pPr>
              <w:pStyle w:val="13"/>
            </w:pPr>
            <w:r>
              <w:t>严格按照补助资金下达数支付资金</w:t>
            </w:r>
          </w:p>
        </w:tc>
        <w:tc>
          <w:tcPr>
            <w:tcW w:w="2268" w:type="dxa"/>
            <w:vAlign w:val="center"/>
          </w:tcPr>
          <w:p>
            <w:pPr>
              <w:pStyle w:val="13"/>
            </w:pPr>
            <w:r>
              <w:t>≤12.21万元</w:t>
            </w:r>
          </w:p>
        </w:tc>
        <w:tc>
          <w:tcPr>
            <w:tcW w:w="1276" w:type="dxa"/>
            <w:vAlign w:val="center"/>
          </w:tcPr>
          <w:p>
            <w:pPr>
              <w:pStyle w:val="13"/>
            </w:pPr>
            <w:r>
              <w:t>预算指标下达文件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经济影响</w:t>
            </w:r>
          </w:p>
        </w:tc>
        <w:tc>
          <w:tcPr>
            <w:tcW w:w="5386" w:type="dxa"/>
            <w:vAlign w:val="center"/>
          </w:tcPr>
          <w:p>
            <w:pPr>
              <w:pStyle w:val="13"/>
            </w:pPr>
            <w:r>
              <w:t>方便群众出行，拉动周边地区经济增长</w:t>
            </w:r>
          </w:p>
        </w:tc>
        <w:tc>
          <w:tcPr>
            <w:tcW w:w="2268" w:type="dxa"/>
            <w:vAlign w:val="center"/>
          </w:tcPr>
          <w:p>
            <w:pPr>
              <w:pStyle w:val="13"/>
            </w:pPr>
            <w:r>
              <w:t>≥10万元</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项目实施有效保证农村客运班车正常运行，方便群众出行</w:t>
            </w:r>
          </w:p>
        </w:tc>
        <w:tc>
          <w:tcPr>
            <w:tcW w:w="2268" w:type="dxa"/>
            <w:vAlign w:val="center"/>
          </w:tcPr>
          <w:p>
            <w:pPr>
              <w:pStyle w:val="13"/>
            </w:pPr>
            <w:r>
              <w:t>≥15万人次</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生态影响</w:t>
            </w:r>
          </w:p>
        </w:tc>
        <w:tc>
          <w:tcPr>
            <w:tcW w:w="5386" w:type="dxa"/>
            <w:vAlign w:val="center"/>
          </w:tcPr>
          <w:p>
            <w:pPr>
              <w:pStyle w:val="13"/>
            </w:pPr>
            <w:r>
              <w:t>减少尾气排放，增加受益人口数</w:t>
            </w:r>
          </w:p>
        </w:tc>
        <w:tc>
          <w:tcPr>
            <w:tcW w:w="2268" w:type="dxa"/>
            <w:vAlign w:val="center"/>
          </w:tcPr>
          <w:p>
            <w:pPr>
              <w:pStyle w:val="13"/>
            </w:pPr>
            <w:r>
              <w:t>≥20万人次</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w:t>
            </w:r>
          </w:p>
        </w:tc>
        <w:tc>
          <w:tcPr>
            <w:tcW w:w="5386" w:type="dxa"/>
            <w:vAlign w:val="center"/>
          </w:tcPr>
          <w:p>
            <w:pPr>
              <w:pStyle w:val="13"/>
            </w:pPr>
            <w:r>
              <w:t>保证农村客运工作长期有效运行</w:t>
            </w:r>
          </w:p>
        </w:tc>
        <w:tc>
          <w:tcPr>
            <w:tcW w:w="2268" w:type="dxa"/>
            <w:vAlign w:val="center"/>
          </w:tcPr>
          <w:p>
            <w:pPr>
              <w:pStyle w:val="13"/>
            </w:pPr>
            <w:r>
              <w:t>≥10年</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10、关于提前下达2025年交通运输领域专项资金预算（第一批）的通知-农村公路（冀财建[2024]252号）绩效目标表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13032125P00008810007W</w:t>
            </w:r>
          </w:p>
        </w:tc>
        <w:tc>
          <w:tcPr>
            <w:tcW w:w="2835" w:type="dxa"/>
            <w:vAlign w:val="center"/>
          </w:tcPr>
          <w:p>
            <w:pPr>
              <w:pStyle w:val="11"/>
            </w:pPr>
            <w:r>
              <w:t>项目名称</w:t>
            </w:r>
          </w:p>
        </w:tc>
        <w:tc>
          <w:tcPr>
            <w:tcW w:w="6095" w:type="dxa"/>
            <w:gridSpan w:val="3"/>
            <w:vAlign w:val="center"/>
          </w:tcPr>
          <w:p>
            <w:pPr>
              <w:pStyle w:val="13"/>
            </w:pPr>
            <w:r>
              <w:t>关于提前下达2025年交通运输领域专项资金预算（第一批）的通知-农村公路（冀财建[2024]252号）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1035.21</w:t>
            </w:r>
          </w:p>
        </w:tc>
        <w:tc>
          <w:tcPr>
            <w:tcW w:w="2835" w:type="dxa"/>
            <w:vAlign w:val="center"/>
          </w:tcPr>
          <w:p>
            <w:pPr>
              <w:pStyle w:val="11"/>
            </w:pPr>
            <w:r>
              <w:t>其中：财政    资金</w:t>
            </w:r>
          </w:p>
        </w:tc>
        <w:tc>
          <w:tcPr>
            <w:tcW w:w="2551" w:type="dxa"/>
            <w:vAlign w:val="center"/>
          </w:tcPr>
          <w:p>
            <w:pPr>
              <w:pStyle w:val="13"/>
            </w:pPr>
            <w:r>
              <w:t>1035.21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预算数1035.21万元，其中财政资金1035.21万元，主要用于农村公路建设项目资金支出。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1.通过改善路况和路域环境，增强通行能力，方便群众出行，拉动地区经济增长。</w:t>
            </w:r>
          </w:p>
          <w:p>
            <w:pPr>
              <w:pStyle w:val="13"/>
            </w:pPr>
            <w:r>
              <w:t>2.通过项目实施，增加公众满意度，使公众满意度≥90%。</w:t>
            </w:r>
          </w:p>
          <w:p>
            <w:pPr>
              <w:pStyle w:val="13"/>
            </w:pPr>
            <w:r>
              <w:t>3.通过完成农村公路建设改造工程，加强农村公路基础设施建设，改善区域内交通状况。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完成农村公路建设改造里程</w:t>
            </w:r>
          </w:p>
        </w:tc>
        <w:tc>
          <w:tcPr>
            <w:tcW w:w="5386" w:type="dxa"/>
            <w:vAlign w:val="center"/>
          </w:tcPr>
          <w:p>
            <w:pPr>
              <w:pStyle w:val="13"/>
            </w:pPr>
            <w:r>
              <w:t>反应实际完成农村公路建设改造里程</w:t>
            </w:r>
          </w:p>
        </w:tc>
        <w:tc>
          <w:tcPr>
            <w:tcW w:w="2268" w:type="dxa"/>
            <w:vAlign w:val="center"/>
          </w:tcPr>
          <w:p>
            <w:pPr>
              <w:pStyle w:val="13"/>
            </w:pPr>
            <w:r>
              <w:t>≥100公里</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完成农村公路建设改造宽度</w:t>
            </w:r>
          </w:p>
        </w:tc>
        <w:tc>
          <w:tcPr>
            <w:tcW w:w="5386" w:type="dxa"/>
            <w:vAlign w:val="center"/>
          </w:tcPr>
          <w:p>
            <w:pPr>
              <w:pStyle w:val="13"/>
            </w:pPr>
            <w:r>
              <w:t>反应实际完农村公路建设改造宽度</w:t>
            </w:r>
          </w:p>
        </w:tc>
        <w:tc>
          <w:tcPr>
            <w:tcW w:w="2268" w:type="dxa"/>
            <w:vAlign w:val="center"/>
          </w:tcPr>
          <w:p>
            <w:pPr>
              <w:pStyle w:val="13"/>
            </w:pPr>
            <w:r>
              <w:t>≥3.5米</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按照工程进度，已完成工程达到合格标准比率，依据相关检测评定标准</w:t>
            </w:r>
          </w:p>
        </w:tc>
        <w:tc>
          <w:tcPr>
            <w:tcW w:w="2268" w:type="dxa"/>
            <w:vAlign w:val="center"/>
          </w:tcPr>
          <w:p>
            <w:pPr>
              <w:pStyle w:val="13"/>
            </w:pPr>
            <w:r>
              <w:t>100%</w:t>
            </w:r>
          </w:p>
        </w:tc>
        <w:tc>
          <w:tcPr>
            <w:tcW w:w="1276" w:type="dxa"/>
            <w:vAlign w:val="center"/>
          </w:tcPr>
          <w:p>
            <w:pPr>
              <w:pStyle w:val="13"/>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完成年度投资计划</w:t>
            </w:r>
          </w:p>
        </w:tc>
        <w:tc>
          <w:tcPr>
            <w:tcW w:w="5386" w:type="dxa"/>
            <w:vAlign w:val="center"/>
          </w:tcPr>
          <w:p>
            <w:pPr>
              <w:pStyle w:val="13"/>
            </w:pPr>
            <w:r>
              <w:t>按期完成年度投资计划</w:t>
            </w:r>
          </w:p>
        </w:tc>
        <w:tc>
          <w:tcPr>
            <w:tcW w:w="2268" w:type="dxa"/>
            <w:vAlign w:val="center"/>
          </w:tcPr>
          <w:p>
            <w:pPr>
              <w:pStyle w:val="13"/>
            </w:pPr>
            <w:r>
              <w:t>100%</w:t>
            </w:r>
          </w:p>
        </w:tc>
        <w:tc>
          <w:tcPr>
            <w:tcW w:w="1276" w:type="dxa"/>
            <w:vAlign w:val="center"/>
          </w:tcPr>
          <w:p>
            <w:pPr>
              <w:pStyle w:val="13"/>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道路改建成本(建筑安装工程费)</w:t>
            </w:r>
          </w:p>
        </w:tc>
        <w:tc>
          <w:tcPr>
            <w:tcW w:w="5386" w:type="dxa"/>
            <w:vAlign w:val="center"/>
          </w:tcPr>
          <w:p>
            <w:pPr>
              <w:pStyle w:val="13"/>
            </w:pPr>
            <w:r>
              <w:t>严格进行成本管控，按照政府招投标相关文件及合同支付要求进行资金的支付</w:t>
            </w:r>
          </w:p>
        </w:tc>
        <w:tc>
          <w:tcPr>
            <w:tcW w:w="2268" w:type="dxa"/>
            <w:vAlign w:val="center"/>
          </w:tcPr>
          <w:p>
            <w:pPr>
              <w:pStyle w:val="13"/>
            </w:pPr>
            <w:r>
              <w:t>≤1035.21万元</w:t>
            </w:r>
          </w:p>
        </w:tc>
        <w:tc>
          <w:tcPr>
            <w:tcW w:w="1276" w:type="dxa"/>
            <w:vAlign w:val="center"/>
          </w:tcPr>
          <w:p>
            <w:pPr>
              <w:pStyle w:val="13"/>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经济影响</w:t>
            </w:r>
          </w:p>
        </w:tc>
        <w:tc>
          <w:tcPr>
            <w:tcW w:w="5386" w:type="dxa"/>
            <w:vAlign w:val="center"/>
          </w:tcPr>
          <w:p>
            <w:pPr>
              <w:pStyle w:val="13"/>
            </w:pPr>
            <w:r>
              <w:t>带动周边乡村经济增长，促进城乡经济一体化，增加群众收入</w:t>
            </w:r>
          </w:p>
        </w:tc>
        <w:tc>
          <w:tcPr>
            <w:tcW w:w="2268" w:type="dxa"/>
            <w:vAlign w:val="center"/>
          </w:tcPr>
          <w:p>
            <w:pPr>
              <w:pStyle w:val="13"/>
            </w:pPr>
            <w:r>
              <w:t>≥300万元</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改善居民的出行条件和村镇面貌，促进美丽乡村建设，构建和谐社会，解决周边群众出行难。</w:t>
            </w:r>
          </w:p>
        </w:tc>
        <w:tc>
          <w:tcPr>
            <w:tcW w:w="2268" w:type="dxa"/>
            <w:vAlign w:val="center"/>
          </w:tcPr>
          <w:p>
            <w:pPr>
              <w:pStyle w:val="13"/>
            </w:pPr>
            <w:r>
              <w:t>≥4万人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环境影响</w:t>
            </w:r>
          </w:p>
        </w:tc>
        <w:tc>
          <w:tcPr>
            <w:tcW w:w="5386" w:type="dxa"/>
            <w:vAlign w:val="center"/>
          </w:tcPr>
          <w:p>
            <w:pPr>
              <w:pStyle w:val="13"/>
            </w:pPr>
            <w:r>
              <w:t>减少汽车尾气排放，减少扬尘，改善人居环境，增加受益人口。</w:t>
            </w:r>
          </w:p>
        </w:tc>
        <w:tc>
          <w:tcPr>
            <w:tcW w:w="2268" w:type="dxa"/>
            <w:vAlign w:val="center"/>
          </w:tcPr>
          <w:p>
            <w:pPr>
              <w:pStyle w:val="13"/>
            </w:pPr>
            <w:r>
              <w:t>≥5万人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建设改造公路在合理使用年限适应交通需求</w:t>
            </w:r>
          </w:p>
        </w:tc>
        <w:tc>
          <w:tcPr>
            <w:tcW w:w="2268" w:type="dxa"/>
            <w:vAlign w:val="center"/>
          </w:tcPr>
          <w:p>
            <w:pPr>
              <w:pStyle w:val="13"/>
            </w:pPr>
            <w:r>
              <w:t>≥8年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11、关于提前下达2025年农村公路建设养护发展专项资金的通知-建设改造补助（冀财建[2024]281号）绩效目标表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13032125P00007610007A</w:t>
            </w:r>
          </w:p>
        </w:tc>
        <w:tc>
          <w:tcPr>
            <w:tcW w:w="2835" w:type="dxa"/>
            <w:vAlign w:val="center"/>
          </w:tcPr>
          <w:p>
            <w:pPr>
              <w:pStyle w:val="11"/>
            </w:pPr>
            <w:r>
              <w:t>项目名称</w:t>
            </w:r>
          </w:p>
        </w:tc>
        <w:tc>
          <w:tcPr>
            <w:tcW w:w="6095" w:type="dxa"/>
            <w:gridSpan w:val="3"/>
            <w:vAlign w:val="center"/>
          </w:tcPr>
          <w:p>
            <w:pPr>
              <w:pStyle w:val="13"/>
            </w:pPr>
            <w:r>
              <w:t>关于提前下达2025年农村公路建设养护发展专项资金的通知-建设改造补助（冀财建[2024]281号）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11.00</w:t>
            </w:r>
          </w:p>
        </w:tc>
        <w:tc>
          <w:tcPr>
            <w:tcW w:w="2835" w:type="dxa"/>
            <w:vAlign w:val="center"/>
          </w:tcPr>
          <w:p>
            <w:pPr>
              <w:pStyle w:val="11"/>
            </w:pPr>
            <w:r>
              <w:t>其中：财政    资金</w:t>
            </w:r>
          </w:p>
        </w:tc>
        <w:tc>
          <w:tcPr>
            <w:tcW w:w="2551" w:type="dxa"/>
            <w:vAlign w:val="center"/>
          </w:tcPr>
          <w:p>
            <w:pPr>
              <w:pStyle w:val="13"/>
            </w:pPr>
            <w:r>
              <w:t>11.00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预算数11万元，其中财政资金11万元，主要用于农村公路建设改造补助资金支出。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1.通过改善路况，增强通行能力，方便群众出行，拉动地区经济增长。</w:t>
            </w:r>
            <w:r>
              <w:tab/>
            </w:r>
            <w:r>
              <w:tab/>
            </w:r>
            <w:r>
              <w:tab/>
            </w:r>
            <w:r>
              <w:tab/>
            </w:r>
            <w:r>
              <w:tab/>
            </w:r>
          </w:p>
          <w:p>
            <w:pPr>
              <w:pStyle w:val="13"/>
            </w:pPr>
            <w:r>
              <w:t>2.通过开展完成农村公路建设改造工程，建设质量达到合格标准，加强农村公路基础设施建设。</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完成公路建设里程</w:t>
            </w:r>
          </w:p>
        </w:tc>
        <w:tc>
          <w:tcPr>
            <w:tcW w:w="5386" w:type="dxa"/>
            <w:vAlign w:val="center"/>
          </w:tcPr>
          <w:p>
            <w:pPr>
              <w:pStyle w:val="13"/>
            </w:pPr>
            <w:r>
              <w:t>完成公路建设里程数</w:t>
            </w:r>
          </w:p>
        </w:tc>
        <w:tc>
          <w:tcPr>
            <w:tcW w:w="2268" w:type="dxa"/>
            <w:vAlign w:val="center"/>
          </w:tcPr>
          <w:p>
            <w:pPr>
              <w:pStyle w:val="13"/>
            </w:pPr>
            <w:r>
              <w:t>≥19.6公里</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按照工程进度，已完成工程达到合格标准，依据相关检测评定标准。</w:t>
            </w:r>
          </w:p>
        </w:tc>
        <w:tc>
          <w:tcPr>
            <w:tcW w:w="2268" w:type="dxa"/>
            <w:vAlign w:val="center"/>
          </w:tcPr>
          <w:p>
            <w:pPr>
              <w:pStyle w:val="13"/>
            </w:pPr>
            <w:r>
              <w:t>100%</w:t>
            </w:r>
          </w:p>
        </w:tc>
        <w:tc>
          <w:tcPr>
            <w:tcW w:w="1276" w:type="dxa"/>
            <w:vAlign w:val="center"/>
          </w:tcPr>
          <w:p>
            <w:pPr>
              <w:pStyle w:val="13"/>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工程完工及时性</w:t>
            </w:r>
          </w:p>
        </w:tc>
        <w:tc>
          <w:tcPr>
            <w:tcW w:w="5386" w:type="dxa"/>
            <w:vAlign w:val="center"/>
          </w:tcPr>
          <w:p>
            <w:pPr>
              <w:pStyle w:val="13"/>
            </w:pPr>
            <w:r>
              <w:t>按合同约定及计划完成道路建设工作</w:t>
            </w:r>
          </w:p>
        </w:tc>
        <w:tc>
          <w:tcPr>
            <w:tcW w:w="2268" w:type="dxa"/>
            <w:vAlign w:val="center"/>
          </w:tcPr>
          <w:p>
            <w:pPr>
              <w:pStyle w:val="13"/>
            </w:pPr>
            <w:r>
              <w:t>100%</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道路改建成本</w:t>
            </w:r>
          </w:p>
        </w:tc>
        <w:tc>
          <w:tcPr>
            <w:tcW w:w="5386" w:type="dxa"/>
            <w:vAlign w:val="center"/>
          </w:tcPr>
          <w:p>
            <w:pPr>
              <w:pStyle w:val="13"/>
            </w:pPr>
            <w:r>
              <w:t>严格进行成本管控，按照政府招投标相关文件及合同支付要求进行资金的支付</w:t>
            </w:r>
          </w:p>
        </w:tc>
        <w:tc>
          <w:tcPr>
            <w:tcW w:w="2268" w:type="dxa"/>
            <w:vAlign w:val="center"/>
          </w:tcPr>
          <w:p>
            <w:pPr>
              <w:pStyle w:val="13"/>
            </w:pPr>
            <w:r>
              <w:t>≤11万元</w:t>
            </w:r>
          </w:p>
        </w:tc>
        <w:tc>
          <w:tcPr>
            <w:tcW w:w="1276" w:type="dxa"/>
            <w:vAlign w:val="center"/>
          </w:tcPr>
          <w:p>
            <w:pPr>
              <w:pStyle w:val="13"/>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道路改建平均成本</w:t>
            </w:r>
          </w:p>
        </w:tc>
        <w:tc>
          <w:tcPr>
            <w:tcW w:w="5386" w:type="dxa"/>
            <w:vAlign w:val="center"/>
          </w:tcPr>
          <w:p>
            <w:pPr>
              <w:pStyle w:val="13"/>
            </w:pPr>
            <w:r>
              <w:t>严格进行成本管控，按照上级3.5米宽路每公里农村公路建设补助标准，安排支出</w:t>
            </w:r>
          </w:p>
        </w:tc>
        <w:tc>
          <w:tcPr>
            <w:tcW w:w="2268" w:type="dxa"/>
            <w:vAlign w:val="center"/>
          </w:tcPr>
          <w:p>
            <w:pPr>
              <w:pStyle w:val="13"/>
            </w:pPr>
            <w:r>
              <w:t>≤26万元/公里</w:t>
            </w:r>
          </w:p>
        </w:tc>
        <w:tc>
          <w:tcPr>
            <w:tcW w:w="1276" w:type="dxa"/>
            <w:vAlign w:val="center"/>
          </w:tcPr>
          <w:p>
            <w:pPr>
              <w:pStyle w:val="13"/>
            </w:pPr>
            <w:r>
              <w:t>上级有关补助资金使用文件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拉动经济发展</w:t>
            </w:r>
          </w:p>
        </w:tc>
        <w:tc>
          <w:tcPr>
            <w:tcW w:w="5386" w:type="dxa"/>
            <w:vAlign w:val="center"/>
          </w:tcPr>
          <w:p>
            <w:pPr>
              <w:pStyle w:val="13"/>
            </w:pPr>
            <w:r>
              <w:t>在公路建设中拉动地区经济发展；公路建成运营后创造价值；方便了公路沿线乡镇与外界的交流。</w:t>
            </w:r>
          </w:p>
        </w:tc>
        <w:tc>
          <w:tcPr>
            <w:tcW w:w="2268" w:type="dxa"/>
            <w:vAlign w:val="center"/>
          </w:tcPr>
          <w:p>
            <w:pPr>
              <w:pStyle w:val="13"/>
            </w:pPr>
            <w:r>
              <w:t>≥500万元</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改善出行条件影响面</w:t>
            </w:r>
          </w:p>
        </w:tc>
        <w:tc>
          <w:tcPr>
            <w:tcW w:w="5386" w:type="dxa"/>
            <w:vAlign w:val="center"/>
          </w:tcPr>
          <w:p>
            <w:pPr>
              <w:pStyle w:val="13"/>
            </w:pPr>
            <w:r>
              <w:t>改善居民的出行条件和村镇面貌，促进美丽乡村建设，构建和谐社会。解决周边群众出行难</w:t>
            </w:r>
          </w:p>
        </w:tc>
        <w:tc>
          <w:tcPr>
            <w:tcW w:w="2268" w:type="dxa"/>
            <w:vAlign w:val="center"/>
          </w:tcPr>
          <w:p>
            <w:pPr>
              <w:pStyle w:val="13"/>
            </w:pPr>
            <w:r>
              <w:t>≥8万人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道路完好使用年限</w:t>
            </w:r>
          </w:p>
        </w:tc>
        <w:tc>
          <w:tcPr>
            <w:tcW w:w="5386" w:type="dxa"/>
            <w:vAlign w:val="center"/>
          </w:tcPr>
          <w:p>
            <w:pPr>
              <w:pStyle w:val="13"/>
            </w:pPr>
            <w:r>
              <w:t>道路完好使用年限</w:t>
            </w:r>
          </w:p>
        </w:tc>
        <w:tc>
          <w:tcPr>
            <w:tcW w:w="2268" w:type="dxa"/>
            <w:vAlign w:val="center"/>
          </w:tcPr>
          <w:p>
            <w:pPr>
              <w:pStyle w:val="13"/>
            </w:pPr>
            <w:r>
              <w:t>≥8年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改善通行服务水平群众满意度</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12、关于提前下达2025年农村公路建设养护发展专项资金的通知-养护工程补助（冀财建[2024]281号）绩效目标表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13032125P00007610004F</w:t>
            </w:r>
          </w:p>
        </w:tc>
        <w:tc>
          <w:tcPr>
            <w:tcW w:w="2835" w:type="dxa"/>
            <w:vAlign w:val="center"/>
          </w:tcPr>
          <w:p>
            <w:pPr>
              <w:pStyle w:val="11"/>
            </w:pPr>
            <w:r>
              <w:t>项目名称</w:t>
            </w:r>
          </w:p>
        </w:tc>
        <w:tc>
          <w:tcPr>
            <w:tcW w:w="6095" w:type="dxa"/>
            <w:gridSpan w:val="3"/>
            <w:vAlign w:val="center"/>
          </w:tcPr>
          <w:p>
            <w:pPr>
              <w:pStyle w:val="13"/>
            </w:pPr>
            <w:r>
              <w:t>关于提前下达2025年农村公路建设养护发展专项资金的通知-养护工程补助（冀财建[2024]281号）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183.00</w:t>
            </w:r>
          </w:p>
        </w:tc>
        <w:tc>
          <w:tcPr>
            <w:tcW w:w="2835" w:type="dxa"/>
            <w:vAlign w:val="center"/>
          </w:tcPr>
          <w:p>
            <w:pPr>
              <w:pStyle w:val="11"/>
            </w:pPr>
            <w:r>
              <w:t>其中：财政    资金</w:t>
            </w:r>
          </w:p>
        </w:tc>
        <w:tc>
          <w:tcPr>
            <w:tcW w:w="2551" w:type="dxa"/>
            <w:vAlign w:val="center"/>
          </w:tcPr>
          <w:p>
            <w:pPr>
              <w:pStyle w:val="13"/>
            </w:pPr>
            <w:r>
              <w:t>183.00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预算数183万元，其中财政资金183万元，主要用于2025年农村公路养护工程补助资金支出。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1.通过完成农村公路养护，保障道路交通安全，降低事故发生率。</w:t>
            </w:r>
          </w:p>
          <w:p>
            <w:pPr>
              <w:pStyle w:val="13"/>
            </w:pPr>
            <w:r>
              <w:t>2.通过完成对农村公路养护工程工作，保证当地百姓正常出行，保障公路畅通。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路基路面维修里程数</w:t>
            </w:r>
          </w:p>
        </w:tc>
        <w:tc>
          <w:tcPr>
            <w:tcW w:w="5386" w:type="dxa"/>
            <w:vAlign w:val="center"/>
          </w:tcPr>
          <w:p>
            <w:pPr>
              <w:pStyle w:val="13"/>
            </w:pPr>
            <w:r>
              <w:t>反应路基路面整修的公里数</w:t>
            </w:r>
          </w:p>
        </w:tc>
        <w:tc>
          <w:tcPr>
            <w:tcW w:w="2268" w:type="dxa"/>
            <w:vAlign w:val="center"/>
          </w:tcPr>
          <w:p>
            <w:pPr>
              <w:pStyle w:val="13"/>
            </w:pPr>
            <w:r>
              <w:t>≥100公里</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公路两旁防护挡墙面积</w:t>
            </w:r>
          </w:p>
        </w:tc>
        <w:tc>
          <w:tcPr>
            <w:tcW w:w="5386" w:type="dxa"/>
            <w:vAlign w:val="center"/>
          </w:tcPr>
          <w:p>
            <w:pPr>
              <w:pStyle w:val="13"/>
            </w:pPr>
            <w:r>
              <w:t>反应公路两旁防护挡墙工程量</w:t>
            </w:r>
          </w:p>
        </w:tc>
        <w:tc>
          <w:tcPr>
            <w:tcW w:w="2268" w:type="dxa"/>
            <w:vAlign w:val="center"/>
          </w:tcPr>
          <w:p>
            <w:pPr>
              <w:pStyle w:val="13"/>
            </w:pPr>
            <w:r>
              <w:t>≥8310立方米</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道路良好率</w:t>
            </w:r>
          </w:p>
        </w:tc>
        <w:tc>
          <w:tcPr>
            <w:tcW w:w="5386" w:type="dxa"/>
            <w:vAlign w:val="center"/>
          </w:tcPr>
          <w:p>
            <w:pPr>
              <w:pStyle w:val="13"/>
            </w:pPr>
            <w:r>
              <w:t>优、良、中等路占比</w:t>
            </w:r>
          </w:p>
        </w:tc>
        <w:tc>
          <w:tcPr>
            <w:tcW w:w="2268" w:type="dxa"/>
            <w:vAlign w:val="center"/>
          </w:tcPr>
          <w:p>
            <w:pPr>
              <w:pStyle w:val="13"/>
            </w:pPr>
            <w:r>
              <w:t>≥75%</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建设工程质量合格率</w:t>
            </w:r>
          </w:p>
        </w:tc>
        <w:tc>
          <w:tcPr>
            <w:tcW w:w="5386" w:type="dxa"/>
            <w:vAlign w:val="center"/>
          </w:tcPr>
          <w:p>
            <w:pPr>
              <w:pStyle w:val="13"/>
            </w:pPr>
            <w:r>
              <w:t>质监部门出具合格的建设工程数量占总建设数量的比率</w:t>
            </w:r>
          </w:p>
        </w:tc>
        <w:tc>
          <w:tcPr>
            <w:tcW w:w="2268" w:type="dxa"/>
            <w:vAlign w:val="center"/>
          </w:tcPr>
          <w:p>
            <w:pPr>
              <w:pStyle w:val="13"/>
            </w:pPr>
            <w:r>
              <w:t>100%</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按计划完成各项工作</w:t>
            </w:r>
          </w:p>
        </w:tc>
        <w:tc>
          <w:tcPr>
            <w:tcW w:w="2268" w:type="dxa"/>
            <w:vAlign w:val="center"/>
          </w:tcPr>
          <w:p>
            <w:pPr>
              <w:pStyle w:val="13"/>
            </w:pPr>
            <w:r>
              <w:t>100%</w:t>
            </w:r>
          </w:p>
        </w:tc>
        <w:tc>
          <w:tcPr>
            <w:tcW w:w="1276" w:type="dxa"/>
            <w:vAlign w:val="center"/>
          </w:tcPr>
          <w:p>
            <w:pPr>
              <w:pStyle w:val="13"/>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养护工程费用</w:t>
            </w:r>
          </w:p>
        </w:tc>
        <w:tc>
          <w:tcPr>
            <w:tcW w:w="5386" w:type="dxa"/>
            <w:vAlign w:val="center"/>
          </w:tcPr>
          <w:p>
            <w:pPr>
              <w:pStyle w:val="13"/>
            </w:pPr>
            <w:r>
              <w:t>公路养护工程费用</w:t>
            </w:r>
          </w:p>
        </w:tc>
        <w:tc>
          <w:tcPr>
            <w:tcW w:w="2268" w:type="dxa"/>
            <w:vAlign w:val="center"/>
          </w:tcPr>
          <w:p>
            <w:pPr>
              <w:pStyle w:val="13"/>
            </w:pPr>
            <w:r>
              <w:t>≤90万元</w:t>
            </w:r>
          </w:p>
        </w:tc>
        <w:tc>
          <w:tcPr>
            <w:tcW w:w="1276" w:type="dxa"/>
            <w:vAlign w:val="center"/>
          </w:tcPr>
          <w:p>
            <w:pPr>
              <w:pStyle w:val="13"/>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养护人员成本费用</w:t>
            </w:r>
          </w:p>
        </w:tc>
        <w:tc>
          <w:tcPr>
            <w:tcW w:w="5386" w:type="dxa"/>
            <w:vAlign w:val="center"/>
          </w:tcPr>
          <w:p>
            <w:pPr>
              <w:pStyle w:val="13"/>
            </w:pPr>
            <w:r>
              <w:t>养护人员成本费用</w:t>
            </w:r>
          </w:p>
        </w:tc>
        <w:tc>
          <w:tcPr>
            <w:tcW w:w="2268" w:type="dxa"/>
            <w:vAlign w:val="center"/>
          </w:tcPr>
          <w:p>
            <w:pPr>
              <w:pStyle w:val="13"/>
            </w:pPr>
            <w:r>
              <w:t>≤93万元</w:t>
            </w:r>
          </w:p>
        </w:tc>
        <w:tc>
          <w:tcPr>
            <w:tcW w:w="1276" w:type="dxa"/>
            <w:vAlign w:val="center"/>
          </w:tcPr>
          <w:p>
            <w:pPr>
              <w:pStyle w:val="13"/>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减少事故发生率</w:t>
            </w:r>
          </w:p>
        </w:tc>
        <w:tc>
          <w:tcPr>
            <w:tcW w:w="5386" w:type="dxa"/>
            <w:vAlign w:val="center"/>
          </w:tcPr>
          <w:p>
            <w:pPr>
              <w:pStyle w:val="13"/>
            </w:pPr>
            <w:r>
              <w:t>降低事故发生率</w:t>
            </w:r>
          </w:p>
        </w:tc>
        <w:tc>
          <w:tcPr>
            <w:tcW w:w="2268" w:type="dxa"/>
            <w:vAlign w:val="center"/>
          </w:tcPr>
          <w:p>
            <w:pPr>
              <w:pStyle w:val="13"/>
            </w:pPr>
            <w:r>
              <w:t>≥10%</w:t>
            </w:r>
          </w:p>
        </w:tc>
        <w:tc>
          <w:tcPr>
            <w:tcW w:w="1276" w:type="dxa"/>
            <w:vAlign w:val="center"/>
          </w:tcPr>
          <w:p>
            <w:pPr>
              <w:pStyle w:val="13"/>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农村公路发展适应交通需求</w:t>
            </w:r>
          </w:p>
        </w:tc>
        <w:tc>
          <w:tcPr>
            <w:tcW w:w="2268" w:type="dxa"/>
            <w:vAlign w:val="center"/>
          </w:tcPr>
          <w:p>
            <w:pPr>
              <w:pStyle w:val="13"/>
            </w:pPr>
            <w:r>
              <w:t>≥10年</w:t>
            </w:r>
          </w:p>
        </w:tc>
        <w:tc>
          <w:tcPr>
            <w:tcW w:w="1276" w:type="dxa"/>
            <w:vAlign w:val="center"/>
          </w:tcPr>
          <w:p>
            <w:pPr>
              <w:pStyle w:val="13"/>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13、关于提前下达2025年农村客运补贴、城市交通发展奖励资金预算的通知-城市交通发展奖励资金（冀财建[2024]248号）绩效目标表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13032125P000086100033</w:t>
            </w:r>
          </w:p>
        </w:tc>
        <w:tc>
          <w:tcPr>
            <w:tcW w:w="2835" w:type="dxa"/>
            <w:vAlign w:val="center"/>
          </w:tcPr>
          <w:p>
            <w:pPr>
              <w:pStyle w:val="11"/>
            </w:pPr>
            <w:r>
              <w:t>项目名称</w:t>
            </w:r>
          </w:p>
        </w:tc>
        <w:tc>
          <w:tcPr>
            <w:tcW w:w="6095" w:type="dxa"/>
            <w:gridSpan w:val="3"/>
            <w:vAlign w:val="center"/>
          </w:tcPr>
          <w:p>
            <w:pPr>
              <w:pStyle w:val="13"/>
            </w:pPr>
            <w:r>
              <w:t>关于提前下达2025年农村客运补贴、城市交通发展奖励资金预算的通知-城市交通发展奖励资金（冀财建[2024]248号）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45.87</w:t>
            </w:r>
          </w:p>
        </w:tc>
        <w:tc>
          <w:tcPr>
            <w:tcW w:w="2835" w:type="dxa"/>
            <w:vAlign w:val="center"/>
          </w:tcPr>
          <w:p>
            <w:pPr>
              <w:pStyle w:val="11"/>
            </w:pPr>
            <w:r>
              <w:t>其中：财政    资金</w:t>
            </w:r>
          </w:p>
        </w:tc>
        <w:tc>
          <w:tcPr>
            <w:tcW w:w="2551" w:type="dxa"/>
            <w:vAlign w:val="center"/>
          </w:tcPr>
          <w:p>
            <w:pPr>
              <w:pStyle w:val="13"/>
            </w:pPr>
            <w:r>
              <w:t>45.87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预算数45.87万元，其中财政资金45.87万元，主要用于城市交通发展奖励资金支出。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1.通过对城市交通领域新能源车运营进行补贴的发放，促进城市公共交通发展。</w:t>
            </w:r>
          </w:p>
          <w:p>
            <w:pPr>
              <w:pStyle w:val="13"/>
            </w:pPr>
            <w:r>
              <w:t>2.通过对城市运营补贴的及时发放，对巡游出租车进行运营补贴，维护出租车行业稳定。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巡游出租车运营补贴月数</w:t>
            </w:r>
          </w:p>
        </w:tc>
        <w:tc>
          <w:tcPr>
            <w:tcW w:w="5386" w:type="dxa"/>
            <w:vAlign w:val="center"/>
          </w:tcPr>
          <w:p>
            <w:pPr>
              <w:pStyle w:val="13"/>
            </w:pPr>
            <w:r>
              <w:t>巡游出租车运营月数不少于规定数</w:t>
            </w:r>
          </w:p>
        </w:tc>
        <w:tc>
          <w:tcPr>
            <w:tcW w:w="2268" w:type="dxa"/>
            <w:vAlign w:val="center"/>
          </w:tcPr>
          <w:p>
            <w:pPr>
              <w:pStyle w:val="13"/>
            </w:pPr>
            <w:r>
              <w:t>≥2256月</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新能源巡游出租车运营奖励月数</w:t>
            </w:r>
          </w:p>
        </w:tc>
        <w:tc>
          <w:tcPr>
            <w:tcW w:w="5386" w:type="dxa"/>
            <w:vAlign w:val="center"/>
          </w:tcPr>
          <w:p>
            <w:pPr>
              <w:pStyle w:val="13"/>
            </w:pPr>
            <w:r>
              <w:t>新能源巡游出租车运营月数不少于规定数</w:t>
            </w:r>
          </w:p>
        </w:tc>
        <w:tc>
          <w:tcPr>
            <w:tcW w:w="2268" w:type="dxa"/>
            <w:vAlign w:val="center"/>
          </w:tcPr>
          <w:p>
            <w:pPr>
              <w:pStyle w:val="13"/>
            </w:pPr>
            <w:r>
              <w:t>≥72月</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资金使用合规性</w:t>
            </w:r>
          </w:p>
        </w:tc>
        <w:tc>
          <w:tcPr>
            <w:tcW w:w="5386" w:type="dxa"/>
            <w:vAlign w:val="center"/>
          </w:tcPr>
          <w:p>
            <w:pPr>
              <w:pStyle w:val="13"/>
            </w:pPr>
            <w:r>
              <w:t>资金发放程序规范，资金使用合规</w:t>
            </w:r>
          </w:p>
        </w:tc>
        <w:tc>
          <w:tcPr>
            <w:tcW w:w="2268" w:type="dxa"/>
            <w:vAlign w:val="center"/>
          </w:tcPr>
          <w:p>
            <w:pPr>
              <w:pStyle w:val="13"/>
            </w:pPr>
            <w:r>
              <w:t>100%</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完成项目的时效</w:t>
            </w:r>
          </w:p>
        </w:tc>
        <w:tc>
          <w:tcPr>
            <w:tcW w:w="5386" w:type="dxa"/>
            <w:vAlign w:val="center"/>
          </w:tcPr>
          <w:p>
            <w:pPr>
              <w:pStyle w:val="13"/>
            </w:pPr>
            <w:r>
              <w:t>按相关文件要求时限完成工作</w:t>
            </w:r>
          </w:p>
        </w:tc>
        <w:tc>
          <w:tcPr>
            <w:tcW w:w="2268" w:type="dxa"/>
            <w:vAlign w:val="center"/>
          </w:tcPr>
          <w:p>
            <w:pPr>
              <w:pStyle w:val="13"/>
            </w:pPr>
            <w:r>
              <w:t>100%</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补贴资金使用控制数</w:t>
            </w:r>
          </w:p>
        </w:tc>
        <w:tc>
          <w:tcPr>
            <w:tcW w:w="5386" w:type="dxa"/>
            <w:vAlign w:val="center"/>
          </w:tcPr>
          <w:p>
            <w:pPr>
              <w:pStyle w:val="13"/>
            </w:pPr>
            <w:r>
              <w:t>严格按照补助资金下达数支付资金</w:t>
            </w:r>
          </w:p>
        </w:tc>
        <w:tc>
          <w:tcPr>
            <w:tcW w:w="2268" w:type="dxa"/>
            <w:vAlign w:val="center"/>
          </w:tcPr>
          <w:p>
            <w:pPr>
              <w:pStyle w:val="13"/>
            </w:pPr>
            <w:r>
              <w:t>≤45.87万元</w:t>
            </w:r>
          </w:p>
        </w:tc>
        <w:tc>
          <w:tcPr>
            <w:tcW w:w="1276" w:type="dxa"/>
            <w:vAlign w:val="center"/>
          </w:tcPr>
          <w:p>
            <w:pPr>
              <w:pStyle w:val="13"/>
            </w:pPr>
            <w:r>
              <w:t>预算指标下达文件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经济影响</w:t>
            </w:r>
          </w:p>
        </w:tc>
        <w:tc>
          <w:tcPr>
            <w:tcW w:w="5386" w:type="dxa"/>
            <w:vAlign w:val="center"/>
          </w:tcPr>
          <w:p>
            <w:pPr>
              <w:pStyle w:val="13"/>
            </w:pPr>
            <w:r>
              <w:t>方便群众出行，拉动周边地区经济增长</w:t>
            </w:r>
          </w:p>
        </w:tc>
        <w:tc>
          <w:tcPr>
            <w:tcW w:w="2268" w:type="dxa"/>
            <w:vAlign w:val="center"/>
          </w:tcPr>
          <w:p>
            <w:pPr>
              <w:pStyle w:val="13"/>
            </w:pPr>
            <w:r>
              <w:t>≥100万元</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项目实现的功能</w:t>
            </w:r>
          </w:p>
        </w:tc>
        <w:tc>
          <w:tcPr>
            <w:tcW w:w="5386" w:type="dxa"/>
            <w:vAlign w:val="center"/>
          </w:tcPr>
          <w:p>
            <w:pPr>
              <w:pStyle w:val="13"/>
            </w:pPr>
            <w:r>
              <w:t>项目实施有效促进出行车行业健康稳定的发展，方便群众出行</w:t>
            </w:r>
          </w:p>
        </w:tc>
        <w:tc>
          <w:tcPr>
            <w:tcW w:w="2268" w:type="dxa"/>
            <w:vAlign w:val="center"/>
          </w:tcPr>
          <w:p>
            <w:pPr>
              <w:pStyle w:val="13"/>
            </w:pPr>
            <w:r>
              <w:t>≥30万人次</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生态影响</w:t>
            </w:r>
          </w:p>
        </w:tc>
        <w:tc>
          <w:tcPr>
            <w:tcW w:w="5386" w:type="dxa"/>
            <w:vAlign w:val="center"/>
          </w:tcPr>
          <w:p>
            <w:pPr>
              <w:pStyle w:val="13"/>
            </w:pPr>
            <w:r>
              <w:t>减少尾气排放，增加受益人口数</w:t>
            </w:r>
          </w:p>
        </w:tc>
        <w:tc>
          <w:tcPr>
            <w:tcW w:w="2268" w:type="dxa"/>
            <w:vAlign w:val="center"/>
          </w:tcPr>
          <w:p>
            <w:pPr>
              <w:pStyle w:val="13"/>
            </w:pPr>
            <w:r>
              <w:t>≥20万人</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w:t>
            </w:r>
          </w:p>
        </w:tc>
        <w:tc>
          <w:tcPr>
            <w:tcW w:w="5386" w:type="dxa"/>
            <w:vAlign w:val="center"/>
          </w:tcPr>
          <w:p>
            <w:pPr>
              <w:pStyle w:val="13"/>
            </w:pPr>
            <w:r>
              <w:t>保证城市交通工作长期有效运行</w:t>
            </w:r>
          </w:p>
        </w:tc>
        <w:tc>
          <w:tcPr>
            <w:tcW w:w="2268" w:type="dxa"/>
            <w:vAlign w:val="center"/>
          </w:tcPr>
          <w:p>
            <w:pPr>
              <w:pStyle w:val="13"/>
            </w:pPr>
            <w:r>
              <w:t>≥10年</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14、关于提前下达2025年农村客运补贴、城市交通发展奖励资金预算的通知-农村客运补贴（冀财建[2024]248号）绩效目标表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13032125P00008610002F</w:t>
            </w:r>
          </w:p>
        </w:tc>
        <w:tc>
          <w:tcPr>
            <w:tcW w:w="2835" w:type="dxa"/>
            <w:vAlign w:val="center"/>
          </w:tcPr>
          <w:p>
            <w:pPr>
              <w:pStyle w:val="11"/>
            </w:pPr>
            <w:r>
              <w:t>项目名称</w:t>
            </w:r>
          </w:p>
        </w:tc>
        <w:tc>
          <w:tcPr>
            <w:tcW w:w="6095" w:type="dxa"/>
            <w:gridSpan w:val="3"/>
            <w:vAlign w:val="center"/>
          </w:tcPr>
          <w:p>
            <w:pPr>
              <w:pStyle w:val="13"/>
            </w:pPr>
            <w:r>
              <w:t>关于提前下达2025年农村客运补贴、城市交通发展奖励资金预算的通知-农村客运补贴（冀财建[2024]248号）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104.15</w:t>
            </w:r>
          </w:p>
        </w:tc>
        <w:tc>
          <w:tcPr>
            <w:tcW w:w="2835" w:type="dxa"/>
            <w:vAlign w:val="center"/>
          </w:tcPr>
          <w:p>
            <w:pPr>
              <w:pStyle w:val="11"/>
            </w:pPr>
            <w:r>
              <w:t>其中：财政    资金</w:t>
            </w:r>
          </w:p>
        </w:tc>
        <w:tc>
          <w:tcPr>
            <w:tcW w:w="2551" w:type="dxa"/>
            <w:vAlign w:val="center"/>
          </w:tcPr>
          <w:p>
            <w:pPr>
              <w:pStyle w:val="13"/>
            </w:pPr>
            <w:r>
              <w:t>104.15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预算数104.15万元，其中财政资金104.15万元，主要用于农村道路客运补贴资金支出。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1.通过开展农村客运班车及向农村延伸公交车运营补贴工作，保障农村道路客运健康发展，提高运营服务水平。</w:t>
            </w:r>
          </w:p>
          <w:p>
            <w:pPr>
              <w:pStyle w:val="13"/>
            </w:pPr>
            <w:r>
              <w:t>2.通过开展农村客运站运行补贴审核发放工作，保障乡镇和建制村通客车的汽车客运站正常运转。</w:t>
            </w:r>
            <w:r>
              <w:tab/>
            </w:r>
            <w:r>
              <w:tab/>
            </w:r>
            <w:r>
              <w:tab/>
            </w:r>
          </w:p>
          <w:p>
            <w:pPr>
              <w:pStyle w:val="13"/>
            </w:pPr>
            <w:r>
              <w:t>3.通过开展运营补贴审核发放工作，保障乡镇和建制村通客车的农村客运班车和城市公共汽电车向农村延伸覆盖。</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城市公交车数量</w:t>
            </w:r>
          </w:p>
        </w:tc>
        <w:tc>
          <w:tcPr>
            <w:tcW w:w="5386" w:type="dxa"/>
            <w:vAlign w:val="center"/>
          </w:tcPr>
          <w:p>
            <w:pPr>
              <w:pStyle w:val="13"/>
            </w:pPr>
            <w:r>
              <w:t>反映城市公共汽电车延伸至农村的城市公交车数量</w:t>
            </w:r>
          </w:p>
        </w:tc>
        <w:tc>
          <w:tcPr>
            <w:tcW w:w="2268" w:type="dxa"/>
            <w:vAlign w:val="center"/>
          </w:tcPr>
          <w:p>
            <w:pPr>
              <w:pStyle w:val="13"/>
            </w:pPr>
            <w:r>
              <w:t>70辆</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三级以上汽车客运站运营数</w:t>
            </w:r>
          </w:p>
        </w:tc>
        <w:tc>
          <w:tcPr>
            <w:tcW w:w="5386" w:type="dxa"/>
            <w:vAlign w:val="center"/>
          </w:tcPr>
          <w:p>
            <w:pPr>
              <w:pStyle w:val="13"/>
            </w:pPr>
            <w:r>
              <w:t>保障服务建制村通客车的三级以上汽车客运站运营数量</w:t>
            </w:r>
          </w:p>
        </w:tc>
        <w:tc>
          <w:tcPr>
            <w:tcW w:w="2268" w:type="dxa"/>
            <w:vAlign w:val="center"/>
          </w:tcPr>
          <w:p>
            <w:pPr>
              <w:pStyle w:val="13"/>
            </w:pPr>
            <w:r>
              <w:t>1个</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资金使用合规性</w:t>
            </w:r>
          </w:p>
        </w:tc>
        <w:tc>
          <w:tcPr>
            <w:tcW w:w="5386" w:type="dxa"/>
            <w:vAlign w:val="center"/>
          </w:tcPr>
          <w:p>
            <w:pPr>
              <w:pStyle w:val="13"/>
            </w:pPr>
            <w:r>
              <w:t>资金发放程序规范，资金使用合规</w:t>
            </w:r>
          </w:p>
        </w:tc>
        <w:tc>
          <w:tcPr>
            <w:tcW w:w="2268" w:type="dxa"/>
            <w:vAlign w:val="center"/>
          </w:tcPr>
          <w:p>
            <w:pPr>
              <w:pStyle w:val="13"/>
            </w:pPr>
            <w:r>
              <w:t>100%</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按相关文件要求时限完成工作</w:t>
            </w:r>
          </w:p>
        </w:tc>
        <w:tc>
          <w:tcPr>
            <w:tcW w:w="2268" w:type="dxa"/>
            <w:vAlign w:val="center"/>
          </w:tcPr>
          <w:p>
            <w:pPr>
              <w:pStyle w:val="13"/>
            </w:pPr>
            <w:r>
              <w:t>100%</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补贴资金使用控制数</w:t>
            </w:r>
          </w:p>
        </w:tc>
        <w:tc>
          <w:tcPr>
            <w:tcW w:w="5386" w:type="dxa"/>
            <w:vAlign w:val="center"/>
          </w:tcPr>
          <w:p>
            <w:pPr>
              <w:pStyle w:val="13"/>
            </w:pPr>
            <w:r>
              <w:t>严格按照补助资金下达数支付资金</w:t>
            </w:r>
          </w:p>
        </w:tc>
        <w:tc>
          <w:tcPr>
            <w:tcW w:w="2268" w:type="dxa"/>
            <w:vAlign w:val="center"/>
          </w:tcPr>
          <w:p>
            <w:pPr>
              <w:pStyle w:val="13"/>
            </w:pPr>
            <w:r>
              <w:t>≤104.15万元</w:t>
            </w:r>
          </w:p>
        </w:tc>
        <w:tc>
          <w:tcPr>
            <w:tcW w:w="1276" w:type="dxa"/>
            <w:vAlign w:val="center"/>
          </w:tcPr>
          <w:p>
            <w:pPr>
              <w:pStyle w:val="13"/>
            </w:pPr>
            <w:r>
              <w:t>预算指标下达文件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经济影响</w:t>
            </w:r>
          </w:p>
        </w:tc>
        <w:tc>
          <w:tcPr>
            <w:tcW w:w="5386" w:type="dxa"/>
            <w:vAlign w:val="center"/>
          </w:tcPr>
          <w:p>
            <w:pPr>
              <w:pStyle w:val="13"/>
            </w:pPr>
            <w:r>
              <w:t>方便群众出行，拉动周边地区经济增长</w:t>
            </w:r>
          </w:p>
        </w:tc>
        <w:tc>
          <w:tcPr>
            <w:tcW w:w="2268" w:type="dxa"/>
            <w:vAlign w:val="center"/>
          </w:tcPr>
          <w:p>
            <w:pPr>
              <w:pStyle w:val="13"/>
            </w:pPr>
            <w:r>
              <w:t>≥100万元</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项目实施有效保证农村客运班车正常运行，方便群众出行</w:t>
            </w:r>
          </w:p>
        </w:tc>
        <w:tc>
          <w:tcPr>
            <w:tcW w:w="2268" w:type="dxa"/>
            <w:vAlign w:val="center"/>
          </w:tcPr>
          <w:p>
            <w:pPr>
              <w:pStyle w:val="13"/>
            </w:pPr>
            <w:r>
              <w:t>≥15万人次</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生态影响</w:t>
            </w:r>
          </w:p>
        </w:tc>
        <w:tc>
          <w:tcPr>
            <w:tcW w:w="5386" w:type="dxa"/>
            <w:vAlign w:val="center"/>
          </w:tcPr>
          <w:p>
            <w:pPr>
              <w:pStyle w:val="13"/>
            </w:pPr>
            <w:r>
              <w:t>减少尾气排放，增加受益人口数</w:t>
            </w:r>
          </w:p>
        </w:tc>
        <w:tc>
          <w:tcPr>
            <w:tcW w:w="2268" w:type="dxa"/>
            <w:vAlign w:val="center"/>
          </w:tcPr>
          <w:p>
            <w:pPr>
              <w:pStyle w:val="13"/>
            </w:pPr>
            <w:r>
              <w:t>≥20万人次</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w:t>
            </w:r>
          </w:p>
        </w:tc>
        <w:tc>
          <w:tcPr>
            <w:tcW w:w="5386" w:type="dxa"/>
            <w:vAlign w:val="center"/>
          </w:tcPr>
          <w:p>
            <w:pPr>
              <w:pStyle w:val="13"/>
            </w:pPr>
            <w:r>
              <w:t>保证农村客运工作长期有效运行</w:t>
            </w:r>
          </w:p>
        </w:tc>
        <w:tc>
          <w:tcPr>
            <w:tcW w:w="2268" w:type="dxa"/>
            <w:vAlign w:val="center"/>
          </w:tcPr>
          <w:p>
            <w:pPr>
              <w:pStyle w:val="13"/>
            </w:pPr>
            <w:r>
              <w:t>≥10年</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15、关于提前下达2026年交通运输领域专项资金预算（第一批）的通知（冀财建[2025]241号）-农村公路建设改造补助绩效目标表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13032126P000088100029</w:t>
            </w:r>
          </w:p>
        </w:tc>
        <w:tc>
          <w:tcPr>
            <w:tcW w:w="2835" w:type="dxa"/>
            <w:vAlign w:val="center"/>
          </w:tcPr>
          <w:p>
            <w:pPr>
              <w:pStyle w:val="11"/>
            </w:pPr>
            <w:r>
              <w:t>项目名称</w:t>
            </w:r>
          </w:p>
        </w:tc>
        <w:tc>
          <w:tcPr>
            <w:tcW w:w="6095" w:type="dxa"/>
            <w:gridSpan w:val="3"/>
            <w:vAlign w:val="center"/>
          </w:tcPr>
          <w:p>
            <w:pPr>
              <w:pStyle w:val="13"/>
            </w:pPr>
            <w:r>
              <w:t>关于提前下达2026年交通运输领域专项资金预算（第一批）的通知（冀财建[2025]241号）-农村公路建设改造补助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1368.00</w:t>
            </w:r>
          </w:p>
        </w:tc>
        <w:tc>
          <w:tcPr>
            <w:tcW w:w="2835" w:type="dxa"/>
            <w:vAlign w:val="center"/>
          </w:tcPr>
          <w:p>
            <w:pPr>
              <w:pStyle w:val="11"/>
            </w:pPr>
            <w:r>
              <w:t>其中：财政    资金</w:t>
            </w:r>
          </w:p>
        </w:tc>
        <w:tc>
          <w:tcPr>
            <w:tcW w:w="2551" w:type="dxa"/>
            <w:vAlign w:val="center"/>
          </w:tcPr>
          <w:p>
            <w:pPr>
              <w:pStyle w:val="13"/>
            </w:pPr>
            <w:r>
              <w:t>1368.00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预算数1368万元，其中财政资金1368万元，主要用于农村公路建设改造补助资金支出。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1.通过项目实施，增加公众满意度，使公众满意度≥90%。</w:t>
            </w:r>
          </w:p>
          <w:p>
            <w:pPr>
              <w:pStyle w:val="13"/>
            </w:pPr>
            <w:r>
              <w:t>2.通过完成农村公路建设改造工程，加强农村公路基础设施建设，改善区域内交通状况。</w:t>
            </w:r>
          </w:p>
          <w:p>
            <w:pPr>
              <w:pStyle w:val="13"/>
            </w:pPr>
            <w:r>
              <w:t>3.通过改善路况和路域环境，增强通行能力，方便群众出行，拉动地区经济增长。</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完成农村公路建设改造里程</w:t>
            </w:r>
          </w:p>
        </w:tc>
        <w:tc>
          <w:tcPr>
            <w:tcW w:w="5386" w:type="dxa"/>
            <w:vAlign w:val="center"/>
          </w:tcPr>
          <w:p>
            <w:pPr>
              <w:pStyle w:val="13"/>
            </w:pPr>
            <w:r>
              <w:t>反应实际完成农村公路建设改造里程</w:t>
            </w:r>
          </w:p>
        </w:tc>
        <w:tc>
          <w:tcPr>
            <w:tcW w:w="2268" w:type="dxa"/>
            <w:vAlign w:val="center"/>
          </w:tcPr>
          <w:p>
            <w:pPr>
              <w:pStyle w:val="13"/>
            </w:pPr>
            <w:r>
              <w:t>≥50公里</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完成农村公路建设改造宽度</w:t>
            </w:r>
          </w:p>
        </w:tc>
        <w:tc>
          <w:tcPr>
            <w:tcW w:w="5386" w:type="dxa"/>
            <w:vAlign w:val="center"/>
          </w:tcPr>
          <w:p>
            <w:pPr>
              <w:pStyle w:val="13"/>
            </w:pPr>
            <w:r>
              <w:t>反应实际完农村公路建设改造宽度</w:t>
            </w:r>
          </w:p>
        </w:tc>
        <w:tc>
          <w:tcPr>
            <w:tcW w:w="2268" w:type="dxa"/>
            <w:vAlign w:val="center"/>
          </w:tcPr>
          <w:p>
            <w:pPr>
              <w:pStyle w:val="13"/>
            </w:pPr>
            <w:r>
              <w:t>≥3.5米</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按照工程进度，已完成工程达到合格标准比率，依据相关检测评定标准</w:t>
            </w:r>
          </w:p>
        </w:tc>
        <w:tc>
          <w:tcPr>
            <w:tcW w:w="2268" w:type="dxa"/>
            <w:vAlign w:val="center"/>
          </w:tcPr>
          <w:p>
            <w:pPr>
              <w:pStyle w:val="13"/>
            </w:pPr>
            <w:r>
              <w:t>100%</w:t>
            </w:r>
          </w:p>
        </w:tc>
        <w:tc>
          <w:tcPr>
            <w:tcW w:w="1276" w:type="dxa"/>
            <w:vAlign w:val="center"/>
          </w:tcPr>
          <w:p>
            <w:pPr>
              <w:pStyle w:val="13"/>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完成年度投资计划</w:t>
            </w:r>
          </w:p>
        </w:tc>
        <w:tc>
          <w:tcPr>
            <w:tcW w:w="5386" w:type="dxa"/>
            <w:vAlign w:val="center"/>
          </w:tcPr>
          <w:p>
            <w:pPr>
              <w:pStyle w:val="13"/>
            </w:pPr>
            <w:r>
              <w:t>按期完成年度投资计划</w:t>
            </w:r>
          </w:p>
        </w:tc>
        <w:tc>
          <w:tcPr>
            <w:tcW w:w="2268" w:type="dxa"/>
            <w:vAlign w:val="center"/>
          </w:tcPr>
          <w:p>
            <w:pPr>
              <w:pStyle w:val="13"/>
            </w:pPr>
            <w:r>
              <w:t>100%</w:t>
            </w:r>
          </w:p>
        </w:tc>
        <w:tc>
          <w:tcPr>
            <w:tcW w:w="1276" w:type="dxa"/>
            <w:vAlign w:val="center"/>
          </w:tcPr>
          <w:p>
            <w:pPr>
              <w:pStyle w:val="13"/>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道路改建成本(建筑安装工程费)</w:t>
            </w:r>
          </w:p>
        </w:tc>
        <w:tc>
          <w:tcPr>
            <w:tcW w:w="5386" w:type="dxa"/>
            <w:vAlign w:val="center"/>
          </w:tcPr>
          <w:p>
            <w:pPr>
              <w:pStyle w:val="13"/>
            </w:pPr>
            <w:r>
              <w:t>严格进行成本管控，按照政府招投标相关文件及合同支付要求进行资金的支付</w:t>
            </w:r>
          </w:p>
        </w:tc>
        <w:tc>
          <w:tcPr>
            <w:tcW w:w="2268" w:type="dxa"/>
            <w:vAlign w:val="center"/>
          </w:tcPr>
          <w:p>
            <w:pPr>
              <w:pStyle w:val="13"/>
            </w:pPr>
            <w:r>
              <w:t>≤1368万元</w:t>
            </w:r>
          </w:p>
        </w:tc>
        <w:tc>
          <w:tcPr>
            <w:tcW w:w="1276" w:type="dxa"/>
            <w:vAlign w:val="center"/>
          </w:tcPr>
          <w:p>
            <w:pPr>
              <w:pStyle w:val="13"/>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经济影响</w:t>
            </w:r>
          </w:p>
        </w:tc>
        <w:tc>
          <w:tcPr>
            <w:tcW w:w="5386" w:type="dxa"/>
            <w:vAlign w:val="center"/>
          </w:tcPr>
          <w:p>
            <w:pPr>
              <w:pStyle w:val="13"/>
            </w:pPr>
            <w:r>
              <w:t>带动周边乡村经济增长，促进城乡经济一体化，增加群众收入</w:t>
            </w:r>
          </w:p>
        </w:tc>
        <w:tc>
          <w:tcPr>
            <w:tcW w:w="2268" w:type="dxa"/>
            <w:vAlign w:val="center"/>
          </w:tcPr>
          <w:p>
            <w:pPr>
              <w:pStyle w:val="13"/>
            </w:pPr>
            <w:r>
              <w:t>≥300万元</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改善居民的出行条件和村镇面貌，促进美丽乡村建设，构建和谐社会，解决周边群众出行难。</w:t>
            </w:r>
          </w:p>
        </w:tc>
        <w:tc>
          <w:tcPr>
            <w:tcW w:w="2268" w:type="dxa"/>
            <w:vAlign w:val="center"/>
          </w:tcPr>
          <w:p>
            <w:pPr>
              <w:pStyle w:val="13"/>
            </w:pPr>
            <w:r>
              <w:t>≥4万人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环境影响</w:t>
            </w:r>
          </w:p>
        </w:tc>
        <w:tc>
          <w:tcPr>
            <w:tcW w:w="5386" w:type="dxa"/>
            <w:vAlign w:val="center"/>
          </w:tcPr>
          <w:p>
            <w:pPr>
              <w:pStyle w:val="13"/>
            </w:pPr>
            <w:r>
              <w:t>减少汽车尾气排放，减少扬尘，改善人居环境，增加受益人口。</w:t>
            </w:r>
          </w:p>
        </w:tc>
        <w:tc>
          <w:tcPr>
            <w:tcW w:w="2268" w:type="dxa"/>
            <w:vAlign w:val="center"/>
          </w:tcPr>
          <w:p>
            <w:pPr>
              <w:pStyle w:val="13"/>
            </w:pPr>
            <w:r>
              <w:t>≥5万人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建设改造公路在合理使用年限适应交通需求</w:t>
            </w:r>
          </w:p>
        </w:tc>
        <w:tc>
          <w:tcPr>
            <w:tcW w:w="2268" w:type="dxa"/>
            <w:vAlign w:val="center"/>
          </w:tcPr>
          <w:p>
            <w:pPr>
              <w:pStyle w:val="13"/>
            </w:pPr>
            <w:r>
              <w:t>≥8年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16、关于提前下达2026年农村公路建设养护发展专项资金的通知-建设改造补助（冀财建[2025]235号）绩效目标表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13032126P00007610012J</w:t>
            </w:r>
          </w:p>
        </w:tc>
        <w:tc>
          <w:tcPr>
            <w:tcW w:w="2835" w:type="dxa"/>
            <w:vAlign w:val="center"/>
          </w:tcPr>
          <w:p>
            <w:pPr>
              <w:pStyle w:val="11"/>
            </w:pPr>
            <w:r>
              <w:t>项目名称</w:t>
            </w:r>
          </w:p>
        </w:tc>
        <w:tc>
          <w:tcPr>
            <w:tcW w:w="6095" w:type="dxa"/>
            <w:gridSpan w:val="3"/>
            <w:vAlign w:val="center"/>
          </w:tcPr>
          <w:p>
            <w:pPr>
              <w:pStyle w:val="13"/>
            </w:pPr>
            <w:r>
              <w:t>关于提前下达2026年农村公路建设养护发展专项资金的通知-建设改造补助（冀财建[2025]235号）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361.00</w:t>
            </w:r>
          </w:p>
        </w:tc>
        <w:tc>
          <w:tcPr>
            <w:tcW w:w="2835" w:type="dxa"/>
            <w:vAlign w:val="center"/>
          </w:tcPr>
          <w:p>
            <w:pPr>
              <w:pStyle w:val="11"/>
            </w:pPr>
            <w:r>
              <w:t>其中：财政    资金</w:t>
            </w:r>
          </w:p>
        </w:tc>
        <w:tc>
          <w:tcPr>
            <w:tcW w:w="2551" w:type="dxa"/>
            <w:vAlign w:val="center"/>
          </w:tcPr>
          <w:p>
            <w:pPr>
              <w:pStyle w:val="13"/>
            </w:pPr>
            <w:r>
              <w:t>361.00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预算数361万元，其中财政资金361万元，主要用于农村公路建设改造补助资金支出。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1.通过开展完成农村公路建设改造工程，建设质量达到合格标准，加强农村公路基础设施建设。</w:t>
            </w:r>
            <w:r>
              <w:tab/>
            </w:r>
            <w:r>
              <w:tab/>
            </w:r>
            <w:r>
              <w:tab/>
            </w:r>
            <w:r>
              <w:tab/>
            </w:r>
          </w:p>
          <w:p>
            <w:pPr>
              <w:pStyle w:val="13"/>
            </w:pPr>
            <w:r>
              <w:t>2.通过改善路况，增强通行能力，方便群众出行，拉动地区经济增长。</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完成公路建设里程</w:t>
            </w:r>
          </w:p>
        </w:tc>
        <w:tc>
          <w:tcPr>
            <w:tcW w:w="5386" w:type="dxa"/>
            <w:vAlign w:val="center"/>
          </w:tcPr>
          <w:p>
            <w:pPr>
              <w:pStyle w:val="13"/>
            </w:pPr>
            <w:r>
              <w:t>完成公路建设里程数</w:t>
            </w:r>
          </w:p>
        </w:tc>
        <w:tc>
          <w:tcPr>
            <w:tcW w:w="2268" w:type="dxa"/>
            <w:vAlign w:val="center"/>
          </w:tcPr>
          <w:p>
            <w:pPr>
              <w:pStyle w:val="13"/>
            </w:pPr>
            <w:r>
              <w:t>≥19.6公里</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按照工程进度，已完成工程达到合格标准，依据相关检测评定标准。</w:t>
            </w:r>
          </w:p>
        </w:tc>
        <w:tc>
          <w:tcPr>
            <w:tcW w:w="2268" w:type="dxa"/>
            <w:vAlign w:val="center"/>
          </w:tcPr>
          <w:p>
            <w:pPr>
              <w:pStyle w:val="13"/>
            </w:pPr>
            <w:r>
              <w:t>100%</w:t>
            </w:r>
          </w:p>
        </w:tc>
        <w:tc>
          <w:tcPr>
            <w:tcW w:w="1276" w:type="dxa"/>
            <w:vAlign w:val="center"/>
          </w:tcPr>
          <w:p>
            <w:pPr>
              <w:pStyle w:val="13"/>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工程完工及时性</w:t>
            </w:r>
          </w:p>
        </w:tc>
        <w:tc>
          <w:tcPr>
            <w:tcW w:w="5386" w:type="dxa"/>
            <w:vAlign w:val="center"/>
          </w:tcPr>
          <w:p>
            <w:pPr>
              <w:pStyle w:val="13"/>
            </w:pPr>
            <w:r>
              <w:t>按合同约定及计划完成道路建设工作</w:t>
            </w:r>
          </w:p>
        </w:tc>
        <w:tc>
          <w:tcPr>
            <w:tcW w:w="2268" w:type="dxa"/>
            <w:vAlign w:val="center"/>
          </w:tcPr>
          <w:p>
            <w:pPr>
              <w:pStyle w:val="13"/>
            </w:pPr>
            <w:r>
              <w:t>100%</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道路改建成本</w:t>
            </w:r>
          </w:p>
        </w:tc>
        <w:tc>
          <w:tcPr>
            <w:tcW w:w="5386" w:type="dxa"/>
            <w:vAlign w:val="center"/>
          </w:tcPr>
          <w:p>
            <w:pPr>
              <w:pStyle w:val="13"/>
            </w:pPr>
            <w:r>
              <w:t>严格进行成本管控，按照政府招投标相关文件及合同支付要求进行资金的支付</w:t>
            </w:r>
          </w:p>
        </w:tc>
        <w:tc>
          <w:tcPr>
            <w:tcW w:w="2268" w:type="dxa"/>
            <w:vAlign w:val="center"/>
          </w:tcPr>
          <w:p>
            <w:pPr>
              <w:pStyle w:val="13"/>
            </w:pPr>
            <w:r>
              <w:t>≤361万元</w:t>
            </w:r>
          </w:p>
        </w:tc>
        <w:tc>
          <w:tcPr>
            <w:tcW w:w="1276" w:type="dxa"/>
            <w:vAlign w:val="center"/>
          </w:tcPr>
          <w:p>
            <w:pPr>
              <w:pStyle w:val="13"/>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道路改建平均成本</w:t>
            </w:r>
          </w:p>
        </w:tc>
        <w:tc>
          <w:tcPr>
            <w:tcW w:w="5386" w:type="dxa"/>
            <w:vAlign w:val="center"/>
          </w:tcPr>
          <w:p>
            <w:pPr>
              <w:pStyle w:val="13"/>
            </w:pPr>
            <w:r>
              <w:t>严格进行成本管控，按照上级3.5米宽路每公里农村公路建设补助标准，安排支出</w:t>
            </w:r>
          </w:p>
        </w:tc>
        <w:tc>
          <w:tcPr>
            <w:tcW w:w="2268" w:type="dxa"/>
            <w:vAlign w:val="center"/>
          </w:tcPr>
          <w:p>
            <w:pPr>
              <w:pStyle w:val="13"/>
            </w:pPr>
            <w:r>
              <w:t>≤26万元/公里</w:t>
            </w:r>
          </w:p>
        </w:tc>
        <w:tc>
          <w:tcPr>
            <w:tcW w:w="1276" w:type="dxa"/>
            <w:vAlign w:val="center"/>
          </w:tcPr>
          <w:p>
            <w:pPr>
              <w:pStyle w:val="13"/>
            </w:pPr>
            <w:r>
              <w:t>上级有关补助资金使用文件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拉动经济发展</w:t>
            </w:r>
          </w:p>
        </w:tc>
        <w:tc>
          <w:tcPr>
            <w:tcW w:w="5386" w:type="dxa"/>
            <w:vAlign w:val="center"/>
          </w:tcPr>
          <w:p>
            <w:pPr>
              <w:pStyle w:val="13"/>
            </w:pPr>
            <w:r>
              <w:t>在公路建设中拉动地区经济发展；公路建成运营后创造价值；方便了公路沿线乡镇与外界的交流。</w:t>
            </w:r>
          </w:p>
        </w:tc>
        <w:tc>
          <w:tcPr>
            <w:tcW w:w="2268" w:type="dxa"/>
            <w:vAlign w:val="center"/>
          </w:tcPr>
          <w:p>
            <w:pPr>
              <w:pStyle w:val="13"/>
            </w:pPr>
            <w:r>
              <w:t>≥500万元</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改善出行条件影响面</w:t>
            </w:r>
          </w:p>
        </w:tc>
        <w:tc>
          <w:tcPr>
            <w:tcW w:w="5386" w:type="dxa"/>
            <w:vAlign w:val="center"/>
          </w:tcPr>
          <w:p>
            <w:pPr>
              <w:pStyle w:val="13"/>
            </w:pPr>
            <w:r>
              <w:t>改善居民的出行条件和村镇面貌，促进美丽乡村建设，构建和谐社会。解决周边群众出行难</w:t>
            </w:r>
          </w:p>
        </w:tc>
        <w:tc>
          <w:tcPr>
            <w:tcW w:w="2268" w:type="dxa"/>
            <w:vAlign w:val="center"/>
          </w:tcPr>
          <w:p>
            <w:pPr>
              <w:pStyle w:val="13"/>
            </w:pPr>
            <w:r>
              <w:t>≥8万人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道路完好使用年限</w:t>
            </w:r>
          </w:p>
        </w:tc>
        <w:tc>
          <w:tcPr>
            <w:tcW w:w="5386" w:type="dxa"/>
            <w:vAlign w:val="center"/>
          </w:tcPr>
          <w:p>
            <w:pPr>
              <w:pStyle w:val="13"/>
            </w:pPr>
            <w:r>
              <w:t>道路完好使用年限</w:t>
            </w:r>
          </w:p>
        </w:tc>
        <w:tc>
          <w:tcPr>
            <w:tcW w:w="2268" w:type="dxa"/>
            <w:vAlign w:val="center"/>
          </w:tcPr>
          <w:p>
            <w:pPr>
              <w:pStyle w:val="13"/>
            </w:pPr>
            <w:r>
              <w:t>≥8年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改善通行服务水平群众满意度</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17、关于提前下达2026年农村公路建设养护发展专项资金的通知-日常养护补助（冀财建[2025]235号）绩效目标表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13032126P00007610011Y</w:t>
            </w:r>
          </w:p>
        </w:tc>
        <w:tc>
          <w:tcPr>
            <w:tcW w:w="2835" w:type="dxa"/>
            <w:vAlign w:val="center"/>
          </w:tcPr>
          <w:p>
            <w:pPr>
              <w:pStyle w:val="11"/>
            </w:pPr>
            <w:r>
              <w:t>项目名称</w:t>
            </w:r>
          </w:p>
        </w:tc>
        <w:tc>
          <w:tcPr>
            <w:tcW w:w="6095" w:type="dxa"/>
            <w:gridSpan w:val="3"/>
            <w:vAlign w:val="center"/>
          </w:tcPr>
          <w:p>
            <w:pPr>
              <w:pStyle w:val="13"/>
            </w:pPr>
            <w:r>
              <w:t>关于提前下达2026年农村公路建设养护发展专项资金的通知-日常养护补助（冀财建[2025]235号）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119.00</w:t>
            </w:r>
          </w:p>
        </w:tc>
        <w:tc>
          <w:tcPr>
            <w:tcW w:w="2835" w:type="dxa"/>
            <w:vAlign w:val="center"/>
          </w:tcPr>
          <w:p>
            <w:pPr>
              <w:pStyle w:val="11"/>
            </w:pPr>
            <w:r>
              <w:t>其中：财政    资金</w:t>
            </w:r>
          </w:p>
        </w:tc>
        <w:tc>
          <w:tcPr>
            <w:tcW w:w="2551" w:type="dxa"/>
            <w:vAlign w:val="center"/>
          </w:tcPr>
          <w:p>
            <w:pPr>
              <w:pStyle w:val="13"/>
            </w:pPr>
            <w:r>
              <w:t>119.00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预算数119万元，其中财政资金119万元，主要用于2026年农村公路日常养护补助资金支出。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1.通过完成对农村日常养护工作，保证当地百姓正常出行，保障公路畅通。</w:t>
            </w:r>
          </w:p>
          <w:p>
            <w:pPr>
              <w:pStyle w:val="13"/>
            </w:pPr>
            <w:r>
              <w:t>2.通过完成农村公路日常养护，保障道路交通安全，降低事故发生率。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路基路面日常养护里程</w:t>
            </w:r>
          </w:p>
        </w:tc>
        <w:tc>
          <w:tcPr>
            <w:tcW w:w="5386" w:type="dxa"/>
            <w:vAlign w:val="center"/>
          </w:tcPr>
          <w:p>
            <w:pPr>
              <w:pStyle w:val="13"/>
            </w:pPr>
            <w:r>
              <w:t>完成路基路面日常养护的公里数</w:t>
            </w:r>
          </w:p>
        </w:tc>
        <w:tc>
          <w:tcPr>
            <w:tcW w:w="2268" w:type="dxa"/>
            <w:vAlign w:val="center"/>
          </w:tcPr>
          <w:p>
            <w:pPr>
              <w:pStyle w:val="13"/>
            </w:pPr>
            <w:r>
              <w:t>≥100公里</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边沟边坡处理</w:t>
            </w:r>
          </w:p>
        </w:tc>
        <w:tc>
          <w:tcPr>
            <w:tcW w:w="5386" w:type="dxa"/>
            <w:vAlign w:val="center"/>
          </w:tcPr>
          <w:p>
            <w:pPr>
              <w:pStyle w:val="13"/>
            </w:pPr>
            <w:r>
              <w:t>梳理边沟边坡的工程量</w:t>
            </w:r>
          </w:p>
        </w:tc>
        <w:tc>
          <w:tcPr>
            <w:tcW w:w="2268" w:type="dxa"/>
            <w:vAlign w:val="center"/>
          </w:tcPr>
          <w:p>
            <w:pPr>
              <w:pStyle w:val="13"/>
            </w:pPr>
            <w:r>
              <w:t>≥26000立方米</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道路良好率</w:t>
            </w:r>
          </w:p>
        </w:tc>
        <w:tc>
          <w:tcPr>
            <w:tcW w:w="5386" w:type="dxa"/>
            <w:vAlign w:val="center"/>
          </w:tcPr>
          <w:p>
            <w:pPr>
              <w:pStyle w:val="13"/>
            </w:pPr>
            <w:r>
              <w:t>优、良、中等路占比</w:t>
            </w:r>
          </w:p>
        </w:tc>
        <w:tc>
          <w:tcPr>
            <w:tcW w:w="2268" w:type="dxa"/>
            <w:vAlign w:val="center"/>
          </w:tcPr>
          <w:p>
            <w:pPr>
              <w:pStyle w:val="13"/>
            </w:pPr>
            <w:r>
              <w:t>≥75%</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按计划完成各项工作</w:t>
            </w:r>
          </w:p>
        </w:tc>
        <w:tc>
          <w:tcPr>
            <w:tcW w:w="2268" w:type="dxa"/>
            <w:vAlign w:val="center"/>
          </w:tcPr>
          <w:p>
            <w:pPr>
              <w:pStyle w:val="13"/>
            </w:pPr>
            <w:r>
              <w:t>100%</w:t>
            </w:r>
          </w:p>
        </w:tc>
        <w:tc>
          <w:tcPr>
            <w:tcW w:w="1276" w:type="dxa"/>
            <w:vAlign w:val="center"/>
          </w:tcPr>
          <w:p>
            <w:pPr>
              <w:pStyle w:val="13"/>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养护工程费用</w:t>
            </w:r>
          </w:p>
        </w:tc>
        <w:tc>
          <w:tcPr>
            <w:tcW w:w="5386" w:type="dxa"/>
            <w:vAlign w:val="center"/>
          </w:tcPr>
          <w:p>
            <w:pPr>
              <w:pStyle w:val="13"/>
            </w:pPr>
            <w:r>
              <w:t>公路养护工程费用</w:t>
            </w:r>
          </w:p>
        </w:tc>
        <w:tc>
          <w:tcPr>
            <w:tcW w:w="2268" w:type="dxa"/>
            <w:vAlign w:val="center"/>
          </w:tcPr>
          <w:p>
            <w:pPr>
              <w:pStyle w:val="13"/>
            </w:pPr>
            <w:r>
              <w:t>≤60万元</w:t>
            </w:r>
          </w:p>
        </w:tc>
        <w:tc>
          <w:tcPr>
            <w:tcW w:w="1276" w:type="dxa"/>
            <w:vAlign w:val="center"/>
          </w:tcPr>
          <w:p>
            <w:pPr>
              <w:pStyle w:val="13"/>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养护人员成本费用</w:t>
            </w:r>
          </w:p>
        </w:tc>
        <w:tc>
          <w:tcPr>
            <w:tcW w:w="5386" w:type="dxa"/>
            <w:vAlign w:val="center"/>
          </w:tcPr>
          <w:p>
            <w:pPr>
              <w:pStyle w:val="13"/>
            </w:pPr>
            <w:r>
              <w:t>养护人员成本费用</w:t>
            </w:r>
          </w:p>
        </w:tc>
        <w:tc>
          <w:tcPr>
            <w:tcW w:w="2268" w:type="dxa"/>
            <w:vAlign w:val="center"/>
          </w:tcPr>
          <w:p>
            <w:pPr>
              <w:pStyle w:val="13"/>
            </w:pPr>
            <w:r>
              <w:t>≤59万元</w:t>
            </w:r>
          </w:p>
        </w:tc>
        <w:tc>
          <w:tcPr>
            <w:tcW w:w="1276" w:type="dxa"/>
            <w:vAlign w:val="center"/>
          </w:tcPr>
          <w:p>
            <w:pPr>
              <w:pStyle w:val="13"/>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减少事故发生率</w:t>
            </w:r>
          </w:p>
        </w:tc>
        <w:tc>
          <w:tcPr>
            <w:tcW w:w="5386" w:type="dxa"/>
            <w:vAlign w:val="center"/>
          </w:tcPr>
          <w:p>
            <w:pPr>
              <w:pStyle w:val="13"/>
            </w:pPr>
            <w:r>
              <w:t>降低事故发生率</w:t>
            </w:r>
          </w:p>
        </w:tc>
        <w:tc>
          <w:tcPr>
            <w:tcW w:w="2268" w:type="dxa"/>
            <w:vAlign w:val="center"/>
          </w:tcPr>
          <w:p>
            <w:pPr>
              <w:pStyle w:val="13"/>
            </w:pPr>
            <w:r>
              <w:t>≥10%</w:t>
            </w:r>
          </w:p>
        </w:tc>
        <w:tc>
          <w:tcPr>
            <w:tcW w:w="1276" w:type="dxa"/>
            <w:vAlign w:val="center"/>
          </w:tcPr>
          <w:p>
            <w:pPr>
              <w:pStyle w:val="13"/>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农村公路发展适应交通需求</w:t>
            </w:r>
          </w:p>
        </w:tc>
        <w:tc>
          <w:tcPr>
            <w:tcW w:w="2268" w:type="dxa"/>
            <w:vAlign w:val="center"/>
          </w:tcPr>
          <w:p>
            <w:pPr>
              <w:pStyle w:val="13"/>
            </w:pPr>
            <w:r>
              <w:t>≥10年</w:t>
            </w:r>
          </w:p>
        </w:tc>
        <w:tc>
          <w:tcPr>
            <w:tcW w:w="1276" w:type="dxa"/>
            <w:vAlign w:val="center"/>
          </w:tcPr>
          <w:p>
            <w:pPr>
              <w:pStyle w:val="13"/>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18、关于提前下达2026年农村公路建设养护发展专项资金的通知-养护工程定额补助（冀财建[2025]235号）绩效目标表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13032126P00007610010B</w:t>
            </w:r>
          </w:p>
        </w:tc>
        <w:tc>
          <w:tcPr>
            <w:tcW w:w="2835" w:type="dxa"/>
            <w:vAlign w:val="center"/>
          </w:tcPr>
          <w:p>
            <w:pPr>
              <w:pStyle w:val="11"/>
            </w:pPr>
            <w:r>
              <w:t>项目名称</w:t>
            </w:r>
          </w:p>
        </w:tc>
        <w:tc>
          <w:tcPr>
            <w:tcW w:w="6095" w:type="dxa"/>
            <w:gridSpan w:val="3"/>
            <w:vAlign w:val="center"/>
          </w:tcPr>
          <w:p>
            <w:pPr>
              <w:pStyle w:val="13"/>
            </w:pPr>
            <w:r>
              <w:t>关于提前下达2026年农村公路建设养护发展专项资金的通知-养护工程定额补助（冀财建[2025]235号）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324.00</w:t>
            </w:r>
          </w:p>
        </w:tc>
        <w:tc>
          <w:tcPr>
            <w:tcW w:w="2835" w:type="dxa"/>
            <w:vAlign w:val="center"/>
          </w:tcPr>
          <w:p>
            <w:pPr>
              <w:pStyle w:val="11"/>
            </w:pPr>
            <w:r>
              <w:t>其中：财政    资金</w:t>
            </w:r>
          </w:p>
        </w:tc>
        <w:tc>
          <w:tcPr>
            <w:tcW w:w="2551" w:type="dxa"/>
            <w:vAlign w:val="center"/>
          </w:tcPr>
          <w:p>
            <w:pPr>
              <w:pStyle w:val="13"/>
            </w:pPr>
            <w:r>
              <w:t>324.00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预算数324万元，其中财政资金324万元，主要用于农村公路养护工程补助资金支出。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1.通过完成对农村公路养护工程工作，保证当地百姓正常出行，保障公路畅通。</w:t>
            </w:r>
          </w:p>
          <w:p>
            <w:pPr>
              <w:pStyle w:val="13"/>
            </w:pPr>
            <w:r>
              <w:t>2.通过完成农村公路养护，保障道路交通安全，降低事故发生率。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路基路面维修里程数</w:t>
            </w:r>
          </w:p>
        </w:tc>
        <w:tc>
          <w:tcPr>
            <w:tcW w:w="5386" w:type="dxa"/>
            <w:vAlign w:val="center"/>
          </w:tcPr>
          <w:p>
            <w:pPr>
              <w:pStyle w:val="13"/>
            </w:pPr>
            <w:r>
              <w:t>完成农村公路路基路面整修的公里数</w:t>
            </w:r>
          </w:p>
        </w:tc>
        <w:tc>
          <w:tcPr>
            <w:tcW w:w="2268" w:type="dxa"/>
            <w:vAlign w:val="center"/>
          </w:tcPr>
          <w:p>
            <w:pPr>
              <w:pStyle w:val="13"/>
            </w:pPr>
            <w:r>
              <w:t>≥100公里</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公路两旁防护挡墙面积</w:t>
            </w:r>
          </w:p>
        </w:tc>
        <w:tc>
          <w:tcPr>
            <w:tcW w:w="5386" w:type="dxa"/>
            <w:vAlign w:val="center"/>
          </w:tcPr>
          <w:p>
            <w:pPr>
              <w:pStyle w:val="13"/>
            </w:pPr>
            <w:r>
              <w:t>完成农村公路两旁防护挡墙工程量</w:t>
            </w:r>
          </w:p>
        </w:tc>
        <w:tc>
          <w:tcPr>
            <w:tcW w:w="2268" w:type="dxa"/>
            <w:vAlign w:val="center"/>
          </w:tcPr>
          <w:p>
            <w:pPr>
              <w:pStyle w:val="13"/>
            </w:pPr>
            <w:r>
              <w:t>≥8310立方米</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道路良好率</w:t>
            </w:r>
          </w:p>
        </w:tc>
        <w:tc>
          <w:tcPr>
            <w:tcW w:w="5386" w:type="dxa"/>
            <w:vAlign w:val="center"/>
          </w:tcPr>
          <w:p>
            <w:pPr>
              <w:pStyle w:val="13"/>
            </w:pPr>
            <w:r>
              <w:t>优、良、中等路占比</w:t>
            </w:r>
          </w:p>
        </w:tc>
        <w:tc>
          <w:tcPr>
            <w:tcW w:w="2268" w:type="dxa"/>
            <w:vAlign w:val="center"/>
          </w:tcPr>
          <w:p>
            <w:pPr>
              <w:pStyle w:val="13"/>
            </w:pPr>
            <w:r>
              <w:t>≥75%</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建设工程质量合格率</w:t>
            </w:r>
          </w:p>
        </w:tc>
        <w:tc>
          <w:tcPr>
            <w:tcW w:w="5386" w:type="dxa"/>
            <w:vAlign w:val="center"/>
          </w:tcPr>
          <w:p>
            <w:pPr>
              <w:pStyle w:val="13"/>
            </w:pPr>
            <w:r>
              <w:t>质监部门出具合格的建设工程数量占总建设数量的比率</w:t>
            </w:r>
          </w:p>
        </w:tc>
        <w:tc>
          <w:tcPr>
            <w:tcW w:w="2268" w:type="dxa"/>
            <w:vAlign w:val="center"/>
          </w:tcPr>
          <w:p>
            <w:pPr>
              <w:pStyle w:val="13"/>
            </w:pPr>
            <w:r>
              <w:t>100%</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按计划完成各项工作</w:t>
            </w:r>
          </w:p>
        </w:tc>
        <w:tc>
          <w:tcPr>
            <w:tcW w:w="2268" w:type="dxa"/>
            <w:vAlign w:val="center"/>
          </w:tcPr>
          <w:p>
            <w:pPr>
              <w:pStyle w:val="13"/>
            </w:pPr>
            <w:r>
              <w:t>100%</w:t>
            </w:r>
          </w:p>
        </w:tc>
        <w:tc>
          <w:tcPr>
            <w:tcW w:w="1276" w:type="dxa"/>
            <w:vAlign w:val="center"/>
          </w:tcPr>
          <w:p>
            <w:pPr>
              <w:pStyle w:val="13"/>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养护工程费用</w:t>
            </w:r>
          </w:p>
        </w:tc>
        <w:tc>
          <w:tcPr>
            <w:tcW w:w="5386" w:type="dxa"/>
            <w:vAlign w:val="center"/>
          </w:tcPr>
          <w:p>
            <w:pPr>
              <w:pStyle w:val="13"/>
            </w:pPr>
            <w:r>
              <w:t>公路养护工程费用</w:t>
            </w:r>
          </w:p>
        </w:tc>
        <w:tc>
          <w:tcPr>
            <w:tcW w:w="2268" w:type="dxa"/>
            <w:vAlign w:val="center"/>
          </w:tcPr>
          <w:p>
            <w:pPr>
              <w:pStyle w:val="13"/>
            </w:pPr>
            <w:r>
              <w:t>≤180万元</w:t>
            </w:r>
          </w:p>
        </w:tc>
        <w:tc>
          <w:tcPr>
            <w:tcW w:w="1276" w:type="dxa"/>
            <w:vAlign w:val="center"/>
          </w:tcPr>
          <w:p>
            <w:pPr>
              <w:pStyle w:val="13"/>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养护人员成本费用</w:t>
            </w:r>
          </w:p>
        </w:tc>
        <w:tc>
          <w:tcPr>
            <w:tcW w:w="5386" w:type="dxa"/>
            <w:vAlign w:val="center"/>
          </w:tcPr>
          <w:p>
            <w:pPr>
              <w:pStyle w:val="13"/>
            </w:pPr>
            <w:r>
              <w:t>养护人员成本费用</w:t>
            </w:r>
          </w:p>
        </w:tc>
        <w:tc>
          <w:tcPr>
            <w:tcW w:w="2268" w:type="dxa"/>
            <w:vAlign w:val="center"/>
          </w:tcPr>
          <w:p>
            <w:pPr>
              <w:pStyle w:val="13"/>
            </w:pPr>
            <w:r>
              <w:t>≤144万元</w:t>
            </w:r>
          </w:p>
        </w:tc>
        <w:tc>
          <w:tcPr>
            <w:tcW w:w="1276" w:type="dxa"/>
            <w:vAlign w:val="center"/>
          </w:tcPr>
          <w:p>
            <w:pPr>
              <w:pStyle w:val="13"/>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减少事故发生率</w:t>
            </w:r>
          </w:p>
        </w:tc>
        <w:tc>
          <w:tcPr>
            <w:tcW w:w="5386" w:type="dxa"/>
            <w:vAlign w:val="center"/>
          </w:tcPr>
          <w:p>
            <w:pPr>
              <w:pStyle w:val="13"/>
            </w:pPr>
            <w:r>
              <w:t>降低事故发生率</w:t>
            </w:r>
          </w:p>
        </w:tc>
        <w:tc>
          <w:tcPr>
            <w:tcW w:w="2268" w:type="dxa"/>
            <w:vAlign w:val="center"/>
          </w:tcPr>
          <w:p>
            <w:pPr>
              <w:pStyle w:val="13"/>
            </w:pPr>
            <w:r>
              <w:t>≥10%</w:t>
            </w:r>
          </w:p>
        </w:tc>
        <w:tc>
          <w:tcPr>
            <w:tcW w:w="1276" w:type="dxa"/>
            <w:vAlign w:val="center"/>
          </w:tcPr>
          <w:p>
            <w:pPr>
              <w:pStyle w:val="13"/>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农村公路发展适应交通需求</w:t>
            </w:r>
          </w:p>
        </w:tc>
        <w:tc>
          <w:tcPr>
            <w:tcW w:w="2268" w:type="dxa"/>
            <w:vAlign w:val="center"/>
          </w:tcPr>
          <w:p>
            <w:pPr>
              <w:pStyle w:val="13"/>
            </w:pPr>
            <w:r>
              <w:t>≥10年</w:t>
            </w:r>
          </w:p>
        </w:tc>
        <w:tc>
          <w:tcPr>
            <w:tcW w:w="1276" w:type="dxa"/>
            <w:vAlign w:val="center"/>
          </w:tcPr>
          <w:p>
            <w:pPr>
              <w:pStyle w:val="13"/>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19、关于提前下达2026年普通国省干线公路建设养护发展专项资金的通知-普通国省干线公路日常养护补助（冀财建[2025]234号）绩效目标表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13032126P00007810005W</w:t>
            </w:r>
          </w:p>
        </w:tc>
        <w:tc>
          <w:tcPr>
            <w:tcW w:w="2835" w:type="dxa"/>
            <w:vAlign w:val="center"/>
          </w:tcPr>
          <w:p>
            <w:pPr>
              <w:pStyle w:val="11"/>
            </w:pPr>
            <w:r>
              <w:t>项目名称</w:t>
            </w:r>
          </w:p>
        </w:tc>
        <w:tc>
          <w:tcPr>
            <w:tcW w:w="6095" w:type="dxa"/>
            <w:gridSpan w:val="3"/>
            <w:vAlign w:val="center"/>
          </w:tcPr>
          <w:p>
            <w:pPr>
              <w:pStyle w:val="13"/>
            </w:pPr>
            <w:r>
              <w:t>关于提前下达2026年普通国省干线公路建设养护发展专项资金的通知-普通国省干线公路日常养护补助（冀财建[2025]234号）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176.00</w:t>
            </w:r>
          </w:p>
        </w:tc>
        <w:tc>
          <w:tcPr>
            <w:tcW w:w="2835" w:type="dxa"/>
            <w:vAlign w:val="center"/>
          </w:tcPr>
          <w:p>
            <w:pPr>
              <w:pStyle w:val="11"/>
            </w:pPr>
            <w:r>
              <w:t>其中：财政    资金</w:t>
            </w:r>
          </w:p>
        </w:tc>
        <w:tc>
          <w:tcPr>
            <w:tcW w:w="2551" w:type="dxa"/>
            <w:vAlign w:val="center"/>
          </w:tcPr>
          <w:p>
            <w:pPr>
              <w:pStyle w:val="13"/>
            </w:pPr>
            <w:r>
              <w:t>176.00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预算数176万元，其中财政资金176万元，主要用于普通国省干线公路日常养护补助资金支出。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1.通过对全县国省干线公路有效养护，保证当地百姓正常出行。</w:t>
            </w:r>
          </w:p>
          <w:p>
            <w:pPr>
              <w:pStyle w:val="13"/>
            </w:pPr>
            <w:r>
              <w:t>2.通过保证养护工作正常运行，保障公路畅通，带动经济发展。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公路养护里程</w:t>
            </w:r>
          </w:p>
        </w:tc>
        <w:tc>
          <w:tcPr>
            <w:tcW w:w="5386" w:type="dxa"/>
            <w:vAlign w:val="center"/>
          </w:tcPr>
          <w:p>
            <w:pPr>
              <w:pStyle w:val="13"/>
            </w:pPr>
            <w:r>
              <w:t>国省普通干线的养护里程</w:t>
            </w:r>
          </w:p>
        </w:tc>
        <w:tc>
          <w:tcPr>
            <w:tcW w:w="2268" w:type="dxa"/>
            <w:vAlign w:val="center"/>
          </w:tcPr>
          <w:p>
            <w:pPr>
              <w:pStyle w:val="13"/>
            </w:pPr>
            <w:r>
              <w:t>295.03公里</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事业编人员数</w:t>
            </w:r>
          </w:p>
        </w:tc>
        <w:tc>
          <w:tcPr>
            <w:tcW w:w="5386" w:type="dxa"/>
            <w:vAlign w:val="center"/>
          </w:tcPr>
          <w:p>
            <w:pPr>
              <w:pStyle w:val="13"/>
            </w:pPr>
            <w:r>
              <w:t>保持正常行政运行所需要的人员数</w:t>
            </w:r>
          </w:p>
        </w:tc>
        <w:tc>
          <w:tcPr>
            <w:tcW w:w="2268" w:type="dxa"/>
            <w:vAlign w:val="center"/>
          </w:tcPr>
          <w:p>
            <w:pPr>
              <w:pStyle w:val="13"/>
            </w:pPr>
            <w:r>
              <w:t>56人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临时工人员数</w:t>
            </w:r>
          </w:p>
        </w:tc>
        <w:tc>
          <w:tcPr>
            <w:tcW w:w="5386" w:type="dxa"/>
            <w:vAlign w:val="center"/>
          </w:tcPr>
          <w:p>
            <w:pPr>
              <w:pStyle w:val="13"/>
            </w:pPr>
            <w:r>
              <w:t>保持正常行政运行所需要的人员数</w:t>
            </w:r>
          </w:p>
        </w:tc>
        <w:tc>
          <w:tcPr>
            <w:tcW w:w="2268" w:type="dxa"/>
            <w:vAlign w:val="center"/>
          </w:tcPr>
          <w:p>
            <w:pPr>
              <w:pStyle w:val="13"/>
            </w:pPr>
            <w:r>
              <w:t>112人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需要小修工程的项目数</w:t>
            </w:r>
          </w:p>
        </w:tc>
        <w:tc>
          <w:tcPr>
            <w:tcW w:w="5386" w:type="dxa"/>
            <w:vAlign w:val="center"/>
          </w:tcPr>
          <w:p>
            <w:pPr>
              <w:pStyle w:val="13"/>
            </w:pPr>
            <w:r>
              <w:t>需要小修工程的项目数量</w:t>
            </w:r>
          </w:p>
        </w:tc>
        <w:tc>
          <w:tcPr>
            <w:tcW w:w="2268" w:type="dxa"/>
            <w:vAlign w:val="center"/>
          </w:tcPr>
          <w:p>
            <w:pPr>
              <w:pStyle w:val="13"/>
            </w:pPr>
            <w:r>
              <w:t>8个</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公路养护工程合格率（%）</w:t>
            </w:r>
          </w:p>
        </w:tc>
        <w:tc>
          <w:tcPr>
            <w:tcW w:w="5386" w:type="dxa"/>
            <w:vAlign w:val="center"/>
          </w:tcPr>
          <w:p>
            <w:pPr>
              <w:pStyle w:val="13"/>
            </w:pPr>
            <w:r>
              <w:t>普通干线工程质量合格的数量占养护工程总数的比率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养护工作及时性</w:t>
            </w:r>
          </w:p>
        </w:tc>
        <w:tc>
          <w:tcPr>
            <w:tcW w:w="5386" w:type="dxa"/>
            <w:vAlign w:val="center"/>
          </w:tcPr>
          <w:p>
            <w:pPr>
              <w:pStyle w:val="13"/>
            </w:pPr>
            <w:r>
              <w:t>按工作计划，按时完成公路养护</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工程成本控制</w:t>
            </w:r>
          </w:p>
        </w:tc>
        <w:tc>
          <w:tcPr>
            <w:tcW w:w="5386" w:type="dxa"/>
            <w:vAlign w:val="center"/>
          </w:tcPr>
          <w:p>
            <w:pPr>
              <w:pStyle w:val="13"/>
            </w:pPr>
            <w:r>
              <w:t>工程成本控制</w:t>
            </w:r>
          </w:p>
        </w:tc>
        <w:tc>
          <w:tcPr>
            <w:tcW w:w="2268" w:type="dxa"/>
            <w:vAlign w:val="center"/>
          </w:tcPr>
          <w:p>
            <w:pPr>
              <w:pStyle w:val="13"/>
            </w:pPr>
            <w:r>
              <w:t>≤60万元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人员成本控制</w:t>
            </w:r>
          </w:p>
        </w:tc>
        <w:tc>
          <w:tcPr>
            <w:tcW w:w="5386" w:type="dxa"/>
            <w:vAlign w:val="center"/>
          </w:tcPr>
          <w:p>
            <w:pPr>
              <w:pStyle w:val="13"/>
            </w:pPr>
            <w:r>
              <w:t>人员成本控制</w:t>
            </w:r>
          </w:p>
        </w:tc>
        <w:tc>
          <w:tcPr>
            <w:tcW w:w="2268" w:type="dxa"/>
            <w:vAlign w:val="center"/>
          </w:tcPr>
          <w:p>
            <w:pPr>
              <w:pStyle w:val="13"/>
            </w:pPr>
            <w:r>
              <w:t>≤60万元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其他费用控制</w:t>
            </w:r>
          </w:p>
        </w:tc>
        <w:tc>
          <w:tcPr>
            <w:tcW w:w="5386" w:type="dxa"/>
            <w:vAlign w:val="center"/>
          </w:tcPr>
          <w:p>
            <w:pPr>
              <w:pStyle w:val="13"/>
            </w:pPr>
            <w:r>
              <w:t>其他费用控制</w:t>
            </w:r>
          </w:p>
        </w:tc>
        <w:tc>
          <w:tcPr>
            <w:tcW w:w="2268" w:type="dxa"/>
            <w:vAlign w:val="center"/>
          </w:tcPr>
          <w:p>
            <w:pPr>
              <w:pStyle w:val="13"/>
            </w:pPr>
            <w:r>
              <w:t>≤56万元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增加收入</w:t>
            </w:r>
          </w:p>
        </w:tc>
        <w:tc>
          <w:tcPr>
            <w:tcW w:w="5386" w:type="dxa"/>
            <w:vAlign w:val="center"/>
          </w:tcPr>
          <w:p>
            <w:pPr>
              <w:pStyle w:val="13"/>
            </w:pPr>
            <w:r>
              <w:t>反映实际增加养护工收入</w:t>
            </w:r>
          </w:p>
        </w:tc>
        <w:tc>
          <w:tcPr>
            <w:tcW w:w="2268" w:type="dxa"/>
            <w:vAlign w:val="center"/>
          </w:tcPr>
          <w:p>
            <w:pPr>
              <w:pStyle w:val="13"/>
            </w:pPr>
            <w:r>
              <w:t>≥80万元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公路的畅通率</w:t>
            </w:r>
          </w:p>
        </w:tc>
        <w:tc>
          <w:tcPr>
            <w:tcW w:w="5386" w:type="dxa"/>
            <w:vAlign w:val="center"/>
          </w:tcPr>
          <w:p>
            <w:pPr>
              <w:pStyle w:val="13"/>
            </w:pPr>
            <w:r>
              <w:t>保证公路畅通的天数除以总天数</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养护人员满意度</w:t>
            </w:r>
          </w:p>
        </w:tc>
        <w:tc>
          <w:tcPr>
            <w:tcW w:w="5386" w:type="dxa"/>
            <w:vAlign w:val="center"/>
          </w:tcPr>
          <w:p>
            <w:pPr>
              <w:pStyle w:val="13"/>
            </w:pPr>
            <w:r>
              <w:t>养护人员的满意度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20、关于提前下达2026年普通国省干线公路建设养护发展专项资金的通知-治超非现场检测点建设补助（冀财建[2025]234号）绩效目标表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13032126P00007810006G</w:t>
            </w:r>
          </w:p>
        </w:tc>
        <w:tc>
          <w:tcPr>
            <w:tcW w:w="2835" w:type="dxa"/>
            <w:vAlign w:val="center"/>
          </w:tcPr>
          <w:p>
            <w:pPr>
              <w:pStyle w:val="11"/>
            </w:pPr>
            <w:r>
              <w:t>项目名称</w:t>
            </w:r>
          </w:p>
        </w:tc>
        <w:tc>
          <w:tcPr>
            <w:tcW w:w="6095" w:type="dxa"/>
            <w:gridSpan w:val="3"/>
            <w:vAlign w:val="center"/>
          </w:tcPr>
          <w:p>
            <w:pPr>
              <w:pStyle w:val="13"/>
            </w:pPr>
            <w:r>
              <w:t>关于提前下达2026年普通国省干线公路建设养护发展专项资金的通知-治超非现场检测点建设补助（冀财建[2025]234号）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240.00</w:t>
            </w:r>
          </w:p>
        </w:tc>
        <w:tc>
          <w:tcPr>
            <w:tcW w:w="2835" w:type="dxa"/>
            <w:vAlign w:val="center"/>
          </w:tcPr>
          <w:p>
            <w:pPr>
              <w:pStyle w:val="11"/>
            </w:pPr>
            <w:r>
              <w:t>其中：财政    资金</w:t>
            </w:r>
          </w:p>
        </w:tc>
        <w:tc>
          <w:tcPr>
            <w:tcW w:w="2551" w:type="dxa"/>
            <w:vAlign w:val="center"/>
          </w:tcPr>
          <w:p>
            <w:pPr>
              <w:pStyle w:val="13"/>
            </w:pPr>
            <w:r>
              <w:t>240.00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预算数240万元，其中财政资金240万元，主要用于治超非现场检测点建设补助资金支出。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1.通过开展依法治理工作，保障治超工作顺利开展。</w:t>
            </w:r>
          </w:p>
          <w:p>
            <w:pPr>
              <w:pStyle w:val="13"/>
            </w:pPr>
            <w:r>
              <w:t>2.通过有效治理超限超载，保障公路安全畅通。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工作人员数量</w:t>
            </w:r>
          </w:p>
        </w:tc>
        <w:tc>
          <w:tcPr>
            <w:tcW w:w="5386" w:type="dxa"/>
            <w:vAlign w:val="center"/>
          </w:tcPr>
          <w:p>
            <w:pPr>
              <w:pStyle w:val="13"/>
            </w:pPr>
            <w:r>
              <w:t>综合治超工作人员的数量</w:t>
            </w:r>
          </w:p>
        </w:tc>
        <w:tc>
          <w:tcPr>
            <w:tcW w:w="2268" w:type="dxa"/>
            <w:vAlign w:val="center"/>
          </w:tcPr>
          <w:p>
            <w:pPr>
              <w:pStyle w:val="13"/>
            </w:pPr>
            <w:r>
              <w:t>174人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治超检测点数量</w:t>
            </w:r>
          </w:p>
        </w:tc>
        <w:tc>
          <w:tcPr>
            <w:tcW w:w="5386" w:type="dxa"/>
            <w:vAlign w:val="center"/>
          </w:tcPr>
          <w:p>
            <w:pPr>
              <w:pStyle w:val="13"/>
            </w:pPr>
            <w:r>
              <w:t>建设完成治超非现场检测点数量</w:t>
            </w:r>
          </w:p>
        </w:tc>
        <w:tc>
          <w:tcPr>
            <w:tcW w:w="2268" w:type="dxa"/>
            <w:vAlign w:val="center"/>
          </w:tcPr>
          <w:p>
            <w:pPr>
              <w:pStyle w:val="13"/>
            </w:pPr>
            <w:r>
              <w:t>3个</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治超工作达标率</w:t>
            </w:r>
          </w:p>
        </w:tc>
        <w:tc>
          <w:tcPr>
            <w:tcW w:w="5386" w:type="dxa"/>
            <w:vAlign w:val="center"/>
          </w:tcPr>
          <w:p>
            <w:pPr>
              <w:pStyle w:val="13"/>
            </w:pPr>
            <w:r>
              <w:t xml:space="preserve"> 反映治超工作达标情况</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按各项补助资金支出时限完成</w:t>
            </w:r>
          </w:p>
        </w:tc>
        <w:tc>
          <w:tcPr>
            <w:tcW w:w="2268" w:type="dxa"/>
            <w:vAlign w:val="center"/>
          </w:tcPr>
          <w:p>
            <w:pPr>
              <w:pStyle w:val="13"/>
            </w:pPr>
            <w:r>
              <w:t>2026年底前</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设备采购成本控制</w:t>
            </w:r>
          </w:p>
        </w:tc>
        <w:tc>
          <w:tcPr>
            <w:tcW w:w="5386" w:type="dxa"/>
            <w:vAlign w:val="center"/>
          </w:tcPr>
          <w:p>
            <w:pPr>
              <w:pStyle w:val="13"/>
            </w:pPr>
            <w:r>
              <w:t>治超检测点专用设备采购成本支出总额控制</w:t>
            </w:r>
          </w:p>
        </w:tc>
        <w:tc>
          <w:tcPr>
            <w:tcW w:w="2268" w:type="dxa"/>
            <w:vAlign w:val="center"/>
          </w:tcPr>
          <w:p>
            <w:pPr>
              <w:pStyle w:val="13"/>
            </w:pPr>
            <w:r>
              <w:t>≤192万元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控制在预算范围内合理使用</w:t>
            </w:r>
          </w:p>
        </w:tc>
        <w:tc>
          <w:tcPr>
            <w:tcW w:w="2268" w:type="dxa"/>
            <w:vAlign w:val="center"/>
          </w:tcPr>
          <w:p>
            <w:pPr>
              <w:pStyle w:val="13"/>
            </w:pPr>
            <w:r>
              <w:t>≤240万元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保障公路安全畅通率</w:t>
            </w:r>
          </w:p>
        </w:tc>
        <w:tc>
          <w:tcPr>
            <w:tcW w:w="5386" w:type="dxa"/>
            <w:vAlign w:val="center"/>
          </w:tcPr>
          <w:p>
            <w:pPr>
              <w:pStyle w:val="13"/>
            </w:pPr>
            <w:r>
              <w:t>通过有效治理超限超载，保障公路安全畅通。</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保障日常工作的持续有序运转率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调查中满意度人数/调查总人数*100%</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21、关于提前下达2026年普通国省干线公路建设养护发展专项资金的通知-治理货运车辆超限超载补助（冀财建[2025]234号）绩效目标表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13032126P000078100074</w:t>
            </w:r>
          </w:p>
        </w:tc>
        <w:tc>
          <w:tcPr>
            <w:tcW w:w="2835" w:type="dxa"/>
            <w:vAlign w:val="center"/>
          </w:tcPr>
          <w:p>
            <w:pPr>
              <w:pStyle w:val="11"/>
            </w:pPr>
            <w:r>
              <w:t>项目名称</w:t>
            </w:r>
          </w:p>
        </w:tc>
        <w:tc>
          <w:tcPr>
            <w:tcW w:w="6095" w:type="dxa"/>
            <w:gridSpan w:val="3"/>
            <w:vAlign w:val="center"/>
          </w:tcPr>
          <w:p>
            <w:pPr>
              <w:pStyle w:val="13"/>
            </w:pPr>
            <w:r>
              <w:t>关于提前下达2026年普通国省干线公路建设养护发展专项资金的通知-治理货运车辆超限超载补助（冀财建[2025]234号）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38.94</w:t>
            </w:r>
          </w:p>
        </w:tc>
        <w:tc>
          <w:tcPr>
            <w:tcW w:w="2835" w:type="dxa"/>
            <w:vAlign w:val="center"/>
          </w:tcPr>
          <w:p>
            <w:pPr>
              <w:pStyle w:val="11"/>
            </w:pPr>
            <w:r>
              <w:t>其中：财政    资金</w:t>
            </w:r>
          </w:p>
        </w:tc>
        <w:tc>
          <w:tcPr>
            <w:tcW w:w="2551" w:type="dxa"/>
            <w:vAlign w:val="center"/>
          </w:tcPr>
          <w:p>
            <w:pPr>
              <w:pStyle w:val="13"/>
            </w:pPr>
            <w:r>
              <w:t>38.94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预算数38.94万元，其中财政资金38.94万元，主要用于治超站补贴资金支出。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1.通过开展依法治理工作，保障治超工作顺利开展。</w:t>
            </w:r>
          </w:p>
          <w:p>
            <w:pPr>
              <w:pStyle w:val="13"/>
            </w:pPr>
            <w:r>
              <w:t>2.通过有效治理超限超载，保障公路安全畅通。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工作人员数量</w:t>
            </w:r>
          </w:p>
        </w:tc>
        <w:tc>
          <w:tcPr>
            <w:tcW w:w="5386" w:type="dxa"/>
            <w:vAlign w:val="center"/>
          </w:tcPr>
          <w:p>
            <w:pPr>
              <w:pStyle w:val="13"/>
            </w:pPr>
            <w:r>
              <w:t>综合治超工作人员的数量</w:t>
            </w:r>
          </w:p>
        </w:tc>
        <w:tc>
          <w:tcPr>
            <w:tcW w:w="2268" w:type="dxa"/>
            <w:vAlign w:val="center"/>
          </w:tcPr>
          <w:p>
            <w:pPr>
              <w:pStyle w:val="13"/>
            </w:pPr>
            <w:r>
              <w:t>174人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管理车辆的数量</w:t>
            </w:r>
          </w:p>
        </w:tc>
        <w:tc>
          <w:tcPr>
            <w:tcW w:w="5386" w:type="dxa"/>
            <w:vAlign w:val="center"/>
          </w:tcPr>
          <w:p>
            <w:pPr>
              <w:pStyle w:val="13"/>
            </w:pPr>
            <w:r>
              <w:t>当年管理的执法及公务车辆总数</w:t>
            </w:r>
          </w:p>
        </w:tc>
        <w:tc>
          <w:tcPr>
            <w:tcW w:w="2268" w:type="dxa"/>
            <w:vAlign w:val="center"/>
          </w:tcPr>
          <w:p>
            <w:pPr>
              <w:pStyle w:val="13"/>
            </w:pPr>
            <w:r>
              <w:t>24辆</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治超机构数量</w:t>
            </w:r>
          </w:p>
        </w:tc>
        <w:tc>
          <w:tcPr>
            <w:tcW w:w="5386" w:type="dxa"/>
            <w:vAlign w:val="center"/>
          </w:tcPr>
          <w:p>
            <w:pPr>
              <w:pStyle w:val="13"/>
            </w:pPr>
            <w:r>
              <w:t>保障正常运转治超机构数量</w:t>
            </w:r>
          </w:p>
        </w:tc>
        <w:tc>
          <w:tcPr>
            <w:tcW w:w="2268" w:type="dxa"/>
            <w:vAlign w:val="center"/>
          </w:tcPr>
          <w:p>
            <w:pPr>
              <w:pStyle w:val="13"/>
            </w:pPr>
            <w:r>
              <w:t>2个</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治超工作达标率</w:t>
            </w:r>
          </w:p>
        </w:tc>
        <w:tc>
          <w:tcPr>
            <w:tcW w:w="5386" w:type="dxa"/>
            <w:vAlign w:val="center"/>
          </w:tcPr>
          <w:p>
            <w:pPr>
              <w:pStyle w:val="13"/>
            </w:pPr>
            <w:r>
              <w:t xml:space="preserve"> 反映治超工作达标情况</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按各项经费支出时限完成</w:t>
            </w:r>
          </w:p>
        </w:tc>
        <w:tc>
          <w:tcPr>
            <w:tcW w:w="2268" w:type="dxa"/>
            <w:vAlign w:val="center"/>
          </w:tcPr>
          <w:p>
            <w:pPr>
              <w:pStyle w:val="13"/>
            </w:pPr>
            <w:r>
              <w:t>2026年底前</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治超站运行及维护费</w:t>
            </w:r>
          </w:p>
        </w:tc>
        <w:tc>
          <w:tcPr>
            <w:tcW w:w="5386" w:type="dxa"/>
            <w:vAlign w:val="center"/>
          </w:tcPr>
          <w:p>
            <w:pPr>
              <w:pStyle w:val="13"/>
            </w:pPr>
            <w:r>
              <w:t>计划支出治超站运行及维护的费用</w:t>
            </w:r>
          </w:p>
        </w:tc>
        <w:tc>
          <w:tcPr>
            <w:tcW w:w="2268" w:type="dxa"/>
            <w:vAlign w:val="center"/>
          </w:tcPr>
          <w:p>
            <w:pPr>
              <w:pStyle w:val="13"/>
            </w:pPr>
            <w:r>
              <w:t>≤30万元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控制在预算范围内合理使用</w:t>
            </w:r>
          </w:p>
        </w:tc>
        <w:tc>
          <w:tcPr>
            <w:tcW w:w="2268" w:type="dxa"/>
            <w:vAlign w:val="center"/>
          </w:tcPr>
          <w:p>
            <w:pPr>
              <w:pStyle w:val="13"/>
            </w:pPr>
            <w:r>
              <w:t>≤38.94万元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 保障公路安全畅通率</w:t>
            </w:r>
          </w:p>
        </w:tc>
        <w:tc>
          <w:tcPr>
            <w:tcW w:w="5386" w:type="dxa"/>
            <w:vAlign w:val="center"/>
          </w:tcPr>
          <w:p>
            <w:pPr>
              <w:pStyle w:val="13"/>
            </w:pPr>
            <w:r>
              <w:t>通过有效治理超限超载，保障公路安全畅通。</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保障日常工作的持续有序运转率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调查中满意度人数/调查总人数*100%</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22、关于下达2025年市级财政衔接推进乡村振兴补助资金的通知（秦财农[2025]30号）-桥涵及水毁修复项目绩效目标表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13032125P003283100986</w:t>
            </w:r>
          </w:p>
        </w:tc>
        <w:tc>
          <w:tcPr>
            <w:tcW w:w="2835" w:type="dxa"/>
            <w:vAlign w:val="center"/>
          </w:tcPr>
          <w:p>
            <w:pPr>
              <w:pStyle w:val="11"/>
            </w:pPr>
            <w:r>
              <w:t>项目名称</w:t>
            </w:r>
          </w:p>
        </w:tc>
        <w:tc>
          <w:tcPr>
            <w:tcW w:w="6095" w:type="dxa"/>
            <w:gridSpan w:val="3"/>
            <w:vAlign w:val="center"/>
          </w:tcPr>
          <w:p>
            <w:pPr>
              <w:pStyle w:val="13"/>
            </w:pPr>
            <w:r>
              <w:t>关于下达2025年市级财政衔接推进乡村振兴补助资金的通知（秦财农[2025]30号）-桥涵及水毁修复项目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83.10</w:t>
            </w:r>
          </w:p>
        </w:tc>
        <w:tc>
          <w:tcPr>
            <w:tcW w:w="2835" w:type="dxa"/>
            <w:vAlign w:val="center"/>
          </w:tcPr>
          <w:p>
            <w:pPr>
              <w:pStyle w:val="11"/>
            </w:pPr>
            <w:r>
              <w:t>其中：财政    资金</w:t>
            </w:r>
          </w:p>
        </w:tc>
        <w:tc>
          <w:tcPr>
            <w:tcW w:w="2551" w:type="dxa"/>
            <w:vAlign w:val="center"/>
          </w:tcPr>
          <w:p>
            <w:pPr>
              <w:pStyle w:val="13"/>
            </w:pPr>
            <w:r>
              <w:t>83.10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预算数83.1万元，其中财政资金83.1万元，主要用于衔接资金项目桥涵及水毁修复项目资金支出。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1.通过改善路况，增强通行能力，方便群众出行，拉动地区经济增长。</w:t>
            </w:r>
          </w:p>
          <w:p>
            <w:pPr>
              <w:pStyle w:val="13"/>
            </w:pPr>
            <w:r>
              <w:t>2.通过项目实施，增加公众满意度，使公众满意度≥90%。</w:t>
            </w:r>
          </w:p>
          <w:p>
            <w:pPr>
              <w:pStyle w:val="13"/>
            </w:pPr>
            <w:r>
              <w:t>3.通过完成农村桥涵及水毁修复项目建设工程，建设质量达到合格标准，加强农村公路基础设施建设。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完成桥梁建设数量</w:t>
            </w:r>
          </w:p>
        </w:tc>
        <w:tc>
          <w:tcPr>
            <w:tcW w:w="5386" w:type="dxa"/>
            <w:vAlign w:val="center"/>
          </w:tcPr>
          <w:p>
            <w:pPr>
              <w:pStyle w:val="13"/>
            </w:pPr>
            <w:r>
              <w:t>反映实际完成改建桥梁数量</w:t>
            </w:r>
          </w:p>
        </w:tc>
        <w:tc>
          <w:tcPr>
            <w:tcW w:w="2268" w:type="dxa"/>
            <w:vAlign w:val="center"/>
          </w:tcPr>
          <w:p>
            <w:pPr>
              <w:pStyle w:val="13"/>
            </w:pPr>
            <w:r>
              <w:t>24座</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完成维修加固桥梁数量</w:t>
            </w:r>
          </w:p>
        </w:tc>
        <w:tc>
          <w:tcPr>
            <w:tcW w:w="5386" w:type="dxa"/>
            <w:vAlign w:val="center"/>
          </w:tcPr>
          <w:p>
            <w:pPr>
              <w:pStyle w:val="13"/>
            </w:pPr>
            <w:r>
              <w:t>反映实际完成维修加固桥梁数量</w:t>
            </w:r>
          </w:p>
        </w:tc>
        <w:tc>
          <w:tcPr>
            <w:tcW w:w="2268" w:type="dxa"/>
            <w:vAlign w:val="center"/>
          </w:tcPr>
          <w:p>
            <w:pPr>
              <w:pStyle w:val="13"/>
            </w:pPr>
            <w:r>
              <w:t>6座</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完成恢复路基路面数量</w:t>
            </w:r>
          </w:p>
        </w:tc>
        <w:tc>
          <w:tcPr>
            <w:tcW w:w="5386" w:type="dxa"/>
            <w:vAlign w:val="center"/>
          </w:tcPr>
          <w:p>
            <w:pPr>
              <w:pStyle w:val="13"/>
            </w:pPr>
            <w:r>
              <w:t>反映实际完成恢复路基路面数量</w:t>
            </w:r>
          </w:p>
        </w:tc>
        <w:tc>
          <w:tcPr>
            <w:tcW w:w="2268" w:type="dxa"/>
            <w:vAlign w:val="center"/>
          </w:tcPr>
          <w:p>
            <w:pPr>
              <w:pStyle w:val="13"/>
            </w:pPr>
            <w:r>
              <w:t>29条</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按照工程进度，已完成工程达到合格标准比率，依据相关检测评定标准</w:t>
            </w:r>
          </w:p>
        </w:tc>
        <w:tc>
          <w:tcPr>
            <w:tcW w:w="2268" w:type="dxa"/>
            <w:vAlign w:val="center"/>
          </w:tcPr>
          <w:p>
            <w:pPr>
              <w:pStyle w:val="13"/>
            </w:pPr>
            <w:r>
              <w:t>100%</w:t>
            </w:r>
          </w:p>
        </w:tc>
        <w:tc>
          <w:tcPr>
            <w:tcW w:w="1276" w:type="dxa"/>
            <w:vAlign w:val="center"/>
          </w:tcPr>
          <w:p>
            <w:pPr>
              <w:pStyle w:val="13"/>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工程完成及时率</w:t>
            </w:r>
          </w:p>
        </w:tc>
        <w:tc>
          <w:tcPr>
            <w:tcW w:w="5386" w:type="dxa"/>
            <w:vAlign w:val="center"/>
          </w:tcPr>
          <w:p>
            <w:pPr>
              <w:pStyle w:val="13"/>
            </w:pPr>
            <w:r>
              <w:t>按期完成项目年度投资及建设计划</w:t>
            </w:r>
          </w:p>
        </w:tc>
        <w:tc>
          <w:tcPr>
            <w:tcW w:w="2268" w:type="dxa"/>
            <w:vAlign w:val="center"/>
          </w:tcPr>
          <w:p>
            <w:pPr>
              <w:pStyle w:val="13"/>
            </w:pPr>
            <w:r>
              <w:t>100%</w:t>
            </w:r>
          </w:p>
        </w:tc>
        <w:tc>
          <w:tcPr>
            <w:tcW w:w="1276" w:type="dxa"/>
            <w:vAlign w:val="center"/>
          </w:tcPr>
          <w:p>
            <w:pPr>
              <w:pStyle w:val="13"/>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桥梁改建成本(建筑安装工程费)</w:t>
            </w:r>
          </w:p>
        </w:tc>
        <w:tc>
          <w:tcPr>
            <w:tcW w:w="5386" w:type="dxa"/>
            <w:vAlign w:val="center"/>
          </w:tcPr>
          <w:p>
            <w:pPr>
              <w:pStyle w:val="13"/>
            </w:pPr>
            <w:r>
              <w:t>严格进行成本管控，按照政府招投标相关文件及合同支付要求进行资金的支付</w:t>
            </w:r>
          </w:p>
        </w:tc>
        <w:tc>
          <w:tcPr>
            <w:tcW w:w="2268" w:type="dxa"/>
            <w:vAlign w:val="center"/>
          </w:tcPr>
          <w:p>
            <w:pPr>
              <w:pStyle w:val="13"/>
            </w:pPr>
            <w:r>
              <w:t>≤83.1万元</w:t>
            </w:r>
          </w:p>
        </w:tc>
        <w:tc>
          <w:tcPr>
            <w:tcW w:w="1276" w:type="dxa"/>
            <w:vAlign w:val="center"/>
          </w:tcPr>
          <w:p>
            <w:pPr>
              <w:pStyle w:val="13"/>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改善居民的出行条件和村镇面貌，促进美丽乡村建设，构建和谐社会，解决周边群众出行难。</w:t>
            </w:r>
          </w:p>
        </w:tc>
        <w:tc>
          <w:tcPr>
            <w:tcW w:w="2268" w:type="dxa"/>
            <w:vAlign w:val="center"/>
          </w:tcPr>
          <w:p>
            <w:pPr>
              <w:pStyle w:val="13"/>
            </w:pPr>
            <w:r>
              <w:t>≥21500人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环境影响</w:t>
            </w:r>
          </w:p>
        </w:tc>
        <w:tc>
          <w:tcPr>
            <w:tcW w:w="5386" w:type="dxa"/>
            <w:vAlign w:val="center"/>
          </w:tcPr>
          <w:p>
            <w:pPr>
              <w:pStyle w:val="13"/>
            </w:pPr>
            <w:r>
              <w:t>减少汽车尾气排放，减少扬尘，改善人居环境，增加受益人口。</w:t>
            </w:r>
          </w:p>
        </w:tc>
        <w:tc>
          <w:tcPr>
            <w:tcW w:w="2268" w:type="dxa"/>
            <w:vAlign w:val="center"/>
          </w:tcPr>
          <w:p>
            <w:pPr>
              <w:pStyle w:val="13"/>
            </w:pPr>
            <w:r>
              <w:t>≥30000人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改建桥梁在合理使用年限适应交通需求</w:t>
            </w:r>
          </w:p>
        </w:tc>
        <w:tc>
          <w:tcPr>
            <w:tcW w:w="2268" w:type="dxa"/>
            <w:vAlign w:val="center"/>
          </w:tcPr>
          <w:p>
            <w:pPr>
              <w:pStyle w:val="13"/>
            </w:pPr>
            <w:r>
              <w:t>≥50年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23、国省干线养护及运行补贴绩效目标表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13032126P00007410009L</w:t>
            </w:r>
          </w:p>
        </w:tc>
        <w:tc>
          <w:tcPr>
            <w:tcW w:w="2835" w:type="dxa"/>
            <w:vAlign w:val="center"/>
          </w:tcPr>
          <w:p>
            <w:pPr>
              <w:pStyle w:val="11"/>
            </w:pPr>
            <w:r>
              <w:t>项目名称</w:t>
            </w:r>
          </w:p>
        </w:tc>
        <w:tc>
          <w:tcPr>
            <w:tcW w:w="6095" w:type="dxa"/>
            <w:gridSpan w:val="3"/>
            <w:vAlign w:val="center"/>
          </w:tcPr>
          <w:p>
            <w:pPr>
              <w:pStyle w:val="13"/>
            </w:pPr>
            <w:r>
              <w:t>国省干线养护及运行补贴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400.00</w:t>
            </w:r>
          </w:p>
        </w:tc>
        <w:tc>
          <w:tcPr>
            <w:tcW w:w="2835" w:type="dxa"/>
            <w:vAlign w:val="center"/>
          </w:tcPr>
          <w:p>
            <w:pPr>
              <w:pStyle w:val="11"/>
            </w:pPr>
            <w:r>
              <w:t>其中：财政    资金</w:t>
            </w:r>
          </w:p>
        </w:tc>
        <w:tc>
          <w:tcPr>
            <w:tcW w:w="2551" w:type="dxa"/>
            <w:vAlign w:val="center"/>
          </w:tcPr>
          <w:p>
            <w:pPr>
              <w:pStyle w:val="13"/>
            </w:pPr>
            <w:r>
              <w:t>400.00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预算数400万元，其中财政资金400万元，主要用于国省干线养护及运行补贴资金支出。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1.通过对普通干线公路日常养护及绿化、美化、净化工作，达到畅、安、舒、美的养护目标。</w:t>
            </w:r>
            <w:r>
              <w:tab/>
            </w:r>
            <w:r>
              <w:tab/>
            </w:r>
            <w:r>
              <w:tab/>
            </w:r>
            <w:r>
              <w:tab/>
            </w:r>
          </w:p>
          <w:p>
            <w:pPr>
              <w:pStyle w:val="13"/>
            </w:pPr>
            <w:r>
              <w:t>2.通过完成国省干线养护里程295.03公里，保证当地百姓正常出行，保障公路畅通。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养护里程数</w:t>
            </w:r>
          </w:p>
        </w:tc>
        <w:tc>
          <w:tcPr>
            <w:tcW w:w="5386" w:type="dxa"/>
            <w:vAlign w:val="center"/>
          </w:tcPr>
          <w:p>
            <w:pPr>
              <w:pStyle w:val="13"/>
            </w:pPr>
            <w:r>
              <w:t>国省干线的养护里程</w:t>
            </w:r>
          </w:p>
        </w:tc>
        <w:tc>
          <w:tcPr>
            <w:tcW w:w="2268" w:type="dxa"/>
            <w:vAlign w:val="center"/>
          </w:tcPr>
          <w:p>
            <w:pPr>
              <w:pStyle w:val="13"/>
            </w:pPr>
            <w:r>
              <w:t>295.03公里</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事业编人员数</w:t>
            </w:r>
          </w:p>
        </w:tc>
        <w:tc>
          <w:tcPr>
            <w:tcW w:w="5386" w:type="dxa"/>
            <w:vAlign w:val="center"/>
          </w:tcPr>
          <w:p>
            <w:pPr>
              <w:pStyle w:val="13"/>
            </w:pPr>
            <w:r>
              <w:t>保证正常行政运营所需要的人员数</w:t>
            </w:r>
          </w:p>
        </w:tc>
        <w:tc>
          <w:tcPr>
            <w:tcW w:w="2268" w:type="dxa"/>
            <w:vAlign w:val="center"/>
          </w:tcPr>
          <w:p>
            <w:pPr>
              <w:pStyle w:val="13"/>
            </w:pPr>
            <w:r>
              <w:t>≤56人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工程养护工程合格率</w:t>
            </w:r>
          </w:p>
        </w:tc>
        <w:tc>
          <w:tcPr>
            <w:tcW w:w="5386" w:type="dxa"/>
            <w:vAlign w:val="center"/>
          </w:tcPr>
          <w:p>
            <w:pPr>
              <w:pStyle w:val="13"/>
            </w:pPr>
            <w:r>
              <w:t>普通干线工程质量合格的数量占养护工程总数的比率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支付的准确率</w:t>
            </w:r>
          </w:p>
        </w:tc>
        <w:tc>
          <w:tcPr>
            <w:tcW w:w="5386" w:type="dxa"/>
            <w:vAlign w:val="center"/>
          </w:tcPr>
          <w:p>
            <w:pPr>
              <w:pStyle w:val="13"/>
            </w:pPr>
            <w:r>
              <w:t>资金支付的准确率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按工作计划按时完成</w:t>
            </w:r>
          </w:p>
        </w:tc>
        <w:tc>
          <w:tcPr>
            <w:tcW w:w="2268" w:type="dxa"/>
            <w:vAlign w:val="center"/>
          </w:tcPr>
          <w:p>
            <w:pPr>
              <w:pStyle w:val="13"/>
            </w:pPr>
            <w:r>
              <w:t>2026年底前</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人员成本控制</w:t>
            </w:r>
          </w:p>
        </w:tc>
        <w:tc>
          <w:tcPr>
            <w:tcW w:w="5386" w:type="dxa"/>
            <w:vAlign w:val="center"/>
          </w:tcPr>
          <w:p>
            <w:pPr>
              <w:pStyle w:val="13"/>
            </w:pPr>
            <w:r>
              <w:t>相关人员所需费用</w:t>
            </w:r>
          </w:p>
        </w:tc>
        <w:tc>
          <w:tcPr>
            <w:tcW w:w="2268" w:type="dxa"/>
            <w:vAlign w:val="center"/>
          </w:tcPr>
          <w:p>
            <w:pPr>
              <w:pStyle w:val="13"/>
            </w:pPr>
            <w:r>
              <w:t>≤400万元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公路的畅通率</w:t>
            </w:r>
          </w:p>
        </w:tc>
        <w:tc>
          <w:tcPr>
            <w:tcW w:w="5386" w:type="dxa"/>
            <w:vAlign w:val="center"/>
          </w:tcPr>
          <w:p>
            <w:pPr>
              <w:pStyle w:val="13"/>
            </w:pPr>
            <w:r>
              <w:t>保证公路畅通的天数除以总天数</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生态影响</w:t>
            </w:r>
          </w:p>
        </w:tc>
        <w:tc>
          <w:tcPr>
            <w:tcW w:w="5386" w:type="dxa"/>
            <w:vAlign w:val="center"/>
          </w:tcPr>
          <w:p>
            <w:pPr>
              <w:pStyle w:val="13"/>
            </w:pPr>
            <w:r>
              <w:t>通过干线公路的养护、绿化，减少扬尘，增加受益人口</w:t>
            </w:r>
          </w:p>
        </w:tc>
        <w:tc>
          <w:tcPr>
            <w:tcW w:w="2268" w:type="dxa"/>
            <w:vAlign w:val="center"/>
          </w:tcPr>
          <w:p>
            <w:pPr>
              <w:pStyle w:val="13"/>
            </w:pPr>
            <w:r>
              <w:t>≥10万人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≥95%</w:t>
            </w:r>
          </w:p>
        </w:tc>
        <w:tc>
          <w:tcPr>
            <w:tcW w:w="1276" w:type="dxa"/>
            <w:vAlign w:val="center"/>
          </w:tcPr>
          <w:p>
            <w:pPr>
              <w:pStyle w:val="13"/>
            </w:pPr>
            <w:r>
              <w:t>调查反馈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养护人员满意度</w:t>
            </w:r>
          </w:p>
        </w:tc>
        <w:tc>
          <w:tcPr>
            <w:tcW w:w="5386" w:type="dxa"/>
            <w:vAlign w:val="center"/>
          </w:tcPr>
          <w:p>
            <w:pPr>
              <w:pStyle w:val="13"/>
            </w:pPr>
            <w:r>
              <w:t>养护人员的满意度</w:t>
            </w:r>
          </w:p>
        </w:tc>
        <w:tc>
          <w:tcPr>
            <w:tcW w:w="2268" w:type="dxa"/>
            <w:vAlign w:val="center"/>
          </w:tcPr>
          <w:p>
            <w:pPr>
              <w:pStyle w:val="13"/>
            </w:pPr>
            <w:r>
              <w:t>≥95%</w:t>
            </w:r>
          </w:p>
        </w:tc>
        <w:tc>
          <w:tcPr>
            <w:tcW w:w="1276" w:type="dxa"/>
            <w:vAlign w:val="center"/>
          </w:tcPr>
          <w:p>
            <w:pPr>
              <w:pStyle w:val="13"/>
            </w:pPr>
            <w:r>
              <w:t>调查反馈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24、交通事业人员经费绩效目标表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13032126P000074100081</w:t>
            </w:r>
          </w:p>
        </w:tc>
        <w:tc>
          <w:tcPr>
            <w:tcW w:w="2835" w:type="dxa"/>
            <w:vAlign w:val="center"/>
          </w:tcPr>
          <w:p>
            <w:pPr>
              <w:pStyle w:val="11"/>
            </w:pPr>
            <w:r>
              <w:t>项目名称</w:t>
            </w:r>
          </w:p>
        </w:tc>
        <w:tc>
          <w:tcPr>
            <w:tcW w:w="6095" w:type="dxa"/>
            <w:gridSpan w:val="3"/>
            <w:vAlign w:val="center"/>
          </w:tcPr>
          <w:p>
            <w:pPr>
              <w:pStyle w:val="13"/>
            </w:pPr>
            <w:r>
              <w:t>交通事业人员经费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340.00</w:t>
            </w:r>
          </w:p>
        </w:tc>
        <w:tc>
          <w:tcPr>
            <w:tcW w:w="2835" w:type="dxa"/>
            <w:vAlign w:val="center"/>
          </w:tcPr>
          <w:p>
            <w:pPr>
              <w:pStyle w:val="11"/>
            </w:pPr>
            <w:r>
              <w:t>其中：财政    资金</w:t>
            </w:r>
          </w:p>
        </w:tc>
        <w:tc>
          <w:tcPr>
            <w:tcW w:w="2551" w:type="dxa"/>
            <w:vAlign w:val="center"/>
          </w:tcPr>
          <w:p>
            <w:pPr>
              <w:pStyle w:val="13"/>
            </w:pPr>
            <w:r>
              <w:t>340.00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预算数340万元，其中财政资金340万元，主要用于交通事业人员经费资金支出。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1.通过及时支付运转经费，保障机关工作正常有序开展。</w:t>
            </w:r>
          </w:p>
          <w:p>
            <w:pPr>
              <w:pStyle w:val="13"/>
            </w:pPr>
            <w:r>
              <w:t>2.通过及时发放在职人员工资、取暖费，按时缴纳社保，确保机关单位正常运转。</w:t>
            </w:r>
          </w:p>
          <w:p>
            <w:pPr>
              <w:pStyle w:val="13"/>
            </w:pPr>
            <w:r>
              <w:t>3.通过按时发放离退休人员交通费、护理费及遗属人员补助，确保离退休及遗属人员待遇。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在职取暖费、工资、缴纳社保人数</w:t>
            </w:r>
          </w:p>
        </w:tc>
        <w:tc>
          <w:tcPr>
            <w:tcW w:w="5386" w:type="dxa"/>
            <w:vAlign w:val="center"/>
          </w:tcPr>
          <w:p>
            <w:pPr>
              <w:pStyle w:val="13"/>
            </w:pPr>
            <w:r>
              <w:t>单位在职职工领取取暖费补助、工资、缴纳社保的人数</w:t>
            </w:r>
          </w:p>
        </w:tc>
        <w:tc>
          <w:tcPr>
            <w:tcW w:w="2268" w:type="dxa"/>
            <w:vAlign w:val="center"/>
          </w:tcPr>
          <w:p>
            <w:pPr>
              <w:pStyle w:val="13"/>
            </w:pPr>
            <w:r>
              <w:t>104人</w:t>
            </w:r>
          </w:p>
        </w:tc>
        <w:tc>
          <w:tcPr>
            <w:tcW w:w="1276" w:type="dxa"/>
            <w:vAlign w:val="center"/>
          </w:tcPr>
          <w:p>
            <w:pPr>
              <w:pStyle w:val="13"/>
            </w:pPr>
            <w:r>
              <w:t>在职人员名单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退休人员数量</w:t>
            </w:r>
          </w:p>
        </w:tc>
        <w:tc>
          <w:tcPr>
            <w:tcW w:w="5386" w:type="dxa"/>
            <w:vAlign w:val="center"/>
          </w:tcPr>
          <w:p>
            <w:pPr>
              <w:pStyle w:val="13"/>
            </w:pPr>
            <w:r>
              <w:t>单位领取补助的退休人员数量</w:t>
            </w:r>
          </w:p>
        </w:tc>
        <w:tc>
          <w:tcPr>
            <w:tcW w:w="2268" w:type="dxa"/>
            <w:vAlign w:val="center"/>
          </w:tcPr>
          <w:p>
            <w:pPr>
              <w:pStyle w:val="13"/>
            </w:pPr>
            <w:r>
              <w:t>24人</w:t>
            </w:r>
          </w:p>
        </w:tc>
        <w:tc>
          <w:tcPr>
            <w:tcW w:w="1276" w:type="dxa"/>
            <w:vAlign w:val="center"/>
          </w:tcPr>
          <w:p>
            <w:pPr>
              <w:pStyle w:val="13"/>
            </w:pPr>
            <w:r>
              <w:t>退休人员名单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人员经费到位率</w:t>
            </w:r>
          </w:p>
        </w:tc>
        <w:tc>
          <w:tcPr>
            <w:tcW w:w="5386" w:type="dxa"/>
            <w:vAlign w:val="center"/>
          </w:tcPr>
          <w:p>
            <w:pPr>
              <w:pStyle w:val="13"/>
            </w:pPr>
            <w:r>
              <w:t>人员经费到位资金比例</w:t>
            </w:r>
          </w:p>
        </w:tc>
        <w:tc>
          <w:tcPr>
            <w:tcW w:w="2268" w:type="dxa"/>
            <w:vAlign w:val="center"/>
          </w:tcPr>
          <w:p>
            <w:pPr>
              <w:pStyle w:val="13"/>
            </w:pPr>
            <w:r>
              <w:t>100%</w:t>
            </w:r>
          </w:p>
        </w:tc>
        <w:tc>
          <w:tcPr>
            <w:tcW w:w="1276" w:type="dxa"/>
            <w:vAlign w:val="center"/>
          </w:tcPr>
          <w:p>
            <w:pPr>
              <w:pStyle w:val="13"/>
            </w:pPr>
            <w:r>
              <w:t>2026年预算计划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人员经费发放及时率</w:t>
            </w:r>
          </w:p>
        </w:tc>
        <w:tc>
          <w:tcPr>
            <w:tcW w:w="2268" w:type="dxa"/>
            <w:vAlign w:val="center"/>
          </w:tcPr>
          <w:p>
            <w:pPr>
              <w:pStyle w:val="13"/>
            </w:pPr>
            <w:r>
              <w:t>100%</w:t>
            </w:r>
          </w:p>
        </w:tc>
        <w:tc>
          <w:tcPr>
            <w:tcW w:w="1276" w:type="dxa"/>
            <w:vAlign w:val="center"/>
          </w:tcPr>
          <w:p>
            <w:pPr>
              <w:pStyle w:val="13"/>
            </w:pPr>
            <w:r>
              <w:t>2026年预算计划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在职取暖费补助标准</w:t>
            </w:r>
          </w:p>
        </w:tc>
        <w:tc>
          <w:tcPr>
            <w:tcW w:w="5386" w:type="dxa"/>
            <w:vAlign w:val="center"/>
          </w:tcPr>
          <w:p>
            <w:pPr>
              <w:pStyle w:val="13"/>
            </w:pPr>
            <w:r>
              <w:t>领取总数除以在职职工领取取暖费补助的人数</w:t>
            </w:r>
          </w:p>
        </w:tc>
        <w:tc>
          <w:tcPr>
            <w:tcW w:w="2268" w:type="dxa"/>
            <w:vAlign w:val="center"/>
          </w:tcPr>
          <w:p>
            <w:pPr>
              <w:pStyle w:val="13"/>
            </w:pPr>
            <w:r>
              <w:t>1400元/人/年</w:t>
            </w:r>
          </w:p>
        </w:tc>
        <w:tc>
          <w:tcPr>
            <w:tcW w:w="1276" w:type="dxa"/>
            <w:vAlign w:val="center"/>
          </w:tcPr>
          <w:p>
            <w:pPr>
              <w:pStyle w:val="13"/>
            </w:pPr>
            <w:r>
              <w:t>取暖费补助标准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退休人员取暖费补助标准</w:t>
            </w:r>
          </w:p>
        </w:tc>
        <w:tc>
          <w:tcPr>
            <w:tcW w:w="5386" w:type="dxa"/>
            <w:vAlign w:val="center"/>
          </w:tcPr>
          <w:p>
            <w:pPr>
              <w:pStyle w:val="13"/>
            </w:pPr>
            <w:r>
              <w:t>领取总数除以退休职工领取取暖费补助的人数</w:t>
            </w:r>
          </w:p>
        </w:tc>
        <w:tc>
          <w:tcPr>
            <w:tcW w:w="2268" w:type="dxa"/>
            <w:vAlign w:val="center"/>
          </w:tcPr>
          <w:p>
            <w:pPr>
              <w:pStyle w:val="13"/>
            </w:pPr>
            <w:r>
              <w:t>1400元/人/年</w:t>
            </w:r>
          </w:p>
        </w:tc>
        <w:tc>
          <w:tcPr>
            <w:tcW w:w="1276" w:type="dxa"/>
            <w:vAlign w:val="center"/>
          </w:tcPr>
          <w:p>
            <w:pPr>
              <w:pStyle w:val="13"/>
            </w:pPr>
            <w:r>
              <w:t>取暖费补助标准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退休人员交通费补助标准</w:t>
            </w:r>
          </w:p>
        </w:tc>
        <w:tc>
          <w:tcPr>
            <w:tcW w:w="5386" w:type="dxa"/>
            <w:vAlign w:val="center"/>
          </w:tcPr>
          <w:p>
            <w:pPr>
              <w:pStyle w:val="13"/>
            </w:pPr>
            <w:r>
              <w:t>退休人员领取交通费标准</w:t>
            </w:r>
          </w:p>
        </w:tc>
        <w:tc>
          <w:tcPr>
            <w:tcW w:w="2268" w:type="dxa"/>
            <w:vAlign w:val="center"/>
          </w:tcPr>
          <w:p>
            <w:pPr>
              <w:pStyle w:val="13"/>
            </w:pPr>
            <w:r>
              <w:t>60元/人/月</w:t>
            </w:r>
          </w:p>
        </w:tc>
        <w:tc>
          <w:tcPr>
            <w:tcW w:w="1276" w:type="dxa"/>
            <w:vAlign w:val="center"/>
          </w:tcPr>
          <w:p>
            <w:pPr>
              <w:pStyle w:val="13"/>
            </w:pPr>
            <w:r>
              <w:t>退休人员补助标准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退休人员护理费补助标准</w:t>
            </w:r>
          </w:p>
        </w:tc>
        <w:tc>
          <w:tcPr>
            <w:tcW w:w="5386" w:type="dxa"/>
            <w:vAlign w:val="center"/>
          </w:tcPr>
          <w:p>
            <w:pPr>
              <w:pStyle w:val="13"/>
            </w:pPr>
            <w:r>
              <w:t>80周岁以上退休人员领取护理费标准</w:t>
            </w:r>
          </w:p>
        </w:tc>
        <w:tc>
          <w:tcPr>
            <w:tcW w:w="2268" w:type="dxa"/>
            <w:vAlign w:val="center"/>
          </w:tcPr>
          <w:p>
            <w:pPr>
              <w:pStyle w:val="13"/>
            </w:pPr>
            <w:r>
              <w:t>51元/人/月</w:t>
            </w:r>
          </w:p>
        </w:tc>
        <w:tc>
          <w:tcPr>
            <w:tcW w:w="1276" w:type="dxa"/>
            <w:vAlign w:val="center"/>
          </w:tcPr>
          <w:p>
            <w:pPr>
              <w:pStyle w:val="13"/>
            </w:pPr>
            <w:r>
              <w:t>退休人员护理费补助标准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日常工作有效运转率</w:t>
            </w:r>
          </w:p>
        </w:tc>
        <w:tc>
          <w:tcPr>
            <w:tcW w:w="5386" w:type="dxa"/>
            <w:vAlign w:val="center"/>
          </w:tcPr>
          <w:p>
            <w:pPr>
              <w:pStyle w:val="13"/>
            </w:pPr>
            <w:r>
              <w:t>通过及时支付运转经费，有效保障单位各项日常工作顺利开展</w:t>
            </w:r>
          </w:p>
        </w:tc>
        <w:tc>
          <w:tcPr>
            <w:tcW w:w="2268" w:type="dxa"/>
            <w:vAlign w:val="center"/>
          </w:tcPr>
          <w:p>
            <w:pPr>
              <w:pStyle w:val="13"/>
            </w:pPr>
            <w:r>
              <w:t>≥98%</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通过及时支付运转经费，保障日常工作的持续有序推进</w:t>
            </w:r>
          </w:p>
        </w:tc>
        <w:tc>
          <w:tcPr>
            <w:tcW w:w="2268" w:type="dxa"/>
            <w:vAlign w:val="center"/>
          </w:tcPr>
          <w:p>
            <w:pPr>
              <w:pStyle w:val="13"/>
            </w:pPr>
            <w:r>
              <w:t>≥98%</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事业人员满意度</w:t>
            </w:r>
          </w:p>
        </w:tc>
        <w:tc>
          <w:tcPr>
            <w:tcW w:w="5386" w:type="dxa"/>
            <w:vAlign w:val="center"/>
          </w:tcPr>
          <w:p>
            <w:pPr>
              <w:pStyle w:val="13"/>
            </w:pPr>
            <w:r>
              <w:t>通过问卷调查，满意和较满意的职工占全部调查职工的比例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25、交通战备费绩效目标表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13032126P000074100100</w:t>
            </w:r>
          </w:p>
        </w:tc>
        <w:tc>
          <w:tcPr>
            <w:tcW w:w="2835" w:type="dxa"/>
            <w:vAlign w:val="center"/>
          </w:tcPr>
          <w:p>
            <w:pPr>
              <w:pStyle w:val="11"/>
            </w:pPr>
            <w:r>
              <w:t>项目名称</w:t>
            </w:r>
          </w:p>
        </w:tc>
        <w:tc>
          <w:tcPr>
            <w:tcW w:w="6095" w:type="dxa"/>
            <w:gridSpan w:val="3"/>
            <w:vAlign w:val="center"/>
          </w:tcPr>
          <w:p>
            <w:pPr>
              <w:pStyle w:val="13"/>
            </w:pPr>
            <w:r>
              <w:t>交通战备费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预算数1万元，其中财政资金1万元，主要用于交通战备费资金支出。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1.通过拟订本地区有关国防交通工作的规定，规划本地区国防交通网路布局，对本地区交通建设提出有关国防要求的建议，确保保障应急前线物资的供应</w:t>
            </w:r>
            <w:r>
              <w:tab/>
            </w:r>
            <w:r>
              <w:t>。</w:t>
            </w:r>
            <w:r>
              <w:tab/>
            </w:r>
            <w:r>
              <w:tab/>
            </w:r>
            <w:r>
              <w:tab/>
            </w:r>
          </w:p>
          <w:p>
            <w:pPr>
              <w:pStyle w:val="13"/>
            </w:pPr>
            <w:r>
              <w:t>2.通过应急演练，使大家树立危机意识，确保在险情发生时，能够拉得出，打的赢。</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采购雨衣水靴数量</w:t>
            </w:r>
          </w:p>
        </w:tc>
        <w:tc>
          <w:tcPr>
            <w:tcW w:w="5386" w:type="dxa"/>
            <w:vAlign w:val="center"/>
          </w:tcPr>
          <w:p>
            <w:pPr>
              <w:pStyle w:val="13"/>
            </w:pPr>
            <w:r>
              <w:t>采购雨衣、水靴总数量</w:t>
            </w:r>
          </w:p>
        </w:tc>
        <w:tc>
          <w:tcPr>
            <w:tcW w:w="2268" w:type="dxa"/>
            <w:vAlign w:val="center"/>
          </w:tcPr>
          <w:p>
            <w:pPr>
              <w:pStyle w:val="13"/>
            </w:pPr>
            <w:r>
              <w:t>≥15套</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采购铁锹数量</w:t>
            </w:r>
          </w:p>
        </w:tc>
        <w:tc>
          <w:tcPr>
            <w:tcW w:w="5386" w:type="dxa"/>
            <w:vAlign w:val="center"/>
          </w:tcPr>
          <w:p>
            <w:pPr>
              <w:pStyle w:val="13"/>
            </w:pPr>
            <w:r>
              <w:t>采购铁锹数量</w:t>
            </w:r>
          </w:p>
        </w:tc>
        <w:tc>
          <w:tcPr>
            <w:tcW w:w="2268" w:type="dxa"/>
            <w:vAlign w:val="center"/>
          </w:tcPr>
          <w:p>
            <w:pPr>
              <w:pStyle w:val="13"/>
            </w:pPr>
            <w:r>
              <w:t>≥20把</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采购雨伞数量</w:t>
            </w:r>
          </w:p>
        </w:tc>
        <w:tc>
          <w:tcPr>
            <w:tcW w:w="5386" w:type="dxa"/>
            <w:vAlign w:val="center"/>
          </w:tcPr>
          <w:p>
            <w:pPr>
              <w:pStyle w:val="13"/>
            </w:pPr>
            <w:r>
              <w:t>采购雨伞数量</w:t>
            </w:r>
          </w:p>
        </w:tc>
        <w:tc>
          <w:tcPr>
            <w:tcW w:w="2268" w:type="dxa"/>
            <w:vAlign w:val="center"/>
          </w:tcPr>
          <w:p>
            <w:pPr>
              <w:pStyle w:val="13"/>
            </w:pPr>
            <w:r>
              <w:t>≥20把</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采购防汛袋数量</w:t>
            </w:r>
          </w:p>
        </w:tc>
        <w:tc>
          <w:tcPr>
            <w:tcW w:w="5386" w:type="dxa"/>
            <w:vAlign w:val="center"/>
          </w:tcPr>
          <w:p>
            <w:pPr>
              <w:pStyle w:val="13"/>
            </w:pPr>
            <w:r>
              <w:t>采购防汛袋数量</w:t>
            </w:r>
          </w:p>
        </w:tc>
        <w:tc>
          <w:tcPr>
            <w:tcW w:w="2268" w:type="dxa"/>
            <w:vAlign w:val="center"/>
          </w:tcPr>
          <w:p>
            <w:pPr>
              <w:pStyle w:val="13"/>
            </w:pPr>
            <w:r>
              <w:t>≥500个</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采购救生衣数量</w:t>
            </w:r>
          </w:p>
        </w:tc>
        <w:tc>
          <w:tcPr>
            <w:tcW w:w="5386" w:type="dxa"/>
            <w:vAlign w:val="center"/>
          </w:tcPr>
          <w:p>
            <w:pPr>
              <w:pStyle w:val="13"/>
            </w:pPr>
            <w:r>
              <w:t>采购救生衣数量</w:t>
            </w:r>
          </w:p>
        </w:tc>
        <w:tc>
          <w:tcPr>
            <w:tcW w:w="2268" w:type="dxa"/>
            <w:vAlign w:val="center"/>
          </w:tcPr>
          <w:p>
            <w:pPr>
              <w:pStyle w:val="13"/>
            </w:pPr>
            <w:r>
              <w:t>≥10件</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采购电锯数量</w:t>
            </w:r>
          </w:p>
        </w:tc>
        <w:tc>
          <w:tcPr>
            <w:tcW w:w="5386" w:type="dxa"/>
            <w:vAlign w:val="center"/>
          </w:tcPr>
          <w:p>
            <w:pPr>
              <w:pStyle w:val="13"/>
            </w:pPr>
            <w:r>
              <w:t>采购电锯数量</w:t>
            </w:r>
          </w:p>
        </w:tc>
        <w:tc>
          <w:tcPr>
            <w:tcW w:w="2268" w:type="dxa"/>
            <w:vAlign w:val="center"/>
          </w:tcPr>
          <w:p>
            <w:pPr>
              <w:pStyle w:val="13"/>
            </w:pPr>
            <w:r>
              <w:t>≥1台</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采购验收合格率</w:t>
            </w:r>
          </w:p>
        </w:tc>
        <w:tc>
          <w:tcPr>
            <w:tcW w:w="2268" w:type="dxa"/>
            <w:vAlign w:val="center"/>
          </w:tcPr>
          <w:p>
            <w:pPr>
              <w:pStyle w:val="13"/>
            </w:pPr>
            <w:r>
              <w:t>100%</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发放及时性</w:t>
            </w:r>
          </w:p>
        </w:tc>
        <w:tc>
          <w:tcPr>
            <w:tcW w:w="5386" w:type="dxa"/>
            <w:vAlign w:val="center"/>
          </w:tcPr>
          <w:p>
            <w:pPr>
              <w:pStyle w:val="13"/>
            </w:pPr>
            <w:r>
              <w:t>防汛物资按照应急任务及时发放到位</w:t>
            </w:r>
          </w:p>
        </w:tc>
        <w:tc>
          <w:tcPr>
            <w:tcW w:w="2268" w:type="dxa"/>
            <w:vAlign w:val="center"/>
          </w:tcPr>
          <w:p>
            <w:pPr>
              <w:pStyle w:val="13"/>
            </w:pPr>
            <w:r>
              <w:t>100%</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按照工作计划及时完成采购入库工作</w:t>
            </w:r>
          </w:p>
        </w:tc>
        <w:tc>
          <w:tcPr>
            <w:tcW w:w="2268" w:type="dxa"/>
            <w:vAlign w:val="center"/>
          </w:tcPr>
          <w:p>
            <w:pPr>
              <w:pStyle w:val="13"/>
            </w:pPr>
            <w:r>
              <w:t>2026年底前</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雨衣水鞋成本</w:t>
            </w:r>
          </w:p>
        </w:tc>
        <w:tc>
          <w:tcPr>
            <w:tcW w:w="5386" w:type="dxa"/>
            <w:vAlign w:val="center"/>
          </w:tcPr>
          <w:p>
            <w:pPr>
              <w:pStyle w:val="13"/>
            </w:pPr>
            <w:r>
              <w:t>采购雨衣水靴每套成本</w:t>
            </w:r>
          </w:p>
        </w:tc>
        <w:tc>
          <w:tcPr>
            <w:tcW w:w="2268" w:type="dxa"/>
            <w:vAlign w:val="center"/>
          </w:tcPr>
          <w:p>
            <w:pPr>
              <w:pStyle w:val="13"/>
            </w:pPr>
            <w:r>
              <w:t>≤270元</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铁锹成本</w:t>
            </w:r>
          </w:p>
        </w:tc>
        <w:tc>
          <w:tcPr>
            <w:tcW w:w="5386" w:type="dxa"/>
            <w:vAlign w:val="center"/>
          </w:tcPr>
          <w:p>
            <w:pPr>
              <w:pStyle w:val="13"/>
            </w:pPr>
            <w:r>
              <w:t>采购铁锹每把成本</w:t>
            </w:r>
          </w:p>
        </w:tc>
        <w:tc>
          <w:tcPr>
            <w:tcW w:w="2268" w:type="dxa"/>
            <w:vAlign w:val="center"/>
          </w:tcPr>
          <w:p>
            <w:pPr>
              <w:pStyle w:val="13"/>
            </w:pPr>
            <w:r>
              <w:t>≤25元</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雨伞成本</w:t>
            </w:r>
          </w:p>
        </w:tc>
        <w:tc>
          <w:tcPr>
            <w:tcW w:w="5386" w:type="dxa"/>
            <w:vAlign w:val="center"/>
          </w:tcPr>
          <w:p>
            <w:pPr>
              <w:pStyle w:val="13"/>
            </w:pPr>
            <w:r>
              <w:t>采购雨伞每把成本</w:t>
            </w:r>
          </w:p>
        </w:tc>
        <w:tc>
          <w:tcPr>
            <w:tcW w:w="2268" w:type="dxa"/>
            <w:vAlign w:val="center"/>
          </w:tcPr>
          <w:p>
            <w:pPr>
              <w:pStyle w:val="13"/>
            </w:pPr>
            <w:r>
              <w:t>≤50元</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防汛袋成本</w:t>
            </w:r>
          </w:p>
        </w:tc>
        <w:tc>
          <w:tcPr>
            <w:tcW w:w="5386" w:type="dxa"/>
            <w:vAlign w:val="center"/>
          </w:tcPr>
          <w:p>
            <w:pPr>
              <w:pStyle w:val="13"/>
            </w:pPr>
            <w:r>
              <w:t>采购防汛袋每个成本</w:t>
            </w:r>
          </w:p>
        </w:tc>
        <w:tc>
          <w:tcPr>
            <w:tcW w:w="2268" w:type="dxa"/>
            <w:vAlign w:val="center"/>
          </w:tcPr>
          <w:p>
            <w:pPr>
              <w:pStyle w:val="13"/>
            </w:pPr>
            <w:r>
              <w:t>≤1元</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救生衣成本</w:t>
            </w:r>
          </w:p>
        </w:tc>
        <w:tc>
          <w:tcPr>
            <w:tcW w:w="5386" w:type="dxa"/>
            <w:vAlign w:val="center"/>
          </w:tcPr>
          <w:p>
            <w:pPr>
              <w:pStyle w:val="13"/>
            </w:pPr>
            <w:r>
              <w:t>采购救生衣每件成本</w:t>
            </w:r>
          </w:p>
        </w:tc>
        <w:tc>
          <w:tcPr>
            <w:tcW w:w="2268" w:type="dxa"/>
            <w:vAlign w:val="center"/>
          </w:tcPr>
          <w:p>
            <w:pPr>
              <w:pStyle w:val="13"/>
            </w:pPr>
            <w:r>
              <w:t>≤45元</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电锯成本</w:t>
            </w:r>
          </w:p>
        </w:tc>
        <w:tc>
          <w:tcPr>
            <w:tcW w:w="5386" w:type="dxa"/>
            <w:vAlign w:val="center"/>
          </w:tcPr>
          <w:p>
            <w:pPr>
              <w:pStyle w:val="13"/>
            </w:pPr>
            <w:r>
              <w:t>采购电锯每台成本</w:t>
            </w:r>
          </w:p>
        </w:tc>
        <w:tc>
          <w:tcPr>
            <w:tcW w:w="2268" w:type="dxa"/>
            <w:vAlign w:val="center"/>
          </w:tcPr>
          <w:p>
            <w:pPr>
              <w:pStyle w:val="13"/>
            </w:pPr>
            <w:r>
              <w:t>≤2000元</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保障储备物资应急充足</w:t>
            </w:r>
          </w:p>
        </w:tc>
        <w:tc>
          <w:tcPr>
            <w:tcW w:w="5386" w:type="dxa"/>
            <w:vAlign w:val="center"/>
          </w:tcPr>
          <w:p>
            <w:pPr>
              <w:pStyle w:val="13"/>
            </w:pPr>
            <w:r>
              <w:t>项目实施，保障交通储备物资应急供应量充足，有效保障防汛防火期间交通安全畅通运行</w:t>
            </w:r>
          </w:p>
        </w:tc>
        <w:tc>
          <w:tcPr>
            <w:tcW w:w="2268" w:type="dxa"/>
            <w:vAlign w:val="center"/>
          </w:tcPr>
          <w:p>
            <w:pPr>
              <w:pStyle w:val="13"/>
            </w:pPr>
            <w:r>
              <w:t>100%</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长期有效性</w:t>
            </w:r>
          </w:p>
        </w:tc>
        <w:tc>
          <w:tcPr>
            <w:tcW w:w="5386" w:type="dxa"/>
            <w:vAlign w:val="center"/>
          </w:tcPr>
          <w:p>
            <w:pPr>
              <w:pStyle w:val="13"/>
            </w:pPr>
            <w:r>
              <w:t>项目实施保障交通战备工作长期有序开展，保证公路畅通，方便百姓出行</w:t>
            </w:r>
          </w:p>
        </w:tc>
        <w:tc>
          <w:tcPr>
            <w:tcW w:w="2268" w:type="dxa"/>
            <w:vAlign w:val="center"/>
          </w:tcPr>
          <w:p>
            <w:pPr>
              <w:pStyle w:val="13"/>
            </w:pPr>
            <w:r>
              <w:t>100%</w:t>
            </w:r>
          </w:p>
        </w:tc>
        <w:tc>
          <w:tcPr>
            <w:tcW w:w="1276" w:type="dxa"/>
            <w:vAlign w:val="center"/>
          </w:tcPr>
          <w:p>
            <w:pPr>
              <w:pStyle w:val="13"/>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≥95%</w:t>
            </w:r>
          </w:p>
        </w:tc>
        <w:tc>
          <w:tcPr>
            <w:tcW w:w="1276" w:type="dxa"/>
            <w:vAlign w:val="center"/>
          </w:tcPr>
          <w:p>
            <w:pPr>
              <w:pStyle w:val="13"/>
            </w:pPr>
            <w:r>
              <w:t>群众满意度调查问卷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26、交通综合执法公务用车购置绩效目标表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13032126P00007410011K</w:t>
            </w:r>
          </w:p>
        </w:tc>
        <w:tc>
          <w:tcPr>
            <w:tcW w:w="2835" w:type="dxa"/>
            <w:vAlign w:val="center"/>
          </w:tcPr>
          <w:p>
            <w:pPr>
              <w:pStyle w:val="11"/>
            </w:pPr>
            <w:r>
              <w:t>项目名称</w:t>
            </w:r>
          </w:p>
        </w:tc>
        <w:tc>
          <w:tcPr>
            <w:tcW w:w="6095" w:type="dxa"/>
            <w:gridSpan w:val="3"/>
            <w:vAlign w:val="center"/>
          </w:tcPr>
          <w:p>
            <w:pPr>
              <w:pStyle w:val="13"/>
            </w:pPr>
            <w:r>
              <w:t>交通综合执法公务用车购置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36.00</w:t>
            </w:r>
          </w:p>
        </w:tc>
        <w:tc>
          <w:tcPr>
            <w:tcW w:w="2835" w:type="dxa"/>
            <w:vAlign w:val="center"/>
          </w:tcPr>
          <w:p>
            <w:pPr>
              <w:pStyle w:val="11"/>
            </w:pPr>
            <w:r>
              <w:t>其中：财政    资金</w:t>
            </w:r>
          </w:p>
        </w:tc>
        <w:tc>
          <w:tcPr>
            <w:tcW w:w="2551" w:type="dxa"/>
            <w:vAlign w:val="center"/>
          </w:tcPr>
          <w:p>
            <w:pPr>
              <w:pStyle w:val="13"/>
            </w:pPr>
            <w:r>
              <w:t>36.00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预算数36万元，其中财政资金36万元，主要用于交通综合执法公务用车购置资金支出。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1.通过更新执法用车，保证综合执法工作正常开展，维护社会稳定，增强群众满意度。</w:t>
            </w:r>
          </w:p>
          <w:p>
            <w:pPr>
              <w:pStyle w:val="13"/>
            </w:pPr>
            <w:r>
              <w:t>2.通过更新执法用车，减少车辆事故率，节约维修及燃油成本。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公务车数量</w:t>
            </w:r>
          </w:p>
        </w:tc>
        <w:tc>
          <w:tcPr>
            <w:tcW w:w="5386" w:type="dxa"/>
            <w:vAlign w:val="center"/>
          </w:tcPr>
          <w:p>
            <w:pPr>
              <w:pStyle w:val="13"/>
            </w:pPr>
            <w:r>
              <w:t>购买综合执法公务用车数量</w:t>
            </w:r>
          </w:p>
        </w:tc>
        <w:tc>
          <w:tcPr>
            <w:tcW w:w="2268" w:type="dxa"/>
            <w:vAlign w:val="center"/>
          </w:tcPr>
          <w:p>
            <w:pPr>
              <w:pStyle w:val="13"/>
            </w:pPr>
            <w:r>
              <w:t>3辆</w:t>
            </w:r>
          </w:p>
        </w:tc>
        <w:tc>
          <w:tcPr>
            <w:tcW w:w="1276" w:type="dxa"/>
            <w:vAlign w:val="center"/>
          </w:tcPr>
          <w:p>
            <w:pPr>
              <w:pStyle w:val="13"/>
            </w:pPr>
            <w:r>
              <w:t>采购计划及方案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执法机构数量</w:t>
            </w:r>
          </w:p>
        </w:tc>
        <w:tc>
          <w:tcPr>
            <w:tcW w:w="5386" w:type="dxa"/>
            <w:vAlign w:val="center"/>
          </w:tcPr>
          <w:p>
            <w:pPr>
              <w:pStyle w:val="13"/>
            </w:pPr>
            <w:r>
              <w:t>保障执法机构正常运行数量</w:t>
            </w:r>
          </w:p>
        </w:tc>
        <w:tc>
          <w:tcPr>
            <w:tcW w:w="2268" w:type="dxa"/>
            <w:vAlign w:val="center"/>
          </w:tcPr>
          <w:p>
            <w:pPr>
              <w:pStyle w:val="13"/>
            </w:pPr>
            <w:r>
              <w:t>1个</w:t>
            </w:r>
          </w:p>
        </w:tc>
        <w:tc>
          <w:tcPr>
            <w:tcW w:w="1276" w:type="dxa"/>
            <w:vAlign w:val="center"/>
          </w:tcPr>
          <w:p>
            <w:pPr>
              <w:pStyle w:val="13"/>
            </w:pPr>
            <w:r>
              <w:t>采购计划及方案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车辆合格率</w:t>
            </w:r>
          </w:p>
        </w:tc>
        <w:tc>
          <w:tcPr>
            <w:tcW w:w="5386" w:type="dxa"/>
            <w:vAlign w:val="center"/>
          </w:tcPr>
          <w:p>
            <w:pPr>
              <w:pStyle w:val="13"/>
            </w:pPr>
            <w:r>
              <w:t>购置公务用车合格率</w:t>
            </w:r>
          </w:p>
        </w:tc>
        <w:tc>
          <w:tcPr>
            <w:tcW w:w="2268" w:type="dxa"/>
            <w:vAlign w:val="center"/>
          </w:tcPr>
          <w:p>
            <w:pPr>
              <w:pStyle w:val="13"/>
            </w:pPr>
            <w:r>
              <w:t>100%</w:t>
            </w:r>
          </w:p>
        </w:tc>
        <w:tc>
          <w:tcPr>
            <w:tcW w:w="1276" w:type="dxa"/>
            <w:vAlign w:val="center"/>
          </w:tcPr>
          <w:p>
            <w:pPr>
              <w:pStyle w:val="13"/>
            </w:pPr>
            <w:r>
              <w:t>采购计划及方案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采购时限</w:t>
            </w:r>
          </w:p>
        </w:tc>
        <w:tc>
          <w:tcPr>
            <w:tcW w:w="5386" w:type="dxa"/>
            <w:vAlign w:val="center"/>
          </w:tcPr>
          <w:p>
            <w:pPr>
              <w:pStyle w:val="13"/>
            </w:pPr>
            <w:r>
              <w:t>按照计划及时采购时限要求</w:t>
            </w:r>
          </w:p>
        </w:tc>
        <w:tc>
          <w:tcPr>
            <w:tcW w:w="2268" w:type="dxa"/>
            <w:vAlign w:val="center"/>
          </w:tcPr>
          <w:p>
            <w:pPr>
              <w:pStyle w:val="13"/>
            </w:pPr>
            <w:r>
              <w:t>2026年10月底以前</w:t>
            </w:r>
          </w:p>
        </w:tc>
        <w:tc>
          <w:tcPr>
            <w:tcW w:w="1276" w:type="dxa"/>
            <w:vAlign w:val="center"/>
          </w:tcPr>
          <w:p>
            <w:pPr>
              <w:pStyle w:val="13"/>
            </w:pPr>
            <w:r>
              <w:t>采购计划及方案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采购成本</w:t>
            </w:r>
          </w:p>
        </w:tc>
        <w:tc>
          <w:tcPr>
            <w:tcW w:w="5386" w:type="dxa"/>
            <w:vAlign w:val="center"/>
          </w:tcPr>
          <w:p>
            <w:pPr>
              <w:pStyle w:val="13"/>
            </w:pPr>
            <w:r>
              <w:t>采购公务用车成本指标控制</w:t>
            </w:r>
          </w:p>
        </w:tc>
        <w:tc>
          <w:tcPr>
            <w:tcW w:w="2268" w:type="dxa"/>
            <w:vAlign w:val="center"/>
          </w:tcPr>
          <w:p>
            <w:pPr>
              <w:pStyle w:val="13"/>
            </w:pPr>
            <w:r>
              <w:t>≤36万元</w:t>
            </w:r>
          </w:p>
        </w:tc>
        <w:tc>
          <w:tcPr>
            <w:tcW w:w="1276" w:type="dxa"/>
            <w:vAlign w:val="center"/>
          </w:tcPr>
          <w:p>
            <w:pPr>
              <w:pStyle w:val="13"/>
            </w:pPr>
            <w:r>
              <w:t>采购计划及方案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节约费用成本</w:t>
            </w:r>
          </w:p>
        </w:tc>
        <w:tc>
          <w:tcPr>
            <w:tcW w:w="5386" w:type="dxa"/>
            <w:vAlign w:val="center"/>
          </w:tcPr>
          <w:p>
            <w:pPr>
              <w:pStyle w:val="13"/>
            </w:pPr>
            <w:r>
              <w:t>车辆更新后每年节约维修及燃油费用</w:t>
            </w:r>
          </w:p>
        </w:tc>
        <w:tc>
          <w:tcPr>
            <w:tcW w:w="2268" w:type="dxa"/>
            <w:vAlign w:val="center"/>
          </w:tcPr>
          <w:p>
            <w:pPr>
              <w:pStyle w:val="13"/>
            </w:pPr>
            <w:r>
              <w:t>≥4.5万元</w:t>
            </w:r>
          </w:p>
        </w:tc>
        <w:tc>
          <w:tcPr>
            <w:tcW w:w="1276" w:type="dxa"/>
            <w:vAlign w:val="center"/>
          </w:tcPr>
          <w:p>
            <w:pPr>
              <w:pStyle w:val="13"/>
            </w:pPr>
            <w:r>
              <w:t>采购计划及方案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综合执法运转率</w:t>
            </w:r>
          </w:p>
        </w:tc>
        <w:tc>
          <w:tcPr>
            <w:tcW w:w="5386" w:type="dxa"/>
            <w:vAlign w:val="center"/>
          </w:tcPr>
          <w:p>
            <w:pPr>
              <w:pStyle w:val="13"/>
            </w:pPr>
            <w:r>
              <w:t>综合执法正常可持续运转率</w:t>
            </w:r>
          </w:p>
        </w:tc>
        <w:tc>
          <w:tcPr>
            <w:tcW w:w="2268" w:type="dxa"/>
            <w:vAlign w:val="center"/>
          </w:tcPr>
          <w:p>
            <w:pPr>
              <w:pStyle w:val="13"/>
            </w:pPr>
            <w:r>
              <w:t>100%</w:t>
            </w:r>
          </w:p>
        </w:tc>
        <w:tc>
          <w:tcPr>
            <w:tcW w:w="1276" w:type="dxa"/>
            <w:vAlign w:val="center"/>
          </w:tcPr>
          <w:p>
            <w:pPr>
              <w:pStyle w:val="13"/>
            </w:pPr>
            <w:r>
              <w:t>采购计划及方案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保障综合执法用车正常使用年限</w:t>
            </w:r>
          </w:p>
        </w:tc>
        <w:tc>
          <w:tcPr>
            <w:tcW w:w="2268" w:type="dxa"/>
            <w:vAlign w:val="center"/>
          </w:tcPr>
          <w:p>
            <w:pPr>
              <w:pStyle w:val="13"/>
            </w:pPr>
            <w:r>
              <w:t>≥10年</w:t>
            </w:r>
          </w:p>
        </w:tc>
        <w:tc>
          <w:tcPr>
            <w:tcW w:w="1276" w:type="dxa"/>
            <w:vAlign w:val="center"/>
          </w:tcPr>
          <w:p>
            <w:pPr>
              <w:pStyle w:val="13"/>
            </w:pPr>
            <w:r>
              <w:t>采购计划及方案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执法人员满意度</w:t>
            </w:r>
          </w:p>
        </w:tc>
        <w:tc>
          <w:tcPr>
            <w:tcW w:w="5386" w:type="dxa"/>
            <w:vAlign w:val="center"/>
          </w:tcPr>
          <w:p>
            <w:pPr>
              <w:pStyle w:val="13"/>
            </w:pPr>
            <w:r>
              <w:t>保证执法工作正常开展，提高执法人员满意度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27、农村公路建设改造工程资金（财力专款）绩效目标表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13032125P000076100028</w:t>
            </w:r>
          </w:p>
        </w:tc>
        <w:tc>
          <w:tcPr>
            <w:tcW w:w="2835" w:type="dxa"/>
            <w:vAlign w:val="center"/>
          </w:tcPr>
          <w:p>
            <w:pPr>
              <w:pStyle w:val="11"/>
            </w:pPr>
            <w:r>
              <w:t>项目名称</w:t>
            </w:r>
          </w:p>
        </w:tc>
        <w:tc>
          <w:tcPr>
            <w:tcW w:w="6095" w:type="dxa"/>
            <w:gridSpan w:val="3"/>
            <w:vAlign w:val="center"/>
          </w:tcPr>
          <w:p>
            <w:pPr>
              <w:pStyle w:val="13"/>
            </w:pPr>
            <w:r>
              <w:t>农村公路建设改造工程资金（财力专款）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230.00</w:t>
            </w:r>
          </w:p>
        </w:tc>
        <w:tc>
          <w:tcPr>
            <w:tcW w:w="2835" w:type="dxa"/>
            <w:vAlign w:val="center"/>
          </w:tcPr>
          <w:p>
            <w:pPr>
              <w:pStyle w:val="11"/>
            </w:pPr>
            <w:r>
              <w:t>其中：财政    资金</w:t>
            </w:r>
          </w:p>
        </w:tc>
        <w:tc>
          <w:tcPr>
            <w:tcW w:w="2551" w:type="dxa"/>
            <w:vAlign w:val="center"/>
          </w:tcPr>
          <w:p>
            <w:pPr>
              <w:pStyle w:val="13"/>
            </w:pPr>
            <w:r>
              <w:t>230.00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预算数230万元，其中财政资金230万元，主要用于农村公路建设改造工程资金支出。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1.通过改善路况，增强通行能力，方便群众出行，拉动地区经济增长。</w:t>
            </w:r>
            <w:r>
              <w:tab/>
            </w:r>
            <w:r>
              <w:tab/>
            </w:r>
            <w:r>
              <w:tab/>
            </w:r>
            <w:r>
              <w:tab/>
            </w:r>
            <w:r>
              <w:tab/>
            </w:r>
          </w:p>
          <w:p>
            <w:pPr>
              <w:pStyle w:val="13"/>
            </w:pPr>
            <w:r>
              <w:t>2.通过开展完成农村公路建设改造工程，建设质量达到合格标准，加强农村公路基础设施建设。</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完成公路建设里程</w:t>
            </w:r>
          </w:p>
        </w:tc>
        <w:tc>
          <w:tcPr>
            <w:tcW w:w="5386" w:type="dxa"/>
            <w:vAlign w:val="center"/>
          </w:tcPr>
          <w:p>
            <w:pPr>
              <w:pStyle w:val="13"/>
            </w:pPr>
            <w:r>
              <w:t>完成公路建设里程数</w:t>
            </w:r>
          </w:p>
        </w:tc>
        <w:tc>
          <w:tcPr>
            <w:tcW w:w="2268" w:type="dxa"/>
            <w:vAlign w:val="center"/>
          </w:tcPr>
          <w:p>
            <w:pPr>
              <w:pStyle w:val="13"/>
            </w:pPr>
            <w:r>
              <w:t>≥19.6公里</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按照工程进度，已完成工程达到合格标准，依据相关检测评定标准。</w:t>
            </w:r>
          </w:p>
        </w:tc>
        <w:tc>
          <w:tcPr>
            <w:tcW w:w="2268" w:type="dxa"/>
            <w:vAlign w:val="center"/>
          </w:tcPr>
          <w:p>
            <w:pPr>
              <w:pStyle w:val="13"/>
            </w:pPr>
            <w:r>
              <w:t>100%</w:t>
            </w:r>
          </w:p>
        </w:tc>
        <w:tc>
          <w:tcPr>
            <w:tcW w:w="1276" w:type="dxa"/>
            <w:vAlign w:val="center"/>
          </w:tcPr>
          <w:p>
            <w:pPr>
              <w:pStyle w:val="13"/>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工程完工及时性</w:t>
            </w:r>
          </w:p>
        </w:tc>
        <w:tc>
          <w:tcPr>
            <w:tcW w:w="5386" w:type="dxa"/>
            <w:vAlign w:val="center"/>
          </w:tcPr>
          <w:p>
            <w:pPr>
              <w:pStyle w:val="13"/>
            </w:pPr>
            <w:r>
              <w:t>按合同约定及计划完成道路建设工作</w:t>
            </w:r>
          </w:p>
        </w:tc>
        <w:tc>
          <w:tcPr>
            <w:tcW w:w="2268" w:type="dxa"/>
            <w:vAlign w:val="center"/>
          </w:tcPr>
          <w:p>
            <w:pPr>
              <w:pStyle w:val="13"/>
            </w:pPr>
            <w:r>
              <w:t>100%</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道路改建成本</w:t>
            </w:r>
          </w:p>
        </w:tc>
        <w:tc>
          <w:tcPr>
            <w:tcW w:w="5386" w:type="dxa"/>
            <w:vAlign w:val="center"/>
          </w:tcPr>
          <w:p>
            <w:pPr>
              <w:pStyle w:val="13"/>
            </w:pPr>
            <w:r>
              <w:t>严格进行成本管控，按照政府招投标相关文件及合同支付要求进行资金的支付</w:t>
            </w:r>
          </w:p>
        </w:tc>
        <w:tc>
          <w:tcPr>
            <w:tcW w:w="2268" w:type="dxa"/>
            <w:vAlign w:val="center"/>
          </w:tcPr>
          <w:p>
            <w:pPr>
              <w:pStyle w:val="13"/>
            </w:pPr>
            <w:r>
              <w:t>≤230万元</w:t>
            </w:r>
          </w:p>
        </w:tc>
        <w:tc>
          <w:tcPr>
            <w:tcW w:w="1276" w:type="dxa"/>
            <w:vAlign w:val="center"/>
          </w:tcPr>
          <w:p>
            <w:pPr>
              <w:pStyle w:val="13"/>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道路改建平均成本</w:t>
            </w:r>
          </w:p>
        </w:tc>
        <w:tc>
          <w:tcPr>
            <w:tcW w:w="5386" w:type="dxa"/>
            <w:vAlign w:val="center"/>
          </w:tcPr>
          <w:p>
            <w:pPr>
              <w:pStyle w:val="13"/>
            </w:pPr>
            <w:r>
              <w:t>严格进行成本管控，按照上级3.5米宽路每公里农村公路建设补助标准，安排支出</w:t>
            </w:r>
          </w:p>
        </w:tc>
        <w:tc>
          <w:tcPr>
            <w:tcW w:w="2268" w:type="dxa"/>
            <w:vAlign w:val="center"/>
          </w:tcPr>
          <w:p>
            <w:pPr>
              <w:pStyle w:val="13"/>
            </w:pPr>
            <w:r>
              <w:t>≤26万元/公里</w:t>
            </w:r>
          </w:p>
        </w:tc>
        <w:tc>
          <w:tcPr>
            <w:tcW w:w="1276" w:type="dxa"/>
            <w:vAlign w:val="center"/>
          </w:tcPr>
          <w:p>
            <w:pPr>
              <w:pStyle w:val="13"/>
            </w:pPr>
            <w:r>
              <w:t>上级有关补助资金使用文件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拉动经济发展</w:t>
            </w:r>
          </w:p>
        </w:tc>
        <w:tc>
          <w:tcPr>
            <w:tcW w:w="5386" w:type="dxa"/>
            <w:vAlign w:val="center"/>
          </w:tcPr>
          <w:p>
            <w:pPr>
              <w:pStyle w:val="13"/>
            </w:pPr>
            <w:r>
              <w:t>在公路建设中拉动地区经济发展；公路建成运营后创造价值；方便了公路沿线乡镇与外界的交流。</w:t>
            </w:r>
          </w:p>
        </w:tc>
        <w:tc>
          <w:tcPr>
            <w:tcW w:w="2268" w:type="dxa"/>
            <w:vAlign w:val="center"/>
          </w:tcPr>
          <w:p>
            <w:pPr>
              <w:pStyle w:val="13"/>
            </w:pPr>
            <w:r>
              <w:t>≥500万元</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改善出行条件影响面</w:t>
            </w:r>
          </w:p>
        </w:tc>
        <w:tc>
          <w:tcPr>
            <w:tcW w:w="5386" w:type="dxa"/>
            <w:vAlign w:val="center"/>
          </w:tcPr>
          <w:p>
            <w:pPr>
              <w:pStyle w:val="13"/>
            </w:pPr>
            <w:r>
              <w:t>改善居民的出行条件和村镇面貌，促进美丽乡村建设，构建和谐社会。解决周边群众出行难</w:t>
            </w:r>
          </w:p>
        </w:tc>
        <w:tc>
          <w:tcPr>
            <w:tcW w:w="2268" w:type="dxa"/>
            <w:vAlign w:val="center"/>
          </w:tcPr>
          <w:p>
            <w:pPr>
              <w:pStyle w:val="13"/>
            </w:pPr>
            <w:r>
              <w:t>≥8万人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道路完好使用年限</w:t>
            </w:r>
          </w:p>
        </w:tc>
        <w:tc>
          <w:tcPr>
            <w:tcW w:w="5386" w:type="dxa"/>
            <w:vAlign w:val="center"/>
          </w:tcPr>
          <w:p>
            <w:pPr>
              <w:pStyle w:val="13"/>
            </w:pPr>
            <w:r>
              <w:t>道路完好使用年限</w:t>
            </w:r>
          </w:p>
        </w:tc>
        <w:tc>
          <w:tcPr>
            <w:tcW w:w="2268" w:type="dxa"/>
            <w:vAlign w:val="center"/>
          </w:tcPr>
          <w:p>
            <w:pPr>
              <w:pStyle w:val="13"/>
            </w:pPr>
            <w:r>
              <w:t>≥8年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改善通行服务水平群众满意度</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28、农村公路建设改造工程资金（财力专款）绩效目标表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13032126P00007610008C</w:t>
            </w:r>
          </w:p>
        </w:tc>
        <w:tc>
          <w:tcPr>
            <w:tcW w:w="2835" w:type="dxa"/>
            <w:vAlign w:val="center"/>
          </w:tcPr>
          <w:p>
            <w:pPr>
              <w:pStyle w:val="11"/>
            </w:pPr>
            <w:r>
              <w:t>项目名称</w:t>
            </w:r>
          </w:p>
        </w:tc>
        <w:tc>
          <w:tcPr>
            <w:tcW w:w="6095" w:type="dxa"/>
            <w:gridSpan w:val="3"/>
            <w:vAlign w:val="center"/>
          </w:tcPr>
          <w:p>
            <w:pPr>
              <w:pStyle w:val="13"/>
            </w:pPr>
            <w:r>
              <w:t>农村公路建设改造工程资金（财力专款）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511.00</w:t>
            </w:r>
          </w:p>
        </w:tc>
        <w:tc>
          <w:tcPr>
            <w:tcW w:w="2835" w:type="dxa"/>
            <w:vAlign w:val="center"/>
          </w:tcPr>
          <w:p>
            <w:pPr>
              <w:pStyle w:val="11"/>
            </w:pPr>
            <w:r>
              <w:t>其中：财政    资金</w:t>
            </w:r>
          </w:p>
        </w:tc>
        <w:tc>
          <w:tcPr>
            <w:tcW w:w="2551" w:type="dxa"/>
            <w:vAlign w:val="center"/>
          </w:tcPr>
          <w:p>
            <w:pPr>
              <w:pStyle w:val="13"/>
            </w:pPr>
            <w:r>
              <w:t>511.00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预算数511万元，其中财政资金511万元，主要用于农村公路建设改造工程资金支出。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1.通过开展完成农村公路建设改造工程，建设质量达到合格标准，加强农村公路基础设施建设。</w:t>
            </w:r>
            <w:r>
              <w:tab/>
            </w:r>
            <w:r>
              <w:tab/>
            </w:r>
            <w:r>
              <w:tab/>
            </w:r>
            <w:r>
              <w:tab/>
            </w:r>
          </w:p>
          <w:p>
            <w:pPr>
              <w:pStyle w:val="13"/>
            </w:pPr>
            <w:r>
              <w:t>2.通过改善路况，增强通行能力，方便群众出行，拉动地区经济增长。</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完成公路建设里程</w:t>
            </w:r>
          </w:p>
        </w:tc>
        <w:tc>
          <w:tcPr>
            <w:tcW w:w="5386" w:type="dxa"/>
            <w:vAlign w:val="center"/>
          </w:tcPr>
          <w:p>
            <w:pPr>
              <w:pStyle w:val="13"/>
            </w:pPr>
            <w:r>
              <w:t>完成公路建设里程数</w:t>
            </w:r>
          </w:p>
        </w:tc>
        <w:tc>
          <w:tcPr>
            <w:tcW w:w="2268" w:type="dxa"/>
            <w:vAlign w:val="center"/>
          </w:tcPr>
          <w:p>
            <w:pPr>
              <w:pStyle w:val="13"/>
            </w:pPr>
            <w:r>
              <w:t>≥19.6公里</w:t>
            </w:r>
          </w:p>
        </w:tc>
        <w:tc>
          <w:tcPr>
            <w:tcW w:w="1276" w:type="dxa"/>
            <w:vAlign w:val="center"/>
          </w:tcPr>
          <w:p>
            <w:pPr>
              <w:pStyle w:val="13"/>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按照工程进度，已完成工程达到合格标准，依据相关检测评定标准。</w:t>
            </w:r>
          </w:p>
        </w:tc>
        <w:tc>
          <w:tcPr>
            <w:tcW w:w="2268" w:type="dxa"/>
            <w:vAlign w:val="center"/>
          </w:tcPr>
          <w:p>
            <w:pPr>
              <w:pStyle w:val="13"/>
            </w:pPr>
            <w:r>
              <w:t>100%</w:t>
            </w:r>
          </w:p>
        </w:tc>
        <w:tc>
          <w:tcPr>
            <w:tcW w:w="1276" w:type="dxa"/>
            <w:vAlign w:val="center"/>
          </w:tcPr>
          <w:p>
            <w:pPr>
              <w:pStyle w:val="13"/>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工程完工及时性</w:t>
            </w:r>
          </w:p>
        </w:tc>
        <w:tc>
          <w:tcPr>
            <w:tcW w:w="5386" w:type="dxa"/>
            <w:vAlign w:val="center"/>
          </w:tcPr>
          <w:p>
            <w:pPr>
              <w:pStyle w:val="13"/>
            </w:pPr>
            <w:r>
              <w:t>按合同约定及计划完成道路建设工作</w:t>
            </w:r>
          </w:p>
        </w:tc>
        <w:tc>
          <w:tcPr>
            <w:tcW w:w="2268" w:type="dxa"/>
            <w:vAlign w:val="center"/>
          </w:tcPr>
          <w:p>
            <w:pPr>
              <w:pStyle w:val="13"/>
            </w:pPr>
            <w:r>
              <w:t>100%</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道路改建成本</w:t>
            </w:r>
          </w:p>
        </w:tc>
        <w:tc>
          <w:tcPr>
            <w:tcW w:w="5386" w:type="dxa"/>
            <w:vAlign w:val="center"/>
          </w:tcPr>
          <w:p>
            <w:pPr>
              <w:pStyle w:val="13"/>
            </w:pPr>
            <w:r>
              <w:t>严格进行成本管控，按照政府招投标相关文件及合同支付要求进行资金的支付</w:t>
            </w:r>
          </w:p>
        </w:tc>
        <w:tc>
          <w:tcPr>
            <w:tcW w:w="2268" w:type="dxa"/>
            <w:vAlign w:val="center"/>
          </w:tcPr>
          <w:p>
            <w:pPr>
              <w:pStyle w:val="13"/>
            </w:pPr>
            <w:r>
              <w:t>≤511万元</w:t>
            </w:r>
          </w:p>
        </w:tc>
        <w:tc>
          <w:tcPr>
            <w:tcW w:w="1276" w:type="dxa"/>
            <w:vAlign w:val="center"/>
          </w:tcPr>
          <w:p>
            <w:pPr>
              <w:pStyle w:val="13"/>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道路改建平均成本</w:t>
            </w:r>
          </w:p>
        </w:tc>
        <w:tc>
          <w:tcPr>
            <w:tcW w:w="5386" w:type="dxa"/>
            <w:vAlign w:val="center"/>
          </w:tcPr>
          <w:p>
            <w:pPr>
              <w:pStyle w:val="13"/>
            </w:pPr>
            <w:r>
              <w:t>严格进行成本管控，按照上级3.5米宽路每公里农村公路建设补助标准，安排支出</w:t>
            </w:r>
          </w:p>
        </w:tc>
        <w:tc>
          <w:tcPr>
            <w:tcW w:w="2268" w:type="dxa"/>
            <w:vAlign w:val="center"/>
          </w:tcPr>
          <w:p>
            <w:pPr>
              <w:pStyle w:val="13"/>
            </w:pPr>
            <w:r>
              <w:t>≤26万元/公里</w:t>
            </w:r>
          </w:p>
        </w:tc>
        <w:tc>
          <w:tcPr>
            <w:tcW w:w="1276" w:type="dxa"/>
            <w:vAlign w:val="center"/>
          </w:tcPr>
          <w:p>
            <w:pPr>
              <w:pStyle w:val="13"/>
            </w:pPr>
            <w:r>
              <w:t>上级有关补助资金使用文件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拉动经济发展</w:t>
            </w:r>
          </w:p>
        </w:tc>
        <w:tc>
          <w:tcPr>
            <w:tcW w:w="5386" w:type="dxa"/>
            <w:vAlign w:val="center"/>
          </w:tcPr>
          <w:p>
            <w:pPr>
              <w:pStyle w:val="13"/>
            </w:pPr>
            <w:r>
              <w:t>在公路建设中拉动地区经济发展；公路建成运营后创造价值；方便了公路沿线乡镇与外界的交流。</w:t>
            </w:r>
          </w:p>
        </w:tc>
        <w:tc>
          <w:tcPr>
            <w:tcW w:w="2268" w:type="dxa"/>
            <w:vAlign w:val="center"/>
          </w:tcPr>
          <w:p>
            <w:pPr>
              <w:pStyle w:val="13"/>
            </w:pPr>
            <w:r>
              <w:t>≥500万元</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改善出行条件影响面</w:t>
            </w:r>
          </w:p>
        </w:tc>
        <w:tc>
          <w:tcPr>
            <w:tcW w:w="5386" w:type="dxa"/>
            <w:vAlign w:val="center"/>
          </w:tcPr>
          <w:p>
            <w:pPr>
              <w:pStyle w:val="13"/>
            </w:pPr>
            <w:r>
              <w:t>改善居民的出行条件和村镇面貌，促进美丽乡村建设，构建和谐社会。解决周边群众出行难</w:t>
            </w:r>
          </w:p>
        </w:tc>
        <w:tc>
          <w:tcPr>
            <w:tcW w:w="2268" w:type="dxa"/>
            <w:vAlign w:val="center"/>
          </w:tcPr>
          <w:p>
            <w:pPr>
              <w:pStyle w:val="13"/>
            </w:pPr>
            <w:r>
              <w:t>≥8万人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道路完好使用年限</w:t>
            </w:r>
          </w:p>
        </w:tc>
        <w:tc>
          <w:tcPr>
            <w:tcW w:w="5386" w:type="dxa"/>
            <w:vAlign w:val="center"/>
          </w:tcPr>
          <w:p>
            <w:pPr>
              <w:pStyle w:val="13"/>
            </w:pPr>
            <w:r>
              <w:t>道路完好使用年限</w:t>
            </w:r>
          </w:p>
        </w:tc>
        <w:tc>
          <w:tcPr>
            <w:tcW w:w="2268" w:type="dxa"/>
            <w:vAlign w:val="center"/>
          </w:tcPr>
          <w:p>
            <w:pPr>
              <w:pStyle w:val="13"/>
            </w:pPr>
            <w:r>
              <w:t>≥8年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改善通行服务水平群众满意度</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29、农村公路养护工程资金（财力专款）绩效目标表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13032126P000076100090</w:t>
            </w:r>
          </w:p>
        </w:tc>
        <w:tc>
          <w:tcPr>
            <w:tcW w:w="2835" w:type="dxa"/>
            <w:vAlign w:val="center"/>
          </w:tcPr>
          <w:p>
            <w:pPr>
              <w:pStyle w:val="11"/>
            </w:pPr>
            <w:r>
              <w:t>项目名称</w:t>
            </w:r>
          </w:p>
        </w:tc>
        <w:tc>
          <w:tcPr>
            <w:tcW w:w="6095" w:type="dxa"/>
            <w:gridSpan w:val="3"/>
            <w:vAlign w:val="center"/>
          </w:tcPr>
          <w:p>
            <w:pPr>
              <w:pStyle w:val="13"/>
            </w:pPr>
            <w:r>
              <w:t>农村公路养护工程资金（财力专款）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524.00</w:t>
            </w:r>
          </w:p>
        </w:tc>
        <w:tc>
          <w:tcPr>
            <w:tcW w:w="2835" w:type="dxa"/>
            <w:vAlign w:val="center"/>
          </w:tcPr>
          <w:p>
            <w:pPr>
              <w:pStyle w:val="11"/>
            </w:pPr>
            <w:r>
              <w:t>其中：财政    资金</w:t>
            </w:r>
          </w:p>
        </w:tc>
        <w:tc>
          <w:tcPr>
            <w:tcW w:w="2551" w:type="dxa"/>
            <w:vAlign w:val="center"/>
          </w:tcPr>
          <w:p>
            <w:pPr>
              <w:pStyle w:val="13"/>
            </w:pPr>
            <w:r>
              <w:t>524.00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预算数524万元，其中财政资金524万元，主要用于农村公路养护工程资金支出。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1.通过完成对农村公路养护工程工作，保证当地百姓正常出行，保障公路畅通。</w:t>
            </w:r>
          </w:p>
          <w:p>
            <w:pPr>
              <w:pStyle w:val="13"/>
            </w:pPr>
            <w:r>
              <w:t>2.通过完成农村公路养护，保障道路交通安全，减少事故发生率。</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路基路面维修里程数</w:t>
            </w:r>
          </w:p>
        </w:tc>
        <w:tc>
          <w:tcPr>
            <w:tcW w:w="5386" w:type="dxa"/>
            <w:vAlign w:val="center"/>
          </w:tcPr>
          <w:p>
            <w:pPr>
              <w:pStyle w:val="13"/>
            </w:pPr>
            <w:r>
              <w:t>反映路基路面整修的公里数</w:t>
            </w:r>
          </w:p>
        </w:tc>
        <w:tc>
          <w:tcPr>
            <w:tcW w:w="2268" w:type="dxa"/>
            <w:vAlign w:val="center"/>
          </w:tcPr>
          <w:p>
            <w:pPr>
              <w:pStyle w:val="13"/>
            </w:pPr>
            <w:r>
              <w:t>≥100公里</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公路两旁防护挡墙面积</w:t>
            </w:r>
          </w:p>
        </w:tc>
        <w:tc>
          <w:tcPr>
            <w:tcW w:w="5386" w:type="dxa"/>
            <w:vAlign w:val="center"/>
          </w:tcPr>
          <w:p>
            <w:pPr>
              <w:pStyle w:val="13"/>
            </w:pPr>
            <w:r>
              <w:t>反映公路两旁防护挡墙面积</w:t>
            </w:r>
          </w:p>
        </w:tc>
        <w:tc>
          <w:tcPr>
            <w:tcW w:w="2268" w:type="dxa"/>
            <w:vAlign w:val="center"/>
          </w:tcPr>
          <w:p>
            <w:pPr>
              <w:pStyle w:val="13"/>
            </w:pPr>
            <w:r>
              <w:t>≥8310立方米</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公路标线喷涂面积</w:t>
            </w:r>
          </w:p>
        </w:tc>
        <w:tc>
          <w:tcPr>
            <w:tcW w:w="5386" w:type="dxa"/>
            <w:vAlign w:val="center"/>
          </w:tcPr>
          <w:p>
            <w:pPr>
              <w:pStyle w:val="13"/>
            </w:pPr>
            <w:r>
              <w:t>反映公路标线喷涂面积</w:t>
            </w:r>
          </w:p>
        </w:tc>
        <w:tc>
          <w:tcPr>
            <w:tcW w:w="2268" w:type="dxa"/>
            <w:vAlign w:val="center"/>
          </w:tcPr>
          <w:p>
            <w:pPr>
              <w:pStyle w:val="13"/>
            </w:pPr>
            <w:r>
              <w:t>≥24000立方米</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路面坑槽挖补面积</w:t>
            </w:r>
          </w:p>
        </w:tc>
        <w:tc>
          <w:tcPr>
            <w:tcW w:w="5386" w:type="dxa"/>
            <w:vAlign w:val="center"/>
          </w:tcPr>
          <w:p>
            <w:pPr>
              <w:pStyle w:val="13"/>
            </w:pPr>
            <w:r>
              <w:t>反映公路路面坑槽挖补面积</w:t>
            </w:r>
          </w:p>
        </w:tc>
        <w:tc>
          <w:tcPr>
            <w:tcW w:w="2268" w:type="dxa"/>
            <w:vAlign w:val="center"/>
          </w:tcPr>
          <w:p>
            <w:pPr>
              <w:pStyle w:val="13"/>
            </w:pPr>
            <w:r>
              <w:t>≥1800平方米</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公路绿植数量</w:t>
            </w:r>
          </w:p>
        </w:tc>
        <w:tc>
          <w:tcPr>
            <w:tcW w:w="5386" w:type="dxa"/>
            <w:vAlign w:val="center"/>
          </w:tcPr>
          <w:p>
            <w:pPr>
              <w:pStyle w:val="13"/>
            </w:pPr>
            <w:r>
              <w:t>反映购买绿植的数量</w:t>
            </w:r>
          </w:p>
        </w:tc>
        <w:tc>
          <w:tcPr>
            <w:tcW w:w="2268" w:type="dxa"/>
            <w:vAlign w:val="center"/>
          </w:tcPr>
          <w:p>
            <w:pPr>
              <w:pStyle w:val="13"/>
            </w:pPr>
            <w:r>
              <w:t>≥25万株</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边沟边坡处理</w:t>
            </w:r>
          </w:p>
        </w:tc>
        <w:tc>
          <w:tcPr>
            <w:tcW w:w="5386" w:type="dxa"/>
            <w:vAlign w:val="center"/>
          </w:tcPr>
          <w:p>
            <w:pPr>
              <w:pStyle w:val="13"/>
            </w:pPr>
            <w:r>
              <w:t>梳理边沟边坡的工程量</w:t>
            </w:r>
          </w:p>
        </w:tc>
        <w:tc>
          <w:tcPr>
            <w:tcW w:w="2268" w:type="dxa"/>
            <w:vAlign w:val="center"/>
          </w:tcPr>
          <w:p>
            <w:pPr>
              <w:pStyle w:val="13"/>
            </w:pPr>
            <w:r>
              <w:t>≥26000立方米</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道路良好率</w:t>
            </w:r>
          </w:p>
        </w:tc>
        <w:tc>
          <w:tcPr>
            <w:tcW w:w="5386" w:type="dxa"/>
            <w:vAlign w:val="center"/>
          </w:tcPr>
          <w:p>
            <w:pPr>
              <w:pStyle w:val="13"/>
            </w:pPr>
            <w:r>
              <w:t>优、良、中等路占比</w:t>
            </w:r>
          </w:p>
        </w:tc>
        <w:tc>
          <w:tcPr>
            <w:tcW w:w="2268" w:type="dxa"/>
            <w:vAlign w:val="center"/>
          </w:tcPr>
          <w:p>
            <w:pPr>
              <w:pStyle w:val="13"/>
            </w:pPr>
            <w:r>
              <w:t>≥75%</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建设工程质量合格率</w:t>
            </w:r>
          </w:p>
        </w:tc>
        <w:tc>
          <w:tcPr>
            <w:tcW w:w="5386" w:type="dxa"/>
            <w:vAlign w:val="center"/>
          </w:tcPr>
          <w:p>
            <w:pPr>
              <w:pStyle w:val="13"/>
            </w:pPr>
            <w:r>
              <w:t>质监部门出具合格的建设工程数量占总建设数量的比率</w:t>
            </w:r>
          </w:p>
        </w:tc>
        <w:tc>
          <w:tcPr>
            <w:tcW w:w="2268" w:type="dxa"/>
            <w:vAlign w:val="center"/>
          </w:tcPr>
          <w:p>
            <w:pPr>
              <w:pStyle w:val="13"/>
            </w:pPr>
            <w:r>
              <w:t>100%</w:t>
            </w:r>
          </w:p>
        </w:tc>
        <w:tc>
          <w:tcPr>
            <w:tcW w:w="1276" w:type="dxa"/>
            <w:vAlign w:val="center"/>
          </w:tcPr>
          <w:p>
            <w:pPr>
              <w:pStyle w:val="13"/>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按计划完成各项工作</w:t>
            </w:r>
          </w:p>
        </w:tc>
        <w:tc>
          <w:tcPr>
            <w:tcW w:w="2268" w:type="dxa"/>
            <w:vAlign w:val="center"/>
          </w:tcPr>
          <w:p>
            <w:pPr>
              <w:pStyle w:val="13"/>
            </w:pPr>
            <w:r>
              <w:t>100%</w:t>
            </w:r>
          </w:p>
        </w:tc>
        <w:tc>
          <w:tcPr>
            <w:tcW w:w="1276" w:type="dxa"/>
            <w:vAlign w:val="center"/>
          </w:tcPr>
          <w:p>
            <w:pPr>
              <w:pStyle w:val="13"/>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养护工程费用</w:t>
            </w:r>
          </w:p>
        </w:tc>
        <w:tc>
          <w:tcPr>
            <w:tcW w:w="5386" w:type="dxa"/>
            <w:vAlign w:val="center"/>
          </w:tcPr>
          <w:p>
            <w:pPr>
              <w:pStyle w:val="13"/>
            </w:pPr>
            <w:r>
              <w:t>公路养护工程费用</w:t>
            </w:r>
          </w:p>
        </w:tc>
        <w:tc>
          <w:tcPr>
            <w:tcW w:w="2268" w:type="dxa"/>
            <w:vAlign w:val="center"/>
          </w:tcPr>
          <w:p>
            <w:pPr>
              <w:pStyle w:val="13"/>
            </w:pPr>
            <w:r>
              <w:t>≤310万元</w:t>
            </w:r>
          </w:p>
        </w:tc>
        <w:tc>
          <w:tcPr>
            <w:tcW w:w="1276" w:type="dxa"/>
            <w:vAlign w:val="center"/>
          </w:tcPr>
          <w:p>
            <w:pPr>
              <w:pStyle w:val="13"/>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养护人员成本费用</w:t>
            </w:r>
          </w:p>
        </w:tc>
        <w:tc>
          <w:tcPr>
            <w:tcW w:w="5386" w:type="dxa"/>
            <w:vAlign w:val="center"/>
          </w:tcPr>
          <w:p>
            <w:pPr>
              <w:pStyle w:val="13"/>
            </w:pPr>
            <w:r>
              <w:t>养护人员成本费用</w:t>
            </w:r>
          </w:p>
        </w:tc>
        <w:tc>
          <w:tcPr>
            <w:tcW w:w="2268" w:type="dxa"/>
            <w:vAlign w:val="center"/>
          </w:tcPr>
          <w:p>
            <w:pPr>
              <w:pStyle w:val="13"/>
            </w:pPr>
            <w:r>
              <w:t>≤214万元</w:t>
            </w:r>
          </w:p>
        </w:tc>
        <w:tc>
          <w:tcPr>
            <w:tcW w:w="1276" w:type="dxa"/>
            <w:vAlign w:val="center"/>
          </w:tcPr>
          <w:p>
            <w:pPr>
              <w:pStyle w:val="13"/>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减少事故发生率</w:t>
            </w:r>
          </w:p>
        </w:tc>
        <w:tc>
          <w:tcPr>
            <w:tcW w:w="5386" w:type="dxa"/>
            <w:vAlign w:val="center"/>
          </w:tcPr>
          <w:p>
            <w:pPr>
              <w:pStyle w:val="13"/>
            </w:pPr>
            <w:r>
              <w:t>降低事故发生率</w:t>
            </w:r>
          </w:p>
        </w:tc>
        <w:tc>
          <w:tcPr>
            <w:tcW w:w="2268" w:type="dxa"/>
            <w:vAlign w:val="center"/>
          </w:tcPr>
          <w:p>
            <w:pPr>
              <w:pStyle w:val="13"/>
            </w:pPr>
            <w:r>
              <w:t>≥10%</w:t>
            </w:r>
          </w:p>
        </w:tc>
        <w:tc>
          <w:tcPr>
            <w:tcW w:w="1276" w:type="dxa"/>
            <w:vAlign w:val="center"/>
          </w:tcPr>
          <w:p>
            <w:pPr>
              <w:pStyle w:val="13"/>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农村公路发展适应交通需求</w:t>
            </w:r>
          </w:p>
        </w:tc>
        <w:tc>
          <w:tcPr>
            <w:tcW w:w="2268" w:type="dxa"/>
            <w:vAlign w:val="center"/>
          </w:tcPr>
          <w:p>
            <w:pPr>
              <w:pStyle w:val="13"/>
            </w:pPr>
            <w:r>
              <w:t>≥10年</w:t>
            </w:r>
          </w:p>
        </w:tc>
        <w:tc>
          <w:tcPr>
            <w:tcW w:w="1276" w:type="dxa"/>
            <w:vAlign w:val="center"/>
          </w:tcPr>
          <w:p>
            <w:pPr>
              <w:pStyle w:val="13"/>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公众满意度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30、农村公路养护及运行补贴绩效目标表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13032126P00007410007D</w:t>
            </w:r>
          </w:p>
        </w:tc>
        <w:tc>
          <w:tcPr>
            <w:tcW w:w="2835" w:type="dxa"/>
            <w:vAlign w:val="center"/>
          </w:tcPr>
          <w:p>
            <w:pPr>
              <w:pStyle w:val="11"/>
            </w:pPr>
            <w:r>
              <w:t>项目名称</w:t>
            </w:r>
          </w:p>
        </w:tc>
        <w:tc>
          <w:tcPr>
            <w:tcW w:w="6095" w:type="dxa"/>
            <w:gridSpan w:val="3"/>
            <w:vAlign w:val="center"/>
          </w:tcPr>
          <w:p>
            <w:pPr>
              <w:pStyle w:val="13"/>
            </w:pPr>
            <w:r>
              <w:t>农村公路养护及运行补贴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450.00</w:t>
            </w:r>
          </w:p>
        </w:tc>
        <w:tc>
          <w:tcPr>
            <w:tcW w:w="2835" w:type="dxa"/>
            <w:vAlign w:val="center"/>
          </w:tcPr>
          <w:p>
            <w:pPr>
              <w:pStyle w:val="11"/>
            </w:pPr>
            <w:r>
              <w:t>其中：财政    资金</w:t>
            </w:r>
          </w:p>
        </w:tc>
        <w:tc>
          <w:tcPr>
            <w:tcW w:w="2551" w:type="dxa"/>
            <w:vAlign w:val="center"/>
          </w:tcPr>
          <w:p>
            <w:pPr>
              <w:pStyle w:val="13"/>
            </w:pPr>
            <w:r>
              <w:t>450.00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预算数450万元，其中财政资金450万元，主要用于农村公路养护及运行补贴资金支出。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1.通过保障全县289公里县道养护工作正常有序开展，确保确保公路畅、安、舒、美。</w:t>
            </w:r>
          </w:p>
          <w:p>
            <w:pPr>
              <w:pStyle w:val="13"/>
            </w:pPr>
            <w:r>
              <w:t>2.通过保障农村公路养护管理部门正常运转，进而保障各项事业正常开展，增强群众满意度。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养护的里程</w:t>
            </w:r>
          </w:p>
        </w:tc>
        <w:tc>
          <w:tcPr>
            <w:tcW w:w="5386" w:type="dxa"/>
            <w:vAlign w:val="center"/>
          </w:tcPr>
          <w:p>
            <w:pPr>
              <w:pStyle w:val="13"/>
            </w:pPr>
            <w:r>
              <w:t>需要养护的农村公路里程数</w:t>
            </w:r>
          </w:p>
        </w:tc>
        <w:tc>
          <w:tcPr>
            <w:tcW w:w="2268" w:type="dxa"/>
            <w:vAlign w:val="center"/>
          </w:tcPr>
          <w:p>
            <w:pPr>
              <w:pStyle w:val="13"/>
            </w:pPr>
            <w:r>
              <w:t>289公里</w:t>
            </w:r>
          </w:p>
        </w:tc>
        <w:tc>
          <w:tcPr>
            <w:tcW w:w="1276" w:type="dxa"/>
            <w:vAlign w:val="center"/>
          </w:tcPr>
          <w:p>
            <w:pPr>
              <w:pStyle w:val="13"/>
            </w:pPr>
            <w:r>
              <w:t>农村公路里程及2026年工作计划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保障运行机构数量</w:t>
            </w:r>
          </w:p>
        </w:tc>
        <w:tc>
          <w:tcPr>
            <w:tcW w:w="5386" w:type="dxa"/>
            <w:vAlign w:val="center"/>
          </w:tcPr>
          <w:p>
            <w:pPr>
              <w:pStyle w:val="13"/>
            </w:pPr>
            <w:r>
              <w:t>保障农村公路养护管理部门运行数量</w:t>
            </w:r>
          </w:p>
        </w:tc>
        <w:tc>
          <w:tcPr>
            <w:tcW w:w="2268" w:type="dxa"/>
            <w:vAlign w:val="center"/>
          </w:tcPr>
          <w:p>
            <w:pPr>
              <w:pStyle w:val="13"/>
            </w:pPr>
            <w:r>
              <w:t>1个</w:t>
            </w:r>
          </w:p>
        </w:tc>
        <w:tc>
          <w:tcPr>
            <w:tcW w:w="1276" w:type="dxa"/>
            <w:vAlign w:val="center"/>
          </w:tcPr>
          <w:p>
            <w:pPr>
              <w:pStyle w:val="13"/>
            </w:pPr>
            <w:r>
              <w:t>机构编制数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保障工资发放人数</w:t>
            </w:r>
          </w:p>
        </w:tc>
        <w:tc>
          <w:tcPr>
            <w:tcW w:w="5386" w:type="dxa"/>
            <w:vAlign w:val="center"/>
          </w:tcPr>
          <w:p>
            <w:pPr>
              <w:pStyle w:val="13"/>
            </w:pPr>
            <w:r>
              <w:t>保障农村公路养护管理部门人员工资发放人数</w:t>
            </w:r>
          </w:p>
        </w:tc>
        <w:tc>
          <w:tcPr>
            <w:tcW w:w="2268" w:type="dxa"/>
            <w:vAlign w:val="center"/>
          </w:tcPr>
          <w:p>
            <w:pPr>
              <w:pStyle w:val="13"/>
            </w:pPr>
            <w:r>
              <w:t>44人</w:t>
            </w:r>
          </w:p>
        </w:tc>
        <w:tc>
          <w:tcPr>
            <w:tcW w:w="1276" w:type="dxa"/>
            <w:vAlign w:val="center"/>
          </w:tcPr>
          <w:p>
            <w:pPr>
              <w:pStyle w:val="13"/>
            </w:pPr>
            <w:r>
              <w:t>在职人员名单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支付准确率</w:t>
            </w:r>
          </w:p>
        </w:tc>
        <w:tc>
          <w:tcPr>
            <w:tcW w:w="5386" w:type="dxa"/>
            <w:vAlign w:val="center"/>
          </w:tcPr>
          <w:p>
            <w:pPr>
              <w:pStyle w:val="13"/>
            </w:pPr>
            <w:r>
              <w:t>资金支付准确率</w:t>
            </w:r>
          </w:p>
        </w:tc>
        <w:tc>
          <w:tcPr>
            <w:tcW w:w="2268" w:type="dxa"/>
            <w:vAlign w:val="center"/>
          </w:tcPr>
          <w:p>
            <w:pPr>
              <w:pStyle w:val="13"/>
            </w:pPr>
            <w:r>
              <w:t>100%</w:t>
            </w:r>
          </w:p>
        </w:tc>
        <w:tc>
          <w:tcPr>
            <w:tcW w:w="1276" w:type="dxa"/>
            <w:vAlign w:val="center"/>
          </w:tcPr>
          <w:p>
            <w:pPr>
              <w:pStyle w:val="13"/>
            </w:pPr>
            <w:r>
              <w:t>2026年预算计划及工作计划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合规性</w:t>
            </w:r>
          </w:p>
        </w:tc>
        <w:tc>
          <w:tcPr>
            <w:tcW w:w="5386" w:type="dxa"/>
            <w:vAlign w:val="center"/>
          </w:tcPr>
          <w:p>
            <w:pPr>
              <w:pStyle w:val="13"/>
            </w:pPr>
            <w:r>
              <w:t>资金使用合规率</w:t>
            </w:r>
          </w:p>
        </w:tc>
        <w:tc>
          <w:tcPr>
            <w:tcW w:w="2268" w:type="dxa"/>
            <w:vAlign w:val="center"/>
          </w:tcPr>
          <w:p>
            <w:pPr>
              <w:pStyle w:val="13"/>
            </w:pPr>
            <w:r>
              <w:t>100%</w:t>
            </w:r>
          </w:p>
        </w:tc>
        <w:tc>
          <w:tcPr>
            <w:tcW w:w="1276" w:type="dxa"/>
            <w:vAlign w:val="center"/>
          </w:tcPr>
          <w:p>
            <w:pPr>
              <w:pStyle w:val="13"/>
            </w:pPr>
            <w:r>
              <w:t>2026年预算计划及工作计划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按计划及时完成各项工作</w:t>
            </w:r>
          </w:p>
        </w:tc>
        <w:tc>
          <w:tcPr>
            <w:tcW w:w="2268" w:type="dxa"/>
            <w:vAlign w:val="center"/>
          </w:tcPr>
          <w:p>
            <w:pPr>
              <w:pStyle w:val="13"/>
            </w:pPr>
            <w:r>
              <w:t>100%</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成本预算控制数</w:t>
            </w:r>
          </w:p>
        </w:tc>
        <w:tc>
          <w:tcPr>
            <w:tcW w:w="5386" w:type="dxa"/>
            <w:vAlign w:val="center"/>
          </w:tcPr>
          <w:p>
            <w:pPr>
              <w:pStyle w:val="13"/>
            </w:pPr>
            <w:r>
              <w:t>严格进行成本控制，每月每公里的成本预算</w:t>
            </w:r>
          </w:p>
        </w:tc>
        <w:tc>
          <w:tcPr>
            <w:tcW w:w="2268" w:type="dxa"/>
            <w:vAlign w:val="center"/>
          </w:tcPr>
          <w:p>
            <w:pPr>
              <w:pStyle w:val="13"/>
            </w:pPr>
            <w:r>
              <w:t>≤299元</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拉动地区经济增长</w:t>
            </w:r>
          </w:p>
        </w:tc>
        <w:tc>
          <w:tcPr>
            <w:tcW w:w="5386" w:type="dxa"/>
            <w:vAlign w:val="center"/>
          </w:tcPr>
          <w:p>
            <w:pPr>
              <w:pStyle w:val="13"/>
            </w:pPr>
            <w:r>
              <w:t>保障公路畅通，拉动地区经济增长</w:t>
            </w:r>
          </w:p>
        </w:tc>
        <w:tc>
          <w:tcPr>
            <w:tcW w:w="2268" w:type="dxa"/>
            <w:vAlign w:val="center"/>
          </w:tcPr>
          <w:p>
            <w:pPr>
              <w:pStyle w:val="13"/>
            </w:pPr>
            <w:r>
              <w:t>≥300万元</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方便群众</w:t>
            </w:r>
          </w:p>
        </w:tc>
        <w:tc>
          <w:tcPr>
            <w:tcW w:w="5386" w:type="dxa"/>
            <w:vAlign w:val="center"/>
          </w:tcPr>
          <w:p>
            <w:pPr>
              <w:pStyle w:val="13"/>
            </w:pPr>
            <w:r>
              <w:t>保障公路畅通，方便群众出行人数</w:t>
            </w:r>
          </w:p>
        </w:tc>
        <w:tc>
          <w:tcPr>
            <w:tcW w:w="2268" w:type="dxa"/>
            <w:vAlign w:val="center"/>
          </w:tcPr>
          <w:p>
            <w:pPr>
              <w:pStyle w:val="13"/>
            </w:pPr>
            <w:r>
              <w:t>≥10万人</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保障公路畅通，适应农村交通长期发展</w:t>
            </w:r>
          </w:p>
        </w:tc>
        <w:tc>
          <w:tcPr>
            <w:tcW w:w="2268" w:type="dxa"/>
            <w:vAlign w:val="center"/>
          </w:tcPr>
          <w:p>
            <w:pPr>
              <w:pStyle w:val="13"/>
            </w:pPr>
            <w:r>
              <w:t>≥10年</w:t>
            </w:r>
          </w:p>
        </w:tc>
        <w:tc>
          <w:tcPr>
            <w:tcW w:w="1276" w:type="dxa"/>
            <w:vAlign w:val="center"/>
          </w:tcPr>
          <w:p>
            <w:pPr>
              <w:pStyle w:val="13"/>
            </w:pPr>
            <w:r>
              <w:t>《河北省公路条例》及2026年工作计划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通过问卷调查，满意和基本满意的人员占所有被调查人员的比例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31、普通国省干线公路日常养护经费（财力专款）绩效目标表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13032126P000078100049</w:t>
            </w:r>
          </w:p>
        </w:tc>
        <w:tc>
          <w:tcPr>
            <w:tcW w:w="2835" w:type="dxa"/>
            <w:vAlign w:val="center"/>
          </w:tcPr>
          <w:p>
            <w:pPr>
              <w:pStyle w:val="11"/>
            </w:pPr>
            <w:r>
              <w:t>项目名称</w:t>
            </w:r>
          </w:p>
        </w:tc>
        <w:tc>
          <w:tcPr>
            <w:tcW w:w="6095" w:type="dxa"/>
            <w:gridSpan w:val="3"/>
            <w:vAlign w:val="center"/>
          </w:tcPr>
          <w:p>
            <w:pPr>
              <w:pStyle w:val="13"/>
            </w:pPr>
            <w:r>
              <w:t>普通国省干线公路日常养护经费（财力专款）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1722.00</w:t>
            </w:r>
          </w:p>
        </w:tc>
        <w:tc>
          <w:tcPr>
            <w:tcW w:w="2835" w:type="dxa"/>
            <w:vAlign w:val="center"/>
          </w:tcPr>
          <w:p>
            <w:pPr>
              <w:pStyle w:val="11"/>
            </w:pPr>
            <w:r>
              <w:t>其中：财政    资金</w:t>
            </w:r>
          </w:p>
        </w:tc>
        <w:tc>
          <w:tcPr>
            <w:tcW w:w="2551" w:type="dxa"/>
            <w:vAlign w:val="center"/>
          </w:tcPr>
          <w:p>
            <w:pPr>
              <w:pStyle w:val="13"/>
            </w:pPr>
            <w:r>
              <w:t>1722.00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预算数1722万元，其中财政资金1722万元，主要用于普通国省干线公路日常养护经费资金支出。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1.通过完成国省干线养护里程295.03公里，保证当地百姓正常出行，保障公路畅通。</w:t>
            </w:r>
          </w:p>
          <w:p>
            <w:pPr>
              <w:pStyle w:val="13"/>
            </w:pPr>
            <w:r>
              <w:t>2.通过对普通干线公路日常养护及绿化、美化、净化工作，达到畅、安、舒、美的养护目标。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养护里程数</w:t>
            </w:r>
          </w:p>
        </w:tc>
        <w:tc>
          <w:tcPr>
            <w:tcW w:w="5386" w:type="dxa"/>
            <w:vAlign w:val="center"/>
          </w:tcPr>
          <w:p>
            <w:pPr>
              <w:pStyle w:val="13"/>
            </w:pPr>
            <w:r>
              <w:t>国省干线的养护里程</w:t>
            </w:r>
          </w:p>
        </w:tc>
        <w:tc>
          <w:tcPr>
            <w:tcW w:w="2268" w:type="dxa"/>
            <w:vAlign w:val="center"/>
          </w:tcPr>
          <w:p>
            <w:pPr>
              <w:pStyle w:val="13"/>
            </w:pPr>
            <w:r>
              <w:t>295.03公里</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事业编人员数</w:t>
            </w:r>
          </w:p>
        </w:tc>
        <w:tc>
          <w:tcPr>
            <w:tcW w:w="5386" w:type="dxa"/>
            <w:vAlign w:val="center"/>
          </w:tcPr>
          <w:p>
            <w:pPr>
              <w:pStyle w:val="13"/>
            </w:pPr>
            <w:r>
              <w:t>保证正常行政运营所需要的人员数</w:t>
            </w:r>
          </w:p>
        </w:tc>
        <w:tc>
          <w:tcPr>
            <w:tcW w:w="2268" w:type="dxa"/>
            <w:vAlign w:val="center"/>
          </w:tcPr>
          <w:p>
            <w:pPr>
              <w:pStyle w:val="13"/>
            </w:pPr>
            <w:r>
              <w:t>≤56人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临时工人员数</w:t>
            </w:r>
          </w:p>
        </w:tc>
        <w:tc>
          <w:tcPr>
            <w:tcW w:w="5386" w:type="dxa"/>
            <w:vAlign w:val="center"/>
          </w:tcPr>
          <w:p>
            <w:pPr>
              <w:pStyle w:val="13"/>
            </w:pPr>
            <w:r>
              <w:t>保证正常养护需要的人员数</w:t>
            </w:r>
          </w:p>
        </w:tc>
        <w:tc>
          <w:tcPr>
            <w:tcW w:w="2268" w:type="dxa"/>
            <w:vAlign w:val="center"/>
          </w:tcPr>
          <w:p>
            <w:pPr>
              <w:pStyle w:val="13"/>
            </w:pPr>
            <w:r>
              <w:t>≤104人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工程养护工程合格率</w:t>
            </w:r>
          </w:p>
        </w:tc>
        <w:tc>
          <w:tcPr>
            <w:tcW w:w="5386" w:type="dxa"/>
            <w:vAlign w:val="center"/>
          </w:tcPr>
          <w:p>
            <w:pPr>
              <w:pStyle w:val="13"/>
            </w:pPr>
            <w:r>
              <w:t>普通干线工程质量合格的数量占养护工程总数的比率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支付的准确率</w:t>
            </w:r>
          </w:p>
        </w:tc>
        <w:tc>
          <w:tcPr>
            <w:tcW w:w="5386" w:type="dxa"/>
            <w:vAlign w:val="center"/>
          </w:tcPr>
          <w:p>
            <w:pPr>
              <w:pStyle w:val="13"/>
            </w:pPr>
            <w:r>
              <w:t>资金支付的准确率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按工作计划按时完成</w:t>
            </w:r>
          </w:p>
        </w:tc>
        <w:tc>
          <w:tcPr>
            <w:tcW w:w="2268" w:type="dxa"/>
            <w:vAlign w:val="center"/>
          </w:tcPr>
          <w:p>
            <w:pPr>
              <w:pStyle w:val="13"/>
            </w:pPr>
            <w:r>
              <w:t>2026年底前</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人员成本控制</w:t>
            </w:r>
          </w:p>
        </w:tc>
        <w:tc>
          <w:tcPr>
            <w:tcW w:w="5386" w:type="dxa"/>
            <w:vAlign w:val="center"/>
          </w:tcPr>
          <w:p>
            <w:pPr>
              <w:pStyle w:val="13"/>
            </w:pPr>
            <w:r>
              <w:t>相关人员所需费用</w:t>
            </w:r>
          </w:p>
        </w:tc>
        <w:tc>
          <w:tcPr>
            <w:tcW w:w="2268" w:type="dxa"/>
            <w:vAlign w:val="center"/>
          </w:tcPr>
          <w:p>
            <w:pPr>
              <w:pStyle w:val="13"/>
            </w:pPr>
            <w:r>
              <w:t>≤930万元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工程成本控制</w:t>
            </w:r>
          </w:p>
        </w:tc>
        <w:tc>
          <w:tcPr>
            <w:tcW w:w="5386" w:type="dxa"/>
            <w:vAlign w:val="center"/>
          </w:tcPr>
          <w:p>
            <w:pPr>
              <w:pStyle w:val="13"/>
            </w:pPr>
            <w:r>
              <w:t>工程完成所需费用</w:t>
            </w:r>
          </w:p>
        </w:tc>
        <w:tc>
          <w:tcPr>
            <w:tcW w:w="2268" w:type="dxa"/>
            <w:vAlign w:val="center"/>
          </w:tcPr>
          <w:p>
            <w:pPr>
              <w:pStyle w:val="13"/>
            </w:pPr>
            <w:r>
              <w:t>≤641万元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其他成本控制</w:t>
            </w:r>
          </w:p>
        </w:tc>
        <w:tc>
          <w:tcPr>
            <w:tcW w:w="5386" w:type="dxa"/>
            <w:vAlign w:val="center"/>
          </w:tcPr>
          <w:p>
            <w:pPr>
              <w:pStyle w:val="13"/>
            </w:pPr>
            <w:r>
              <w:t>其他相关费用</w:t>
            </w:r>
          </w:p>
        </w:tc>
        <w:tc>
          <w:tcPr>
            <w:tcW w:w="2268" w:type="dxa"/>
            <w:vAlign w:val="center"/>
          </w:tcPr>
          <w:p>
            <w:pPr>
              <w:pStyle w:val="13"/>
            </w:pPr>
            <w:r>
              <w:t>≤151万元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公路的畅通率</w:t>
            </w:r>
          </w:p>
        </w:tc>
        <w:tc>
          <w:tcPr>
            <w:tcW w:w="5386" w:type="dxa"/>
            <w:vAlign w:val="center"/>
          </w:tcPr>
          <w:p>
            <w:pPr>
              <w:pStyle w:val="13"/>
            </w:pPr>
            <w:r>
              <w:t>保证公路畅通的天数除以总天数</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生态影响</w:t>
            </w:r>
          </w:p>
        </w:tc>
        <w:tc>
          <w:tcPr>
            <w:tcW w:w="5386" w:type="dxa"/>
            <w:vAlign w:val="center"/>
          </w:tcPr>
          <w:p>
            <w:pPr>
              <w:pStyle w:val="13"/>
            </w:pPr>
            <w:r>
              <w:t>通过道路养护及绿化，减少扬尘，增加收益人口</w:t>
            </w:r>
          </w:p>
        </w:tc>
        <w:tc>
          <w:tcPr>
            <w:tcW w:w="2268" w:type="dxa"/>
            <w:vAlign w:val="center"/>
          </w:tcPr>
          <w:p>
            <w:pPr>
              <w:pStyle w:val="13"/>
            </w:pPr>
            <w:r>
              <w:t>≥10万人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≥95%</w:t>
            </w:r>
          </w:p>
        </w:tc>
        <w:tc>
          <w:tcPr>
            <w:tcW w:w="1276" w:type="dxa"/>
            <w:vAlign w:val="center"/>
          </w:tcPr>
          <w:p>
            <w:pPr>
              <w:pStyle w:val="13"/>
            </w:pPr>
            <w:r>
              <w:t>调查反馈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养护人员满意度</w:t>
            </w:r>
          </w:p>
        </w:tc>
        <w:tc>
          <w:tcPr>
            <w:tcW w:w="5386" w:type="dxa"/>
            <w:vAlign w:val="center"/>
          </w:tcPr>
          <w:p>
            <w:pPr>
              <w:pStyle w:val="13"/>
            </w:pPr>
            <w:r>
              <w:t>养护人员的满意度</w:t>
            </w:r>
          </w:p>
        </w:tc>
        <w:tc>
          <w:tcPr>
            <w:tcW w:w="2268" w:type="dxa"/>
            <w:vAlign w:val="center"/>
          </w:tcPr>
          <w:p>
            <w:pPr>
              <w:pStyle w:val="13"/>
            </w:pPr>
            <w:r>
              <w:t>≥95%</w:t>
            </w:r>
          </w:p>
        </w:tc>
        <w:tc>
          <w:tcPr>
            <w:tcW w:w="1276" w:type="dxa"/>
            <w:vAlign w:val="center"/>
          </w:tcPr>
          <w:p>
            <w:pPr>
              <w:pStyle w:val="13"/>
            </w:pPr>
            <w:r>
              <w:t>调查反馈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32、汽车站运营补助绩效目标表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13032126P00008410002J</w:t>
            </w:r>
          </w:p>
        </w:tc>
        <w:tc>
          <w:tcPr>
            <w:tcW w:w="2835" w:type="dxa"/>
            <w:vAlign w:val="center"/>
          </w:tcPr>
          <w:p>
            <w:pPr>
              <w:pStyle w:val="11"/>
            </w:pPr>
            <w:r>
              <w:t>项目名称</w:t>
            </w:r>
          </w:p>
        </w:tc>
        <w:tc>
          <w:tcPr>
            <w:tcW w:w="6095" w:type="dxa"/>
            <w:gridSpan w:val="3"/>
            <w:vAlign w:val="center"/>
          </w:tcPr>
          <w:p>
            <w:pPr>
              <w:pStyle w:val="13"/>
            </w:pPr>
            <w:r>
              <w:t>汽车站运营补助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w:t>
            </w:r>
          </w:p>
        </w:tc>
        <w:tc>
          <w:tcPr>
            <w:tcW w:w="2835" w:type="dxa"/>
            <w:vAlign w:val="center"/>
          </w:tcPr>
          <w:p>
            <w:pPr>
              <w:pStyle w:val="11"/>
            </w:pPr>
            <w:r>
              <w:t>其中：财政    资金</w:t>
            </w:r>
          </w:p>
        </w:tc>
        <w:tc>
          <w:tcPr>
            <w:tcW w:w="2551" w:type="dxa"/>
            <w:vAlign w:val="center"/>
          </w:tcPr>
          <w:p>
            <w:pPr>
              <w:pStyle w:val="13"/>
            </w:pPr>
            <w:r>
              <w:t>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预算数60万元，其中财政资金60万元，主要用于汽车站运营补助资金支出。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15000000%</w:t>
            </w:r>
          </w:p>
        </w:tc>
        <w:tc>
          <w:tcPr>
            <w:tcW w:w="2835" w:type="dxa"/>
            <w:vAlign w:val="center"/>
          </w:tcPr>
          <w:p>
            <w:pPr>
              <w:pStyle w:val="14"/>
            </w:pPr>
            <w:r>
              <w:t>30000000%</w:t>
            </w:r>
          </w:p>
        </w:tc>
        <w:tc>
          <w:tcPr>
            <w:tcW w:w="2551" w:type="dxa"/>
            <w:vAlign w:val="center"/>
          </w:tcPr>
          <w:p>
            <w:pPr>
              <w:pStyle w:val="14"/>
            </w:pPr>
            <w:r>
              <w:t>45000000%</w:t>
            </w:r>
          </w:p>
        </w:tc>
        <w:tc>
          <w:tcPr>
            <w:tcW w:w="3544" w:type="dxa"/>
            <w:gridSpan w:val="2"/>
            <w:vAlign w:val="center"/>
          </w:tcPr>
          <w:p>
            <w:pPr>
              <w:pStyle w:val="14"/>
            </w:pPr>
            <w:r>
              <w:t>60000000%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1.通过恢复汽车站的正常运转，提高社会公众满意度，使群众满意度达到90%以上。</w:t>
            </w:r>
          </w:p>
          <w:p>
            <w:pPr>
              <w:pStyle w:val="13"/>
            </w:pPr>
            <w:r>
              <w:t>2.通过对长途客运站的资金补贴，保障长途客运站正常运转。</w:t>
            </w:r>
          </w:p>
          <w:p>
            <w:pPr>
              <w:pStyle w:val="13"/>
            </w:pPr>
            <w:r>
              <w:t>3.通过恢复汽车站正常运转，保证客运工作长期有效运行。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汽车站数量</w:t>
            </w:r>
          </w:p>
        </w:tc>
        <w:tc>
          <w:tcPr>
            <w:tcW w:w="5386" w:type="dxa"/>
            <w:vAlign w:val="center"/>
          </w:tcPr>
          <w:p>
            <w:pPr>
              <w:pStyle w:val="13"/>
            </w:pPr>
            <w:r>
              <w:t>正常运营汽车站数量</w:t>
            </w:r>
          </w:p>
        </w:tc>
        <w:tc>
          <w:tcPr>
            <w:tcW w:w="2268" w:type="dxa"/>
            <w:vAlign w:val="center"/>
          </w:tcPr>
          <w:p>
            <w:pPr>
              <w:pStyle w:val="13"/>
            </w:pPr>
            <w:r>
              <w:t>1个</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资金使用合规性</w:t>
            </w:r>
          </w:p>
        </w:tc>
        <w:tc>
          <w:tcPr>
            <w:tcW w:w="5386" w:type="dxa"/>
            <w:vAlign w:val="center"/>
          </w:tcPr>
          <w:p>
            <w:pPr>
              <w:pStyle w:val="13"/>
            </w:pPr>
            <w:r>
              <w:t>资金发放程序规范，资金使用合规</w:t>
            </w:r>
          </w:p>
        </w:tc>
        <w:tc>
          <w:tcPr>
            <w:tcW w:w="2268" w:type="dxa"/>
            <w:vAlign w:val="center"/>
          </w:tcPr>
          <w:p>
            <w:pPr>
              <w:pStyle w:val="13"/>
            </w:pPr>
            <w:r>
              <w:t>100%</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按相关文件要求时限完成工作</w:t>
            </w:r>
          </w:p>
        </w:tc>
        <w:tc>
          <w:tcPr>
            <w:tcW w:w="2268" w:type="dxa"/>
            <w:vAlign w:val="center"/>
          </w:tcPr>
          <w:p>
            <w:pPr>
              <w:pStyle w:val="13"/>
            </w:pPr>
            <w:r>
              <w:t>100%</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补贴资金使用控制数</w:t>
            </w:r>
          </w:p>
        </w:tc>
        <w:tc>
          <w:tcPr>
            <w:tcW w:w="5386" w:type="dxa"/>
            <w:vAlign w:val="center"/>
          </w:tcPr>
          <w:p>
            <w:pPr>
              <w:pStyle w:val="13"/>
            </w:pPr>
            <w:r>
              <w:t>严格按照补助资金预算数支付资金</w:t>
            </w:r>
          </w:p>
        </w:tc>
        <w:tc>
          <w:tcPr>
            <w:tcW w:w="2268" w:type="dxa"/>
            <w:vAlign w:val="center"/>
          </w:tcPr>
          <w:p>
            <w:pPr>
              <w:pStyle w:val="13"/>
            </w:pPr>
            <w:r>
              <w:t>≤60万元</w:t>
            </w:r>
          </w:p>
        </w:tc>
        <w:tc>
          <w:tcPr>
            <w:tcW w:w="1276" w:type="dxa"/>
            <w:vAlign w:val="center"/>
          </w:tcPr>
          <w:p>
            <w:pPr>
              <w:pStyle w:val="13"/>
            </w:pPr>
            <w:r>
              <w:t>预算指标下达文件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经济影响</w:t>
            </w:r>
          </w:p>
        </w:tc>
        <w:tc>
          <w:tcPr>
            <w:tcW w:w="5386" w:type="dxa"/>
            <w:vAlign w:val="center"/>
          </w:tcPr>
          <w:p>
            <w:pPr>
              <w:pStyle w:val="13"/>
            </w:pPr>
            <w:r>
              <w:t>方便群众出行，拉动周边地区经济增长</w:t>
            </w:r>
          </w:p>
        </w:tc>
        <w:tc>
          <w:tcPr>
            <w:tcW w:w="2268" w:type="dxa"/>
            <w:vAlign w:val="center"/>
          </w:tcPr>
          <w:p>
            <w:pPr>
              <w:pStyle w:val="13"/>
            </w:pPr>
            <w:r>
              <w:t>≥100万元</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项目实施有效保证客运班车正常运行，方便群众出行</w:t>
            </w:r>
          </w:p>
        </w:tc>
        <w:tc>
          <w:tcPr>
            <w:tcW w:w="2268" w:type="dxa"/>
            <w:vAlign w:val="center"/>
          </w:tcPr>
          <w:p>
            <w:pPr>
              <w:pStyle w:val="13"/>
            </w:pPr>
            <w:r>
              <w:t>≥16万人</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生态影响</w:t>
            </w:r>
          </w:p>
        </w:tc>
        <w:tc>
          <w:tcPr>
            <w:tcW w:w="5386" w:type="dxa"/>
            <w:vAlign w:val="center"/>
          </w:tcPr>
          <w:p>
            <w:pPr>
              <w:pStyle w:val="13"/>
            </w:pPr>
            <w:r>
              <w:t>减少尾气排放，增加受益人口数</w:t>
            </w:r>
          </w:p>
        </w:tc>
        <w:tc>
          <w:tcPr>
            <w:tcW w:w="2268" w:type="dxa"/>
            <w:vAlign w:val="center"/>
          </w:tcPr>
          <w:p>
            <w:pPr>
              <w:pStyle w:val="13"/>
            </w:pPr>
            <w:r>
              <w:t>≥20万人</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保证客运工作长期有效运行</w:t>
            </w:r>
          </w:p>
        </w:tc>
        <w:tc>
          <w:tcPr>
            <w:tcW w:w="2268" w:type="dxa"/>
            <w:vAlign w:val="center"/>
          </w:tcPr>
          <w:p>
            <w:pPr>
              <w:pStyle w:val="13"/>
            </w:pPr>
            <w:r>
              <w:t>≥10年</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33、秦皇岛市青龙满族自治县公路治超非现场执法系统建设项目绩效目标表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13032125DVQQTGSH1Y54D</w:t>
            </w:r>
          </w:p>
        </w:tc>
        <w:tc>
          <w:tcPr>
            <w:tcW w:w="2835" w:type="dxa"/>
            <w:vAlign w:val="center"/>
          </w:tcPr>
          <w:p>
            <w:pPr>
              <w:pStyle w:val="11"/>
            </w:pPr>
            <w:r>
              <w:t>项目名称</w:t>
            </w:r>
          </w:p>
        </w:tc>
        <w:tc>
          <w:tcPr>
            <w:tcW w:w="6095" w:type="dxa"/>
            <w:gridSpan w:val="3"/>
            <w:vAlign w:val="center"/>
          </w:tcPr>
          <w:p>
            <w:pPr>
              <w:pStyle w:val="13"/>
            </w:pPr>
            <w:r>
              <w:t>秦皇岛市青龙满族自治县公路治超非现场执法系统建设项目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380.00</w:t>
            </w:r>
          </w:p>
        </w:tc>
        <w:tc>
          <w:tcPr>
            <w:tcW w:w="2835" w:type="dxa"/>
            <w:vAlign w:val="center"/>
          </w:tcPr>
          <w:p>
            <w:pPr>
              <w:pStyle w:val="11"/>
            </w:pPr>
            <w:r>
              <w:t>其中：财政    资金</w:t>
            </w:r>
          </w:p>
        </w:tc>
        <w:tc>
          <w:tcPr>
            <w:tcW w:w="2551" w:type="dxa"/>
            <w:vAlign w:val="center"/>
          </w:tcPr>
          <w:p>
            <w:pPr>
              <w:pStyle w:val="13"/>
            </w:pPr>
            <w:r>
              <w:t>380.00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预算数380万元，其中财政资金380万元，主要用于公路治超非现场执法系统建设项目资金支出。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1.通过科技手段开展依法治理工作，保障治超工作顺利开展。</w:t>
            </w:r>
          </w:p>
          <w:p>
            <w:pPr>
              <w:pStyle w:val="13"/>
            </w:pPr>
            <w:r>
              <w:t>2.通过科技治超点项目实施，有效治理超限超载，保障公路安全畅通。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治超点数量</w:t>
            </w:r>
          </w:p>
        </w:tc>
        <w:tc>
          <w:tcPr>
            <w:tcW w:w="5386" w:type="dxa"/>
            <w:vAlign w:val="center"/>
          </w:tcPr>
          <w:p>
            <w:pPr>
              <w:pStyle w:val="13"/>
            </w:pPr>
            <w:r>
              <w:t>实际建成科技治超点数量</w:t>
            </w:r>
          </w:p>
        </w:tc>
        <w:tc>
          <w:tcPr>
            <w:tcW w:w="2268" w:type="dxa"/>
            <w:vAlign w:val="center"/>
          </w:tcPr>
          <w:p>
            <w:pPr>
              <w:pStyle w:val="13"/>
            </w:pPr>
            <w:r>
              <w:t>4处</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治超点质量</w:t>
            </w:r>
          </w:p>
        </w:tc>
        <w:tc>
          <w:tcPr>
            <w:tcW w:w="5386" w:type="dxa"/>
            <w:vAlign w:val="center"/>
          </w:tcPr>
          <w:p>
            <w:pPr>
              <w:pStyle w:val="13"/>
            </w:pPr>
            <w:r>
              <w:t>反映治超点质量验收合格率</w:t>
            </w:r>
          </w:p>
        </w:tc>
        <w:tc>
          <w:tcPr>
            <w:tcW w:w="2268" w:type="dxa"/>
            <w:vAlign w:val="center"/>
          </w:tcPr>
          <w:p>
            <w:pPr>
              <w:pStyle w:val="13"/>
            </w:pPr>
            <w:r>
              <w:t>100%</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按各治超点建设计划时限完成</w:t>
            </w:r>
          </w:p>
        </w:tc>
        <w:tc>
          <w:tcPr>
            <w:tcW w:w="2268" w:type="dxa"/>
            <w:vAlign w:val="center"/>
          </w:tcPr>
          <w:p>
            <w:pPr>
              <w:pStyle w:val="13"/>
            </w:pPr>
            <w:r>
              <w:t>2026年底以前</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控制在预算范围内合理使用</w:t>
            </w:r>
          </w:p>
        </w:tc>
        <w:tc>
          <w:tcPr>
            <w:tcW w:w="2268" w:type="dxa"/>
            <w:vAlign w:val="center"/>
          </w:tcPr>
          <w:p>
            <w:pPr>
              <w:pStyle w:val="13"/>
            </w:pPr>
            <w:r>
              <w:t>≤380万元</w:t>
            </w:r>
          </w:p>
        </w:tc>
        <w:tc>
          <w:tcPr>
            <w:tcW w:w="1276" w:type="dxa"/>
            <w:vAlign w:val="center"/>
          </w:tcPr>
          <w:p>
            <w:pPr>
              <w:pStyle w:val="13"/>
            </w:pPr>
            <w:r>
              <w:t>项目资金计划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经济影响</w:t>
            </w:r>
          </w:p>
        </w:tc>
        <w:tc>
          <w:tcPr>
            <w:tcW w:w="5386" w:type="dxa"/>
            <w:vAlign w:val="center"/>
          </w:tcPr>
          <w:p>
            <w:pPr>
              <w:pStyle w:val="13"/>
            </w:pPr>
            <w:r>
              <w:t>通过项目的实施，减少超限超载，减少公路损毁，每年可节省公路养护资金</w:t>
            </w:r>
          </w:p>
        </w:tc>
        <w:tc>
          <w:tcPr>
            <w:tcW w:w="2268" w:type="dxa"/>
            <w:vAlign w:val="center"/>
          </w:tcPr>
          <w:p>
            <w:pPr>
              <w:pStyle w:val="13"/>
            </w:pPr>
            <w:r>
              <w:t>≥300万元</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通过科技手段治理超限超载，减少公路基础设施损毁率。</w:t>
            </w:r>
          </w:p>
        </w:tc>
        <w:tc>
          <w:tcPr>
            <w:tcW w:w="2268" w:type="dxa"/>
            <w:vAlign w:val="center"/>
          </w:tcPr>
          <w:p>
            <w:pPr>
              <w:pStyle w:val="13"/>
            </w:pPr>
            <w:r>
              <w:t>≥20%</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环境影响</w:t>
            </w:r>
          </w:p>
        </w:tc>
        <w:tc>
          <w:tcPr>
            <w:tcW w:w="5386" w:type="dxa"/>
            <w:vAlign w:val="center"/>
          </w:tcPr>
          <w:p>
            <w:pPr>
              <w:pStyle w:val="13"/>
            </w:pPr>
            <w:r>
              <w:t>减少汽车尾气排放，减少扬尘，改善人居环境，增加受益人口。</w:t>
            </w:r>
          </w:p>
        </w:tc>
        <w:tc>
          <w:tcPr>
            <w:tcW w:w="2268" w:type="dxa"/>
            <w:vAlign w:val="center"/>
          </w:tcPr>
          <w:p>
            <w:pPr>
              <w:pStyle w:val="13"/>
            </w:pPr>
            <w:r>
              <w:t>≥12000人</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科技治超点在合理使用年限适应治超需求</w:t>
            </w:r>
          </w:p>
        </w:tc>
        <w:tc>
          <w:tcPr>
            <w:tcW w:w="2268" w:type="dxa"/>
            <w:vAlign w:val="center"/>
          </w:tcPr>
          <w:p>
            <w:pPr>
              <w:pStyle w:val="13"/>
            </w:pPr>
            <w:r>
              <w:t>≥5年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348青龙满族自治县交通运输局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276.00</w:t>
            </w:r>
          </w:p>
        </w:tc>
        <w:tc>
          <w:tcPr>
            <w:tcW w:w="964" w:type="dxa"/>
            <w:vAlign w:val="center"/>
          </w:tcPr>
          <w:p>
            <w:pPr>
              <w:pStyle w:val="16"/>
            </w:pPr>
            <w:r>
              <w:t>276.00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青龙满族自治县交通运输局本级小计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276.00</w:t>
            </w:r>
          </w:p>
        </w:tc>
        <w:tc>
          <w:tcPr>
            <w:tcW w:w="964" w:type="dxa"/>
            <w:vAlign w:val="center"/>
          </w:tcPr>
          <w:p>
            <w:pPr>
              <w:pStyle w:val="16"/>
            </w:pPr>
            <w:r>
              <w:t>276.00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关于提前下达2026年普通国省干线公路建设养护发展专项资金的通知-治超非现场检测点建设补助（冀财建[2025]234号）</w:t>
            </w:r>
          </w:p>
        </w:tc>
        <w:tc>
          <w:tcPr>
            <w:tcW w:w="964" w:type="dxa"/>
            <w:vAlign w:val="center"/>
          </w:tcPr>
          <w:p>
            <w:pPr>
              <w:pStyle w:val="12"/>
            </w:pPr>
            <w:r>
              <w:t>240.00</w:t>
            </w:r>
          </w:p>
        </w:tc>
        <w:tc>
          <w:tcPr>
            <w:tcW w:w="1134" w:type="dxa"/>
            <w:vAlign w:val="center"/>
          </w:tcPr>
          <w:p>
            <w:pPr>
              <w:pStyle w:val="13"/>
            </w:pPr>
            <w:r>
              <w:t>其他机房辅助设备</w:t>
            </w:r>
          </w:p>
        </w:tc>
        <w:tc>
          <w:tcPr>
            <w:tcW w:w="1134" w:type="dxa"/>
            <w:vAlign w:val="center"/>
          </w:tcPr>
          <w:p>
            <w:pPr>
              <w:pStyle w:val="13"/>
            </w:pPr>
            <w:r>
              <w:t>A02010699</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240.00</w:t>
            </w:r>
          </w:p>
        </w:tc>
        <w:tc>
          <w:tcPr>
            <w:tcW w:w="964" w:type="dxa"/>
            <w:vAlign w:val="center"/>
          </w:tcPr>
          <w:p>
            <w:pPr>
              <w:pStyle w:val="12"/>
            </w:pPr>
            <w:r>
              <w:t>240.00</w:t>
            </w:r>
          </w:p>
        </w:tc>
        <w:tc>
          <w:tcPr>
            <w:tcW w:w="964" w:type="dxa"/>
            <w:vAlign w:val="center"/>
          </w:tcPr>
          <w:p>
            <w:pPr>
              <w:pStyle w:val="12"/>
            </w:pPr>
            <w:r>
              <w:t>240.00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交通综合执法公务用车购置</w:t>
            </w:r>
          </w:p>
        </w:tc>
        <w:tc>
          <w:tcPr>
            <w:tcW w:w="964" w:type="dxa"/>
            <w:vAlign w:val="center"/>
          </w:tcPr>
          <w:p>
            <w:pPr>
              <w:pStyle w:val="12"/>
            </w:pPr>
            <w:r>
              <w:t>36.00</w:t>
            </w:r>
          </w:p>
        </w:tc>
        <w:tc>
          <w:tcPr>
            <w:tcW w:w="1134" w:type="dxa"/>
            <w:vAlign w:val="center"/>
          </w:tcPr>
          <w:p>
            <w:pPr>
              <w:pStyle w:val="13"/>
            </w:pPr>
            <w:r>
              <w:t>轿车</w:t>
            </w:r>
          </w:p>
        </w:tc>
        <w:tc>
          <w:tcPr>
            <w:tcW w:w="1134" w:type="dxa"/>
            <w:vAlign w:val="center"/>
          </w:tcPr>
          <w:p>
            <w:pPr>
              <w:pStyle w:val="13"/>
            </w:pPr>
            <w:r>
              <w:t>A02030501</w:t>
            </w:r>
          </w:p>
        </w:tc>
        <w:tc>
          <w:tcPr>
            <w:tcW w:w="709" w:type="dxa"/>
            <w:vAlign w:val="center"/>
          </w:tcPr>
          <w:p>
            <w:pPr>
              <w:pStyle w:val="14"/>
            </w:pPr>
            <w:r>
              <w:t>辆</w:t>
            </w:r>
          </w:p>
        </w:tc>
        <w:tc>
          <w:tcPr>
            <w:tcW w:w="850" w:type="dxa"/>
            <w:vAlign w:val="center"/>
          </w:tcPr>
          <w:p>
            <w:pPr>
              <w:pStyle w:val="12"/>
            </w:pPr>
            <w:r>
              <w:t>3</w:t>
            </w:r>
          </w:p>
        </w:tc>
        <w:tc>
          <w:tcPr>
            <w:tcW w:w="850" w:type="dxa"/>
            <w:vAlign w:val="center"/>
          </w:tcPr>
          <w:p>
            <w:pPr>
              <w:pStyle w:val="12"/>
            </w:pPr>
            <w:r>
              <w:t>12.00</w:t>
            </w:r>
          </w:p>
        </w:tc>
        <w:tc>
          <w:tcPr>
            <w:tcW w:w="964" w:type="dxa"/>
            <w:vAlign w:val="center"/>
          </w:tcPr>
          <w:p>
            <w:pPr>
              <w:pStyle w:val="12"/>
            </w:pPr>
            <w:r>
              <w:t>36.00</w:t>
            </w:r>
          </w:p>
        </w:tc>
        <w:tc>
          <w:tcPr>
            <w:tcW w:w="964" w:type="dxa"/>
            <w:vAlign w:val="center"/>
          </w:tcPr>
          <w:p>
            <w:pPr>
              <w:pStyle w:val="12"/>
            </w:pPr>
            <w:r>
              <w:t>36.00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36.00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青龙满族自治县交通运输局（含所属单位）上年末固定资产金额为0.00万元（详见下表）。本年度拟购置固定资产总额为0.00万元，已按要求列入政府采购预算，详见政府采购预算表。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348青龙满族自治县交通运输局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w:t>
            </w:r>
            <w:r>
              <w:rPr>
                <w:rFonts w:hint="eastAsia"/>
                <w:lang w:val="en-US" w:eastAsia="zh-CN"/>
              </w:rPr>
              <w:t>5</w:t>
            </w:r>
            <w:r>
              <w:t>-12-31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rPr>
                <w:rFonts w:hint="default" w:eastAsia="方正书宋_GBK"/>
                <w:lang w:val="en-US" w:eastAsia="zh-CN"/>
              </w:rPr>
            </w:pPr>
            <w:r>
              <w:rPr>
                <w:rFonts w:hint="eastAsia"/>
                <w:lang w:val="en-US" w:eastAsia="zh-CN"/>
              </w:rPr>
              <w:t>528.72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2400</w:t>
            </w:r>
          </w:p>
        </w:tc>
        <w:tc>
          <w:tcPr>
            <w:tcW w:w="2835" w:type="dxa"/>
            <w:vAlign w:val="center"/>
          </w:tcPr>
          <w:p>
            <w:pPr>
              <w:pStyle w:val="12"/>
            </w:pPr>
            <w:r>
              <w:t>77.17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10</w:t>
            </w:r>
          </w:p>
        </w:tc>
        <w:tc>
          <w:tcPr>
            <w:tcW w:w="2835" w:type="dxa"/>
            <w:vAlign w:val="center"/>
          </w:tcPr>
          <w:p>
            <w:pPr>
              <w:pStyle w:val="12"/>
            </w:pPr>
            <w:r>
              <w:t>127.11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rPr>
                <w:rFonts w:hint="default" w:eastAsia="方正书宋_GBK"/>
                <w:lang w:val="en-US" w:eastAsia="zh-CN"/>
              </w:rPr>
            </w:pPr>
            <w:r>
              <w:rPr>
                <w:rFonts w:hint="eastAsia"/>
                <w:lang w:val="en-US" w:eastAsia="zh-CN"/>
              </w:rPr>
              <w:t>106</w:t>
            </w:r>
          </w:p>
        </w:tc>
        <w:tc>
          <w:tcPr>
            <w:tcW w:w="2835" w:type="dxa"/>
            <w:vAlign w:val="center"/>
          </w:tcPr>
          <w:p>
            <w:pPr>
              <w:pStyle w:val="12"/>
              <w:rPr>
                <w:rFonts w:hint="default" w:eastAsia="方正书宋_GBK"/>
                <w:lang w:val="en-US" w:eastAsia="zh-CN"/>
              </w:rPr>
            </w:pPr>
            <w:r>
              <w:rPr>
                <w:rFonts w:hint="eastAsia"/>
                <w:lang w:val="en-US" w:eastAsia="zh-CN"/>
              </w:rPr>
              <w:t>324.44</w:t>
            </w:r>
          </w:p>
        </w:tc>
      </w:tr>
    </w:tbl>
    <w:p>
      <w:pPr>
        <w:spacing w:before="0" w:after="0" w:line="240" w:lineRule="auto"/>
        <w:ind w:firstLine="420"/>
        <w:jc w:val="left"/>
        <w:outlineLvl w:val="9"/>
      </w:pPr>
      <w:r>
        <w:rPr>
          <w:rFonts w:ascii="方正书宋_GBK" w:hAnsi="方正书宋_GBK" w:eastAsia="方正书宋_GBK" w:cs="方正书宋_GBK"/>
          <w:color w:val="000000"/>
          <w:sz w:val="21"/>
        </w:rPr>
        <w:t>。</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90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B592A8"/>
    <w:multiLevelType w:val="singleLevel"/>
    <w:tmpl w:val="FAB592A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jNjYWM5NTA3ZGE5Y2U4ZjdjN2NiZmZlMDIwY2IwZWYifQ=="/>
  </w:docVars>
  <w:rsids>
    <w:rsidRoot w:val="00000000"/>
    <w:rsid w:val="02DB5C5F"/>
    <w:rsid w:val="0A083D02"/>
    <w:rsid w:val="115E34EF"/>
    <w:rsid w:val="12D2663A"/>
    <w:rsid w:val="13693B26"/>
    <w:rsid w:val="21D91365"/>
    <w:rsid w:val="296F0D7F"/>
    <w:rsid w:val="311A5A74"/>
    <w:rsid w:val="36C546D4"/>
    <w:rsid w:val="499A4276"/>
    <w:rsid w:val="4D484752"/>
    <w:rsid w:val="568F468B"/>
    <w:rsid w:val="6EDB4B2E"/>
    <w:rsid w:val="79EA30F2"/>
    <w:rsid w:val="7ED625A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93</Pages>
  <TotalTime>12</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2026-01-29T13:01:00Z</dcterms:created>
  <dc:creator>Administrator</dc:creator>
  <cp:lastModifiedBy>Administrator</cp:lastModifiedBy>
  <cp:lastPrinted>2026-01-29T06:56:00Z</cp:lastPrinted>
  <dcterms:modified xsi:type="dcterms:W3CDTF">2026-01-30T01:46:26Z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F9AB7057D15E4658A1C59B16C0393313_13</vt:lpwstr>
  </property>
</Properties>
</file>