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57</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59</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一、青龙满族自治县人民政府都阳路街道办事处本级收支预算</w:t>
      </w:r>
      <w:r>
        <w:tab/>
      </w:r>
      <w:r>
        <w:fldChar w:fldCharType="begin"/>
      </w:r>
      <w:r>
        <w:instrText xml:space="preserve">PAGEREF _Toc_4_4_0000000021 \h</w:instrText>
      </w:r>
      <w:r>
        <w:fldChar w:fldCharType="separate"/>
      </w:r>
      <w:r>
        <w:t>61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1309.76</w:t>
            </w:r>
          </w:p>
        </w:tc>
        <w:tc>
          <w:tcPr>
            <w:tcW w:w="4535" w:type="dxa"/>
            <w:vAlign w:val="center"/>
          </w:tcPr>
          <w:p>
            <w:pPr>
              <w:pStyle w:val="14"/>
            </w:pPr>
            <w:r>
              <w:t>一、一般公共服务支出</w:t>
            </w:r>
          </w:p>
        </w:tc>
        <w:tc>
          <w:tcPr>
            <w:tcW w:w="2126" w:type="dxa"/>
            <w:vAlign w:val="center"/>
          </w:tcPr>
          <w:p>
            <w:pPr>
              <w:pStyle w:val="13"/>
            </w:pPr>
            <w:r>
              <w:t>981.09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235.09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1309.76</w:t>
            </w:r>
          </w:p>
        </w:tc>
        <w:tc>
          <w:tcPr>
            <w:tcW w:w="4535" w:type="dxa"/>
            <w:vAlign w:val="center"/>
          </w:tcPr>
          <w:p>
            <w:pPr>
              <w:pStyle w:val="16"/>
            </w:pPr>
            <w:r>
              <w:t>本年支出合计</w:t>
            </w:r>
          </w:p>
        </w:tc>
        <w:tc>
          <w:tcPr>
            <w:tcW w:w="2126" w:type="dxa"/>
            <w:vAlign w:val="center"/>
          </w:tcPr>
          <w:p>
            <w:pPr>
              <w:pStyle w:val="17"/>
            </w:pPr>
            <w:r>
              <w:t>1342.12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32.36</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1342.12</w:t>
            </w:r>
          </w:p>
        </w:tc>
        <w:tc>
          <w:tcPr>
            <w:tcW w:w="4535" w:type="dxa"/>
            <w:vAlign w:val="center"/>
          </w:tcPr>
          <w:p>
            <w:pPr>
              <w:pStyle w:val="16"/>
            </w:pPr>
            <w:r>
              <w:t>支出总计</w:t>
            </w:r>
          </w:p>
        </w:tc>
        <w:tc>
          <w:tcPr>
            <w:tcW w:w="2126" w:type="dxa"/>
            <w:vAlign w:val="center"/>
          </w:tcPr>
          <w:p>
            <w:pPr>
              <w:pStyle w:val="17"/>
            </w:pPr>
            <w:r>
              <w:t>1342.12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1342.12</w:t>
            </w:r>
          </w:p>
        </w:tc>
        <w:tc>
          <w:tcPr>
            <w:tcW w:w="1134" w:type="dxa"/>
            <w:vAlign w:val="center"/>
          </w:tcPr>
          <w:p>
            <w:pPr>
              <w:pStyle w:val="17"/>
            </w:pPr>
            <w:r>
              <w:t>1309.76</w:t>
            </w:r>
          </w:p>
        </w:tc>
        <w:tc>
          <w:tcPr>
            <w:tcW w:w="1134" w:type="dxa"/>
            <w:vAlign w:val="center"/>
          </w:tcPr>
          <w:p>
            <w:pPr>
              <w:pStyle w:val="17"/>
            </w:pPr>
            <w:r>
              <w:t>1309.76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981.09</w:t>
            </w:r>
          </w:p>
        </w:tc>
        <w:tc>
          <w:tcPr>
            <w:tcW w:w="1134" w:type="dxa"/>
            <w:vAlign w:val="center"/>
          </w:tcPr>
          <w:p>
            <w:pPr>
              <w:pStyle w:val="13"/>
            </w:pPr>
            <w:r>
              <w:t>957.56</w:t>
            </w:r>
          </w:p>
        </w:tc>
        <w:tc>
          <w:tcPr>
            <w:tcW w:w="1134" w:type="dxa"/>
            <w:vAlign w:val="center"/>
          </w:tcPr>
          <w:p>
            <w:pPr>
              <w:pStyle w:val="13"/>
            </w:pPr>
            <w:r>
              <w:t>957.56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961.34</w:t>
            </w:r>
          </w:p>
        </w:tc>
        <w:tc>
          <w:tcPr>
            <w:tcW w:w="1134" w:type="dxa"/>
            <w:vAlign w:val="center"/>
          </w:tcPr>
          <w:p>
            <w:pPr>
              <w:pStyle w:val="13"/>
            </w:pPr>
            <w:r>
              <w:t>946.56</w:t>
            </w:r>
          </w:p>
        </w:tc>
        <w:tc>
          <w:tcPr>
            <w:tcW w:w="1134" w:type="dxa"/>
            <w:vAlign w:val="center"/>
          </w:tcPr>
          <w:p>
            <w:pPr>
              <w:pStyle w:val="13"/>
            </w:pPr>
            <w:r>
              <w:t>946.56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730.42</w:t>
            </w:r>
          </w:p>
        </w:tc>
        <w:tc>
          <w:tcPr>
            <w:tcW w:w="1134" w:type="dxa"/>
            <w:vAlign w:val="center"/>
          </w:tcPr>
          <w:p>
            <w:pPr>
              <w:pStyle w:val="13"/>
            </w:pPr>
            <w:r>
              <w:t>718.19</w:t>
            </w:r>
          </w:p>
        </w:tc>
        <w:tc>
          <w:tcPr>
            <w:tcW w:w="1134" w:type="dxa"/>
            <w:vAlign w:val="center"/>
          </w:tcPr>
          <w:p>
            <w:pPr>
              <w:pStyle w:val="13"/>
            </w:pPr>
            <w:r>
              <w:t>718.19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5.68</w:t>
            </w:r>
          </w:p>
        </w:tc>
        <w:tc>
          <w:tcPr>
            <w:tcW w:w="1134" w:type="dxa"/>
            <w:vAlign w:val="center"/>
          </w:tcPr>
          <w:p>
            <w:pPr>
              <w:pStyle w:val="13"/>
            </w:pPr>
            <w:r>
              <w:t>4.17</w:t>
            </w:r>
          </w:p>
        </w:tc>
        <w:tc>
          <w:tcPr>
            <w:tcW w:w="1134" w:type="dxa"/>
            <w:vAlign w:val="center"/>
          </w:tcPr>
          <w:p>
            <w:pPr>
              <w:pStyle w:val="13"/>
            </w:pPr>
            <w:r>
              <w:t>4.17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221.20</w:t>
            </w:r>
          </w:p>
        </w:tc>
        <w:tc>
          <w:tcPr>
            <w:tcW w:w="1134" w:type="dxa"/>
            <w:vAlign w:val="center"/>
          </w:tcPr>
          <w:p>
            <w:pPr>
              <w:pStyle w:val="13"/>
            </w:pPr>
            <w:r>
              <w:t>221.20</w:t>
            </w:r>
          </w:p>
        </w:tc>
        <w:tc>
          <w:tcPr>
            <w:tcW w:w="1134" w:type="dxa"/>
            <w:vAlign w:val="center"/>
          </w:tcPr>
          <w:p>
            <w:pPr>
              <w:pStyle w:val="13"/>
            </w:pPr>
            <w:r>
              <w:t>221.20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4.04</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18.75</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18.75</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68.61</w:t>
            </w:r>
          </w:p>
        </w:tc>
        <w:tc>
          <w:tcPr>
            <w:tcW w:w="1134" w:type="dxa"/>
            <w:vAlign w:val="center"/>
          </w:tcPr>
          <w:p>
            <w:pPr>
              <w:pStyle w:val="13"/>
            </w:pPr>
            <w:r>
              <w:t>68.61</w:t>
            </w:r>
          </w:p>
        </w:tc>
        <w:tc>
          <w:tcPr>
            <w:tcW w:w="1134" w:type="dxa"/>
            <w:vAlign w:val="center"/>
          </w:tcPr>
          <w:p>
            <w:pPr>
              <w:pStyle w:val="13"/>
            </w:pPr>
            <w:r>
              <w:t>68.61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68.61</w:t>
            </w:r>
          </w:p>
        </w:tc>
        <w:tc>
          <w:tcPr>
            <w:tcW w:w="1134" w:type="dxa"/>
            <w:vAlign w:val="center"/>
          </w:tcPr>
          <w:p>
            <w:pPr>
              <w:pStyle w:val="13"/>
            </w:pPr>
            <w:r>
              <w:t>68.61</w:t>
            </w:r>
          </w:p>
        </w:tc>
        <w:tc>
          <w:tcPr>
            <w:tcW w:w="1134" w:type="dxa"/>
            <w:vAlign w:val="center"/>
          </w:tcPr>
          <w:p>
            <w:pPr>
              <w:pStyle w:val="13"/>
            </w:pPr>
            <w:r>
              <w:t>68.61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14.10</w:t>
            </w:r>
          </w:p>
        </w:tc>
        <w:tc>
          <w:tcPr>
            <w:tcW w:w="1134" w:type="dxa"/>
            <w:vAlign w:val="center"/>
          </w:tcPr>
          <w:p>
            <w:pPr>
              <w:pStyle w:val="13"/>
            </w:pPr>
            <w:r>
              <w:t>14.10</w:t>
            </w:r>
          </w:p>
        </w:tc>
        <w:tc>
          <w:tcPr>
            <w:tcW w:w="1134" w:type="dxa"/>
            <w:vAlign w:val="center"/>
          </w:tcPr>
          <w:p>
            <w:pPr>
              <w:pStyle w:val="13"/>
            </w:pPr>
            <w:r>
              <w:t>14.10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54.51</w:t>
            </w:r>
          </w:p>
        </w:tc>
        <w:tc>
          <w:tcPr>
            <w:tcW w:w="1134" w:type="dxa"/>
            <w:vAlign w:val="center"/>
          </w:tcPr>
          <w:p>
            <w:pPr>
              <w:pStyle w:val="13"/>
            </w:pPr>
            <w:r>
              <w:t>54.51</w:t>
            </w:r>
          </w:p>
        </w:tc>
        <w:tc>
          <w:tcPr>
            <w:tcW w:w="1134" w:type="dxa"/>
            <w:vAlign w:val="center"/>
          </w:tcPr>
          <w:p>
            <w:pPr>
              <w:pStyle w:val="13"/>
            </w:pPr>
            <w:r>
              <w:t>54.51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29.35</w:t>
            </w:r>
          </w:p>
        </w:tc>
        <w:tc>
          <w:tcPr>
            <w:tcW w:w="1134" w:type="dxa"/>
            <w:vAlign w:val="center"/>
          </w:tcPr>
          <w:p>
            <w:pPr>
              <w:pStyle w:val="13"/>
            </w:pPr>
            <w:r>
              <w:t>29.35</w:t>
            </w:r>
          </w:p>
        </w:tc>
        <w:tc>
          <w:tcPr>
            <w:tcW w:w="1134" w:type="dxa"/>
            <w:vAlign w:val="center"/>
          </w:tcPr>
          <w:p>
            <w:pPr>
              <w:pStyle w:val="13"/>
            </w:pPr>
            <w:r>
              <w:t>29.35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10.28</w:t>
            </w:r>
          </w:p>
        </w:tc>
        <w:tc>
          <w:tcPr>
            <w:tcW w:w="1134" w:type="dxa"/>
            <w:vAlign w:val="center"/>
          </w:tcPr>
          <w:p>
            <w:pPr>
              <w:pStyle w:val="13"/>
            </w:pPr>
            <w:r>
              <w:t>10.28</w:t>
            </w:r>
          </w:p>
        </w:tc>
        <w:tc>
          <w:tcPr>
            <w:tcW w:w="1134" w:type="dxa"/>
            <w:vAlign w:val="center"/>
          </w:tcPr>
          <w:p>
            <w:pPr>
              <w:pStyle w:val="13"/>
            </w:pPr>
            <w:r>
              <w:t>10.28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18.57</w:t>
            </w:r>
          </w:p>
        </w:tc>
        <w:tc>
          <w:tcPr>
            <w:tcW w:w="1134" w:type="dxa"/>
            <w:vAlign w:val="center"/>
          </w:tcPr>
          <w:p>
            <w:pPr>
              <w:pStyle w:val="13"/>
            </w:pPr>
            <w:r>
              <w:t>18.57</w:t>
            </w:r>
          </w:p>
        </w:tc>
        <w:tc>
          <w:tcPr>
            <w:tcW w:w="1134" w:type="dxa"/>
            <w:vAlign w:val="center"/>
          </w:tcPr>
          <w:p>
            <w:pPr>
              <w:pStyle w:val="13"/>
            </w:pPr>
            <w:r>
              <w:t>18.57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235.09</w:t>
            </w:r>
          </w:p>
        </w:tc>
        <w:tc>
          <w:tcPr>
            <w:tcW w:w="1134" w:type="dxa"/>
            <w:vAlign w:val="center"/>
          </w:tcPr>
          <w:p>
            <w:pPr>
              <w:pStyle w:val="13"/>
            </w:pPr>
            <w:r>
              <w:t>226.27</w:t>
            </w:r>
          </w:p>
        </w:tc>
        <w:tc>
          <w:tcPr>
            <w:tcW w:w="1134" w:type="dxa"/>
            <w:vAlign w:val="center"/>
          </w:tcPr>
          <w:p>
            <w:pPr>
              <w:pStyle w:val="13"/>
            </w:pPr>
            <w:r>
              <w:t>226.27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235.09</w:t>
            </w:r>
          </w:p>
        </w:tc>
        <w:tc>
          <w:tcPr>
            <w:tcW w:w="1134" w:type="dxa"/>
            <w:vAlign w:val="center"/>
          </w:tcPr>
          <w:p>
            <w:pPr>
              <w:pStyle w:val="13"/>
            </w:pPr>
            <w:r>
              <w:t>226.27</w:t>
            </w:r>
          </w:p>
        </w:tc>
        <w:tc>
          <w:tcPr>
            <w:tcW w:w="1134" w:type="dxa"/>
            <w:vAlign w:val="center"/>
          </w:tcPr>
          <w:p>
            <w:pPr>
              <w:pStyle w:val="13"/>
            </w:pPr>
            <w:r>
              <w:t>226.27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60.79</w:t>
            </w:r>
          </w:p>
        </w:tc>
        <w:tc>
          <w:tcPr>
            <w:tcW w:w="1134" w:type="dxa"/>
            <w:vAlign w:val="center"/>
          </w:tcPr>
          <w:p>
            <w:pPr>
              <w:pStyle w:val="13"/>
            </w:pPr>
            <w:r>
              <w:t>60.00</w:t>
            </w:r>
          </w:p>
        </w:tc>
        <w:tc>
          <w:tcPr>
            <w:tcW w:w="1134" w:type="dxa"/>
            <w:vAlign w:val="center"/>
          </w:tcPr>
          <w:p>
            <w:pPr>
              <w:pStyle w:val="13"/>
            </w:pPr>
            <w:r>
              <w:t>60.00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2120199</w:t>
            </w:r>
          </w:p>
        </w:tc>
        <w:tc>
          <w:tcPr>
            <w:tcW w:w="1559" w:type="dxa"/>
            <w:vAlign w:val="center"/>
          </w:tcPr>
          <w:p>
            <w:pPr>
              <w:pStyle w:val="14"/>
            </w:pPr>
            <w:r>
              <w:t>其他城乡社区管理事务支出</w:t>
            </w:r>
          </w:p>
        </w:tc>
        <w:tc>
          <w:tcPr>
            <w:tcW w:w="1134" w:type="dxa"/>
            <w:vAlign w:val="center"/>
          </w:tcPr>
          <w:p>
            <w:pPr>
              <w:pStyle w:val="13"/>
            </w:pPr>
            <w:r>
              <w:t>174.30</w:t>
            </w:r>
          </w:p>
        </w:tc>
        <w:tc>
          <w:tcPr>
            <w:tcW w:w="1134" w:type="dxa"/>
            <w:vAlign w:val="center"/>
          </w:tcPr>
          <w:p>
            <w:pPr>
              <w:pStyle w:val="13"/>
            </w:pPr>
            <w:r>
              <w:t>166.27</w:t>
            </w:r>
          </w:p>
        </w:tc>
        <w:tc>
          <w:tcPr>
            <w:tcW w:w="1134" w:type="dxa"/>
            <w:vAlign w:val="center"/>
          </w:tcPr>
          <w:p>
            <w:pPr>
              <w:pStyle w:val="13"/>
            </w:pPr>
            <w:r>
              <w:t>166.27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1342.12</w:t>
            </w:r>
          </w:p>
        </w:tc>
        <w:tc>
          <w:tcPr>
            <w:tcW w:w="1361" w:type="dxa"/>
            <w:vAlign w:val="center"/>
          </w:tcPr>
          <w:p>
            <w:pPr>
              <w:pStyle w:val="17"/>
            </w:pPr>
            <w:r>
              <w:t>1077.05</w:t>
            </w:r>
          </w:p>
        </w:tc>
        <w:tc>
          <w:tcPr>
            <w:tcW w:w="1361" w:type="dxa"/>
            <w:vAlign w:val="center"/>
          </w:tcPr>
          <w:p>
            <w:pPr>
              <w:pStyle w:val="17"/>
            </w:pPr>
            <w:r>
              <w:t>265.07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981.09</w:t>
            </w:r>
          </w:p>
        </w:tc>
        <w:tc>
          <w:tcPr>
            <w:tcW w:w="1361" w:type="dxa"/>
            <w:vAlign w:val="center"/>
          </w:tcPr>
          <w:p>
            <w:pPr>
              <w:pStyle w:val="13"/>
            </w:pPr>
            <w:r>
              <w:t>951.62</w:t>
            </w:r>
          </w:p>
        </w:tc>
        <w:tc>
          <w:tcPr>
            <w:tcW w:w="1361" w:type="dxa"/>
            <w:vAlign w:val="center"/>
          </w:tcPr>
          <w:p>
            <w:pPr>
              <w:pStyle w:val="13"/>
            </w:pPr>
            <w:r>
              <w:t>29.48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961.34</w:t>
            </w:r>
          </w:p>
        </w:tc>
        <w:tc>
          <w:tcPr>
            <w:tcW w:w="1361" w:type="dxa"/>
            <w:vAlign w:val="center"/>
          </w:tcPr>
          <w:p>
            <w:pPr>
              <w:pStyle w:val="13"/>
            </w:pPr>
            <w:r>
              <w:t>951.62</w:t>
            </w:r>
          </w:p>
        </w:tc>
        <w:tc>
          <w:tcPr>
            <w:tcW w:w="1361" w:type="dxa"/>
            <w:vAlign w:val="center"/>
          </w:tcPr>
          <w:p>
            <w:pPr>
              <w:pStyle w:val="13"/>
            </w:pPr>
            <w:r>
              <w:t>9.72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730.42</w:t>
            </w:r>
          </w:p>
        </w:tc>
        <w:tc>
          <w:tcPr>
            <w:tcW w:w="1361" w:type="dxa"/>
            <w:vAlign w:val="center"/>
          </w:tcPr>
          <w:p>
            <w:pPr>
              <w:pStyle w:val="13"/>
            </w:pPr>
            <w:r>
              <w:t>730.42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5.68</w:t>
            </w:r>
          </w:p>
        </w:tc>
        <w:tc>
          <w:tcPr>
            <w:tcW w:w="1361" w:type="dxa"/>
            <w:vAlign w:val="center"/>
          </w:tcPr>
          <w:p>
            <w:pPr>
              <w:pStyle w:val="13"/>
            </w:pPr>
          </w:p>
        </w:tc>
        <w:tc>
          <w:tcPr>
            <w:tcW w:w="1361" w:type="dxa"/>
            <w:vAlign w:val="center"/>
          </w:tcPr>
          <w:p>
            <w:pPr>
              <w:pStyle w:val="13"/>
            </w:pPr>
            <w:r>
              <w:t>5.68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221.20</w:t>
            </w:r>
          </w:p>
        </w:tc>
        <w:tc>
          <w:tcPr>
            <w:tcW w:w="1361" w:type="dxa"/>
            <w:vAlign w:val="center"/>
          </w:tcPr>
          <w:p>
            <w:pPr>
              <w:pStyle w:val="13"/>
            </w:pPr>
            <w:r>
              <w:t>221.20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2010399</w:t>
            </w:r>
          </w:p>
        </w:tc>
        <w:tc>
          <w:tcPr>
            <w:tcW w:w="4535" w:type="dxa"/>
            <w:vAlign w:val="center"/>
          </w:tcPr>
          <w:p>
            <w:pPr>
              <w:pStyle w:val="14"/>
            </w:pPr>
            <w:r>
              <w:t>其他政府办公厅（室）及相关机构事务支出</w:t>
            </w:r>
          </w:p>
        </w:tc>
        <w:tc>
          <w:tcPr>
            <w:tcW w:w="1361" w:type="dxa"/>
            <w:vAlign w:val="center"/>
          </w:tcPr>
          <w:p>
            <w:pPr>
              <w:pStyle w:val="13"/>
            </w:pPr>
            <w:r>
              <w:t>4.04</w:t>
            </w:r>
          </w:p>
        </w:tc>
        <w:tc>
          <w:tcPr>
            <w:tcW w:w="1361" w:type="dxa"/>
            <w:vAlign w:val="center"/>
          </w:tcPr>
          <w:p>
            <w:pPr>
              <w:pStyle w:val="13"/>
            </w:pPr>
          </w:p>
        </w:tc>
        <w:tc>
          <w:tcPr>
            <w:tcW w:w="1361" w:type="dxa"/>
            <w:vAlign w:val="center"/>
          </w:tcPr>
          <w:p>
            <w:pPr>
              <w:pStyle w:val="13"/>
            </w:pPr>
            <w:r>
              <w:t>4.04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18.75</w:t>
            </w:r>
          </w:p>
        </w:tc>
        <w:tc>
          <w:tcPr>
            <w:tcW w:w="1361" w:type="dxa"/>
            <w:vAlign w:val="center"/>
          </w:tcPr>
          <w:p>
            <w:pPr>
              <w:pStyle w:val="13"/>
            </w:pPr>
          </w:p>
        </w:tc>
        <w:tc>
          <w:tcPr>
            <w:tcW w:w="1361" w:type="dxa"/>
            <w:vAlign w:val="center"/>
          </w:tcPr>
          <w:p>
            <w:pPr>
              <w:pStyle w:val="13"/>
            </w:pPr>
            <w:r>
              <w:t>18.75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18.75</w:t>
            </w:r>
          </w:p>
        </w:tc>
        <w:tc>
          <w:tcPr>
            <w:tcW w:w="1361" w:type="dxa"/>
            <w:vAlign w:val="center"/>
          </w:tcPr>
          <w:p>
            <w:pPr>
              <w:pStyle w:val="13"/>
            </w:pPr>
          </w:p>
        </w:tc>
        <w:tc>
          <w:tcPr>
            <w:tcW w:w="1361" w:type="dxa"/>
            <w:vAlign w:val="center"/>
          </w:tcPr>
          <w:p>
            <w:pPr>
              <w:pStyle w:val="13"/>
            </w:pPr>
            <w:r>
              <w:t>18.75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68.61</w:t>
            </w:r>
          </w:p>
        </w:tc>
        <w:tc>
          <w:tcPr>
            <w:tcW w:w="1361" w:type="dxa"/>
            <w:vAlign w:val="center"/>
          </w:tcPr>
          <w:p>
            <w:pPr>
              <w:pStyle w:val="13"/>
            </w:pPr>
            <w:r>
              <w:t>68.61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68.61</w:t>
            </w:r>
          </w:p>
        </w:tc>
        <w:tc>
          <w:tcPr>
            <w:tcW w:w="1361" w:type="dxa"/>
            <w:vAlign w:val="center"/>
          </w:tcPr>
          <w:p>
            <w:pPr>
              <w:pStyle w:val="13"/>
            </w:pPr>
            <w:r>
              <w:t>68.61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14.10</w:t>
            </w:r>
          </w:p>
        </w:tc>
        <w:tc>
          <w:tcPr>
            <w:tcW w:w="1361" w:type="dxa"/>
            <w:vAlign w:val="center"/>
          </w:tcPr>
          <w:p>
            <w:pPr>
              <w:pStyle w:val="13"/>
            </w:pPr>
            <w:r>
              <w:t>14.10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54.51</w:t>
            </w:r>
          </w:p>
        </w:tc>
        <w:tc>
          <w:tcPr>
            <w:tcW w:w="1361" w:type="dxa"/>
            <w:vAlign w:val="center"/>
          </w:tcPr>
          <w:p>
            <w:pPr>
              <w:pStyle w:val="13"/>
            </w:pPr>
            <w:r>
              <w:t>54.51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29.35</w:t>
            </w:r>
          </w:p>
        </w:tc>
        <w:tc>
          <w:tcPr>
            <w:tcW w:w="1361" w:type="dxa"/>
            <w:vAlign w:val="center"/>
          </w:tcPr>
          <w:p>
            <w:pPr>
              <w:pStyle w:val="13"/>
            </w:pPr>
            <w:r>
              <w:t>28.85</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28.85</w:t>
            </w:r>
          </w:p>
        </w:tc>
        <w:tc>
          <w:tcPr>
            <w:tcW w:w="1361" w:type="dxa"/>
            <w:vAlign w:val="center"/>
          </w:tcPr>
          <w:p>
            <w:pPr>
              <w:pStyle w:val="13"/>
            </w:pPr>
            <w:r>
              <w:t>28.85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18.57</w:t>
            </w:r>
          </w:p>
        </w:tc>
        <w:tc>
          <w:tcPr>
            <w:tcW w:w="1361" w:type="dxa"/>
            <w:vAlign w:val="center"/>
          </w:tcPr>
          <w:p>
            <w:pPr>
              <w:pStyle w:val="13"/>
            </w:pPr>
            <w:r>
              <w:t>18.57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235.09</w:t>
            </w:r>
          </w:p>
        </w:tc>
        <w:tc>
          <w:tcPr>
            <w:tcW w:w="1361" w:type="dxa"/>
            <w:vAlign w:val="center"/>
          </w:tcPr>
          <w:p>
            <w:pPr>
              <w:pStyle w:val="13"/>
            </w:pPr>
          </w:p>
        </w:tc>
        <w:tc>
          <w:tcPr>
            <w:tcW w:w="1361" w:type="dxa"/>
            <w:vAlign w:val="center"/>
          </w:tcPr>
          <w:p>
            <w:pPr>
              <w:pStyle w:val="13"/>
            </w:pPr>
            <w:r>
              <w:t>235.09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235.09</w:t>
            </w:r>
          </w:p>
        </w:tc>
        <w:tc>
          <w:tcPr>
            <w:tcW w:w="1361" w:type="dxa"/>
            <w:vAlign w:val="center"/>
          </w:tcPr>
          <w:p>
            <w:pPr>
              <w:pStyle w:val="13"/>
            </w:pPr>
          </w:p>
        </w:tc>
        <w:tc>
          <w:tcPr>
            <w:tcW w:w="1361" w:type="dxa"/>
            <w:vAlign w:val="center"/>
          </w:tcPr>
          <w:p>
            <w:pPr>
              <w:pStyle w:val="13"/>
            </w:pPr>
            <w:r>
              <w:t>235.09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60.79</w:t>
            </w:r>
          </w:p>
        </w:tc>
        <w:tc>
          <w:tcPr>
            <w:tcW w:w="1361" w:type="dxa"/>
            <w:vAlign w:val="center"/>
          </w:tcPr>
          <w:p>
            <w:pPr>
              <w:pStyle w:val="13"/>
            </w:pPr>
          </w:p>
        </w:tc>
        <w:tc>
          <w:tcPr>
            <w:tcW w:w="1361" w:type="dxa"/>
            <w:vAlign w:val="center"/>
          </w:tcPr>
          <w:p>
            <w:pPr>
              <w:pStyle w:val="13"/>
            </w:pPr>
            <w:r>
              <w:t>60.79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2120199</w:t>
            </w:r>
          </w:p>
        </w:tc>
        <w:tc>
          <w:tcPr>
            <w:tcW w:w="4535" w:type="dxa"/>
            <w:vAlign w:val="center"/>
          </w:tcPr>
          <w:p>
            <w:pPr>
              <w:pStyle w:val="14"/>
            </w:pPr>
            <w:r>
              <w:t>其他城乡社区管理事务支出</w:t>
            </w:r>
          </w:p>
        </w:tc>
        <w:tc>
          <w:tcPr>
            <w:tcW w:w="1361" w:type="dxa"/>
            <w:vAlign w:val="center"/>
          </w:tcPr>
          <w:p>
            <w:pPr>
              <w:pStyle w:val="13"/>
            </w:pPr>
            <w:r>
              <w:t>174.30</w:t>
            </w:r>
          </w:p>
        </w:tc>
        <w:tc>
          <w:tcPr>
            <w:tcW w:w="1361" w:type="dxa"/>
            <w:vAlign w:val="center"/>
          </w:tcPr>
          <w:p>
            <w:pPr>
              <w:pStyle w:val="13"/>
            </w:pPr>
          </w:p>
        </w:tc>
        <w:tc>
          <w:tcPr>
            <w:tcW w:w="1361" w:type="dxa"/>
            <w:vAlign w:val="center"/>
          </w:tcPr>
          <w:p>
            <w:pPr>
              <w:pStyle w:val="13"/>
            </w:pPr>
            <w:r>
              <w:t>174.30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27.97</w:t>
            </w:r>
          </w:p>
        </w:tc>
        <w:tc>
          <w:tcPr>
            <w:tcW w:w="1361" w:type="dxa"/>
            <w:vAlign w:val="center"/>
          </w:tcPr>
          <w:p>
            <w:pPr>
              <w:pStyle w:val="13"/>
            </w:pPr>
            <w:r>
              <w:t>27.97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27.97</w:t>
            </w:r>
          </w:p>
        </w:tc>
        <w:tc>
          <w:tcPr>
            <w:tcW w:w="1361" w:type="dxa"/>
            <w:vAlign w:val="center"/>
          </w:tcPr>
          <w:p>
            <w:pPr>
              <w:pStyle w:val="13"/>
            </w:pPr>
            <w:r>
              <w:t>27.97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27.97</w:t>
            </w:r>
          </w:p>
        </w:tc>
        <w:tc>
          <w:tcPr>
            <w:tcW w:w="1361" w:type="dxa"/>
            <w:vAlign w:val="center"/>
          </w:tcPr>
          <w:p>
            <w:pPr>
              <w:pStyle w:val="13"/>
            </w:pPr>
            <w:r>
              <w:t>27.97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1309.76</w:t>
            </w:r>
          </w:p>
        </w:tc>
        <w:tc>
          <w:tcPr>
            <w:tcW w:w="3402" w:type="dxa"/>
            <w:vAlign w:val="center"/>
          </w:tcPr>
          <w:p>
            <w:pPr>
              <w:pStyle w:val="14"/>
            </w:pPr>
            <w:r>
              <w:t>一、一般公共服务支出</w:t>
            </w:r>
          </w:p>
        </w:tc>
        <w:tc>
          <w:tcPr>
            <w:tcW w:w="1474" w:type="dxa"/>
            <w:vAlign w:val="center"/>
          </w:tcPr>
          <w:p>
            <w:pPr>
              <w:pStyle w:val="13"/>
            </w:pPr>
            <w:r>
              <w:t>981.09</w:t>
            </w:r>
          </w:p>
        </w:tc>
        <w:tc>
          <w:tcPr>
            <w:tcW w:w="1474" w:type="dxa"/>
            <w:vAlign w:val="center"/>
          </w:tcPr>
          <w:p>
            <w:pPr>
              <w:pStyle w:val="13"/>
            </w:pPr>
            <w:r>
              <w:t>981.09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68.61</w:t>
            </w:r>
          </w:p>
        </w:tc>
        <w:tc>
          <w:tcPr>
            <w:tcW w:w="1474" w:type="dxa"/>
            <w:vAlign w:val="center"/>
          </w:tcPr>
          <w:p>
            <w:pPr>
              <w:pStyle w:val="13"/>
            </w:pPr>
            <w:r>
              <w:t>68.61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29.35</w:t>
            </w:r>
          </w:p>
        </w:tc>
        <w:tc>
          <w:tcPr>
            <w:tcW w:w="1474" w:type="dxa"/>
            <w:vAlign w:val="center"/>
          </w:tcPr>
          <w:p>
            <w:pPr>
              <w:pStyle w:val="13"/>
            </w:pPr>
            <w:r>
              <w:t>29.35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235.09</w:t>
            </w:r>
          </w:p>
        </w:tc>
        <w:tc>
          <w:tcPr>
            <w:tcW w:w="1474" w:type="dxa"/>
            <w:vAlign w:val="center"/>
          </w:tcPr>
          <w:p>
            <w:pPr>
              <w:pStyle w:val="13"/>
            </w:pPr>
            <w:r>
              <w:t>235.09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27.97</w:t>
            </w:r>
          </w:p>
        </w:tc>
        <w:tc>
          <w:tcPr>
            <w:tcW w:w="1474" w:type="dxa"/>
            <w:vAlign w:val="center"/>
          </w:tcPr>
          <w:p>
            <w:pPr>
              <w:pStyle w:val="13"/>
            </w:pPr>
            <w:r>
              <w:t>27.97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1309.76</w:t>
            </w:r>
          </w:p>
        </w:tc>
        <w:tc>
          <w:tcPr>
            <w:tcW w:w="3402" w:type="dxa"/>
            <w:vAlign w:val="center"/>
          </w:tcPr>
          <w:p>
            <w:pPr>
              <w:pStyle w:val="16"/>
            </w:pPr>
            <w:r>
              <w:t>本年支出合计</w:t>
            </w:r>
          </w:p>
        </w:tc>
        <w:tc>
          <w:tcPr>
            <w:tcW w:w="1474" w:type="dxa"/>
            <w:vAlign w:val="center"/>
          </w:tcPr>
          <w:p>
            <w:pPr>
              <w:pStyle w:val="17"/>
            </w:pPr>
            <w:r>
              <w:t>1342.12</w:t>
            </w:r>
          </w:p>
        </w:tc>
        <w:tc>
          <w:tcPr>
            <w:tcW w:w="1474" w:type="dxa"/>
            <w:vAlign w:val="center"/>
          </w:tcPr>
          <w:p>
            <w:pPr>
              <w:pStyle w:val="17"/>
            </w:pPr>
            <w:r>
              <w:t>1342.12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32.36</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32.36</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1342.12</w:t>
            </w:r>
          </w:p>
        </w:tc>
        <w:tc>
          <w:tcPr>
            <w:tcW w:w="3402" w:type="dxa"/>
            <w:vAlign w:val="center"/>
          </w:tcPr>
          <w:p>
            <w:pPr>
              <w:pStyle w:val="16"/>
            </w:pPr>
            <w:r>
              <w:t>支出总计</w:t>
            </w:r>
          </w:p>
        </w:tc>
        <w:tc>
          <w:tcPr>
            <w:tcW w:w="1474" w:type="dxa"/>
            <w:vAlign w:val="center"/>
          </w:tcPr>
          <w:p>
            <w:pPr>
              <w:pStyle w:val="17"/>
            </w:pPr>
            <w:r>
              <w:t>1342.12</w:t>
            </w:r>
          </w:p>
        </w:tc>
        <w:tc>
          <w:tcPr>
            <w:tcW w:w="1474" w:type="dxa"/>
            <w:vAlign w:val="center"/>
          </w:tcPr>
          <w:p>
            <w:pPr>
              <w:pStyle w:val="17"/>
            </w:pPr>
            <w:r>
              <w:t>1342.12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1342.12</w:t>
            </w:r>
          </w:p>
        </w:tc>
        <w:tc>
          <w:tcPr>
            <w:tcW w:w="2551" w:type="dxa"/>
            <w:vAlign w:val="center"/>
          </w:tcPr>
          <w:p>
            <w:pPr>
              <w:pStyle w:val="17"/>
            </w:pPr>
            <w:r>
              <w:t>1077.05</w:t>
            </w:r>
          </w:p>
        </w:tc>
        <w:tc>
          <w:tcPr>
            <w:tcW w:w="2551" w:type="dxa"/>
            <w:vAlign w:val="center"/>
          </w:tcPr>
          <w:p>
            <w:pPr>
              <w:pStyle w:val="17"/>
            </w:pPr>
            <w:r>
              <w:t>265.07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981.09</w:t>
            </w:r>
          </w:p>
        </w:tc>
        <w:tc>
          <w:tcPr>
            <w:tcW w:w="2551" w:type="dxa"/>
            <w:vAlign w:val="center"/>
          </w:tcPr>
          <w:p>
            <w:pPr>
              <w:pStyle w:val="13"/>
            </w:pPr>
            <w:r>
              <w:t>951.62</w:t>
            </w:r>
          </w:p>
        </w:tc>
        <w:tc>
          <w:tcPr>
            <w:tcW w:w="2551" w:type="dxa"/>
            <w:vAlign w:val="center"/>
          </w:tcPr>
          <w:p>
            <w:pPr>
              <w:pStyle w:val="13"/>
            </w:pPr>
            <w:r>
              <w:t>29.48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961.34</w:t>
            </w:r>
          </w:p>
        </w:tc>
        <w:tc>
          <w:tcPr>
            <w:tcW w:w="2551" w:type="dxa"/>
            <w:vAlign w:val="center"/>
          </w:tcPr>
          <w:p>
            <w:pPr>
              <w:pStyle w:val="13"/>
            </w:pPr>
            <w:r>
              <w:t>951.62</w:t>
            </w:r>
          </w:p>
        </w:tc>
        <w:tc>
          <w:tcPr>
            <w:tcW w:w="2551"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730.42</w:t>
            </w:r>
          </w:p>
        </w:tc>
        <w:tc>
          <w:tcPr>
            <w:tcW w:w="2551" w:type="dxa"/>
            <w:vAlign w:val="center"/>
          </w:tcPr>
          <w:p>
            <w:pPr>
              <w:pStyle w:val="13"/>
            </w:pPr>
            <w:r>
              <w:t>730.42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5.68</w:t>
            </w:r>
          </w:p>
        </w:tc>
        <w:tc>
          <w:tcPr>
            <w:tcW w:w="2551" w:type="dxa"/>
            <w:vAlign w:val="center"/>
          </w:tcPr>
          <w:p>
            <w:pPr>
              <w:pStyle w:val="13"/>
            </w:pPr>
          </w:p>
        </w:tc>
        <w:tc>
          <w:tcPr>
            <w:tcW w:w="2551" w:type="dxa"/>
            <w:vAlign w:val="center"/>
          </w:tcPr>
          <w:p>
            <w:pPr>
              <w:pStyle w:val="13"/>
            </w:pPr>
            <w:r>
              <w:t>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221.20</w:t>
            </w:r>
          </w:p>
        </w:tc>
        <w:tc>
          <w:tcPr>
            <w:tcW w:w="2551" w:type="dxa"/>
            <w:vAlign w:val="center"/>
          </w:tcPr>
          <w:p>
            <w:pPr>
              <w:pStyle w:val="13"/>
            </w:pPr>
            <w:r>
              <w:t>221.20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4.04</w:t>
            </w:r>
          </w:p>
        </w:tc>
        <w:tc>
          <w:tcPr>
            <w:tcW w:w="2551" w:type="dxa"/>
            <w:vAlign w:val="center"/>
          </w:tcPr>
          <w:p>
            <w:pPr>
              <w:pStyle w:val="13"/>
            </w:pPr>
          </w:p>
        </w:tc>
        <w:tc>
          <w:tcPr>
            <w:tcW w:w="2551" w:type="dxa"/>
            <w:vAlign w:val="center"/>
          </w:tcPr>
          <w:p>
            <w:pPr>
              <w:pStyle w:val="13"/>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18.75</w:t>
            </w:r>
          </w:p>
        </w:tc>
        <w:tc>
          <w:tcPr>
            <w:tcW w:w="2551" w:type="dxa"/>
            <w:vAlign w:val="center"/>
          </w:tcPr>
          <w:p>
            <w:pPr>
              <w:pStyle w:val="13"/>
            </w:pPr>
          </w:p>
        </w:tc>
        <w:tc>
          <w:tcPr>
            <w:tcW w:w="2551" w:type="dxa"/>
            <w:vAlign w:val="center"/>
          </w:tcPr>
          <w:p>
            <w:pPr>
              <w:pStyle w:val="13"/>
            </w:pPr>
            <w:r>
              <w:t>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18.75</w:t>
            </w:r>
          </w:p>
        </w:tc>
        <w:tc>
          <w:tcPr>
            <w:tcW w:w="2551" w:type="dxa"/>
            <w:vAlign w:val="center"/>
          </w:tcPr>
          <w:p>
            <w:pPr>
              <w:pStyle w:val="13"/>
            </w:pPr>
          </w:p>
        </w:tc>
        <w:tc>
          <w:tcPr>
            <w:tcW w:w="2551" w:type="dxa"/>
            <w:vAlign w:val="center"/>
          </w:tcPr>
          <w:p>
            <w:pPr>
              <w:pStyle w:val="13"/>
            </w:pPr>
            <w:r>
              <w:t>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68.61</w:t>
            </w:r>
          </w:p>
        </w:tc>
        <w:tc>
          <w:tcPr>
            <w:tcW w:w="2551" w:type="dxa"/>
            <w:vAlign w:val="center"/>
          </w:tcPr>
          <w:p>
            <w:pPr>
              <w:pStyle w:val="13"/>
            </w:pPr>
            <w:r>
              <w:t>68.61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68.61</w:t>
            </w:r>
          </w:p>
        </w:tc>
        <w:tc>
          <w:tcPr>
            <w:tcW w:w="2551" w:type="dxa"/>
            <w:vAlign w:val="center"/>
          </w:tcPr>
          <w:p>
            <w:pPr>
              <w:pStyle w:val="13"/>
            </w:pPr>
            <w:r>
              <w:t>68.61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14.10</w:t>
            </w:r>
          </w:p>
        </w:tc>
        <w:tc>
          <w:tcPr>
            <w:tcW w:w="2551" w:type="dxa"/>
            <w:vAlign w:val="center"/>
          </w:tcPr>
          <w:p>
            <w:pPr>
              <w:pStyle w:val="13"/>
            </w:pPr>
            <w:r>
              <w:t>14.10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54.51</w:t>
            </w:r>
          </w:p>
        </w:tc>
        <w:tc>
          <w:tcPr>
            <w:tcW w:w="2551" w:type="dxa"/>
            <w:vAlign w:val="center"/>
          </w:tcPr>
          <w:p>
            <w:pPr>
              <w:pStyle w:val="13"/>
            </w:pPr>
            <w:r>
              <w:t>54.51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29.35</w:t>
            </w:r>
          </w:p>
        </w:tc>
        <w:tc>
          <w:tcPr>
            <w:tcW w:w="2551" w:type="dxa"/>
            <w:vAlign w:val="center"/>
          </w:tcPr>
          <w:p>
            <w:pPr>
              <w:pStyle w:val="13"/>
            </w:pPr>
            <w:r>
              <w:t>28.85</w:t>
            </w: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28.85</w:t>
            </w:r>
          </w:p>
        </w:tc>
        <w:tc>
          <w:tcPr>
            <w:tcW w:w="2551" w:type="dxa"/>
            <w:vAlign w:val="center"/>
          </w:tcPr>
          <w:p>
            <w:pPr>
              <w:pStyle w:val="13"/>
            </w:pPr>
            <w:r>
              <w:t>28.85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18.57</w:t>
            </w:r>
          </w:p>
        </w:tc>
        <w:tc>
          <w:tcPr>
            <w:tcW w:w="2551" w:type="dxa"/>
            <w:vAlign w:val="center"/>
          </w:tcPr>
          <w:p>
            <w:pPr>
              <w:pStyle w:val="13"/>
            </w:pPr>
            <w:r>
              <w:t>18.57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235.09</w:t>
            </w:r>
          </w:p>
        </w:tc>
        <w:tc>
          <w:tcPr>
            <w:tcW w:w="2551" w:type="dxa"/>
            <w:vAlign w:val="center"/>
          </w:tcPr>
          <w:p>
            <w:pPr>
              <w:pStyle w:val="13"/>
            </w:pPr>
          </w:p>
        </w:tc>
        <w:tc>
          <w:tcPr>
            <w:tcW w:w="2551" w:type="dxa"/>
            <w:vAlign w:val="center"/>
          </w:tcPr>
          <w:p>
            <w:pPr>
              <w:pStyle w:val="13"/>
            </w:pPr>
            <w:r>
              <w:t>235.09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235.09</w:t>
            </w:r>
          </w:p>
        </w:tc>
        <w:tc>
          <w:tcPr>
            <w:tcW w:w="2551" w:type="dxa"/>
            <w:vAlign w:val="center"/>
          </w:tcPr>
          <w:p>
            <w:pPr>
              <w:pStyle w:val="13"/>
            </w:pPr>
          </w:p>
        </w:tc>
        <w:tc>
          <w:tcPr>
            <w:tcW w:w="2551" w:type="dxa"/>
            <w:vAlign w:val="center"/>
          </w:tcPr>
          <w:p>
            <w:pPr>
              <w:pStyle w:val="13"/>
            </w:pPr>
            <w:r>
              <w:t>235.09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60.79</w:t>
            </w:r>
          </w:p>
        </w:tc>
        <w:tc>
          <w:tcPr>
            <w:tcW w:w="2551" w:type="dxa"/>
            <w:vAlign w:val="center"/>
          </w:tcPr>
          <w:p>
            <w:pPr>
              <w:pStyle w:val="13"/>
            </w:pPr>
          </w:p>
        </w:tc>
        <w:tc>
          <w:tcPr>
            <w:tcW w:w="2551" w:type="dxa"/>
            <w:vAlign w:val="center"/>
          </w:tcPr>
          <w:p>
            <w:pPr>
              <w:pStyle w:val="13"/>
            </w:pPr>
            <w:r>
              <w:t>60.79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2120199</w:t>
            </w:r>
          </w:p>
        </w:tc>
        <w:tc>
          <w:tcPr>
            <w:tcW w:w="4535" w:type="dxa"/>
            <w:vAlign w:val="center"/>
          </w:tcPr>
          <w:p>
            <w:pPr>
              <w:pStyle w:val="14"/>
            </w:pPr>
            <w:r>
              <w:t>其他城乡社区管理事务支出</w:t>
            </w:r>
          </w:p>
        </w:tc>
        <w:tc>
          <w:tcPr>
            <w:tcW w:w="2551" w:type="dxa"/>
            <w:vAlign w:val="center"/>
          </w:tcPr>
          <w:p>
            <w:pPr>
              <w:pStyle w:val="13"/>
            </w:pPr>
            <w:r>
              <w:t>174.30</w:t>
            </w:r>
          </w:p>
        </w:tc>
        <w:tc>
          <w:tcPr>
            <w:tcW w:w="2551" w:type="dxa"/>
            <w:vAlign w:val="center"/>
          </w:tcPr>
          <w:p>
            <w:pPr>
              <w:pStyle w:val="13"/>
            </w:pPr>
          </w:p>
        </w:tc>
        <w:tc>
          <w:tcPr>
            <w:tcW w:w="2551" w:type="dxa"/>
            <w:vAlign w:val="center"/>
          </w:tcPr>
          <w:p>
            <w:pPr>
              <w:pStyle w:val="13"/>
            </w:pPr>
            <w:r>
              <w:t>174.30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27.97</w:t>
            </w:r>
          </w:p>
        </w:tc>
        <w:tc>
          <w:tcPr>
            <w:tcW w:w="2551" w:type="dxa"/>
            <w:vAlign w:val="center"/>
          </w:tcPr>
          <w:p>
            <w:pPr>
              <w:pStyle w:val="13"/>
            </w:pPr>
            <w:r>
              <w:t>27.97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27.97</w:t>
            </w:r>
          </w:p>
        </w:tc>
        <w:tc>
          <w:tcPr>
            <w:tcW w:w="2551" w:type="dxa"/>
            <w:vAlign w:val="center"/>
          </w:tcPr>
          <w:p>
            <w:pPr>
              <w:pStyle w:val="13"/>
            </w:pPr>
            <w:r>
              <w:t>27.97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27.97</w:t>
            </w:r>
          </w:p>
        </w:tc>
        <w:tc>
          <w:tcPr>
            <w:tcW w:w="2551" w:type="dxa"/>
            <w:vAlign w:val="center"/>
          </w:tcPr>
          <w:p>
            <w:pPr>
              <w:pStyle w:val="13"/>
            </w:pPr>
            <w:r>
              <w:t>27.97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1077.05</w:t>
            </w:r>
          </w:p>
        </w:tc>
        <w:tc>
          <w:tcPr>
            <w:tcW w:w="2551" w:type="dxa"/>
            <w:vAlign w:val="center"/>
          </w:tcPr>
          <w:p>
            <w:pPr>
              <w:pStyle w:val="17"/>
            </w:pPr>
            <w:r>
              <w:t>1008.41</w:t>
            </w:r>
          </w:p>
        </w:tc>
        <w:tc>
          <w:tcPr>
            <w:tcW w:w="2551" w:type="dxa"/>
            <w:vAlign w:val="center"/>
          </w:tcPr>
          <w:p>
            <w:pPr>
              <w:pStyle w:val="17"/>
            </w:pPr>
            <w:r>
              <w:t>68.64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994.31</w:t>
            </w:r>
          </w:p>
        </w:tc>
        <w:tc>
          <w:tcPr>
            <w:tcW w:w="2551" w:type="dxa"/>
            <w:vAlign w:val="center"/>
          </w:tcPr>
          <w:p>
            <w:pPr>
              <w:pStyle w:val="13"/>
            </w:pPr>
            <w:r>
              <w:t>994.31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210.78</w:t>
            </w:r>
          </w:p>
        </w:tc>
        <w:tc>
          <w:tcPr>
            <w:tcW w:w="2551" w:type="dxa"/>
            <w:vAlign w:val="center"/>
          </w:tcPr>
          <w:p>
            <w:pPr>
              <w:pStyle w:val="13"/>
            </w:pPr>
            <w:r>
              <w:t>210.78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50.31</w:t>
            </w:r>
          </w:p>
        </w:tc>
        <w:tc>
          <w:tcPr>
            <w:tcW w:w="2551" w:type="dxa"/>
            <w:vAlign w:val="center"/>
          </w:tcPr>
          <w:p>
            <w:pPr>
              <w:pStyle w:val="13"/>
            </w:pPr>
            <w:r>
              <w:t>50.31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17.90</w:t>
            </w:r>
          </w:p>
        </w:tc>
        <w:tc>
          <w:tcPr>
            <w:tcW w:w="2551" w:type="dxa"/>
            <w:vAlign w:val="center"/>
          </w:tcPr>
          <w:p>
            <w:pPr>
              <w:pStyle w:val="13"/>
            </w:pPr>
            <w:r>
              <w:t>17.90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76.98</w:t>
            </w:r>
          </w:p>
        </w:tc>
        <w:tc>
          <w:tcPr>
            <w:tcW w:w="2551" w:type="dxa"/>
            <w:vAlign w:val="center"/>
          </w:tcPr>
          <w:p>
            <w:pPr>
              <w:pStyle w:val="13"/>
            </w:pPr>
            <w:r>
              <w:t>76.98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54.51</w:t>
            </w:r>
          </w:p>
        </w:tc>
        <w:tc>
          <w:tcPr>
            <w:tcW w:w="2551" w:type="dxa"/>
            <w:vAlign w:val="center"/>
          </w:tcPr>
          <w:p>
            <w:pPr>
              <w:pStyle w:val="13"/>
            </w:pPr>
            <w:r>
              <w:t>54.51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28.85</w:t>
            </w:r>
          </w:p>
        </w:tc>
        <w:tc>
          <w:tcPr>
            <w:tcW w:w="2551" w:type="dxa"/>
            <w:vAlign w:val="center"/>
          </w:tcPr>
          <w:p>
            <w:pPr>
              <w:pStyle w:val="13"/>
            </w:pPr>
            <w:r>
              <w:t>28.85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3.58</w:t>
            </w:r>
          </w:p>
        </w:tc>
        <w:tc>
          <w:tcPr>
            <w:tcW w:w="2551" w:type="dxa"/>
            <w:vAlign w:val="center"/>
          </w:tcPr>
          <w:p>
            <w:pPr>
              <w:pStyle w:val="13"/>
            </w:pPr>
            <w:r>
              <w:t>3.58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27.97</w:t>
            </w:r>
          </w:p>
        </w:tc>
        <w:tc>
          <w:tcPr>
            <w:tcW w:w="2551" w:type="dxa"/>
            <w:vAlign w:val="center"/>
          </w:tcPr>
          <w:p>
            <w:pPr>
              <w:pStyle w:val="13"/>
            </w:pPr>
            <w:r>
              <w:t>27.97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523.42</w:t>
            </w:r>
          </w:p>
        </w:tc>
        <w:tc>
          <w:tcPr>
            <w:tcW w:w="2551" w:type="dxa"/>
            <w:vAlign w:val="center"/>
          </w:tcPr>
          <w:p>
            <w:pPr>
              <w:pStyle w:val="13"/>
            </w:pPr>
            <w:r>
              <w:t>523.42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67.08</w:t>
            </w:r>
          </w:p>
        </w:tc>
        <w:tc>
          <w:tcPr>
            <w:tcW w:w="2551" w:type="dxa"/>
            <w:vAlign w:val="center"/>
          </w:tcPr>
          <w:p>
            <w:pPr>
              <w:pStyle w:val="13"/>
            </w:pPr>
          </w:p>
        </w:tc>
        <w:tc>
          <w:tcPr>
            <w:tcW w:w="2551" w:type="dxa"/>
            <w:vAlign w:val="center"/>
          </w:tcPr>
          <w:p>
            <w:pPr>
              <w:pStyle w:val="13"/>
            </w:pPr>
            <w:r>
              <w:t>67.08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19.10</w:t>
            </w:r>
          </w:p>
        </w:tc>
        <w:tc>
          <w:tcPr>
            <w:tcW w:w="2551" w:type="dxa"/>
            <w:vAlign w:val="center"/>
          </w:tcPr>
          <w:p>
            <w:pPr>
              <w:pStyle w:val="13"/>
            </w:pPr>
          </w:p>
        </w:tc>
        <w:tc>
          <w:tcPr>
            <w:tcW w:w="2551" w:type="dxa"/>
            <w:vAlign w:val="center"/>
          </w:tcPr>
          <w:p>
            <w:pPr>
              <w:pStyle w:val="13"/>
            </w:pPr>
            <w:r>
              <w:t>19.10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30204</w:t>
            </w:r>
          </w:p>
        </w:tc>
        <w:tc>
          <w:tcPr>
            <w:tcW w:w="4535" w:type="dxa"/>
            <w:vAlign w:val="center"/>
          </w:tcPr>
          <w:p>
            <w:pPr>
              <w:pStyle w:val="14"/>
            </w:pPr>
            <w:r>
              <w:t>手续费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1.52</w:t>
            </w:r>
          </w:p>
        </w:tc>
        <w:tc>
          <w:tcPr>
            <w:tcW w:w="2551" w:type="dxa"/>
            <w:vAlign w:val="center"/>
          </w:tcPr>
          <w:p>
            <w:pPr>
              <w:pStyle w:val="13"/>
            </w:pPr>
          </w:p>
        </w:tc>
        <w:tc>
          <w:tcPr>
            <w:tcW w:w="2551" w:type="dxa"/>
            <w:vAlign w:val="center"/>
          </w:tcPr>
          <w:p>
            <w:pPr>
              <w:pStyle w:val="13"/>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9.40</w:t>
            </w:r>
          </w:p>
        </w:tc>
        <w:tc>
          <w:tcPr>
            <w:tcW w:w="2551" w:type="dxa"/>
            <w:vAlign w:val="center"/>
          </w:tcPr>
          <w:p>
            <w:pPr>
              <w:pStyle w:val="13"/>
            </w:pPr>
          </w:p>
        </w:tc>
        <w:tc>
          <w:tcPr>
            <w:tcW w:w="2551" w:type="dxa"/>
            <w:vAlign w:val="center"/>
          </w:tcPr>
          <w:p>
            <w:pPr>
              <w:pStyle w:val="13"/>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4.50</w:t>
            </w:r>
          </w:p>
        </w:tc>
        <w:tc>
          <w:tcPr>
            <w:tcW w:w="2551" w:type="dxa"/>
            <w:vAlign w:val="center"/>
          </w:tcPr>
          <w:p>
            <w:pPr>
              <w:pStyle w:val="13"/>
            </w:pPr>
          </w:p>
        </w:tc>
        <w:tc>
          <w:tcPr>
            <w:tcW w:w="2551"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11.52</w:t>
            </w:r>
          </w:p>
        </w:tc>
        <w:tc>
          <w:tcPr>
            <w:tcW w:w="2551" w:type="dxa"/>
            <w:vAlign w:val="center"/>
          </w:tcPr>
          <w:p>
            <w:pPr>
              <w:pStyle w:val="13"/>
            </w:pPr>
          </w:p>
        </w:tc>
        <w:tc>
          <w:tcPr>
            <w:tcW w:w="2551" w:type="dxa"/>
            <w:vAlign w:val="center"/>
          </w:tcPr>
          <w:p>
            <w:pPr>
              <w:pStyle w:val="13"/>
            </w:pPr>
            <w:r>
              <w:t>11.52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17.05</w:t>
            </w:r>
          </w:p>
        </w:tc>
        <w:tc>
          <w:tcPr>
            <w:tcW w:w="2551" w:type="dxa"/>
            <w:vAlign w:val="center"/>
          </w:tcPr>
          <w:p>
            <w:pPr>
              <w:pStyle w:val="13"/>
            </w:pPr>
          </w:p>
        </w:tc>
        <w:tc>
          <w:tcPr>
            <w:tcW w:w="2551" w:type="dxa"/>
            <w:vAlign w:val="center"/>
          </w:tcPr>
          <w:p>
            <w:pPr>
              <w:pStyle w:val="13"/>
            </w:pPr>
            <w:r>
              <w:t>17.05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14.10</w:t>
            </w:r>
          </w:p>
        </w:tc>
        <w:tc>
          <w:tcPr>
            <w:tcW w:w="2551" w:type="dxa"/>
            <w:vAlign w:val="center"/>
          </w:tcPr>
          <w:p>
            <w:pPr>
              <w:pStyle w:val="13"/>
            </w:pPr>
            <w:r>
              <w:t>14.10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14.10</w:t>
            </w:r>
          </w:p>
        </w:tc>
        <w:tc>
          <w:tcPr>
            <w:tcW w:w="2551" w:type="dxa"/>
            <w:vAlign w:val="center"/>
          </w:tcPr>
          <w:p>
            <w:pPr>
              <w:pStyle w:val="13"/>
            </w:pPr>
            <w:r>
              <w:t>14.10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1.56</w:t>
            </w:r>
          </w:p>
        </w:tc>
        <w:tc>
          <w:tcPr>
            <w:tcW w:w="2551" w:type="dxa"/>
            <w:vAlign w:val="center"/>
          </w:tcPr>
          <w:p>
            <w:pPr>
              <w:pStyle w:val="13"/>
            </w:pPr>
          </w:p>
        </w:tc>
        <w:tc>
          <w:tcPr>
            <w:tcW w:w="2551" w:type="dxa"/>
            <w:vAlign w:val="center"/>
          </w:tcPr>
          <w:p>
            <w:pPr>
              <w:pStyle w:val="13"/>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31003</w:t>
            </w:r>
          </w:p>
        </w:tc>
        <w:tc>
          <w:tcPr>
            <w:tcW w:w="4535" w:type="dxa"/>
            <w:vAlign w:val="center"/>
          </w:tcPr>
          <w:p>
            <w:pPr>
              <w:pStyle w:val="14"/>
            </w:pPr>
            <w:r>
              <w:t>专用设备购置</w:t>
            </w:r>
          </w:p>
        </w:tc>
        <w:tc>
          <w:tcPr>
            <w:tcW w:w="2551" w:type="dxa"/>
            <w:vAlign w:val="center"/>
          </w:tcPr>
          <w:p>
            <w:pPr>
              <w:pStyle w:val="13"/>
            </w:pPr>
            <w:r>
              <w:t>0.56</w:t>
            </w:r>
          </w:p>
        </w:tc>
        <w:tc>
          <w:tcPr>
            <w:tcW w:w="2551" w:type="dxa"/>
            <w:vAlign w:val="center"/>
          </w:tcPr>
          <w:p>
            <w:pPr>
              <w:pStyle w:val="13"/>
            </w:pPr>
          </w:p>
        </w:tc>
        <w:tc>
          <w:tcPr>
            <w:tcW w:w="2551" w:type="dxa"/>
            <w:vAlign w:val="center"/>
          </w:tcPr>
          <w:p>
            <w:pPr>
              <w:pStyle w:val="13"/>
            </w:pPr>
            <w:r>
              <w:t>0.56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1.70</w:t>
            </w:r>
          </w:p>
        </w:tc>
        <w:tc>
          <w:tcPr>
            <w:tcW w:w="2381" w:type="dxa"/>
            <w:vAlign w:val="center"/>
          </w:tcPr>
          <w:p>
            <w:pPr>
              <w:pStyle w:val="17"/>
            </w:pPr>
            <w:r>
              <w:t>1.70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1.70</w:t>
            </w:r>
          </w:p>
        </w:tc>
        <w:tc>
          <w:tcPr>
            <w:tcW w:w="2381" w:type="dxa"/>
            <w:vAlign w:val="center"/>
          </w:tcPr>
          <w:p>
            <w:pPr>
              <w:pStyle w:val="13"/>
            </w:pPr>
            <w:r>
              <w:t>1.70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0.30</w:t>
            </w:r>
          </w:p>
        </w:tc>
        <w:tc>
          <w:tcPr>
            <w:tcW w:w="2381" w:type="dxa"/>
            <w:vAlign w:val="center"/>
          </w:tcPr>
          <w:p>
            <w:pPr>
              <w:pStyle w:val="13"/>
            </w:pPr>
            <w:r>
              <w:t>0.30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 xml:space="preserve">    其中：省属高校业务性会议费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12</w:t>
            </w:r>
          </w:p>
        </w:tc>
        <w:tc>
          <w:tcPr>
            <w:tcW w:w="3798" w:type="dxa"/>
            <w:vAlign w:val="center"/>
          </w:tcPr>
          <w:p>
            <w:pPr>
              <w:pStyle w:val="14"/>
            </w:pPr>
            <w:r>
              <w:t xml:space="preserve">          其他会议费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13</w:t>
            </w:r>
          </w:p>
        </w:tc>
        <w:tc>
          <w:tcPr>
            <w:tcW w:w="3798" w:type="dxa"/>
            <w:vAlign w:val="center"/>
          </w:tcPr>
          <w:p>
            <w:pPr>
              <w:pStyle w:val="14"/>
            </w:pPr>
            <w:r>
              <w:t>五、培训费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青龙满族自治县人民政府都阳路街道办事处2026年部门预算信息公开情况说明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青龙满族自治县人民政府都阳路街道办事处2026年部门预算信息公开情况说明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按照《中华人民共和国预算法》、《地方预决算公开操作规程》和《关于进一步推进预算公开工作的实施意见》规定，现将青龙满族自治县人民政府都阳路街道办事处2026年部门预算公开如下：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1.宣传贯彻执行党的路线方针政策和党中央、上级党组织的决议。贯彻执行法律、法规、规章和上级人民代表大会及其常务委员会决议，执行上级政府的决定、命令，依法管理辖区公共事务。</w:t>
      </w:r>
    </w:p>
    <w:p>
      <w:pPr>
        <w:pStyle w:val="19"/>
      </w:pPr>
      <w:r>
        <w:t>2.讨论并决定本街道重大问题，统筹协调辖区单位和组织，团结、组织党内外干部和群众，抓好决策部署的组织实施和督促落实，组织实施于居民生活密切相关的公共服务，落实民政、民生、卫生健康、住房保障、就业创业、社会保障、文化教育和体育事业等政策。</w:t>
      </w:r>
    </w:p>
    <w:p>
      <w:pPr>
        <w:pStyle w:val="19"/>
      </w:pPr>
      <w:r>
        <w:t>3.负责办理上级人大常委会交办的监督、选举和其他工作，做好人大代表工作，联系选民，反映群众意见和要求。4.负责医疗、卫生、保健工作。开展疾病预防、医疗、保健、康复、健康教育等服务，建设完善社区医疗卫生服务网</w:t>
      </w:r>
    </w:p>
    <w:p>
      <w:pPr>
        <w:pStyle w:val="19"/>
      </w:pPr>
      <w:r>
        <w:t>络，促进医疗服务向居民小区和家庭延伸。配合相关部门做好流动人口管理工作。</w:t>
      </w:r>
    </w:p>
    <w:p>
      <w:pPr>
        <w:pStyle w:val="19"/>
      </w:pPr>
      <w:r>
        <w:t>5.负责搞好城市卫生、食品药品、安全生产管理。组织辖区单位和居民群众开展爱国卫生运动，配合有关部门加强城市卫生和安全生产管理与监督，维护城市正常秩序，组织成立业主委员会，选举业主委员会等工作，并做好日常指导和监督；做好辖区内居民、小区服务和消防安全工作，做好自管小区的物业管理工作，负责食品药品监管工作。</w:t>
      </w:r>
    </w:p>
    <w:p>
      <w:pPr>
        <w:pStyle w:val="19"/>
      </w:pPr>
      <w:r>
        <w:t>6.负责基层组织建设和纪检工作。负责街道党工委、居委会党支部等基层组织建设工作；负责组织党员活动，发展党员，对党员干部进行教育，掌握辖区内组织及党员队伍情况；做好纪检监察、工会、妇联、青年、武装等工作。7.负责开展各种群众性的社区文化娱乐、体育、教育、科普活动，努力提高居民素质和社区文明程度。</w:t>
      </w:r>
    </w:p>
    <w:p>
      <w:pPr>
        <w:pStyle w:val="19"/>
      </w:pPr>
      <w:r>
        <w:t>8.积极发挥街道办事处协调、指导、管理和服务职能，创造条件发展街、居经济和社区服务业。9.配合有关部门做好防汛、防火、防灾和抢险工作。</w:t>
      </w:r>
    </w:p>
    <w:p>
      <w:pPr>
        <w:pStyle w:val="19"/>
      </w:pPr>
      <w:r>
        <w:t>10.参与辖区设施规划、建设和验收，综合管理、统筹调度和考核督办涉及辖区的公共事务，按照有关规定统筹使用下沉到街道社区的人才物等资源。</w:t>
      </w:r>
    </w:p>
    <w:p>
      <w:pPr>
        <w:pStyle w:val="19"/>
      </w:pPr>
      <w:r>
        <w:t>11.承办上级党委、人大、政府交办的其他事项。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青龙满族自治县人民政府都阳路街道办事处本级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按照预算管理有关规定，目前部门预算的编制实行综合预算管理，即全部收入和支出都反映在预算中。青龙满族自治县人民政府都阳路街道办事处机关及所属事业单位的收支包含在部门预算中。</w:t>
      </w:r>
    </w:p>
    <w:p>
      <w:pPr>
        <w:pStyle w:val="20"/>
      </w:pPr>
      <w:r>
        <w:t>1、收入说明</w:t>
      </w:r>
    </w:p>
    <w:p>
      <w:pPr>
        <w:pStyle w:val="20"/>
      </w:pPr>
      <w:r>
        <w:t>反映本部门当年全部收入。2026年预算收入1342.12万元，其中：一般公共预算收入1309.76万元，基金预算收入0.00万元，国有资本经营预算收入0.00万元，财政专户核拨收入0.00万元，单位资金收入0.00万元，上年结转结余32.36万元。</w:t>
      </w:r>
    </w:p>
    <w:p>
      <w:pPr>
        <w:pStyle w:val="20"/>
      </w:pPr>
      <w:r>
        <w:t>2、支出说明</w:t>
      </w:r>
    </w:p>
    <w:p>
      <w:pPr>
        <w:pStyle w:val="20"/>
      </w:pPr>
      <w:r>
        <w:t>收支预算总表支出栏、基本支出表、项目支出表按经济分类和支出功能分类科目编制，反映青龙满族自治县人民政府都阳路街道办事处年度部门预算中支出预算的总体情况。2026年支出预算1342.12万元，其中基本支出1077.05万元，包括人员经费1008.41万元和日常公用经费68.64万元；项目支出265.07万元，主要为社区工作经费、服务群众专项经费、社区房租等项目。；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2026年预算收支安排1342.12万元，较2025年预算增加15.93万元，其中：基本支出增加31.97万元，主要为新增社区工作 人员及调资，人员经费增加。项目支出减少16.04万元，主要为社区办公地点变更装修项目减少。。预计下年使用的单位资金结余增加0.00万元。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2026年，我部门机关运行经费共计安排68.64万元，主要用于日常维修、办公用房水电费、办公用房取暖费、办公用房物业管理费等日常运行支出。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2026年，我部门财政拨款“三公”经费预算安排1.70万元，其中因公出国（境）费0.00万元；公务用车购置及运维费1.40万元（其中：公务用车购置费为0.00万元，公务用车运维费1.40万元)；公务接待费0.30万元。与2025年相比</w:t>
      </w:r>
      <w:r>
        <w:rPr>
          <w:rFonts w:hint="eastAsia"/>
          <w:lang w:val="en-US" w:eastAsia="zh-CN"/>
        </w:rPr>
        <w:t>减少0.2</w:t>
      </w:r>
      <w:r>
        <w:t>万元，增减变化的主要原因是压减开支，三公经费减少。</w:t>
      </w:r>
      <w:bookmarkStart w:id="21" w:name="_GoBack"/>
      <w:bookmarkEnd w:id="21"/>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2025年我单位将坚持以习近平新时代中国特色社会主义思想为指导，以党的二十大精神为指引，全面落实省财政厅的作要求，积极发挥职能作用，不断提高预算绩效管理水平。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一、人大监督</w:t>
      </w:r>
    </w:p>
    <w:p>
      <w:pPr>
        <w:pStyle w:val="24"/>
      </w:pPr>
      <w:r>
        <w:t>1、监督宪法和法律在街道办行政区域内正确实施。2、监督政府及县直属部门依法开展工作。</w:t>
      </w:r>
    </w:p>
    <w:p>
      <w:pPr>
        <w:pStyle w:val="24"/>
      </w:pPr>
      <w:r>
        <w:t>3、监督街道办本级预算按照街道办人代会通过的预算有效实施。4、监督经济和社会发展计划有效实施。</w:t>
      </w:r>
    </w:p>
    <w:p>
      <w:pPr>
        <w:pStyle w:val="24"/>
      </w:pPr>
      <w:r>
        <w:t>二、人大会议</w:t>
      </w:r>
    </w:p>
    <w:p>
      <w:pPr>
        <w:pStyle w:val="24"/>
      </w:pPr>
      <w:r>
        <w:t>1、在人大代表和街道人大主席团分发表审议意见的基础上，作出我单位经济社会发展计划、本级预算等决议。</w:t>
      </w:r>
    </w:p>
    <w:p>
      <w:pPr>
        <w:pStyle w:val="24"/>
      </w:pPr>
      <w:r>
        <w:t>2、通过听取和审议政府工作和财政预决算等工作报告，作出有关报告的决议。</w:t>
      </w:r>
    </w:p>
    <w:p>
      <w:pPr>
        <w:pStyle w:val="24"/>
      </w:pPr>
      <w:r>
        <w:t>3、通过质询、专题询问和工作评议的方式就政府及县直属部门的工作进行监督。</w:t>
      </w:r>
    </w:p>
    <w:p>
      <w:pPr>
        <w:pStyle w:val="24"/>
      </w:pPr>
      <w:r>
        <w:t>4、为保证街道办重大决策的科学性和法定性，实施作出有关街道、社区重大问题的决定。</w:t>
      </w:r>
    </w:p>
    <w:p>
      <w:pPr>
        <w:pStyle w:val="24"/>
      </w:pPr>
      <w:r>
        <w:t>5、高效、精细的筹备街道人大会。</w:t>
      </w:r>
    </w:p>
    <w:p>
      <w:pPr>
        <w:pStyle w:val="24"/>
      </w:pPr>
      <w:r>
        <w:t>三、选举和任免</w:t>
      </w:r>
    </w:p>
    <w:p>
      <w:pPr>
        <w:pStyle w:val="24"/>
      </w:pPr>
      <w:r>
        <w:t>1、根据政府的工作需要和街道党工委的建议，在充分酝酿和审议的基础上，选举产生政府的领导成员，确保选出能力突出、责任心强、有开拓精神的同志担任政府的领导同志。</w:t>
      </w:r>
    </w:p>
    <w:p>
      <w:pPr>
        <w:pStyle w:val="24"/>
      </w:pPr>
      <w:r>
        <w:t>2、为确保有关选举的法律法规符合实际，在充分考察调研的基础上，实施对其进行修改。</w:t>
      </w:r>
    </w:p>
    <w:p>
      <w:pPr>
        <w:pStyle w:val="24"/>
      </w:pPr>
      <w:r>
        <w:t>3、对街道办组成人员和主要负责人进行目标责任监督，确保依法履行职责，完成目标任务。</w:t>
      </w:r>
    </w:p>
    <w:p>
      <w:pPr>
        <w:pStyle w:val="24"/>
      </w:pPr>
      <w:r>
        <w:t>四、预算批复</w:t>
      </w:r>
    </w:p>
    <w:p>
      <w:pPr>
        <w:pStyle w:val="24"/>
      </w:pPr>
      <w:r>
        <w:t>1、依法对本级财政部门所做的当年的预算进行批复；经依法批复的预算与实际执行的预算情况控制在 5%之内2、参谋协调运转</w:t>
      </w:r>
    </w:p>
    <w:p>
      <w:pPr>
        <w:pStyle w:val="24"/>
      </w:pPr>
      <w:r>
        <w:t>街道党工委、政府公文运转，大型会议和组织活动安排、公务接待等；保障街道党工委大型会议、重要活动的正常、</w:t>
      </w:r>
    </w:p>
    <w:p>
      <w:pPr>
        <w:pStyle w:val="24"/>
      </w:pPr>
      <w:r>
        <w:t>顺利举办；</w:t>
      </w:r>
    </w:p>
    <w:p>
      <w:pPr>
        <w:pStyle w:val="24"/>
      </w:pPr>
      <w:r>
        <w:t>3、信息收集与督查调研</w:t>
      </w:r>
    </w:p>
    <w:p>
      <w:pPr>
        <w:pStyle w:val="24"/>
      </w:pPr>
      <w:r>
        <w:t>街道党工委系统信息工作的组织。围绕街道党工委的重大决策部署收集、整理和反馈信息；信息发布和联络工作；社情民意调查；系统信息网络的协调和指导工作。</w:t>
      </w:r>
    </w:p>
    <w:p>
      <w:pPr>
        <w:pStyle w:val="24"/>
      </w:pPr>
      <w:r>
        <w:t>五、党工委系统公务内网建设</w:t>
      </w:r>
    </w:p>
    <w:p>
      <w:pPr>
        <w:pStyle w:val="24"/>
      </w:pPr>
      <w:r>
        <w:t>街道“公务内网”的建设和管理；计算机信息网络建设；组织协调各类信息资源的上网和扩充，保障网络和信息安全。</w:t>
      </w:r>
    </w:p>
    <w:p>
      <w:pPr>
        <w:pStyle w:val="24"/>
      </w:pPr>
      <w:r>
        <w:t>六、政务服务 承担街道政务公开暨行政权力公开透明运行工作领导小组的日常工作，指导和协调街道社区政务公开及政务服务中心建设、推进行政服务体系标准化建设工作。</w:t>
      </w:r>
    </w:p>
    <w:p>
      <w:pPr>
        <w:pStyle w:val="24"/>
      </w:pPr>
      <w:r>
        <w:t>七、应急管理 建设运行维护好街道社区应急平台，实现各种实用功能，有效保证街道社区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社区、各部门应急工作，确保信息报送及时畅通，不出差错和问题。</w:t>
      </w:r>
    </w:p>
    <w:p>
      <w:pPr>
        <w:pStyle w:val="24"/>
      </w:pPr>
      <w:r>
        <w:t>八、统计调查 组织完成国家部署的国情国力普查及重要调查任务，研究提出重大普查和抽样调查计划并组织实施，</w:t>
      </w:r>
    </w:p>
    <w:p>
      <w:pPr>
        <w:pStyle w:val="24"/>
      </w:pPr>
      <w:r>
        <w:t>汇总、整理和提供有关街道社区方面的统计数据。</w:t>
      </w:r>
    </w:p>
    <w:p>
      <w:pPr>
        <w:pStyle w:val="24"/>
      </w:pPr>
      <w:r>
        <w:t>1、统计调查 根据部门职责及《中华人民共和国统计法》和国家统计局、街道政府有关文件要求，组织实施涉及相关行业数据的专项统计调查。</w:t>
      </w:r>
    </w:p>
    <w:p>
      <w:pPr>
        <w:pStyle w:val="24"/>
      </w:pPr>
      <w:r>
        <w:t>2、统计政务管理 健全街道统计法制建设，严格查处统计违法现象，开展统计基层基础建设，指导街道社区统计专业技术队伍建设，配合国家统计局组织管理统计从业资格认定和持证上岗工作，协助有关部门组织管理统计专业技术资格。</w:t>
      </w:r>
    </w:p>
    <w:p>
      <w:pPr>
        <w:pStyle w:val="24"/>
      </w:pPr>
      <w:r>
        <w:t>九、党员和党组织建设 负责街道党组织建设；负责街道党工委基层组织建设联系会议党的牵头抓总工作；提出党内生活制度建设的意见；指导街道社区党员教育工作。</w:t>
      </w:r>
    </w:p>
    <w:p>
      <w:pPr>
        <w:pStyle w:val="24"/>
      </w:pPr>
      <w:r>
        <w:t>十、办案问责 对有关对象违反党纪政纪和违纪违法行为进行处理；组织协调案件查办工作。</w:t>
      </w:r>
    </w:p>
    <w:p>
      <w:pPr>
        <w:pStyle w:val="24"/>
      </w:pPr>
      <w:r>
        <w:t>十一、党风廉政建设 组织协调街道党风廉政建设和反腐败宣传教育工作，开展对党员、公务员的廉洁自律教育。</w:t>
      </w:r>
    </w:p>
    <w:p>
      <w:pPr>
        <w:pStyle w:val="24"/>
      </w:pPr>
      <w:r>
        <w:t>十二、征兵及民兵整组 完成街道全年的征兵及民兵整组任务</w:t>
      </w:r>
    </w:p>
    <w:p>
      <w:pPr>
        <w:pStyle w:val="24"/>
      </w:pPr>
      <w:r>
        <w:t>十三、团结动员妇女参加经济社会建设 团结、教育全社区妇女及各类妇女组织同党中央在思想上、政治上、行动上</w:t>
      </w:r>
    </w:p>
    <w:p>
      <w:pPr>
        <w:pStyle w:val="24"/>
      </w:pPr>
      <w:r>
        <w:t>保持高度一致，全面提高妇女素质。</w:t>
      </w:r>
    </w:p>
    <w:p>
      <w:pPr>
        <w:pStyle w:val="24"/>
      </w:pPr>
      <w:r>
        <w:t>十四、组织建设和宣传教育 指导街道青联、学联和少先队工作，对街道青年社团组织进行指导和管理。</w:t>
      </w:r>
    </w:p>
    <w:p>
      <w:pPr>
        <w:pStyle w:val="24"/>
      </w:pPr>
      <w:r>
        <w:t>十五、档案收集保管 依据规定对档案进行征集、接收和整理，对相关单位纸质、电子、专题档案进行收集、整理和保存。</w:t>
      </w:r>
    </w:p>
    <w:p>
      <w:pPr>
        <w:pStyle w:val="24"/>
      </w:pPr>
      <w:r>
        <w:t>十六、街道社区财务管理 负责社区财务管理工作。</w:t>
      </w:r>
    </w:p>
    <w:p>
      <w:pPr>
        <w:pStyle w:val="24"/>
      </w:pPr>
      <w:r>
        <w:t>1、预算编制 依据县级相关文件编制当年单位的财政支出预算计划2、决算编制 依据县级相关文件编制当年单位的财政支出决算数字3、资金往来清理 依据国家的法律法规清理当年的往来资金</w:t>
      </w:r>
    </w:p>
    <w:p>
      <w:pPr>
        <w:pStyle w:val="24"/>
      </w:pPr>
      <w:r>
        <w:t>4、资产管理 依据河北省资产管理条例对本单位的资产进行管理5、专项资金管理 依据有关规定对所辖社区专项资金拨付进行管理</w:t>
      </w:r>
    </w:p>
    <w:p>
      <w:pPr>
        <w:pStyle w:val="24"/>
      </w:pPr>
      <w:r>
        <w:t>十七、劳动人事管理 依据有关规定对本单位的人事变动和工资变动进行管理</w:t>
      </w:r>
    </w:p>
    <w:p>
      <w:pPr>
        <w:pStyle w:val="24"/>
      </w:pPr>
      <w:r>
        <w:t>十八、组织街道安全生产综合监督管理 定期组织在全社区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4"/>
      </w:pPr>
      <w:r>
        <w:t>十九、加强高危重点行业管理，依法对危险化学品和烟花爆竹生产企业、非药品易制毒企业、箱包实施许可管理；对高危行业企业负责人、安全管理人员安全资格及特种作业人员操作证进行验印审批；对重点行业企业开展安全生产监督和专项整治活动；开展尾矿库治理等工作；加强高危行业建设项目安全条件、安全设施设计、职业病防护设施设计审查和竣工验收管理。对已闭尾矿库，进行绿化或土地复垦。</w:t>
      </w:r>
    </w:p>
    <w:p>
      <w:pPr>
        <w:pStyle w:val="24"/>
      </w:pPr>
      <w:r>
        <w:t>二十、组织指挥和协调街道安全生产应急救援 组织指导全县安全生产应急救援预案编制和备案管理，结合事故多发、易发，应急管理基础薄弱的小区、领域、时段、岗位等重点，组织开展实战化应急演练。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4"/>
      </w:pPr>
      <w:r>
        <w:t>二十一、社会救助政策及管理 完善街道社会救助制度，实施分类救助，应保尽保,动态管理。</w:t>
      </w:r>
    </w:p>
    <w:p>
      <w:pPr>
        <w:pStyle w:val="24"/>
      </w:pPr>
      <w:r>
        <w:t>1、社会福利政策及管理 建立孤儿最低养育标准自然增长机制；提高孤残儿童护理员专业化水平；建立起县、街道、社区三级儿童服务网络。流浪乞讨人员、流浪未成年人救助设施齐全、功能污水完善，对未成年人社会保护提供必要的保护场所。惠民殡葬政策普及全街道特殊困难群体，群众办理丧事文明节俭。维护老年人合法权益。</w:t>
      </w:r>
    </w:p>
    <w:p>
      <w:pPr>
        <w:pStyle w:val="24"/>
      </w:pPr>
      <w:r>
        <w:t>2、双拥优抚安置政策及管理 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pPr>
        <w:pStyle w:val="24"/>
      </w:pPr>
      <w:r>
        <w:t>3、防灾减灾救灾 组织协调防灾减灾救灾工作。组织核查并统一发布灾情。组织指导救灾捐赠工作，负责国内外救灾捐赠款物的接收管理和分配使用。</w:t>
      </w:r>
    </w:p>
    <w:p>
      <w:pPr>
        <w:pStyle w:val="24"/>
      </w:pPr>
      <w:r>
        <w:t>二十二、社会管理与服务规划空间布局，提高登记质量，建立健全街道基层群众自治组织，逐步实现社会工作者专业化、职业化。</w:t>
      </w:r>
    </w:p>
    <w:p>
      <w:pPr>
        <w:pStyle w:val="24"/>
      </w:pPr>
      <w:r>
        <w:t>二十三、城镇建设管理</w:t>
      </w:r>
    </w:p>
    <w:p>
      <w:pPr>
        <w:pStyle w:val="24"/>
      </w:pPr>
      <w:r>
        <w:t>指导城市市政公用设施建设、安全和应急管理；拟定风景名胜区的发展规划、政策并指导实施；拟定村庄和小城街道建设政策并指导实施；指导街道、街道社区规划的编制和实施；指导社区住房建设、住房安全和危房改造；改善街道和社区人居环境。</w:t>
      </w:r>
    </w:p>
    <w:p>
      <w:pPr>
        <w:pStyle w:val="24"/>
      </w:pPr>
      <w:r>
        <w:t>二十四、司法行政管理 贯彻落实国家司法行政工作方针政策。</w:t>
      </w:r>
    </w:p>
    <w:p>
      <w:pPr>
        <w:pStyle w:val="24"/>
      </w:pPr>
      <w:r>
        <w:t>二十五、食品安全管理 对食品制作流通各环节进行监管，及时发现和排除食品安全问题，确保大型活动期间的餐饮安全。</w:t>
      </w:r>
    </w:p>
    <w:p>
      <w:pPr>
        <w:pStyle w:val="24"/>
      </w:pPr>
      <w:r>
        <w:t>二十六、公共卫生服务 负责人口和计划生育政策法规的宣传工作；负责优生、优育、节育服务；负责育龄妇女定期检查，必备药品发放工作；负责人口和计划生育协会等工作；负责排查管理本辖区流动人口计划生育工作。</w:t>
      </w:r>
    </w:p>
    <w:p>
      <w:pPr>
        <w:pStyle w:val="24"/>
      </w:pPr>
      <w:r>
        <w:t>二十七、医疗保障 通过建立和实施新型城镇合作医疗、疾病应急救助、城镇居民大病保险以及公费医疗等制度，保障人民群众公平享有所需医疗服务权益。</w:t>
      </w:r>
    </w:p>
    <w:p>
      <w:pPr>
        <w:pStyle w:val="24"/>
      </w:pPr>
      <w:r>
        <w:t>二十八、提供就业信息，加大劳务输出数量</w:t>
      </w:r>
    </w:p>
    <w:p>
      <w:pPr>
        <w:pStyle w:val="24"/>
      </w:pPr>
      <w:r>
        <w:t>二十九、城镇居民养老保险 城镇居民养老保险收缴工作</w:t>
      </w:r>
    </w:p>
    <w:p>
      <w:pPr>
        <w:pStyle w:val="24"/>
      </w:pPr>
      <w:r>
        <w:t>三十、文化艺术管理 管理和指导全街道文化建设，推进文化发展环境能力建设，提供公共文化服务、文化艺术资源建设和文化艺术生产。</w:t>
      </w:r>
    </w:p>
    <w:p>
      <w:pPr>
        <w:pStyle w:val="24"/>
      </w:pPr>
      <w:r>
        <w:t>三十一、文物保护 坚持“保护为主、抢救第一、合理利用、加强管理”的文物工作方针，做好文物保护、管理和利用等工作，提高全社会的文物保护意识，发挥文物工作在促进全街道经济和社会发展中的重要作用。</w:t>
      </w:r>
    </w:p>
    <w:p>
      <w:pPr>
        <w:pStyle w:val="24"/>
      </w:pPr>
      <w:r>
        <w:t>三十二、防火工作 确保全年不发生火灾</w:t>
      </w:r>
    </w:p>
    <w:p>
      <w:pPr>
        <w:pStyle w:val="24"/>
      </w:pPr>
      <w:r>
        <w:t>三十三、防汛工作 确保全年行洪畅通，安全度汛</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完善制度建设。制定完善部门预算绩效管理制度、财政资金使用管理办法、工作保障制度等，为全年预算绩效目标的实现奠定制度基础。</w:t>
      </w:r>
    </w:p>
    <w:p>
      <w:pPr>
        <w:pStyle w:val="25"/>
      </w:pPr>
      <w:r>
        <w:t>加强支出管理。优化支出结构，编细编实部门预算，规范采购流程，提高资金使用效率，确保支出进度达标。加强绩效运行监控。开展部门预算绩效运行监控，发现问题及时采取措施，确保绩效目标如期保质实现。</w:t>
      </w:r>
    </w:p>
    <w:p>
      <w:pPr>
        <w:pStyle w:val="25"/>
      </w:pPr>
      <w:r>
        <w:t>做好绩效自评。按要求开展上年度部门预算绩效自评和重点评价工作，对评价中发现的问题及时整改，调整优化支出结构，提高财政资金使用效益。</w:t>
      </w:r>
    </w:p>
    <w:p>
      <w:pPr>
        <w:pStyle w:val="25"/>
      </w:pPr>
      <w:r>
        <w:t>规范财务资产管理。完善部门内部财务管理制度，严格审批程序，加强固定资产登记、使用和报废处置管理，做到支出合理，物尽其用。</w:t>
      </w:r>
    </w:p>
    <w:p>
      <w:pPr>
        <w:pStyle w:val="25"/>
      </w:pPr>
      <w:r>
        <w:t>加强内部监督。加强部门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sectPr>
          <w:pgSz w:w="16840" w:h="11900" w:orient="landscape"/>
          <w:pgMar w:top="1361" w:right="1020" w:bottom="1361" w:left="1020" w:header="720" w:footer="720" w:gutter="0"/>
          <w:cols w:space="720" w:num="1"/>
        </w:sectPr>
      </w:pPr>
      <w:r>
        <w:t>加强宣传培训调研等。加强本部门人员培训，提高职工业务素质；加强调研，提出优化财政资金配置、提高资金使用效益的意见意见；加大宣传力度，强化预算绩效管理意识，促进预算绩效管理水平进一步提升。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13032126P003349103238</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预算资金1万元，其中财政资金1万元，主要用于人大代表之家工作经费.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1.学习宣传培训；开展代表活动；密切联系群众。</w:t>
            </w:r>
            <w:r>
              <w:tab/>
            </w:r>
            <w:r>
              <w:tab/>
            </w:r>
            <w:r>
              <w:tab/>
            </w:r>
            <w:r>
              <w:tab/>
            </w:r>
            <w:r>
              <w:tab/>
            </w:r>
            <w:r>
              <w:tab/>
            </w:r>
          </w:p>
          <w:p>
            <w:pPr>
              <w:pStyle w:val="14"/>
            </w:pPr>
          </w:p>
          <w:p>
            <w:pPr>
              <w:pStyle w:val="14"/>
            </w:pPr>
            <w:r>
              <w:t>2.接受群众监督；提出议案建议；交流履职经验。</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≥3次</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人大代表数量</w:t>
            </w:r>
          </w:p>
        </w:tc>
        <w:tc>
          <w:tcPr>
            <w:tcW w:w="5386" w:type="dxa"/>
            <w:vAlign w:val="center"/>
          </w:tcPr>
          <w:p>
            <w:pPr>
              <w:pStyle w:val="14"/>
            </w:pPr>
            <w:r>
              <w:t>反映县街道办事处人大代表数量</w:t>
            </w:r>
          </w:p>
        </w:tc>
        <w:tc>
          <w:tcPr>
            <w:tcW w:w="2268" w:type="dxa"/>
            <w:vAlign w:val="center"/>
          </w:tcPr>
          <w:p>
            <w:pPr>
              <w:pStyle w:val="14"/>
            </w:pPr>
            <w:r>
              <w:t>12人</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做好协调组织工作，为代表依法履职提供服务</w:t>
            </w:r>
          </w:p>
        </w:tc>
        <w:tc>
          <w:tcPr>
            <w:tcW w:w="2268" w:type="dxa"/>
            <w:vAlign w:val="center"/>
          </w:tcPr>
          <w:p>
            <w:pPr>
              <w:pStyle w:val="14"/>
            </w:pPr>
            <w:r>
              <w:t>≥95百分比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代表参加活动或培训覆盖率</w:t>
            </w:r>
          </w:p>
        </w:tc>
        <w:tc>
          <w:tcPr>
            <w:tcW w:w="5386" w:type="dxa"/>
            <w:vAlign w:val="center"/>
          </w:tcPr>
          <w:p>
            <w:pPr>
              <w:pStyle w:val="14"/>
            </w:pPr>
            <w:r>
              <w:t>联络机构、网络平台完成情况占年初计划任务比率</w:t>
            </w:r>
          </w:p>
        </w:tc>
        <w:tc>
          <w:tcPr>
            <w:tcW w:w="2268" w:type="dxa"/>
            <w:vAlign w:val="center"/>
          </w:tcPr>
          <w:p>
            <w:pPr>
              <w:pStyle w:val="14"/>
            </w:pPr>
            <w:r>
              <w:t>≥85百分比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意见建议采纳率（%）</w:t>
            </w:r>
          </w:p>
        </w:tc>
        <w:tc>
          <w:tcPr>
            <w:tcW w:w="5386" w:type="dxa"/>
            <w:vAlign w:val="center"/>
          </w:tcPr>
          <w:p>
            <w:pPr>
              <w:pStyle w:val="14"/>
            </w:pPr>
            <w:r>
              <w:t>被采纳的意见建议数量占总数量的比率</w:t>
            </w:r>
          </w:p>
        </w:tc>
        <w:tc>
          <w:tcPr>
            <w:tcW w:w="2268" w:type="dxa"/>
            <w:vAlign w:val="center"/>
          </w:tcPr>
          <w:p>
            <w:pPr>
              <w:pStyle w:val="14"/>
            </w:pPr>
            <w:r>
              <w:t>≥50百分比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反映举办活动的及时率</w:t>
            </w:r>
          </w:p>
        </w:tc>
        <w:tc>
          <w:tcPr>
            <w:tcW w:w="2268" w:type="dxa"/>
            <w:vAlign w:val="center"/>
          </w:tcPr>
          <w:p>
            <w:pPr>
              <w:pStyle w:val="14"/>
            </w:pPr>
            <w:r>
              <w:t>≥90百分比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履职质量和水平</w:t>
            </w:r>
          </w:p>
        </w:tc>
        <w:tc>
          <w:tcPr>
            <w:tcW w:w="5386" w:type="dxa"/>
            <w:vAlign w:val="center"/>
          </w:tcPr>
          <w:p>
            <w:pPr>
              <w:pStyle w:val="14"/>
            </w:pPr>
            <w:r>
              <w:t>加强对社区人大工作的联系和指导，规范化、制度化水平显著提升</w:t>
            </w:r>
          </w:p>
        </w:tc>
        <w:tc>
          <w:tcPr>
            <w:tcW w:w="2268" w:type="dxa"/>
            <w:vAlign w:val="center"/>
          </w:tcPr>
          <w:p>
            <w:pPr>
              <w:pStyle w:val="14"/>
            </w:pPr>
            <w:r>
              <w:t>≥95百分比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完成调研报告数量</w:t>
            </w:r>
          </w:p>
        </w:tc>
        <w:tc>
          <w:tcPr>
            <w:tcW w:w="5386" w:type="dxa"/>
            <w:vAlign w:val="center"/>
          </w:tcPr>
          <w:p>
            <w:pPr>
              <w:pStyle w:val="14"/>
            </w:pPr>
            <w:r>
              <w:t>当年完成调研报告的数量</w:t>
            </w:r>
          </w:p>
        </w:tc>
        <w:tc>
          <w:tcPr>
            <w:tcW w:w="2268" w:type="dxa"/>
            <w:vAlign w:val="center"/>
          </w:tcPr>
          <w:p>
            <w:pPr>
              <w:pStyle w:val="14"/>
            </w:pPr>
            <w:r>
              <w:t>≥2篇</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会议服务工作满意率</w:t>
            </w:r>
          </w:p>
        </w:tc>
        <w:tc>
          <w:tcPr>
            <w:tcW w:w="5386" w:type="dxa"/>
            <w:vAlign w:val="center"/>
          </w:tcPr>
          <w:p>
            <w:pPr>
              <w:pStyle w:val="14"/>
            </w:pPr>
            <w:r>
              <w:t>街道人大代表对代表工作的满意程度</w:t>
            </w:r>
          </w:p>
        </w:tc>
        <w:tc>
          <w:tcPr>
            <w:tcW w:w="2268" w:type="dxa"/>
            <w:vAlign w:val="center"/>
          </w:tcPr>
          <w:p>
            <w:pPr>
              <w:pStyle w:val="14"/>
            </w:pPr>
            <w:r>
              <w:t>≥95百分比</w:t>
            </w:r>
          </w:p>
        </w:tc>
        <w:tc>
          <w:tcPr>
            <w:tcW w:w="1276" w:type="dxa"/>
            <w:vAlign w:val="center"/>
          </w:tcPr>
          <w:p>
            <w:pPr>
              <w:pStyle w:val="14"/>
            </w:pPr>
            <w:r>
              <w:t>2026工作计划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13032125P000008100021</w:t>
            </w:r>
          </w:p>
        </w:tc>
        <w:tc>
          <w:tcPr>
            <w:tcW w:w="2835" w:type="dxa"/>
            <w:vAlign w:val="center"/>
          </w:tcPr>
          <w:p>
            <w:pPr>
              <w:pStyle w:val="12"/>
            </w:pPr>
            <w:r>
              <w:t>项目名称</w:t>
            </w:r>
          </w:p>
        </w:tc>
        <w:tc>
          <w:tcPr>
            <w:tcW w:w="6095" w:type="dxa"/>
            <w:gridSpan w:val="3"/>
            <w:vAlign w:val="center"/>
          </w:tcPr>
          <w:p>
            <w:pPr>
              <w:pStyle w:val="14"/>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8.04</w:t>
            </w:r>
          </w:p>
        </w:tc>
        <w:tc>
          <w:tcPr>
            <w:tcW w:w="2835" w:type="dxa"/>
            <w:vAlign w:val="center"/>
          </w:tcPr>
          <w:p>
            <w:pPr>
              <w:pStyle w:val="12"/>
            </w:pPr>
            <w:r>
              <w:t>其中：财政    资金</w:t>
            </w:r>
          </w:p>
        </w:tc>
        <w:tc>
          <w:tcPr>
            <w:tcW w:w="2551" w:type="dxa"/>
            <w:vAlign w:val="center"/>
          </w:tcPr>
          <w:p>
            <w:pPr>
              <w:pStyle w:val="14"/>
            </w:pPr>
            <w:r>
              <w:t>8.04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预算安排资金100万元，其中财政资金100万元，主要用于社区容貌干净整洁有序，提升居民幸福感。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1.实现社区容貌干净整洁有序，提升居民幸福感。</w:t>
            </w:r>
          </w:p>
          <w:p>
            <w:pPr>
              <w:pStyle w:val="14"/>
            </w:pPr>
            <w:r>
              <w:t>2.通过开展垃圾清理等服务群众工作，进一步改善社区人居环境卫生。</w:t>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社区数量</w:t>
            </w:r>
          </w:p>
        </w:tc>
        <w:tc>
          <w:tcPr>
            <w:tcW w:w="5386" w:type="dxa"/>
            <w:vAlign w:val="center"/>
          </w:tcPr>
          <w:p>
            <w:pPr>
              <w:pStyle w:val="14"/>
            </w:pPr>
            <w:r>
              <w:t>反映涉及社区组织数量</w:t>
            </w:r>
          </w:p>
        </w:tc>
        <w:tc>
          <w:tcPr>
            <w:tcW w:w="2268" w:type="dxa"/>
            <w:vAlign w:val="center"/>
          </w:tcPr>
          <w:p>
            <w:pPr>
              <w:pStyle w:val="14"/>
            </w:pPr>
            <w:r>
              <w:t>10个</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服务群众工作完成率</w:t>
            </w:r>
          </w:p>
        </w:tc>
        <w:tc>
          <w:tcPr>
            <w:tcW w:w="5386" w:type="dxa"/>
            <w:vAlign w:val="center"/>
          </w:tcPr>
          <w:p>
            <w:pPr>
              <w:pStyle w:val="14"/>
            </w:pPr>
            <w:r>
              <w:t>反映社区组织开展服务群众具体情况如：社区清运垃圾、公共卫生防疫等等</w:t>
            </w:r>
          </w:p>
        </w:tc>
        <w:tc>
          <w:tcPr>
            <w:tcW w:w="2268" w:type="dxa"/>
            <w:vAlign w:val="center"/>
          </w:tcPr>
          <w:p>
            <w:pPr>
              <w:pStyle w:val="14"/>
            </w:pPr>
            <w:r>
              <w:t>≥90%</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反映资金到位发放的及时情况</w:t>
            </w:r>
          </w:p>
        </w:tc>
        <w:tc>
          <w:tcPr>
            <w:tcW w:w="2268" w:type="dxa"/>
            <w:vAlign w:val="center"/>
          </w:tcPr>
          <w:p>
            <w:pPr>
              <w:pStyle w:val="14"/>
            </w:pPr>
            <w:r>
              <w:t>≥95%</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反映各社区服务群众各项工作完成的及时情况</w:t>
            </w:r>
          </w:p>
        </w:tc>
        <w:tc>
          <w:tcPr>
            <w:tcW w:w="2268" w:type="dxa"/>
            <w:vAlign w:val="center"/>
          </w:tcPr>
          <w:p>
            <w:pPr>
              <w:pStyle w:val="14"/>
            </w:pPr>
            <w:r>
              <w:t>≥95%</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服务群众经费</w:t>
            </w:r>
          </w:p>
        </w:tc>
        <w:tc>
          <w:tcPr>
            <w:tcW w:w="5386" w:type="dxa"/>
            <w:vAlign w:val="center"/>
          </w:tcPr>
          <w:p>
            <w:pPr>
              <w:pStyle w:val="14"/>
            </w:pPr>
            <w:r>
              <w:t>反映用于10个社区的垃圾清理等费用</w:t>
            </w:r>
          </w:p>
        </w:tc>
        <w:tc>
          <w:tcPr>
            <w:tcW w:w="2268" w:type="dxa"/>
            <w:vAlign w:val="center"/>
          </w:tcPr>
          <w:p>
            <w:pPr>
              <w:pStyle w:val="14"/>
            </w:pPr>
            <w:r>
              <w:t>≤100万元</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经费拨付标准</w:t>
            </w:r>
          </w:p>
        </w:tc>
        <w:tc>
          <w:tcPr>
            <w:tcW w:w="5386" w:type="dxa"/>
            <w:vAlign w:val="center"/>
          </w:tcPr>
          <w:p>
            <w:pPr>
              <w:pStyle w:val="14"/>
            </w:pPr>
            <w:r>
              <w:t>反映每个社区经费拨付标准</w:t>
            </w:r>
          </w:p>
        </w:tc>
        <w:tc>
          <w:tcPr>
            <w:tcW w:w="2268" w:type="dxa"/>
            <w:vAlign w:val="center"/>
          </w:tcPr>
          <w:p>
            <w:pPr>
              <w:pStyle w:val="14"/>
            </w:pPr>
            <w:r>
              <w:t>≤10万元/社区</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受益人数</w:t>
            </w:r>
          </w:p>
        </w:tc>
        <w:tc>
          <w:tcPr>
            <w:tcW w:w="5386" w:type="dxa"/>
            <w:vAlign w:val="center"/>
          </w:tcPr>
          <w:p>
            <w:pPr>
              <w:pStyle w:val="14"/>
            </w:pPr>
            <w:r>
              <w:t>通过项目实施进一步改善社区人居环境卫生，提升居民幸福感，反映受益人口数量</w:t>
            </w:r>
          </w:p>
        </w:tc>
        <w:tc>
          <w:tcPr>
            <w:tcW w:w="2268" w:type="dxa"/>
            <w:vAlign w:val="center"/>
          </w:tcPr>
          <w:p>
            <w:pPr>
              <w:pStyle w:val="14"/>
            </w:pPr>
            <w:r>
              <w:t>≥61000人</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改善生态环境质量</w:t>
            </w:r>
          </w:p>
        </w:tc>
        <w:tc>
          <w:tcPr>
            <w:tcW w:w="5386" w:type="dxa"/>
            <w:vAlign w:val="center"/>
          </w:tcPr>
          <w:p>
            <w:pPr>
              <w:pStyle w:val="14"/>
            </w:pPr>
            <w:r>
              <w:t>通过进一步改善社区生态环境，实现社区干净整洁有序,改善生态环境社区数量</w:t>
            </w:r>
          </w:p>
        </w:tc>
        <w:tc>
          <w:tcPr>
            <w:tcW w:w="2268" w:type="dxa"/>
            <w:vAlign w:val="center"/>
          </w:tcPr>
          <w:p>
            <w:pPr>
              <w:pStyle w:val="14"/>
            </w:pPr>
            <w:r>
              <w:t>10个</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通过问卷调查，满意和基本满意的群众占所有调查群众的比例</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13032126P00000810013Y</w:t>
            </w:r>
          </w:p>
        </w:tc>
        <w:tc>
          <w:tcPr>
            <w:tcW w:w="2835" w:type="dxa"/>
            <w:vAlign w:val="center"/>
          </w:tcPr>
          <w:p>
            <w:pPr>
              <w:pStyle w:val="12"/>
            </w:pPr>
            <w:r>
              <w:t>项目名称</w:t>
            </w:r>
          </w:p>
        </w:tc>
        <w:tc>
          <w:tcPr>
            <w:tcW w:w="6095" w:type="dxa"/>
            <w:gridSpan w:val="3"/>
            <w:vAlign w:val="center"/>
          </w:tcPr>
          <w:p>
            <w:pPr>
              <w:pStyle w:val="14"/>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120.00</w:t>
            </w:r>
          </w:p>
        </w:tc>
        <w:tc>
          <w:tcPr>
            <w:tcW w:w="2835" w:type="dxa"/>
            <w:vAlign w:val="center"/>
          </w:tcPr>
          <w:p>
            <w:pPr>
              <w:pStyle w:val="12"/>
            </w:pPr>
            <w:r>
              <w:t>其中：财政    资金</w:t>
            </w:r>
          </w:p>
        </w:tc>
        <w:tc>
          <w:tcPr>
            <w:tcW w:w="2551" w:type="dxa"/>
            <w:vAlign w:val="center"/>
          </w:tcPr>
          <w:p>
            <w:pPr>
              <w:pStyle w:val="14"/>
            </w:pPr>
            <w:r>
              <w:t>120.00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预算资金120万元，其中财政资金120万元，主要用于服务群众专项经费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1.通过开展垃圾清理等服务群众工作，进一步改善社区人居环境卫生。</w:t>
            </w:r>
          </w:p>
          <w:p>
            <w:pPr>
              <w:pStyle w:val="14"/>
            </w:pPr>
          </w:p>
          <w:p>
            <w:pPr>
              <w:pStyle w:val="14"/>
            </w:pPr>
            <w:r>
              <w:t>2.实现社区容貌干净整洁有序，提升居民幸福感。</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社区数量</w:t>
            </w:r>
          </w:p>
        </w:tc>
        <w:tc>
          <w:tcPr>
            <w:tcW w:w="5386" w:type="dxa"/>
            <w:vAlign w:val="center"/>
          </w:tcPr>
          <w:p>
            <w:pPr>
              <w:pStyle w:val="14"/>
            </w:pPr>
            <w:r>
              <w:t>反映涉及社区组织数量</w:t>
            </w:r>
          </w:p>
        </w:tc>
        <w:tc>
          <w:tcPr>
            <w:tcW w:w="2268" w:type="dxa"/>
            <w:vAlign w:val="center"/>
          </w:tcPr>
          <w:p>
            <w:pPr>
              <w:pStyle w:val="14"/>
            </w:pPr>
            <w:r>
              <w:t>10个</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服务群众工作完成率</w:t>
            </w:r>
          </w:p>
        </w:tc>
        <w:tc>
          <w:tcPr>
            <w:tcW w:w="5386" w:type="dxa"/>
            <w:vAlign w:val="center"/>
          </w:tcPr>
          <w:p>
            <w:pPr>
              <w:pStyle w:val="14"/>
            </w:pPr>
            <w:r>
              <w:t>反映社区组织开展服务群众具体情况如：社区清运垃圾、公共卫生防疫等等</w:t>
            </w:r>
          </w:p>
        </w:tc>
        <w:tc>
          <w:tcPr>
            <w:tcW w:w="2268" w:type="dxa"/>
            <w:vAlign w:val="center"/>
          </w:tcPr>
          <w:p>
            <w:pPr>
              <w:pStyle w:val="14"/>
            </w:pPr>
            <w:r>
              <w:t>≥90%</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反映资金到位发放的及时情况</w:t>
            </w:r>
          </w:p>
        </w:tc>
        <w:tc>
          <w:tcPr>
            <w:tcW w:w="2268" w:type="dxa"/>
            <w:vAlign w:val="center"/>
          </w:tcPr>
          <w:p>
            <w:pPr>
              <w:pStyle w:val="14"/>
            </w:pPr>
            <w:r>
              <w:t>≥95%</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反映各社区服务群众各项工作完成的及时情况</w:t>
            </w:r>
          </w:p>
        </w:tc>
        <w:tc>
          <w:tcPr>
            <w:tcW w:w="2268" w:type="dxa"/>
            <w:vAlign w:val="center"/>
          </w:tcPr>
          <w:p>
            <w:pPr>
              <w:pStyle w:val="14"/>
            </w:pPr>
            <w:r>
              <w:t>≥95%</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服务群众经费</w:t>
            </w:r>
          </w:p>
        </w:tc>
        <w:tc>
          <w:tcPr>
            <w:tcW w:w="5386" w:type="dxa"/>
            <w:vAlign w:val="center"/>
          </w:tcPr>
          <w:p>
            <w:pPr>
              <w:pStyle w:val="14"/>
            </w:pPr>
            <w:r>
              <w:t>反映用于10个社区的垃圾清理等费用</w:t>
            </w:r>
          </w:p>
        </w:tc>
        <w:tc>
          <w:tcPr>
            <w:tcW w:w="2268" w:type="dxa"/>
            <w:vAlign w:val="center"/>
          </w:tcPr>
          <w:p>
            <w:pPr>
              <w:pStyle w:val="14"/>
            </w:pPr>
            <w:r>
              <w:t>≤120万元</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经费拨付标准</w:t>
            </w:r>
          </w:p>
        </w:tc>
        <w:tc>
          <w:tcPr>
            <w:tcW w:w="5386" w:type="dxa"/>
            <w:vAlign w:val="center"/>
          </w:tcPr>
          <w:p>
            <w:pPr>
              <w:pStyle w:val="14"/>
            </w:pPr>
            <w:r>
              <w:t>反映每个社区经费拨付标准</w:t>
            </w:r>
          </w:p>
        </w:tc>
        <w:tc>
          <w:tcPr>
            <w:tcW w:w="2268" w:type="dxa"/>
            <w:vAlign w:val="center"/>
          </w:tcPr>
          <w:p>
            <w:pPr>
              <w:pStyle w:val="14"/>
            </w:pPr>
            <w:r>
              <w:t>≤10万元/社区</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受益人数</w:t>
            </w:r>
          </w:p>
        </w:tc>
        <w:tc>
          <w:tcPr>
            <w:tcW w:w="5386" w:type="dxa"/>
            <w:vAlign w:val="center"/>
          </w:tcPr>
          <w:p>
            <w:pPr>
              <w:pStyle w:val="14"/>
            </w:pPr>
            <w:r>
              <w:t>通过项目实施进一步改善社区人居环境卫生，提升居民幸福感，反映受益人口数量</w:t>
            </w:r>
          </w:p>
        </w:tc>
        <w:tc>
          <w:tcPr>
            <w:tcW w:w="2268" w:type="dxa"/>
            <w:vAlign w:val="center"/>
          </w:tcPr>
          <w:p>
            <w:pPr>
              <w:pStyle w:val="14"/>
            </w:pPr>
            <w:r>
              <w:t>≥61000人</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改善生态环境质量</w:t>
            </w:r>
          </w:p>
        </w:tc>
        <w:tc>
          <w:tcPr>
            <w:tcW w:w="5386" w:type="dxa"/>
            <w:vAlign w:val="center"/>
          </w:tcPr>
          <w:p>
            <w:pPr>
              <w:pStyle w:val="14"/>
            </w:pPr>
            <w:r>
              <w:t>通过进一步改善社区生态环境，实现社区干净整洁有序,改善生态环境社区数量</w:t>
            </w:r>
          </w:p>
        </w:tc>
        <w:tc>
          <w:tcPr>
            <w:tcW w:w="2268" w:type="dxa"/>
            <w:vAlign w:val="center"/>
          </w:tcPr>
          <w:p>
            <w:pPr>
              <w:pStyle w:val="14"/>
            </w:pPr>
            <w:r>
              <w:t>10个</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通过问卷调查，满意和基本满意的群众占所有调查群众的比例</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4、居民区卫生服务点资金绩效目标表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13032125P000008100048</w:t>
            </w:r>
          </w:p>
        </w:tc>
        <w:tc>
          <w:tcPr>
            <w:tcW w:w="2835" w:type="dxa"/>
            <w:vAlign w:val="center"/>
          </w:tcPr>
          <w:p>
            <w:pPr>
              <w:pStyle w:val="12"/>
            </w:pPr>
            <w:r>
              <w:t>项目名称</w:t>
            </w:r>
          </w:p>
        </w:tc>
        <w:tc>
          <w:tcPr>
            <w:tcW w:w="6095" w:type="dxa"/>
            <w:gridSpan w:val="3"/>
            <w:vAlign w:val="center"/>
          </w:tcPr>
          <w:p>
            <w:pPr>
              <w:pStyle w:val="14"/>
            </w:pPr>
            <w:r>
              <w:t>居民区卫生服务点资金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1.51</w:t>
            </w:r>
          </w:p>
        </w:tc>
        <w:tc>
          <w:tcPr>
            <w:tcW w:w="2835" w:type="dxa"/>
            <w:vAlign w:val="center"/>
          </w:tcPr>
          <w:p>
            <w:pPr>
              <w:pStyle w:val="12"/>
            </w:pPr>
            <w:r>
              <w:t>其中：财政    资金</w:t>
            </w:r>
          </w:p>
        </w:tc>
        <w:tc>
          <w:tcPr>
            <w:tcW w:w="2551" w:type="dxa"/>
            <w:vAlign w:val="center"/>
          </w:tcPr>
          <w:p>
            <w:pPr>
              <w:pStyle w:val="14"/>
            </w:pPr>
            <w:r>
              <w:t>1.51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预算安排资金4.17万元，其中财政资金4.17万元，主要用于居民卫生服务点的建设，增强疫情防控“哨点”作用，服务点的装修和制度牌等的购买，达到居民区卫生服务点的启用标准。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1.通过居民卫生服务点的建设，增强疫情防控“哨点”作用，进一步做好居民区疫情防控工作。</w:t>
            </w:r>
            <w:r>
              <w:tab/>
            </w:r>
            <w:r>
              <w:tab/>
            </w:r>
            <w:r>
              <w:tab/>
            </w:r>
            <w:r>
              <w:tab/>
            </w:r>
            <w:r>
              <w:tab/>
            </w:r>
            <w:r>
              <w:tab/>
            </w:r>
          </w:p>
          <w:p>
            <w:pPr>
              <w:pStyle w:val="14"/>
            </w:pPr>
          </w:p>
          <w:p>
            <w:pPr>
              <w:pStyle w:val="14"/>
            </w:pPr>
            <w:r>
              <w:t>2.通过服务点的装修和制度牌等的购买，达到居民区卫生服务点的启用标准。</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移动板房数量</w:t>
            </w:r>
          </w:p>
        </w:tc>
        <w:tc>
          <w:tcPr>
            <w:tcW w:w="5386" w:type="dxa"/>
            <w:vAlign w:val="center"/>
          </w:tcPr>
          <w:p>
            <w:pPr>
              <w:pStyle w:val="14"/>
            </w:pPr>
            <w:r>
              <w:t>建移动板房数量</w:t>
            </w:r>
          </w:p>
        </w:tc>
        <w:tc>
          <w:tcPr>
            <w:tcW w:w="2268" w:type="dxa"/>
            <w:vAlign w:val="center"/>
          </w:tcPr>
          <w:p>
            <w:pPr>
              <w:pStyle w:val="14"/>
            </w:pPr>
            <w:r>
              <w:t>24个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改造项目合格率</w:t>
            </w:r>
          </w:p>
        </w:tc>
        <w:tc>
          <w:tcPr>
            <w:tcW w:w="5386" w:type="dxa"/>
            <w:vAlign w:val="center"/>
          </w:tcPr>
          <w:p>
            <w:pPr>
              <w:pStyle w:val="14"/>
            </w:pPr>
            <w:r>
              <w:t>反映改造项目合格率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改造费用支付及时性</w:t>
            </w:r>
          </w:p>
        </w:tc>
        <w:tc>
          <w:tcPr>
            <w:tcW w:w="5386" w:type="dxa"/>
            <w:vAlign w:val="center"/>
          </w:tcPr>
          <w:p>
            <w:pPr>
              <w:pStyle w:val="14"/>
            </w:pPr>
            <w:r>
              <w:t>反映服务点改造费用支付及时性</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完工日期</w:t>
            </w:r>
          </w:p>
        </w:tc>
        <w:tc>
          <w:tcPr>
            <w:tcW w:w="5386" w:type="dxa"/>
            <w:vAlign w:val="center"/>
          </w:tcPr>
          <w:p>
            <w:pPr>
              <w:pStyle w:val="14"/>
            </w:pPr>
            <w:r>
              <w:t>反映居民区卫生服务点项目完工时间</w:t>
            </w:r>
          </w:p>
        </w:tc>
        <w:tc>
          <w:tcPr>
            <w:tcW w:w="2268" w:type="dxa"/>
            <w:vAlign w:val="center"/>
          </w:tcPr>
          <w:p>
            <w:pPr>
              <w:pStyle w:val="14"/>
            </w:pPr>
            <w:r>
              <w:t>2024年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服务点改造费用</w:t>
            </w:r>
          </w:p>
        </w:tc>
        <w:tc>
          <w:tcPr>
            <w:tcW w:w="5386" w:type="dxa"/>
            <w:vAlign w:val="center"/>
          </w:tcPr>
          <w:p>
            <w:pPr>
              <w:pStyle w:val="14"/>
            </w:pPr>
            <w:r>
              <w:t>反映服务点改造费用</w:t>
            </w:r>
          </w:p>
        </w:tc>
        <w:tc>
          <w:tcPr>
            <w:tcW w:w="2268" w:type="dxa"/>
            <w:vAlign w:val="center"/>
          </w:tcPr>
          <w:p>
            <w:pPr>
              <w:pStyle w:val="14"/>
            </w:pPr>
            <w:r>
              <w:t>20万元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服务点运行费用</w:t>
            </w:r>
          </w:p>
        </w:tc>
        <w:tc>
          <w:tcPr>
            <w:tcW w:w="5386" w:type="dxa"/>
            <w:vAlign w:val="center"/>
          </w:tcPr>
          <w:p>
            <w:pPr>
              <w:pStyle w:val="14"/>
            </w:pPr>
            <w:r>
              <w:t>反映服务点运行费用</w:t>
            </w:r>
          </w:p>
        </w:tc>
        <w:tc>
          <w:tcPr>
            <w:tcW w:w="2268" w:type="dxa"/>
            <w:vAlign w:val="center"/>
          </w:tcPr>
          <w:p>
            <w:pPr>
              <w:pStyle w:val="14"/>
            </w:pPr>
            <w:r>
              <w:t>≥4.34万元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提高防疫成效，提高办事效率</w:t>
            </w:r>
          </w:p>
        </w:tc>
        <w:tc>
          <w:tcPr>
            <w:tcW w:w="5386" w:type="dxa"/>
            <w:vAlign w:val="center"/>
          </w:tcPr>
          <w:p>
            <w:pPr>
              <w:pStyle w:val="14"/>
            </w:pPr>
            <w:r>
              <w:t>通过项目实施满足居民区卫生服务点正常运转</w:t>
            </w:r>
          </w:p>
        </w:tc>
        <w:tc>
          <w:tcPr>
            <w:tcW w:w="2268" w:type="dxa"/>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可持续年限</w:t>
            </w:r>
          </w:p>
        </w:tc>
        <w:tc>
          <w:tcPr>
            <w:tcW w:w="5386" w:type="dxa"/>
            <w:vAlign w:val="center"/>
          </w:tcPr>
          <w:p>
            <w:pPr>
              <w:pStyle w:val="14"/>
            </w:pPr>
            <w:r>
              <w:t>移动板房可持续使用年限</w:t>
            </w:r>
          </w:p>
        </w:tc>
        <w:tc>
          <w:tcPr>
            <w:tcW w:w="2268" w:type="dxa"/>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小区居民满意度</w:t>
            </w:r>
          </w:p>
        </w:tc>
        <w:tc>
          <w:tcPr>
            <w:tcW w:w="5386" w:type="dxa"/>
            <w:vAlign w:val="center"/>
          </w:tcPr>
          <w:p>
            <w:pPr>
              <w:pStyle w:val="14"/>
            </w:pPr>
            <w:r>
              <w:t>通过问卷调查，小区居民满意和基本满意的人员占所有调查人员的比例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5、居民区卫生服务点资金绩效目标表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13032126P00000810012B</w:t>
            </w:r>
          </w:p>
        </w:tc>
        <w:tc>
          <w:tcPr>
            <w:tcW w:w="2835" w:type="dxa"/>
            <w:vAlign w:val="center"/>
          </w:tcPr>
          <w:p>
            <w:pPr>
              <w:pStyle w:val="12"/>
            </w:pPr>
            <w:r>
              <w:t>项目名称</w:t>
            </w:r>
          </w:p>
        </w:tc>
        <w:tc>
          <w:tcPr>
            <w:tcW w:w="6095" w:type="dxa"/>
            <w:gridSpan w:val="3"/>
            <w:vAlign w:val="center"/>
          </w:tcPr>
          <w:p>
            <w:pPr>
              <w:pStyle w:val="14"/>
            </w:pPr>
            <w:r>
              <w:t>居民区卫生服务点资金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4.17</w:t>
            </w:r>
          </w:p>
        </w:tc>
        <w:tc>
          <w:tcPr>
            <w:tcW w:w="2835" w:type="dxa"/>
            <w:vAlign w:val="center"/>
          </w:tcPr>
          <w:p>
            <w:pPr>
              <w:pStyle w:val="12"/>
            </w:pPr>
            <w:r>
              <w:t>其中：财政    资金</w:t>
            </w:r>
          </w:p>
        </w:tc>
        <w:tc>
          <w:tcPr>
            <w:tcW w:w="2551" w:type="dxa"/>
            <w:vAlign w:val="center"/>
          </w:tcPr>
          <w:p>
            <w:pPr>
              <w:pStyle w:val="14"/>
            </w:pPr>
            <w:r>
              <w:t>4.17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预算资金4.17万元，其中财政资金4.17万元，主要用于居民区卫生服务点.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1.通过服务点的装修和制度牌等的购买，达到居民区卫生服务点的启用标准。</w:t>
            </w:r>
            <w:r>
              <w:tab/>
            </w:r>
            <w:r>
              <w:tab/>
            </w:r>
            <w:r>
              <w:tab/>
            </w:r>
          </w:p>
          <w:p>
            <w:pPr>
              <w:pStyle w:val="14"/>
            </w:pPr>
            <w:r>
              <w:tab/>
            </w:r>
            <w:r>
              <w:tab/>
            </w:r>
            <w:r>
              <w:tab/>
            </w:r>
            <w:r>
              <w:tab/>
            </w:r>
            <w:r>
              <w:tab/>
            </w:r>
          </w:p>
          <w:p>
            <w:pPr>
              <w:pStyle w:val="14"/>
            </w:pPr>
          </w:p>
          <w:p>
            <w:pPr>
              <w:pStyle w:val="14"/>
            </w:pPr>
            <w:r>
              <w:t>2.通过居民卫生服务点的建设，增强疫情防控“哨点”作用，进一步做好居民区疫情防控工作。</w:t>
            </w:r>
            <w:r>
              <w:tab/>
            </w:r>
            <w:r>
              <w:tab/>
            </w:r>
            <w:r>
              <w:tab/>
            </w:r>
          </w:p>
          <w:p>
            <w:pPr>
              <w:pStyle w:val="14"/>
            </w:pP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移动板房数量</w:t>
            </w:r>
          </w:p>
        </w:tc>
        <w:tc>
          <w:tcPr>
            <w:tcW w:w="5386" w:type="dxa"/>
            <w:vAlign w:val="center"/>
          </w:tcPr>
          <w:p>
            <w:pPr>
              <w:pStyle w:val="14"/>
            </w:pPr>
            <w:r>
              <w:t>建移动板房数量</w:t>
            </w:r>
          </w:p>
        </w:tc>
        <w:tc>
          <w:tcPr>
            <w:tcW w:w="2268" w:type="dxa"/>
            <w:vAlign w:val="center"/>
          </w:tcPr>
          <w:p>
            <w:pPr>
              <w:pStyle w:val="14"/>
            </w:pPr>
            <w:r>
              <w:t>24个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改造项目合格率</w:t>
            </w:r>
          </w:p>
        </w:tc>
        <w:tc>
          <w:tcPr>
            <w:tcW w:w="5386" w:type="dxa"/>
            <w:vAlign w:val="center"/>
          </w:tcPr>
          <w:p>
            <w:pPr>
              <w:pStyle w:val="14"/>
            </w:pPr>
            <w:r>
              <w:t>反映改造项目合格率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改造费用支付及时性</w:t>
            </w:r>
          </w:p>
        </w:tc>
        <w:tc>
          <w:tcPr>
            <w:tcW w:w="5386" w:type="dxa"/>
            <w:vAlign w:val="center"/>
          </w:tcPr>
          <w:p>
            <w:pPr>
              <w:pStyle w:val="14"/>
            </w:pPr>
            <w:r>
              <w:t>反映服务点改造费用支付及时性</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完工日期</w:t>
            </w:r>
          </w:p>
        </w:tc>
        <w:tc>
          <w:tcPr>
            <w:tcW w:w="5386" w:type="dxa"/>
            <w:vAlign w:val="center"/>
          </w:tcPr>
          <w:p>
            <w:pPr>
              <w:pStyle w:val="14"/>
            </w:pPr>
            <w:r>
              <w:t>反映居民区卫生服务点项目完工时间</w:t>
            </w:r>
          </w:p>
        </w:tc>
        <w:tc>
          <w:tcPr>
            <w:tcW w:w="2268" w:type="dxa"/>
            <w:vAlign w:val="center"/>
          </w:tcPr>
          <w:p>
            <w:pPr>
              <w:pStyle w:val="14"/>
            </w:pPr>
            <w:r>
              <w:t>2026年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服务点改造费用</w:t>
            </w:r>
          </w:p>
        </w:tc>
        <w:tc>
          <w:tcPr>
            <w:tcW w:w="5386" w:type="dxa"/>
            <w:vAlign w:val="center"/>
          </w:tcPr>
          <w:p>
            <w:pPr>
              <w:pStyle w:val="14"/>
            </w:pPr>
            <w:r>
              <w:t>反映服务点改造费用</w:t>
            </w:r>
          </w:p>
        </w:tc>
        <w:tc>
          <w:tcPr>
            <w:tcW w:w="2268" w:type="dxa"/>
            <w:vAlign w:val="center"/>
          </w:tcPr>
          <w:p>
            <w:pPr>
              <w:pStyle w:val="14"/>
            </w:pPr>
            <w:r>
              <w:t>20万元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服务点运行费用</w:t>
            </w:r>
          </w:p>
        </w:tc>
        <w:tc>
          <w:tcPr>
            <w:tcW w:w="5386" w:type="dxa"/>
            <w:vAlign w:val="center"/>
          </w:tcPr>
          <w:p>
            <w:pPr>
              <w:pStyle w:val="14"/>
            </w:pPr>
            <w:r>
              <w:t>反映服务点运行费用</w:t>
            </w:r>
          </w:p>
        </w:tc>
        <w:tc>
          <w:tcPr>
            <w:tcW w:w="2268" w:type="dxa"/>
            <w:vAlign w:val="center"/>
          </w:tcPr>
          <w:p>
            <w:pPr>
              <w:pStyle w:val="14"/>
            </w:pPr>
            <w:r>
              <w:t>≥4.17万元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提高防疫成效，提高办事效率</w:t>
            </w:r>
          </w:p>
        </w:tc>
        <w:tc>
          <w:tcPr>
            <w:tcW w:w="5386" w:type="dxa"/>
            <w:vAlign w:val="center"/>
          </w:tcPr>
          <w:p>
            <w:pPr>
              <w:pStyle w:val="14"/>
            </w:pPr>
            <w:r>
              <w:t>通过项目实施满足居民区卫生服务点正常运转</w:t>
            </w:r>
          </w:p>
        </w:tc>
        <w:tc>
          <w:tcPr>
            <w:tcW w:w="2268" w:type="dxa"/>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可持续年限</w:t>
            </w:r>
          </w:p>
        </w:tc>
        <w:tc>
          <w:tcPr>
            <w:tcW w:w="5386" w:type="dxa"/>
            <w:vAlign w:val="center"/>
          </w:tcPr>
          <w:p>
            <w:pPr>
              <w:pStyle w:val="14"/>
            </w:pPr>
            <w:r>
              <w:t>移动板房可持续使用年限</w:t>
            </w:r>
          </w:p>
        </w:tc>
        <w:tc>
          <w:tcPr>
            <w:tcW w:w="2268" w:type="dxa"/>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小区居民满意度</w:t>
            </w:r>
          </w:p>
        </w:tc>
        <w:tc>
          <w:tcPr>
            <w:tcW w:w="5386" w:type="dxa"/>
            <w:vAlign w:val="center"/>
          </w:tcPr>
          <w:p>
            <w:pPr>
              <w:pStyle w:val="14"/>
            </w:pPr>
            <w:r>
              <w:t>通过问卷调查，小区居民满意和基本满意的人员占所有调查人员的比例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6、社区房租绩效目标表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13032126P00000810011P</w:t>
            </w:r>
          </w:p>
        </w:tc>
        <w:tc>
          <w:tcPr>
            <w:tcW w:w="2835" w:type="dxa"/>
            <w:vAlign w:val="center"/>
          </w:tcPr>
          <w:p>
            <w:pPr>
              <w:pStyle w:val="12"/>
            </w:pPr>
            <w:r>
              <w:t>项目名称</w:t>
            </w:r>
          </w:p>
        </w:tc>
        <w:tc>
          <w:tcPr>
            <w:tcW w:w="6095" w:type="dxa"/>
            <w:gridSpan w:val="3"/>
            <w:vAlign w:val="center"/>
          </w:tcPr>
          <w:p>
            <w:pPr>
              <w:pStyle w:val="14"/>
            </w:pPr>
            <w:r>
              <w:t>社区房租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46.27</w:t>
            </w:r>
          </w:p>
        </w:tc>
        <w:tc>
          <w:tcPr>
            <w:tcW w:w="2835" w:type="dxa"/>
            <w:vAlign w:val="center"/>
          </w:tcPr>
          <w:p>
            <w:pPr>
              <w:pStyle w:val="12"/>
            </w:pPr>
            <w:r>
              <w:t>其中：财政    资金</w:t>
            </w:r>
          </w:p>
        </w:tc>
        <w:tc>
          <w:tcPr>
            <w:tcW w:w="2551" w:type="dxa"/>
            <w:vAlign w:val="center"/>
          </w:tcPr>
          <w:p>
            <w:pPr>
              <w:pStyle w:val="14"/>
            </w:pPr>
            <w:r>
              <w:t>46.27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预算资金46.27万元，其中财政资金46.27，主要用于社区房租。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1.通过租赁办公房，达到保证正常办公效果。</w:t>
            </w:r>
            <w:r>
              <w:tab/>
            </w:r>
          </w:p>
          <w:p>
            <w:pPr>
              <w:pStyle w:val="14"/>
            </w:pPr>
          </w:p>
          <w:p>
            <w:pPr>
              <w:pStyle w:val="14"/>
            </w:pPr>
            <w:r>
              <w:t>2."通过租赁办公用房，实现高效服务。</w:t>
            </w:r>
            <w:r>
              <w:tab/>
            </w:r>
            <w:r>
              <w:tab/>
            </w:r>
            <w:r>
              <w:tab/>
            </w:r>
          </w:p>
          <w:p>
            <w:pPr>
              <w:pStyle w:val="14"/>
            </w:pP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解决办公用房面积</w:t>
            </w:r>
          </w:p>
        </w:tc>
        <w:tc>
          <w:tcPr>
            <w:tcW w:w="5386" w:type="dxa"/>
            <w:vAlign w:val="center"/>
          </w:tcPr>
          <w:p>
            <w:pPr>
              <w:pStyle w:val="14"/>
            </w:pPr>
            <w:r>
              <w:t>反映办公用房租赁情况</w:t>
            </w:r>
          </w:p>
        </w:tc>
        <w:tc>
          <w:tcPr>
            <w:tcW w:w="2268" w:type="dxa"/>
            <w:vAlign w:val="center"/>
          </w:tcPr>
          <w:p>
            <w:pPr>
              <w:pStyle w:val="14"/>
            </w:pPr>
            <w:r>
              <w:t>≥3100平米</w:t>
            </w:r>
          </w:p>
        </w:tc>
        <w:tc>
          <w:tcPr>
            <w:tcW w:w="1276" w:type="dxa"/>
            <w:vAlign w:val="center"/>
          </w:tcPr>
          <w:p>
            <w:pPr>
              <w:pStyle w:val="14"/>
            </w:pPr>
            <w:r>
              <w:t>社区办公场所面积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每年支付房租次数</w:t>
            </w:r>
          </w:p>
        </w:tc>
        <w:tc>
          <w:tcPr>
            <w:tcW w:w="5386" w:type="dxa"/>
            <w:vAlign w:val="center"/>
          </w:tcPr>
          <w:p>
            <w:pPr>
              <w:pStyle w:val="14"/>
            </w:pPr>
            <w:r>
              <w:t>支付办公用房房租次数</w:t>
            </w:r>
          </w:p>
        </w:tc>
        <w:tc>
          <w:tcPr>
            <w:tcW w:w="2268" w:type="dxa"/>
            <w:vAlign w:val="center"/>
          </w:tcPr>
          <w:p>
            <w:pPr>
              <w:pStyle w:val="14"/>
            </w:pPr>
            <w:r>
              <w:t>1次/年</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租赁合同完成率</w:t>
            </w:r>
          </w:p>
        </w:tc>
        <w:tc>
          <w:tcPr>
            <w:tcW w:w="5386" w:type="dxa"/>
            <w:vAlign w:val="center"/>
          </w:tcPr>
          <w:p>
            <w:pPr>
              <w:pStyle w:val="14"/>
            </w:pPr>
            <w:r>
              <w:t>签订办公用房租赁合同完成率</w:t>
            </w:r>
          </w:p>
        </w:tc>
        <w:tc>
          <w:tcPr>
            <w:tcW w:w="2268" w:type="dxa"/>
            <w:vAlign w:val="center"/>
          </w:tcPr>
          <w:p>
            <w:pPr>
              <w:pStyle w:val="14"/>
            </w:pPr>
            <w:r>
              <w:t>≥95%</w:t>
            </w:r>
          </w:p>
        </w:tc>
        <w:tc>
          <w:tcPr>
            <w:tcW w:w="1276" w:type="dxa"/>
            <w:vAlign w:val="center"/>
          </w:tcPr>
          <w:p>
            <w:pPr>
              <w:pStyle w:val="14"/>
            </w:pPr>
            <w:r>
              <w:t>合同约定</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及时支付比率</w:t>
            </w:r>
          </w:p>
        </w:tc>
        <w:tc>
          <w:tcPr>
            <w:tcW w:w="5386" w:type="dxa"/>
            <w:vAlign w:val="center"/>
          </w:tcPr>
          <w:p>
            <w:pPr>
              <w:pStyle w:val="14"/>
            </w:pPr>
            <w:r>
              <w:t>支付房租及时率</w:t>
            </w:r>
          </w:p>
        </w:tc>
        <w:tc>
          <w:tcPr>
            <w:tcW w:w="2268" w:type="dxa"/>
            <w:vAlign w:val="center"/>
          </w:tcPr>
          <w:p>
            <w:pPr>
              <w:pStyle w:val="14"/>
            </w:pPr>
            <w:r>
              <w:t>≥95%</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资金费用支付及时性</w:t>
            </w:r>
          </w:p>
        </w:tc>
        <w:tc>
          <w:tcPr>
            <w:tcW w:w="5386" w:type="dxa"/>
            <w:vAlign w:val="center"/>
          </w:tcPr>
          <w:p>
            <w:pPr>
              <w:pStyle w:val="14"/>
            </w:pPr>
            <w:r>
              <w:t>反映各项费用支出及时情况</w:t>
            </w:r>
          </w:p>
        </w:tc>
        <w:tc>
          <w:tcPr>
            <w:tcW w:w="2268" w:type="dxa"/>
            <w:vAlign w:val="center"/>
          </w:tcPr>
          <w:p>
            <w:pPr>
              <w:pStyle w:val="14"/>
            </w:pPr>
            <w:r>
              <w:t>≥95%</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预算范围内</w:t>
            </w:r>
          </w:p>
        </w:tc>
        <w:tc>
          <w:tcPr>
            <w:tcW w:w="5386" w:type="dxa"/>
            <w:vAlign w:val="center"/>
          </w:tcPr>
          <w:p>
            <w:pPr>
              <w:pStyle w:val="14"/>
            </w:pPr>
            <w:r>
              <w:t>每年支付房屋租赁费</w:t>
            </w:r>
          </w:p>
        </w:tc>
        <w:tc>
          <w:tcPr>
            <w:tcW w:w="2268" w:type="dxa"/>
            <w:vAlign w:val="center"/>
          </w:tcPr>
          <w:p>
            <w:pPr>
              <w:pStyle w:val="14"/>
            </w:pPr>
            <w:r>
              <w:t>46.27万元</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解决办公用房人数</w:t>
            </w:r>
          </w:p>
        </w:tc>
        <w:tc>
          <w:tcPr>
            <w:tcW w:w="5386" w:type="dxa"/>
            <w:vAlign w:val="center"/>
          </w:tcPr>
          <w:p>
            <w:pPr>
              <w:pStyle w:val="14"/>
            </w:pPr>
            <w:r>
              <w:t>反映租用房屋所解决的办公用房人数</w:t>
            </w:r>
          </w:p>
        </w:tc>
        <w:tc>
          <w:tcPr>
            <w:tcW w:w="2268" w:type="dxa"/>
            <w:vAlign w:val="center"/>
          </w:tcPr>
          <w:p>
            <w:pPr>
              <w:pStyle w:val="14"/>
            </w:pPr>
            <w:r>
              <w:t>115人</w:t>
            </w:r>
          </w:p>
        </w:tc>
        <w:tc>
          <w:tcPr>
            <w:tcW w:w="1276" w:type="dxa"/>
            <w:vAlign w:val="center"/>
          </w:tcPr>
          <w:p>
            <w:pPr>
              <w:pStyle w:val="14"/>
            </w:pPr>
            <w:r>
              <w:t>社区干部人员名单</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通过及时支付运转经费，保障日常工作的持续有序推进</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单位工作人员满意率</w:t>
            </w:r>
          </w:p>
        </w:tc>
        <w:tc>
          <w:tcPr>
            <w:tcW w:w="5386" w:type="dxa"/>
            <w:vAlign w:val="center"/>
          </w:tcPr>
          <w:p>
            <w:pPr>
              <w:pStyle w:val="14"/>
            </w:pPr>
            <w:r>
              <w:t>反映单位工作人员满意率</w:t>
            </w:r>
          </w:p>
        </w:tc>
        <w:tc>
          <w:tcPr>
            <w:tcW w:w="2268" w:type="dxa"/>
            <w:vAlign w:val="center"/>
          </w:tcPr>
          <w:p>
            <w:pPr>
              <w:pStyle w:val="14"/>
            </w:pPr>
            <w:r>
              <w:t>≥95%</w:t>
            </w:r>
          </w:p>
        </w:tc>
        <w:tc>
          <w:tcPr>
            <w:tcW w:w="1276" w:type="dxa"/>
            <w:vAlign w:val="center"/>
          </w:tcPr>
          <w:p>
            <w:pPr>
              <w:pStyle w:val="14"/>
            </w:pPr>
            <w:r>
              <w:t>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7、社区工作经费绩效目标表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13032125P00000810001D</w:t>
            </w:r>
          </w:p>
        </w:tc>
        <w:tc>
          <w:tcPr>
            <w:tcW w:w="2835" w:type="dxa"/>
            <w:vAlign w:val="center"/>
          </w:tcPr>
          <w:p>
            <w:pPr>
              <w:pStyle w:val="12"/>
            </w:pPr>
            <w:r>
              <w:t>项目名称</w:t>
            </w:r>
          </w:p>
        </w:tc>
        <w:tc>
          <w:tcPr>
            <w:tcW w:w="6095" w:type="dxa"/>
            <w:gridSpan w:val="3"/>
            <w:vAlign w:val="center"/>
          </w:tcPr>
          <w:p>
            <w:pPr>
              <w:pStyle w:val="14"/>
            </w:pPr>
            <w:r>
              <w:t>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0.79</w:t>
            </w:r>
          </w:p>
        </w:tc>
        <w:tc>
          <w:tcPr>
            <w:tcW w:w="2835" w:type="dxa"/>
            <w:vAlign w:val="center"/>
          </w:tcPr>
          <w:p>
            <w:pPr>
              <w:pStyle w:val="12"/>
            </w:pPr>
            <w:r>
              <w:t>其中：财政    资金</w:t>
            </w:r>
          </w:p>
        </w:tc>
        <w:tc>
          <w:tcPr>
            <w:tcW w:w="2551" w:type="dxa"/>
            <w:vAlign w:val="center"/>
          </w:tcPr>
          <w:p>
            <w:pPr>
              <w:pStyle w:val="14"/>
            </w:pPr>
            <w:r>
              <w:t>0.79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预算安排资金50万元，其中财政资金50万元，主要用于日常工作有序开展，保证社区职能的有效履行。</w:t>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1.通过购置办公用品及办公设施，保证社区各项工作正常运转。</w:t>
            </w:r>
            <w:r>
              <w:tab/>
            </w:r>
            <w:r>
              <w:tab/>
            </w:r>
          </w:p>
          <w:p>
            <w:pPr>
              <w:pStyle w:val="14"/>
            </w:pPr>
            <w:r>
              <w:t>2.通过日常工作有序开展，保证社区职能的有效履行。</w:t>
            </w:r>
            <w:r>
              <w:tab/>
            </w:r>
          </w:p>
          <w:p>
            <w:pPr>
              <w:pStyle w:val="14"/>
            </w:pPr>
          </w:p>
          <w:p>
            <w:pPr>
              <w:pStyle w:val="14"/>
            </w:pPr>
            <w:r>
              <w:t>3.通过及时支付水电网、社区房租等费用，为社区正常运转提供基本保障。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支付办公费保障人数</w:t>
            </w:r>
          </w:p>
        </w:tc>
        <w:tc>
          <w:tcPr>
            <w:tcW w:w="5386" w:type="dxa"/>
            <w:vAlign w:val="center"/>
          </w:tcPr>
          <w:p>
            <w:pPr>
              <w:pStyle w:val="14"/>
            </w:pPr>
            <w:r>
              <w:t>支付办公费的人数</w:t>
            </w:r>
          </w:p>
        </w:tc>
        <w:tc>
          <w:tcPr>
            <w:tcW w:w="2268" w:type="dxa"/>
            <w:vAlign w:val="center"/>
          </w:tcPr>
          <w:p>
            <w:pPr>
              <w:pStyle w:val="14"/>
            </w:pPr>
            <w:r>
              <w:t>62人</w:t>
            </w:r>
          </w:p>
        </w:tc>
        <w:tc>
          <w:tcPr>
            <w:tcW w:w="1276" w:type="dxa"/>
            <w:vAlign w:val="center"/>
          </w:tcPr>
          <w:p>
            <w:pPr>
              <w:pStyle w:val="14"/>
            </w:pPr>
            <w:r>
              <w:t>社区干部人员名单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保障水电暖等办公空间面积数</w:t>
            </w:r>
          </w:p>
        </w:tc>
        <w:tc>
          <w:tcPr>
            <w:tcW w:w="5386" w:type="dxa"/>
            <w:vAlign w:val="center"/>
          </w:tcPr>
          <w:p>
            <w:pPr>
              <w:pStyle w:val="14"/>
            </w:pPr>
            <w:r>
              <w:t>支付水电费及供暖的办公场所面积数</w:t>
            </w:r>
          </w:p>
        </w:tc>
        <w:tc>
          <w:tcPr>
            <w:tcW w:w="2268" w:type="dxa"/>
            <w:vAlign w:val="center"/>
          </w:tcPr>
          <w:p>
            <w:pPr>
              <w:pStyle w:val="14"/>
            </w:pPr>
            <w:r>
              <w:t>4500平方米</w:t>
            </w:r>
          </w:p>
        </w:tc>
        <w:tc>
          <w:tcPr>
            <w:tcW w:w="1276" w:type="dxa"/>
            <w:vAlign w:val="center"/>
          </w:tcPr>
          <w:p>
            <w:pPr>
              <w:pStyle w:val="14"/>
            </w:pPr>
            <w:r>
              <w:t>10个社区办公场所面积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购买的办公用品合格数量占全部购买办公用品数量的比例</w:t>
            </w:r>
          </w:p>
        </w:tc>
        <w:tc>
          <w:tcPr>
            <w:tcW w:w="2268" w:type="dxa"/>
            <w:vAlign w:val="center"/>
          </w:tcPr>
          <w:p>
            <w:pPr>
              <w:pStyle w:val="14"/>
            </w:pPr>
            <w:r>
              <w:t>100%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办公场所水电费保障率</w:t>
            </w:r>
          </w:p>
        </w:tc>
        <w:tc>
          <w:tcPr>
            <w:tcW w:w="5386" w:type="dxa"/>
            <w:vAlign w:val="center"/>
          </w:tcPr>
          <w:p>
            <w:pPr>
              <w:pStyle w:val="14"/>
            </w:pPr>
            <w:r>
              <w:t>反映办公场所水电暖等基础设施费用的稳定情况</w:t>
            </w:r>
          </w:p>
        </w:tc>
        <w:tc>
          <w:tcPr>
            <w:tcW w:w="2268" w:type="dxa"/>
            <w:vAlign w:val="center"/>
          </w:tcPr>
          <w:p>
            <w:pPr>
              <w:pStyle w:val="14"/>
            </w:pPr>
            <w:r>
              <w:t>≥98%</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资金费用支付及时性</w:t>
            </w:r>
          </w:p>
        </w:tc>
        <w:tc>
          <w:tcPr>
            <w:tcW w:w="5386" w:type="dxa"/>
            <w:vAlign w:val="center"/>
          </w:tcPr>
          <w:p>
            <w:pPr>
              <w:pStyle w:val="14"/>
            </w:pPr>
            <w:r>
              <w:t>反映各项费用支出及时情况</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租赁办公场所费用</w:t>
            </w:r>
          </w:p>
        </w:tc>
        <w:tc>
          <w:tcPr>
            <w:tcW w:w="5386" w:type="dxa"/>
            <w:vAlign w:val="center"/>
          </w:tcPr>
          <w:p>
            <w:pPr>
              <w:pStyle w:val="14"/>
            </w:pPr>
            <w:r>
              <w:t>房租费成本</w:t>
            </w:r>
          </w:p>
        </w:tc>
        <w:tc>
          <w:tcPr>
            <w:tcW w:w="2268" w:type="dxa"/>
            <w:vAlign w:val="center"/>
          </w:tcPr>
          <w:p>
            <w:pPr>
              <w:pStyle w:val="14"/>
            </w:pPr>
            <w:r>
              <w:t>29.46万元</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人均定额金额</w:t>
            </w:r>
          </w:p>
        </w:tc>
        <w:tc>
          <w:tcPr>
            <w:tcW w:w="5386" w:type="dxa"/>
            <w:vAlign w:val="center"/>
          </w:tcPr>
          <w:p>
            <w:pPr>
              <w:pStyle w:val="14"/>
            </w:pPr>
            <w:r>
              <w:t>运转人均定额金额</w:t>
            </w:r>
          </w:p>
        </w:tc>
        <w:tc>
          <w:tcPr>
            <w:tcW w:w="2268" w:type="dxa"/>
            <w:vAlign w:val="center"/>
          </w:tcPr>
          <w:p>
            <w:pPr>
              <w:pStyle w:val="14"/>
            </w:pPr>
            <w:r>
              <w:t>≤0.8万元/人</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网络运行维护费</w:t>
            </w:r>
          </w:p>
        </w:tc>
        <w:tc>
          <w:tcPr>
            <w:tcW w:w="5386" w:type="dxa"/>
            <w:vAlign w:val="center"/>
          </w:tcPr>
          <w:p>
            <w:pPr>
              <w:pStyle w:val="14"/>
            </w:pPr>
            <w:r>
              <w:t>网络运行维护的成本</w:t>
            </w:r>
          </w:p>
        </w:tc>
        <w:tc>
          <w:tcPr>
            <w:tcW w:w="2268" w:type="dxa"/>
            <w:vAlign w:val="center"/>
          </w:tcPr>
          <w:p>
            <w:pPr>
              <w:pStyle w:val="14"/>
            </w:pPr>
            <w:r>
              <w:t>≤2.1万元/社区</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日常工作有效运转率</w:t>
            </w:r>
          </w:p>
        </w:tc>
        <w:tc>
          <w:tcPr>
            <w:tcW w:w="5386" w:type="dxa"/>
            <w:vAlign w:val="center"/>
          </w:tcPr>
          <w:p>
            <w:pPr>
              <w:pStyle w:val="14"/>
            </w:pPr>
            <w:r>
              <w:t>通过及时支付运转经费，有效保证单位各项日常工作顺利开展</w:t>
            </w:r>
          </w:p>
        </w:tc>
        <w:tc>
          <w:tcPr>
            <w:tcW w:w="2268" w:type="dxa"/>
            <w:vAlign w:val="center"/>
          </w:tcPr>
          <w:p>
            <w:pPr>
              <w:pStyle w:val="14"/>
            </w:pPr>
            <w:r>
              <w:t>≥98%</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5386" w:type="dxa"/>
            <w:vAlign w:val="center"/>
          </w:tcPr>
          <w:p>
            <w:pPr>
              <w:pStyle w:val="14"/>
            </w:pPr>
            <w:r>
              <w:t>节约水、电等资源，降低能耗，实现绿色办公，反映较上年节约率</w:t>
            </w:r>
          </w:p>
        </w:tc>
        <w:tc>
          <w:tcPr>
            <w:tcW w:w="2268" w:type="dxa"/>
            <w:vAlign w:val="center"/>
          </w:tcPr>
          <w:p>
            <w:pPr>
              <w:pStyle w:val="14"/>
            </w:pPr>
            <w:r>
              <w:t>≥1%</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通过及时支付运转经费，保障日常工作的持续有序推进</w:t>
            </w:r>
          </w:p>
        </w:tc>
        <w:tc>
          <w:tcPr>
            <w:tcW w:w="2268" w:type="dxa"/>
            <w:vAlign w:val="center"/>
          </w:tcPr>
          <w:p>
            <w:pPr>
              <w:pStyle w:val="14"/>
            </w:pPr>
            <w:r>
              <w:t>≥98%</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8、社区工作经费绩效目标表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13032126P000008100104</w:t>
            </w:r>
          </w:p>
        </w:tc>
        <w:tc>
          <w:tcPr>
            <w:tcW w:w="2835" w:type="dxa"/>
            <w:vAlign w:val="center"/>
          </w:tcPr>
          <w:p>
            <w:pPr>
              <w:pStyle w:val="12"/>
            </w:pPr>
            <w:r>
              <w:t>项目名称</w:t>
            </w:r>
          </w:p>
        </w:tc>
        <w:tc>
          <w:tcPr>
            <w:tcW w:w="6095" w:type="dxa"/>
            <w:gridSpan w:val="3"/>
            <w:vAlign w:val="center"/>
          </w:tcPr>
          <w:p>
            <w:pPr>
              <w:pStyle w:val="14"/>
            </w:pPr>
            <w:r>
              <w:t>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预算资金60万元，其中财政资金60万元，主要用于社区工作经费。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1."通过日常工作有序开展，保证社区职能的有效履行。</w:t>
            </w:r>
          </w:p>
          <w:p>
            <w:pPr>
              <w:pStyle w:val="14"/>
            </w:pPr>
            <w:r>
              <w:t>"</w:t>
            </w:r>
            <w:r>
              <w:tab/>
            </w:r>
            <w:r>
              <w:tab/>
            </w:r>
            <w:r>
              <w:tab/>
            </w:r>
            <w:r>
              <w:tab/>
            </w:r>
            <w:r>
              <w:tab/>
            </w:r>
            <w:r>
              <w:tab/>
            </w:r>
          </w:p>
          <w:p>
            <w:pPr>
              <w:pStyle w:val="14"/>
            </w:pPr>
          </w:p>
          <w:p>
            <w:pPr>
              <w:pStyle w:val="14"/>
            </w:pPr>
            <w:r>
              <w:t>2.通过及时支付水电网、社区房租等费用，为社区正常运转提供基本保障。</w:t>
            </w:r>
          </w:p>
          <w:p>
            <w:pPr>
              <w:pStyle w:val="14"/>
            </w:pPr>
            <w:r>
              <w:t>3."通过购置办公用品及办公设施，保证社区各项工作正常运转。</w:t>
            </w:r>
            <w:r>
              <w:tab/>
            </w: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支付办公费保障人数</w:t>
            </w:r>
          </w:p>
        </w:tc>
        <w:tc>
          <w:tcPr>
            <w:tcW w:w="5386" w:type="dxa"/>
            <w:vAlign w:val="center"/>
          </w:tcPr>
          <w:p>
            <w:pPr>
              <w:pStyle w:val="14"/>
            </w:pPr>
            <w:r>
              <w:t>支付办公费的人数</w:t>
            </w:r>
          </w:p>
        </w:tc>
        <w:tc>
          <w:tcPr>
            <w:tcW w:w="2268" w:type="dxa"/>
            <w:vAlign w:val="center"/>
          </w:tcPr>
          <w:p>
            <w:pPr>
              <w:pStyle w:val="14"/>
            </w:pPr>
            <w:r>
              <w:t>115人</w:t>
            </w:r>
          </w:p>
        </w:tc>
        <w:tc>
          <w:tcPr>
            <w:tcW w:w="1276" w:type="dxa"/>
            <w:vAlign w:val="center"/>
          </w:tcPr>
          <w:p>
            <w:pPr>
              <w:pStyle w:val="14"/>
            </w:pPr>
            <w:r>
              <w:t>社区干部人员名单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保障水电暖等办公空间面积数</w:t>
            </w:r>
          </w:p>
        </w:tc>
        <w:tc>
          <w:tcPr>
            <w:tcW w:w="5386" w:type="dxa"/>
            <w:vAlign w:val="center"/>
          </w:tcPr>
          <w:p>
            <w:pPr>
              <w:pStyle w:val="14"/>
            </w:pPr>
            <w:r>
              <w:t>支付水电费及供暖的办公场所面积数</w:t>
            </w:r>
          </w:p>
        </w:tc>
        <w:tc>
          <w:tcPr>
            <w:tcW w:w="2268" w:type="dxa"/>
            <w:vAlign w:val="center"/>
          </w:tcPr>
          <w:p>
            <w:pPr>
              <w:pStyle w:val="14"/>
            </w:pPr>
            <w:r>
              <w:t>4500平方米</w:t>
            </w:r>
          </w:p>
        </w:tc>
        <w:tc>
          <w:tcPr>
            <w:tcW w:w="1276" w:type="dxa"/>
            <w:vAlign w:val="center"/>
          </w:tcPr>
          <w:p>
            <w:pPr>
              <w:pStyle w:val="14"/>
            </w:pPr>
            <w:r>
              <w:t>10个社区办公场所面积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购买的办公用品合格数量占全部购买办公用品数量的比例</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办公场所水电费保障率</w:t>
            </w:r>
          </w:p>
        </w:tc>
        <w:tc>
          <w:tcPr>
            <w:tcW w:w="5386" w:type="dxa"/>
            <w:vAlign w:val="center"/>
          </w:tcPr>
          <w:p>
            <w:pPr>
              <w:pStyle w:val="14"/>
            </w:pPr>
            <w:r>
              <w:t>反映办公场所水电暖等基础设施费用的稳定情况</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资金费用支付及时性</w:t>
            </w:r>
          </w:p>
        </w:tc>
        <w:tc>
          <w:tcPr>
            <w:tcW w:w="5386" w:type="dxa"/>
            <w:vAlign w:val="center"/>
          </w:tcPr>
          <w:p>
            <w:pPr>
              <w:pStyle w:val="14"/>
            </w:pPr>
            <w:r>
              <w:t>反映各项费用支出及时情况</w:t>
            </w:r>
          </w:p>
        </w:tc>
        <w:tc>
          <w:tcPr>
            <w:tcW w:w="2268" w:type="dxa"/>
            <w:vAlign w:val="center"/>
          </w:tcPr>
          <w:p>
            <w:pPr>
              <w:pStyle w:val="14"/>
            </w:pPr>
            <w:r>
              <w:t>≥95%</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租赁办公场所费用</w:t>
            </w:r>
          </w:p>
        </w:tc>
        <w:tc>
          <w:tcPr>
            <w:tcW w:w="5386" w:type="dxa"/>
            <w:vAlign w:val="center"/>
          </w:tcPr>
          <w:p>
            <w:pPr>
              <w:pStyle w:val="14"/>
            </w:pPr>
            <w:r>
              <w:t>房租费成本</w:t>
            </w:r>
          </w:p>
        </w:tc>
        <w:tc>
          <w:tcPr>
            <w:tcW w:w="2268" w:type="dxa"/>
            <w:vAlign w:val="center"/>
          </w:tcPr>
          <w:p>
            <w:pPr>
              <w:pStyle w:val="14"/>
            </w:pPr>
            <w:r>
              <w:t>29.46万元</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人均定额金额</w:t>
            </w:r>
          </w:p>
        </w:tc>
        <w:tc>
          <w:tcPr>
            <w:tcW w:w="5386" w:type="dxa"/>
            <w:vAlign w:val="center"/>
          </w:tcPr>
          <w:p>
            <w:pPr>
              <w:pStyle w:val="14"/>
            </w:pPr>
            <w:r>
              <w:t>运转人均定额金额</w:t>
            </w:r>
          </w:p>
        </w:tc>
        <w:tc>
          <w:tcPr>
            <w:tcW w:w="2268" w:type="dxa"/>
            <w:vAlign w:val="center"/>
          </w:tcPr>
          <w:p>
            <w:pPr>
              <w:pStyle w:val="14"/>
            </w:pPr>
            <w:r>
              <w:t>≤0.8万元/人</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网络运行维护费</w:t>
            </w:r>
          </w:p>
        </w:tc>
        <w:tc>
          <w:tcPr>
            <w:tcW w:w="5386" w:type="dxa"/>
            <w:vAlign w:val="center"/>
          </w:tcPr>
          <w:p>
            <w:pPr>
              <w:pStyle w:val="14"/>
            </w:pPr>
            <w:r>
              <w:t>网络运行维护的成本</w:t>
            </w:r>
          </w:p>
        </w:tc>
        <w:tc>
          <w:tcPr>
            <w:tcW w:w="2268" w:type="dxa"/>
            <w:vAlign w:val="center"/>
          </w:tcPr>
          <w:p>
            <w:pPr>
              <w:pStyle w:val="14"/>
            </w:pPr>
            <w:r>
              <w:t>≤2.1万元/社区</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日常工作有效运转率</w:t>
            </w:r>
          </w:p>
        </w:tc>
        <w:tc>
          <w:tcPr>
            <w:tcW w:w="5386" w:type="dxa"/>
            <w:vAlign w:val="center"/>
          </w:tcPr>
          <w:p>
            <w:pPr>
              <w:pStyle w:val="14"/>
            </w:pPr>
            <w:r>
              <w:t>通过及时支付运转经费，有效保证单位各项日常工作顺利开展</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5386" w:type="dxa"/>
            <w:vAlign w:val="center"/>
          </w:tcPr>
          <w:p>
            <w:pPr>
              <w:pStyle w:val="14"/>
            </w:pPr>
            <w:r>
              <w:t>节约水、电等资源，降低能耗，实现绿色办公，反映较上年节约率</w:t>
            </w:r>
          </w:p>
        </w:tc>
        <w:tc>
          <w:tcPr>
            <w:tcW w:w="2268" w:type="dxa"/>
            <w:vAlign w:val="center"/>
          </w:tcPr>
          <w:p>
            <w:pPr>
              <w:pStyle w:val="14"/>
            </w:pPr>
            <w:r>
              <w:t>≥1%</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通过及时支付运转经费，保障日常工作的持续有序推进</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9、武装专项经费绩效目标表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13032125P000116100837</w:t>
            </w:r>
          </w:p>
        </w:tc>
        <w:tc>
          <w:tcPr>
            <w:tcW w:w="2835" w:type="dxa"/>
            <w:vAlign w:val="center"/>
          </w:tcPr>
          <w:p>
            <w:pPr>
              <w:pStyle w:val="12"/>
            </w:pPr>
            <w:r>
              <w:t>项目名称</w:t>
            </w:r>
          </w:p>
        </w:tc>
        <w:tc>
          <w:tcPr>
            <w:tcW w:w="6095" w:type="dxa"/>
            <w:gridSpan w:val="3"/>
            <w:vAlign w:val="center"/>
          </w:tcPr>
          <w:p>
            <w:pPr>
              <w:pStyle w:val="14"/>
            </w:pPr>
            <w:r>
              <w:t>武装专项经费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1.04</w:t>
            </w:r>
          </w:p>
        </w:tc>
        <w:tc>
          <w:tcPr>
            <w:tcW w:w="2835" w:type="dxa"/>
            <w:vAlign w:val="center"/>
          </w:tcPr>
          <w:p>
            <w:pPr>
              <w:pStyle w:val="12"/>
            </w:pPr>
            <w:r>
              <w:t>其中：财政    资金</w:t>
            </w:r>
          </w:p>
        </w:tc>
        <w:tc>
          <w:tcPr>
            <w:tcW w:w="2551" w:type="dxa"/>
            <w:vAlign w:val="center"/>
          </w:tcPr>
          <w:p>
            <w:pPr>
              <w:pStyle w:val="14"/>
            </w:pPr>
            <w:r>
              <w:t>1.04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预算安排金额3万元，其中财政金额3万元，主要用于开展兵役登记、征兵工作，为国家提供高素质兵源。</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1."通过开展民兵训练工作，确保人民武装力量得到保障。</w:t>
            </w:r>
            <w:r>
              <w:tab/>
            </w:r>
            <w:r>
              <w:tab/>
            </w:r>
            <w:r>
              <w:tab/>
            </w:r>
            <w:r>
              <w:tab/>
            </w:r>
            <w:r>
              <w:tab/>
            </w:r>
            <w:r>
              <w:tab/>
            </w:r>
            <w:r>
              <w:tab/>
            </w:r>
            <w:r>
              <w:tab/>
            </w:r>
            <w:r>
              <w:tab/>
            </w:r>
            <w:r>
              <w:tab/>
            </w:r>
            <w:r>
              <w:tab/>
            </w:r>
            <w:r>
              <w:t>"</w:t>
            </w:r>
            <w:r>
              <w:tab/>
            </w:r>
            <w:r>
              <w:tab/>
            </w:r>
            <w:r>
              <w:tab/>
            </w:r>
            <w:r>
              <w:tab/>
            </w:r>
            <w:r>
              <w:tab/>
            </w:r>
            <w:r>
              <w:tab/>
            </w:r>
          </w:p>
          <w:p>
            <w:pPr>
              <w:pStyle w:val="14"/>
            </w:pPr>
          </w:p>
          <w:p>
            <w:pPr>
              <w:pStyle w:val="14"/>
            </w:pPr>
            <w:r>
              <w:t>2."通过开展兵役登记、征兵工作，为国家提供高素质兵源。</w:t>
            </w:r>
            <w:r>
              <w:tab/>
            </w:r>
            <w:r>
              <w:tab/>
            </w:r>
            <w:r>
              <w:tab/>
            </w:r>
            <w:r>
              <w:tab/>
            </w:r>
            <w:r>
              <w:tab/>
            </w:r>
            <w:r>
              <w:tab/>
            </w:r>
            <w:r>
              <w:tab/>
            </w:r>
            <w:r>
              <w:tab/>
            </w:r>
            <w:r>
              <w:tab/>
            </w:r>
            <w:r>
              <w:tab/>
            </w:r>
            <w:r>
              <w:tab/>
            </w: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带动作用</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10、武装专项经费绩效目标表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13032126P00011610221R</w:t>
            </w:r>
          </w:p>
        </w:tc>
        <w:tc>
          <w:tcPr>
            <w:tcW w:w="2835" w:type="dxa"/>
            <w:vAlign w:val="center"/>
          </w:tcPr>
          <w:p>
            <w:pPr>
              <w:pStyle w:val="12"/>
            </w:pPr>
            <w:r>
              <w:t>项目名称</w:t>
            </w:r>
          </w:p>
        </w:tc>
        <w:tc>
          <w:tcPr>
            <w:tcW w:w="6095" w:type="dxa"/>
            <w:gridSpan w:val="3"/>
            <w:vAlign w:val="center"/>
          </w:tcPr>
          <w:p>
            <w:pPr>
              <w:pStyle w:val="14"/>
            </w:pPr>
            <w:r>
              <w:t>武装专项经费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预算资金3万元，其中财政资金3万元，主要用于武装经费.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1.通过开展兵役登记、征兵工作，为国家提供高素质兵源。</w:t>
            </w:r>
            <w:r>
              <w:tab/>
            </w:r>
            <w:r>
              <w:tab/>
            </w:r>
            <w:r>
              <w:tab/>
            </w:r>
            <w:r>
              <w:tab/>
            </w:r>
            <w:r>
              <w:tab/>
            </w:r>
            <w:r>
              <w:tab/>
            </w:r>
            <w:r>
              <w:tab/>
            </w:r>
            <w:r>
              <w:tab/>
            </w:r>
            <w:r>
              <w:tab/>
            </w:r>
            <w:r>
              <w:tab/>
            </w:r>
          </w:p>
          <w:p>
            <w:pPr>
              <w:pStyle w:val="14"/>
            </w:pPr>
          </w:p>
          <w:p>
            <w:pPr>
              <w:pStyle w:val="14"/>
            </w:pPr>
            <w:r>
              <w:t>2.通过开展民兵训练工作，确保人民武装力量得到保障。</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带动作用</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13032125P00333710041U</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8.16</w:t>
            </w:r>
          </w:p>
        </w:tc>
        <w:tc>
          <w:tcPr>
            <w:tcW w:w="2835" w:type="dxa"/>
            <w:vAlign w:val="center"/>
          </w:tcPr>
          <w:p>
            <w:pPr>
              <w:pStyle w:val="12"/>
            </w:pPr>
            <w:r>
              <w:t>其中：财政    资金</w:t>
            </w:r>
          </w:p>
        </w:tc>
        <w:tc>
          <w:tcPr>
            <w:tcW w:w="2551" w:type="dxa"/>
            <w:vAlign w:val="center"/>
          </w:tcPr>
          <w:p>
            <w:pPr>
              <w:pStyle w:val="14"/>
            </w:pPr>
            <w:r>
              <w:t>8.16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预算资金12万元，其中财政资金12万元，主要用于信访维稳经费。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1.通过开展接访工作，能够有效化解信访矛盾，解决纠纷，避免演变恶行事件。</w:t>
            </w:r>
          </w:p>
          <w:p>
            <w:pPr>
              <w:pStyle w:val="14"/>
            </w:pPr>
            <w:r>
              <w:t>2.通过开展信访稳定工作，确保本地信访工作稳定，能够妥善处理突发性、群体性事件。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≥50次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≥50次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差旅费</w:t>
            </w:r>
          </w:p>
        </w:tc>
        <w:tc>
          <w:tcPr>
            <w:tcW w:w="5386" w:type="dxa"/>
            <w:vAlign w:val="center"/>
          </w:tcPr>
          <w:p>
            <w:pPr>
              <w:pStyle w:val="14"/>
            </w:pPr>
            <w:r>
              <w:t>反映驻京信访值班差旅费用</w:t>
            </w:r>
          </w:p>
        </w:tc>
        <w:tc>
          <w:tcPr>
            <w:tcW w:w="2268" w:type="dxa"/>
            <w:vAlign w:val="center"/>
          </w:tcPr>
          <w:p>
            <w:pPr>
              <w:pStyle w:val="14"/>
            </w:pPr>
            <w:r>
              <w:t>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其他交通费</w:t>
            </w:r>
          </w:p>
        </w:tc>
        <w:tc>
          <w:tcPr>
            <w:tcW w:w="5386" w:type="dxa"/>
            <w:vAlign w:val="center"/>
          </w:tcPr>
          <w:p>
            <w:pPr>
              <w:pStyle w:val="14"/>
            </w:pPr>
            <w:r>
              <w:t>反映接信访人员用车费用</w:t>
            </w:r>
          </w:p>
        </w:tc>
        <w:tc>
          <w:tcPr>
            <w:tcW w:w="2268" w:type="dxa"/>
            <w:vAlign w:val="center"/>
          </w:tcPr>
          <w:p>
            <w:pPr>
              <w:pStyle w:val="14"/>
            </w:pPr>
            <w:r>
              <w:t>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信访下降率（%）</w:t>
            </w:r>
          </w:p>
        </w:tc>
        <w:tc>
          <w:tcPr>
            <w:tcW w:w="5386" w:type="dxa"/>
            <w:vAlign w:val="center"/>
          </w:tcPr>
          <w:p>
            <w:pPr>
              <w:pStyle w:val="14"/>
            </w:pPr>
            <w:r>
              <w:t>辖区内群众信访下降率（%）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保证社会稳定</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信访救助人满意度</w:t>
            </w:r>
          </w:p>
        </w:tc>
        <w:tc>
          <w:tcPr>
            <w:tcW w:w="5386" w:type="dxa"/>
            <w:vAlign w:val="center"/>
          </w:tcPr>
          <w:p>
            <w:pPr>
              <w:pStyle w:val="14"/>
            </w:pPr>
            <w:r>
              <w:t>参与调查问卷的信访人员满意度</w:t>
            </w:r>
          </w:p>
        </w:tc>
        <w:tc>
          <w:tcPr>
            <w:tcW w:w="2268" w:type="dxa"/>
            <w:vAlign w:val="center"/>
          </w:tcPr>
          <w:p>
            <w:pPr>
              <w:pStyle w:val="14"/>
            </w:pPr>
            <w:r>
              <w:t>≥80%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13032126P003337100568</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预算资金10万元，其中财政资金10万元，主要用于信访维稳经费.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1.通过开展信访稳定工作，确保本地信访工作稳定，能够妥善处理突发性、群体性事件。</w:t>
            </w:r>
            <w:r>
              <w:tab/>
            </w:r>
            <w:r>
              <w:tab/>
            </w:r>
            <w:r>
              <w:tab/>
            </w:r>
            <w:r>
              <w:tab/>
            </w:r>
            <w:r>
              <w:tab/>
            </w:r>
            <w:r>
              <w:tab/>
            </w:r>
          </w:p>
          <w:p>
            <w:pPr>
              <w:pStyle w:val="14"/>
            </w:pPr>
            <w:r>
              <w:tab/>
            </w:r>
            <w:r>
              <w:tab/>
            </w:r>
            <w:r>
              <w:tab/>
            </w:r>
          </w:p>
          <w:p>
            <w:pPr>
              <w:pStyle w:val="14"/>
            </w:pPr>
          </w:p>
          <w:p>
            <w:pPr>
              <w:pStyle w:val="14"/>
            </w:pPr>
            <w:r>
              <w:t>2.通过开展接访工作，能够有效化解信访矛盾，解决纠纷，避免演变恶行事件。</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≥50次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≥50次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差旅费</w:t>
            </w:r>
          </w:p>
        </w:tc>
        <w:tc>
          <w:tcPr>
            <w:tcW w:w="5386" w:type="dxa"/>
            <w:vAlign w:val="center"/>
          </w:tcPr>
          <w:p>
            <w:pPr>
              <w:pStyle w:val="14"/>
            </w:pPr>
            <w:r>
              <w:t>反映驻京信访值班差旅费用</w:t>
            </w:r>
          </w:p>
        </w:tc>
        <w:tc>
          <w:tcPr>
            <w:tcW w:w="2268" w:type="dxa"/>
            <w:vAlign w:val="center"/>
          </w:tcPr>
          <w:p>
            <w:pPr>
              <w:pStyle w:val="14"/>
            </w:pPr>
            <w:r>
              <w:t>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其他交通费</w:t>
            </w:r>
          </w:p>
        </w:tc>
        <w:tc>
          <w:tcPr>
            <w:tcW w:w="5386" w:type="dxa"/>
            <w:vAlign w:val="center"/>
          </w:tcPr>
          <w:p>
            <w:pPr>
              <w:pStyle w:val="14"/>
            </w:pPr>
            <w:r>
              <w:t>反映接信访人员用车费用</w:t>
            </w:r>
          </w:p>
        </w:tc>
        <w:tc>
          <w:tcPr>
            <w:tcW w:w="2268" w:type="dxa"/>
            <w:vAlign w:val="center"/>
          </w:tcPr>
          <w:p>
            <w:pPr>
              <w:pStyle w:val="14"/>
            </w:pPr>
            <w:r>
              <w:t>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信访下降率（%）</w:t>
            </w:r>
          </w:p>
        </w:tc>
        <w:tc>
          <w:tcPr>
            <w:tcW w:w="5386" w:type="dxa"/>
            <w:vAlign w:val="center"/>
          </w:tcPr>
          <w:p>
            <w:pPr>
              <w:pStyle w:val="14"/>
            </w:pPr>
            <w:r>
              <w:t>辖区内群众信访下降率（%）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保证社会稳定</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信访救助人满意度</w:t>
            </w:r>
          </w:p>
        </w:tc>
        <w:tc>
          <w:tcPr>
            <w:tcW w:w="5386" w:type="dxa"/>
            <w:vAlign w:val="center"/>
          </w:tcPr>
          <w:p>
            <w:pPr>
              <w:pStyle w:val="14"/>
            </w:pPr>
            <w:r>
              <w:t>参与调查问卷的信访人员满意度</w:t>
            </w:r>
          </w:p>
        </w:tc>
        <w:tc>
          <w:tcPr>
            <w:tcW w:w="2268" w:type="dxa"/>
            <w:vAlign w:val="center"/>
          </w:tcPr>
          <w:p>
            <w:pPr>
              <w:pStyle w:val="14"/>
            </w:pPr>
            <w:r>
              <w:t>≥80%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13032126P000006100295</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预算资金0.5万元，其中财政资金0.5万元，主要用于严重精神障碍患者监护人责任险。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1."通过以政府出资投保的方式，减少监护人损失、增强监护人、当事人社会保障，从而化解事后风险。</w:t>
            </w:r>
            <w:r>
              <w:tab/>
            </w:r>
            <w:r>
              <w:tab/>
            </w:r>
            <w:r>
              <w:tab/>
            </w:r>
            <w:r>
              <w:t>"</w:t>
            </w:r>
            <w:r>
              <w:tab/>
            </w:r>
            <w:r>
              <w:tab/>
            </w:r>
            <w:r>
              <w:tab/>
            </w:r>
            <w:r>
              <w:tab/>
            </w:r>
            <w:r>
              <w:tab/>
            </w:r>
            <w:r>
              <w:tab/>
            </w:r>
          </w:p>
          <w:p>
            <w:pPr>
              <w:pStyle w:val="14"/>
            </w:pPr>
          </w:p>
          <w:p>
            <w:pPr>
              <w:pStyle w:val="14"/>
            </w:pPr>
            <w:r>
              <w:t>2."通过为严重精神障碍患者监护人办理相关保险业，预防严重精神障碍患者伤及人身、损坏财物事件发生。</w:t>
            </w:r>
            <w:r>
              <w:tab/>
            </w:r>
            <w:r>
              <w:tab/>
            </w:r>
            <w:r>
              <w:tab/>
            </w:r>
            <w:r>
              <w:tab/>
            </w:r>
            <w:r>
              <w:tab/>
            </w:r>
            <w:r>
              <w:tab/>
            </w:r>
            <w:r>
              <w:tab/>
            </w:r>
            <w:r>
              <w:tab/>
            </w:r>
            <w:r>
              <w:tab/>
            </w: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49人</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w:t>
            </w:r>
          </w:p>
        </w:tc>
        <w:tc>
          <w:tcPr>
            <w:tcW w:w="5386" w:type="dxa"/>
            <w:vAlign w:val="center"/>
          </w:tcPr>
          <w:p>
            <w:pPr>
              <w:pStyle w:val="14"/>
            </w:pPr>
            <w:r>
              <w:t>反映严重精神障碍患者人数</w:t>
            </w:r>
          </w:p>
        </w:tc>
        <w:tc>
          <w:tcPr>
            <w:tcW w:w="2268" w:type="dxa"/>
            <w:vAlign w:val="center"/>
          </w:tcPr>
          <w:p>
            <w:pPr>
              <w:pStyle w:val="14"/>
            </w:pPr>
            <w:r>
              <w:t>49人</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审核准确率</w:t>
            </w:r>
          </w:p>
        </w:tc>
        <w:tc>
          <w:tcPr>
            <w:tcW w:w="5386" w:type="dxa"/>
            <w:vAlign w:val="center"/>
          </w:tcPr>
          <w:p>
            <w:pPr>
              <w:pStyle w:val="14"/>
            </w:pPr>
            <w:r>
              <w:t>责任险报销事项审核准确率</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办结率</w:t>
            </w:r>
          </w:p>
        </w:tc>
        <w:tc>
          <w:tcPr>
            <w:tcW w:w="5386" w:type="dxa"/>
            <w:vAlign w:val="center"/>
          </w:tcPr>
          <w:p>
            <w:pPr>
              <w:pStyle w:val="14"/>
            </w:pPr>
            <w:r>
              <w:t>责任险报销事项实际在规定时间内及时办结的件数占应在规定时间内及时办结的件数的比率</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10月前</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w:t>
            </w:r>
          </w:p>
        </w:tc>
        <w:tc>
          <w:tcPr>
            <w:tcW w:w="2268" w:type="dxa"/>
            <w:vAlign w:val="center"/>
          </w:tcPr>
          <w:p>
            <w:pPr>
              <w:pStyle w:val="14"/>
            </w:pPr>
            <w:r>
              <w:t>100元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49人</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通过开展信息宣传工作，创造良好的舆论氛围，使我厅工作得到广大受众的充分认可。</w:t>
            </w:r>
          </w:p>
        </w:tc>
        <w:tc>
          <w:tcPr>
            <w:tcW w:w="2268" w:type="dxa"/>
            <w:vAlign w:val="center"/>
          </w:tcPr>
          <w:p>
            <w:pPr>
              <w:pStyle w:val="14"/>
            </w:pPr>
            <w:r>
              <w:t>≥95%</w:t>
            </w:r>
          </w:p>
        </w:tc>
        <w:tc>
          <w:tcPr>
            <w:tcW w:w="1276" w:type="dxa"/>
            <w:vAlign w:val="center"/>
          </w:tcPr>
          <w:p>
            <w:pPr>
              <w:pStyle w:val="14"/>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13032125P00000410031A</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0.59</w:t>
            </w:r>
          </w:p>
        </w:tc>
        <w:tc>
          <w:tcPr>
            <w:tcW w:w="2835" w:type="dxa"/>
            <w:vAlign w:val="center"/>
          </w:tcPr>
          <w:p>
            <w:pPr>
              <w:pStyle w:val="12"/>
            </w:pPr>
            <w:r>
              <w:t>其中：财政    资金</w:t>
            </w:r>
          </w:p>
        </w:tc>
        <w:tc>
          <w:tcPr>
            <w:tcW w:w="2551" w:type="dxa"/>
            <w:vAlign w:val="center"/>
          </w:tcPr>
          <w:p>
            <w:pPr>
              <w:pStyle w:val="14"/>
            </w:pPr>
            <w:r>
              <w:t>0.59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预算安排资金5.5万元，其中财政资金5.5万元，主要用于加强法制宣传教育、提高公民的法律意识和素质，教育群众知法、懂法和守法。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1.妥善处理突发性、群体性事件；搞好村级治安工作，深化农村平安创建工作。</w:t>
            </w:r>
            <w:r>
              <w:tab/>
            </w:r>
            <w:r>
              <w:tab/>
            </w:r>
            <w:r>
              <w:tab/>
            </w:r>
            <w:r>
              <w:tab/>
            </w:r>
            <w:r>
              <w:tab/>
            </w:r>
            <w:r>
              <w:tab/>
            </w:r>
          </w:p>
          <w:p>
            <w:pPr>
              <w:pStyle w:val="14"/>
            </w:pPr>
          </w:p>
          <w:p>
            <w:pPr>
              <w:pStyle w:val="14"/>
            </w:pPr>
            <w:r>
              <w:t>2.通过加强法制宣传教育、提高公民的法律意识和素质，教育群众知法、懂法和守法。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≥1000份</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反映下社区维稳的次数</w:t>
            </w:r>
          </w:p>
        </w:tc>
        <w:tc>
          <w:tcPr>
            <w:tcW w:w="2268" w:type="dxa"/>
            <w:vAlign w:val="center"/>
          </w:tcPr>
          <w:p>
            <w:pPr>
              <w:pStyle w:val="14"/>
            </w:pPr>
            <w:r>
              <w:t>≥50次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≤12月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差旅费</w:t>
            </w:r>
          </w:p>
        </w:tc>
        <w:tc>
          <w:tcPr>
            <w:tcW w:w="5386" w:type="dxa"/>
            <w:vAlign w:val="center"/>
          </w:tcPr>
          <w:p>
            <w:pPr>
              <w:pStyle w:val="14"/>
            </w:pPr>
            <w:r>
              <w:t>差旅费接信访人返青费用</w:t>
            </w:r>
          </w:p>
        </w:tc>
        <w:tc>
          <w:tcPr>
            <w:tcW w:w="2268" w:type="dxa"/>
            <w:vAlign w:val="center"/>
          </w:tcPr>
          <w:p>
            <w:pPr>
              <w:pStyle w:val="14"/>
            </w:pPr>
            <w:r>
              <w:t>≤4.5万元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立体化社会治安防控体系在街道、社区两级的覆盖情况</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青龙满族自治县人民政府都阳路街道办事处本级小计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42.19</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1000</w:t>
            </w:r>
          </w:p>
        </w:tc>
        <w:tc>
          <w:tcPr>
            <w:tcW w:w="850" w:type="dxa"/>
            <w:vAlign w:val="center"/>
          </w:tcPr>
          <w:p>
            <w:pPr>
              <w:pStyle w:val="13"/>
            </w:pPr>
            <w:r>
              <w:t>0.00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tcPr>
          <w:p>
            <w:pPr>
              <w:pStyle w:val="13"/>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青龙满族自治县人民政府都阳路街道办事处（含所属单位）上年末固定资产金额为191.91万元（详见下表）。本年度拟购置固定资产总额为0.00万元，已按要求列入政府采购预算，详见政府采购预算表。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927青龙满族自治县人民政府都阳路街道办事处</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191.91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52</w:t>
            </w:r>
          </w:p>
        </w:tc>
        <w:tc>
          <w:tcPr>
            <w:tcW w:w="2835" w:type="dxa"/>
            <w:vAlign w:val="center"/>
          </w:tcPr>
          <w:p>
            <w:pPr>
              <w:pStyle w:val="13"/>
            </w:pPr>
            <w:r>
              <w:t>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52</w:t>
            </w:r>
          </w:p>
        </w:tc>
        <w:tc>
          <w:tcPr>
            <w:tcW w:w="2835" w:type="dxa"/>
            <w:vAlign w:val="center"/>
          </w:tcPr>
          <w:p>
            <w:pPr>
              <w:pStyle w:val="13"/>
            </w:pPr>
            <w:r>
              <w:t>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892</w:t>
            </w:r>
          </w:p>
        </w:tc>
        <w:tc>
          <w:tcPr>
            <w:tcW w:w="2835" w:type="dxa"/>
            <w:vAlign w:val="center"/>
          </w:tcPr>
          <w:p>
            <w:pPr>
              <w:pStyle w:val="13"/>
            </w:pPr>
            <w:r>
              <w:t>149.14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一、青龙满族自治县人民政府都阳路街道办事处本级收支预算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1309.76</w:t>
            </w:r>
          </w:p>
        </w:tc>
        <w:tc>
          <w:tcPr>
            <w:tcW w:w="4535" w:type="dxa"/>
            <w:vAlign w:val="center"/>
          </w:tcPr>
          <w:p>
            <w:pPr>
              <w:pStyle w:val="14"/>
            </w:pPr>
            <w:r>
              <w:t>一、一般公共服务支出</w:t>
            </w:r>
          </w:p>
        </w:tc>
        <w:tc>
          <w:tcPr>
            <w:tcW w:w="2126" w:type="dxa"/>
            <w:vAlign w:val="center"/>
          </w:tcPr>
          <w:p>
            <w:pPr>
              <w:pStyle w:val="13"/>
            </w:pPr>
            <w:r>
              <w:t>981.09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235.09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1309.76</w:t>
            </w:r>
          </w:p>
        </w:tc>
        <w:tc>
          <w:tcPr>
            <w:tcW w:w="4535" w:type="dxa"/>
            <w:vAlign w:val="center"/>
          </w:tcPr>
          <w:p>
            <w:pPr>
              <w:pStyle w:val="16"/>
            </w:pPr>
            <w:r>
              <w:t>本年支出合计</w:t>
            </w:r>
          </w:p>
        </w:tc>
        <w:tc>
          <w:tcPr>
            <w:tcW w:w="2126" w:type="dxa"/>
            <w:vAlign w:val="center"/>
          </w:tcPr>
          <w:p>
            <w:pPr>
              <w:pStyle w:val="17"/>
            </w:pPr>
            <w:r>
              <w:t>1342.12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32.36</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1342.12</w:t>
            </w:r>
          </w:p>
        </w:tc>
        <w:tc>
          <w:tcPr>
            <w:tcW w:w="4535" w:type="dxa"/>
            <w:vAlign w:val="center"/>
          </w:tcPr>
          <w:p>
            <w:pPr>
              <w:pStyle w:val="16"/>
            </w:pPr>
            <w:r>
              <w:t>支出总计</w:t>
            </w:r>
          </w:p>
        </w:tc>
        <w:tc>
          <w:tcPr>
            <w:tcW w:w="2126" w:type="dxa"/>
            <w:vAlign w:val="center"/>
          </w:tcPr>
          <w:p>
            <w:pPr>
              <w:pStyle w:val="17"/>
            </w:pPr>
            <w:r>
              <w:t>1342.12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1342.12</w:t>
            </w:r>
          </w:p>
        </w:tc>
        <w:tc>
          <w:tcPr>
            <w:tcW w:w="1134" w:type="dxa"/>
            <w:vAlign w:val="center"/>
          </w:tcPr>
          <w:p>
            <w:pPr>
              <w:pStyle w:val="17"/>
            </w:pPr>
            <w:r>
              <w:t>1309.76</w:t>
            </w:r>
          </w:p>
        </w:tc>
        <w:tc>
          <w:tcPr>
            <w:tcW w:w="1134" w:type="dxa"/>
            <w:vAlign w:val="center"/>
          </w:tcPr>
          <w:p>
            <w:pPr>
              <w:pStyle w:val="17"/>
            </w:pPr>
            <w:r>
              <w:t>1309.76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981.09</w:t>
            </w:r>
          </w:p>
        </w:tc>
        <w:tc>
          <w:tcPr>
            <w:tcW w:w="1134" w:type="dxa"/>
            <w:vAlign w:val="center"/>
          </w:tcPr>
          <w:p>
            <w:pPr>
              <w:pStyle w:val="13"/>
            </w:pPr>
            <w:r>
              <w:t>957.56</w:t>
            </w:r>
          </w:p>
        </w:tc>
        <w:tc>
          <w:tcPr>
            <w:tcW w:w="1134" w:type="dxa"/>
            <w:vAlign w:val="center"/>
          </w:tcPr>
          <w:p>
            <w:pPr>
              <w:pStyle w:val="13"/>
            </w:pPr>
            <w:r>
              <w:t>957.56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23.53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r>
              <w:t>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961.34</w:t>
            </w:r>
          </w:p>
        </w:tc>
        <w:tc>
          <w:tcPr>
            <w:tcW w:w="1134" w:type="dxa"/>
            <w:vAlign w:val="center"/>
          </w:tcPr>
          <w:p>
            <w:pPr>
              <w:pStyle w:val="13"/>
            </w:pPr>
            <w:r>
              <w:t>946.56</w:t>
            </w:r>
          </w:p>
        </w:tc>
        <w:tc>
          <w:tcPr>
            <w:tcW w:w="1134" w:type="dxa"/>
            <w:vAlign w:val="center"/>
          </w:tcPr>
          <w:p>
            <w:pPr>
              <w:pStyle w:val="13"/>
            </w:pPr>
            <w:r>
              <w:t>946.56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730.42</w:t>
            </w:r>
          </w:p>
        </w:tc>
        <w:tc>
          <w:tcPr>
            <w:tcW w:w="1134" w:type="dxa"/>
            <w:vAlign w:val="center"/>
          </w:tcPr>
          <w:p>
            <w:pPr>
              <w:pStyle w:val="13"/>
            </w:pPr>
            <w:r>
              <w:t>718.19</w:t>
            </w:r>
          </w:p>
        </w:tc>
        <w:tc>
          <w:tcPr>
            <w:tcW w:w="1134" w:type="dxa"/>
            <w:vAlign w:val="center"/>
          </w:tcPr>
          <w:p>
            <w:pPr>
              <w:pStyle w:val="13"/>
            </w:pPr>
            <w:r>
              <w:t>718.19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5.68</w:t>
            </w:r>
          </w:p>
        </w:tc>
        <w:tc>
          <w:tcPr>
            <w:tcW w:w="1134" w:type="dxa"/>
            <w:vAlign w:val="center"/>
          </w:tcPr>
          <w:p>
            <w:pPr>
              <w:pStyle w:val="13"/>
            </w:pPr>
            <w:r>
              <w:t>4.17</w:t>
            </w:r>
          </w:p>
        </w:tc>
        <w:tc>
          <w:tcPr>
            <w:tcW w:w="1134" w:type="dxa"/>
            <w:vAlign w:val="center"/>
          </w:tcPr>
          <w:p>
            <w:pPr>
              <w:pStyle w:val="13"/>
            </w:pPr>
            <w:r>
              <w:t>4.17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221.20</w:t>
            </w:r>
          </w:p>
        </w:tc>
        <w:tc>
          <w:tcPr>
            <w:tcW w:w="1134" w:type="dxa"/>
            <w:vAlign w:val="center"/>
          </w:tcPr>
          <w:p>
            <w:pPr>
              <w:pStyle w:val="13"/>
            </w:pPr>
            <w:r>
              <w:t>221.20</w:t>
            </w:r>
          </w:p>
        </w:tc>
        <w:tc>
          <w:tcPr>
            <w:tcW w:w="1134" w:type="dxa"/>
            <w:vAlign w:val="center"/>
          </w:tcPr>
          <w:p>
            <w:pPr>
              <w:pStyle w:val="13"/>
            </w:pPr>
            <w:r>
              <w:t>221.20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2010399</w:t>
            </w:r>
          </w:p>
        </w:tc>
        <w:tc>
          <w:tcPr>
            <w:tcW w:w="1559" w:type="dxa"/>
            <w:vAlign w:val="center"/>
          </w:tcPr>
          <w:p>
            <w:pPr>
              <w:pStyle w:val="14"/>
            </w:pPr>
            <w:r>
              <w:t>其他政府办公厅（室）及相关机构事务支出</w:t>
            </w:r>
          </w:p>
        </w:tc>
        <w:tc>
          <w:tcPr>
            <w:tcW w:w="1134" w:type="dxa"/>
            <w:vAlign w:val="center"/>
          </w:tcPr>
          <w:p>
            <w:pPr>
              <w:pStyle w:val="13"/>
            </w:pPr>
            <w:r>
              <w:t>4.04</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18.75</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18.75</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68.61</w:t>
            </w:r>
          </w:p>
        </w:tc>
        <w:tc>
          <w:tcPr>
            <w:tcW w:w="1134" w:type="dxa"/>
            <w:vAlign w:val="center"/>
          </w:tcPr>
          <w:p>
            <w:pPr>
              <w:pStyle w:val="13"/>
            </w:pPr>
            <w:r>
              <w:t>68.61</w:t>
            </w:r>
          </w:p>
        </w:tc>
        <w:tc>
          <w:tcPr>
            <w:tcW w:w="1134" w:type="dxa"/>
            <w:vAlign w:val="center"/>
          </w:tcPr>
          <w:p>
            <w:pPr>
              <w:pStyle w:val="13"/>
            </w:pPr>
            <w:r>
              <w:t>68.61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68.61</w:t>
            </w:r>
          </w:p>
        </w:tc>
        <w:tc>
          <w:tcPr>
            <w:tcW w:w="1134" w:type="dxa"/>
            <w:vAlign w:val="center"/>
          </w:tcPr>
          <w:p>
            <w:pPr>
              <w:pStyle w:val="13"/>
            </w:pPr>
            <w:r>
              <w:t>68.61</w:t>
            </w:r>
          </w:p>
        </w:tc>
        <w:tc>
          <w:tcPr>
            <w:tcW w:w="1134" w:type="dxa"/>
            <w:vAlign w:val="center"/>
          </w:tcPr>
          <w:p>
            <w:pPr>
              <w:pStyle w:val="13"/>
            </w:pPr>
            <w:r>
              <w:t>68.61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14.10</w:t>
            </w:r>
          </w:p>
        </w:tc>
        <w:tc>
          <w:tcPr>
            <w:tcW w:w="1134" w:type="dxa"/>
            <w:vAlign w:val="center"/>
          </w:tcPr>
          <w:p>
            <w:pPr>
              <w:pStyle w:val="13"/>
            </w:pPr>
            <w:r>
              <w:t>14.10</w:t>
            </w:r>
          </w:p>
        </w:tc>
        <w:tc>
          <w:tcPr>
            <w:tcW w:w="1134" w:type="dxa"/>
            <w:vAlign w:val="center"/>
          </w:tcPr>
          <w:p>
            <w:pPr>
              <w:pStyle w:val="13"/>
            </w:pPr>
            <w:r>
              <w:t>14.10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54.51</w:t>
            </w:r>
          </w:p>
        </w:tc>
        <w:tc>
          <w:tcPr>
            <w:tcW w:w="1134" w:type="dxa"/>
            <w:vAlign w:val="center"/>
          </w:tcPr>
          <w:p>
            <w:pPr>
              <w:pStyle w:val="13"/>
            </w:pPr>
            <w:r>
              <w:t>54.51</w:t>
            </w:r>
          </w:p>
        </w:tc>
        <w:tc>
          <w:tcPr>
            <w:tcW w:w="1134" w:type="dxa"/>
            <w:vAlign w:val="center"/>
          </w:tcPr>
          <w:p>
            <w:pPr>
              <w:pStyle w:val="13"/>
            </w:pPr>
            <w:r>
              <w:t>54.51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29.35</w:t>
            </w:r>
          </w:p>
        </w:tc>
        <w:tc>
          <w:tcPr>
            <w:tcW w:w="1134" w:type="dxa"/>
            <w:vAlign w:val="center"/>
          </w:tcPr>
          <w:p>
            <w:pPr>
              <w:pStyle w:val="13"/>
            </w:pPr>
            <w:r>
              <w:t>29.35</w:t>
            </w:r>
          </w:p>
        </w:tc>
        <w:tc>
          <w:tcPr>
            <w:tcW w:w="1134" w:type="dxa"/>
            <w:vAlign w:val="center"/>
          </w:tcPr>
          <w:p>
            <w:pPr>
              <w:pStyle w:val="13"/>
            </w:pPr>
            <w:r>
              <w:t>29.35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21004</w:t>
            </w:r>
          </w:p>
        </w:tc>
        <w:tc>
          <w:tcPr>
            <w:tcW w:w="1559" w:type="dxa"/>
            <w:vAlign w:val="center"/>
          </w:tcPr>
          <w:p>
            <w:pPr>
              <w:pStyle w:val="14"/>
            </w:pPr>
            <w:r>
              <w:t>公共卫生</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2100408</w:t>
            </w:r>
          </w:p>
        </w:tc>
        <w:tc>
          <w:tcPr>
            <w:tcW w:w="1559" w:type="dxa"/>
            <w:vAlign w:val="center"/>
          </w:tcPr>
          <w:p>
            <w:pPr>
              <w:pStyle w:val="14"/>
            </w:pPr>
            <w:r>
              <w:t>基本公共卫生服务</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r>
              <w:t>0.50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r>
              <w:t>28.85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10.28</w:t>
            </w:r>
          </w:p>
        </w:tc>
        <w:tc>
          <w:tcPr>
            <w:tcW w:w="1134" w:type="dxa"/>
            <w:vAlign w:val="center"/>
          </w:tcPr>
          <w:p>
            <w:pPr>
              <w:pStyle w:val="13"/>
            </w:pPr>
            <w:r>
              <w:t>10.28</w:t>
            </w:r>
          </w:p>
        </w:tc>
        <w:tc>
          <w:tcPr>
            <w:tcW w:w="1134" w:type="dxa"/>
            <w:vAlign w:val="center"/>
          </w:tcPr>
          <w:p>
            <w:pPr>
              <w:pStyle w:val="13"/>
            </w:pPr>
            <w:r>
              <w:t>10.28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18.57</w:t>
            </w:r>
          </w:p>
        </w:tc>
        <w:tc>
          <w:tcPr>
            <w:tcW w:w="1134" w:type="dxa"/>
            <w:vAlign w:val="center"/>
          </w:tcPr>
          <w:p>
            <w:pPr>
              <w:pStyle w:val="13"/>
            </w:pPr>
            <w:r>
              <w:t>18.57</w:t>
            </w:r>
          </w:p>
        </w:tc>
        <w:tc>
          <w:tcPr>
            <w:tcW w:w="1134" w:type="dxa"/>
            <w:vAlign w:val="center"/>
          </w:tcPr>
          <w:p>
            <w:pPr>
              <w:pStyle w:val="13"/>
            </w:pPr>
            <w:r>
              <w:t>18.57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235.09</w:t>
            </w:r>
          </w:p>
        </w:tc>
        <w:tc>
          <w:tcPr>
            <w:tcW w:w="1134" w:type="dxa"/>
            <w:vAlign w:val="center"/>
          </w:tcPr>
          <w:p>
            <w:pPr>
              <w:pStyle w:val="13"/>
            </w:pPr>
            <w:r>
              <w:t>226.27</w:t>
            </w:r>
          </w:p>
        </w:tc>
        <w:tc>
          <w:tcPr>
            <w:tcW w:w="1134" w:type="dxa"/>
            <w:vAlign w:val="center"/>
          </w:tcPr>
          <w:p>
            <w:pPr>
              <w:pStyle w:val="13"/>
            </w:pPr>
            <w:r>
              <w:t>226.27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235.09</w:t>
            </w:r>
          </w:p>
        </w:tc>
        <w:tc>
          <w:tcPr>
            <w:tcW w:w="1134" w:type="dxa"/>
            <w:vAlign w:val="center"/>
          </w:tcPr>
          <w:p>
            <w:pPr>
              <w:pStyle w:val="13"/>
            </w:pPr>
            <w:r>
              <w:t>226.27</w:t>
            </w:r>
          </w:p>
        </w:tc>
        <w:tc>
          <w:tcPr>
            <w:tcW w:w="1134" w:type="dxa"/>
            <w:vAlign w:val="center"/>
          </w:tcPr>
          <w:p>
            <w:pPr>
              <w:pStyle w:val="13"/>
            </w:pPr>
            <w:r>
              <w:t>226.27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60.79</w:t>
            </w:r>
          </w:p>
        </w:tc>
        <w:tc>
          <w:tcPr>
            <w:tcW w:w="1134" w:type="dxa"/>
            <w:vAlign w:val="center"/>
          </w:tcPr>
          <w:p>
            <w:pPr>
              <w:pStyle w:val="13"/>
            </w:pPr>
            <w:r>
              <w:t>60.00</w:t>
            </w:r>
          </w:p>
        </w:tc>
        <w:tc>
          <w:tcPr>
            <w:tcW w:w="1134" w:type="dxa"/>
            <w:vAlign w:val="center"/>
          </w:tcPr>
          <w:p>
            <w:pPr>
              <w:pStyle w:val="13"/>
            </w:pPr>
            <w:r>
              <w:t>60.00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2120199</w:t>
            </w:r>
          </w:p>
        </w:tc>
        <w:tc>
          <w:tcPr>
            <w:tcW w:w="1559" w:type="dxa"/>
            <w:vAlign w:val="center"/>
          </w:tcPr>
          <w:p>
            <w:pPr>
              <w:pStyle w:val="14"/>
            </w:pPr>
            <w:r>
              <w:t>其他城乡社区管理事务支出</w:t>
            </w:r>
          </w:p>
        </w:tc>
        <w:tc>
          <w:tcPr>
            <w:tcW w:w="1134" w:type="dxa"/>
            <w:vAlign w:val="center"/>
          </w:tcPr>
          <w:p>
            <w:pPr>
              <w:pStyle w:val="13"/>
            </w:pPr>
            <w:r>
              <w:t>174.30</w:t>
            </w:r>
          </w:p>
        </w:tc>
        <w:tc>
          <w:tcPr>
            <w:tcW w:w="1134" w:type="dxa"/>
            <w:vAlign w:val="center"/>
          </w:tcPr>
          <w:p>
            <w:pPr>
              <w:pStyle w:val="13"/>
            </w:pPr>
            <w:r>
              <w:t>166.27</w:t>
            </w:r>
          </w:p>
        </w:tc>
        <w:tc>
          <w:tcPr>
            <w:tcW w:w="1134" w:type="dxa"/>
            <w:vAlign w:val="center"/>
          </w:tcPr>
          <w:p>
            <w:pPr>
              <w:pStyle w:val="13"/>
            </w:pPr>
            <w:r>
              <w:t>166.27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r>
              <w:t>27.97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1342.12</w:t>
            </w:r>
          </w:p>
        </w:tc>
        <w:tc>
          <w:tcPr>
            <w:tcW w:w="1361" w:type="dxa"/>
            <w:vAlign w:val="center"/>
          </w:tcPr>
          <w:p>
            <w:pPr>
              <w:pStyle w:val="17"/>
            </w:pPr>
            <w:r>
              <w:t>1077.05</w:t>
            </w:r>
          </w:p>
        </w:tc>
        <w:tc>
          <w:tcPr>
            <w:tcW w:w="1361" w:type="dxa"/>
            <w:vAlign w:val="center"/>
          </w:tcPr>
          <w:p>
            <w:pPr>
              <w:pStyle w:val="17"/>
            </w:pPr>
            <w:r>
              <w:t>265.07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981.09</w:t>
            </w:r>
          </w:p>
        </w:tc>
        <w:tc>
          <w:tcPr>
            <w:tcW w:w="1361" w:type="dxa"/>
            <w:vAlign w:val="center"/>
          </w:tcPr>
          <w:p>
            <w:pPr>
              <w:pStyle w:val="13"/>
            </w:pPr>
            <w:r>
              <w:t>951.62</w:t>
            </w:r>
          </w:p>
        </w:tc>
        <w:tc>
          <w:tcPr>
            <w:tcW w:w="1361" w:type="dxa"/>
            <w:vAlign w:val="center"/>
          </w:tcPr>
          <w:p>
            <w:pPr>
              <w:pStyle w:val="13"/>
            </w:pPr>
            <w:r>
              <w:t>29.48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r>
              <w:t>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961.34</w:t>
            </w:r>
          </w:p>
        </w:tc>
        <w:tc>
          <w:tcPr>
            <w:tcW w:w="1361" w:type="dxa"/>
            <w:vAlign w:val="center"/>
          </w:tcPr>
          <w:p>
            <w:pPr>
              <w:pStyle w:val="13"/>
            </w:pPr>
            <w:r>
              <w:t>951.62</w:t>
            </w:r>
          </w:p>
        </w:tc>
        <w:tc>
          <w:tcPr>
            <w:tcW w:w="1361" w:type="dxa"/>
            <w:vAlign w:val="center"/>
          </w:tcPr>
          <w:p>
            <w:pPr>
              <w:pStyle w:val="13"/>
            </w:pPr>
            <w:r>
              <w:t>9.72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730.42</w:t>
            </w:r>
          </w:p>
        </w:tc>
        <w:tc>
          <w:tcPr>
            <w:tcW w:w="1361" w:type="dxa"/>
            <w:vAlign w:val="center"/>
          </w:tcPr>
          <w:p>
            <w:pPr>
              <w:pStyle w:val="13"/>
            </w:pPr>
            <w:r>
              <w:t>730.42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5.68</w:t>
            </w:r>
          </w:p>
        </w:tc>
        <w:tc>
          <w:tcPr>
            <w:tcW w:w="1361" w:type="dxa"/>
            <w:vAlign w:val="center"/>
          </w:tcPr>
          <w:p>
            <w:pPr>
              <w:pStyle w:val="13"/>
            </w:pPr>
          </w:p>
        </w:tc>
        <w:tc>
          <w:tcPr>
            <w:tcW w:w="1361" w:type="dxa"/>
            <w:vAlign w:val="center"/>
          </w:tcPr>
          <w:p>
            <w:pPr>
              <w:pStyle w:val="13"/>
            </w:pPr>
            <w:r>
              <w:t>5.68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221.20</w:t>
            </w:r>
          </w:p>
        </w:tc>
        <w:tc>
          <w:tcPr>
            <w:tcW w:w="1361" w:type="dxa"/>
            <w:vAlign w:val="center"/>
          </w:tcPr>
          <w:p>
            <w:pPr>
              <w:pStyle w:val="13"/>
            </w:pPr>
            <w:r>
              <w:t>221.20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2010399</w:t>
            </w:r>
          </w:p>
        </w:tc>
        <w:tc>
          <w:tcPr>
            <w:tcW w:w="4535" w:type="dxa"/>
            <w:vAlign w:val="center"/>
          </w:tcPr>
          <w:p>
            <w:pPr>
              <w:pStyle w:val="14"/>
            </w:pPr>
            <w:r>
              <w:t>其他政府办公厅（室）及相关机构事务支出</w:t>
            </w:r>
          </w:p>
        </w:tc>
        <w:tc>
          <w:tcPr>
            <w:tcW w:w="1361" w:type="dxa"/>
            <w:vAlign w:val="center"/>
          </w:tcPr>
          <w:p>
            <w:pPr>
              <w:pStyle w:val="13"/>
            </w:pPr>
            <w:r>
              <w:t>4.04</w:t>
            </w:r>
          </w:p>
        </w:tc>
        <w:tc>
          <w:tcPr>
            <w:tcW w:w="1361" w:type="dxa"/>
            <w:vAlign w:val="center"/>
          </w:tcPr>
          <w:p>
            <w:pPr>
              <w:pStyle w:val="13"/>
            </w:pPr>
          </w:p>
        </w:tc>
        <w:tc>
          <w:tcPr>
            <w:tcW w:w="1361" w:type="dxa"/>
            <w:vAlign w:val="center"/>
          </w:tcPr>
          <w:p>
            <w:pPr>
              <w:pStyle w:val="13"/>
            </w:pPr>
            <w:r>
              <w:t>4.04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18.75</w:t>
            </w:r>
          </w:p>
        </w:tc>
        <w:tc>
          <w:tcPr>
            <w:tcW w:w="1361" w:type="dxa"/>
            <w:vAlign w:val="center"/>
          </w:tcPr>
          <w:p>
            <w:pPr>
              <w:pStyle w:val="13"/>
            </w:pPr>
          </w:p>
        </w:tc>
        <w:tc>
          <w:tcPr>
            <w:tcW w:w="1361" w:type="dxa"/>
            <w:vAlign w:val="center"/>
          </w:tcPr>
          <w:p>
            <w:pPr>
              <w:pStyle w:val="13"/>
            </w:pPr>
            <w:r>
              <w:t>18.75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18.75</w:t>
            </w:r>
          </w:p>
        </w:tc>
        <w:tc>
          <w:tcPr>
            <w:tcW w:w="1361" w:type="dxa"/>
            <w:vAlign w:val="center"/>
          </w:tcPr>
          <w:p>
            <w:pPr>
              <w:pStyle w:val="13"/>
            </w:pPr>
          </w:p>
        </w:tc>
        <w:tc>
          <w:tcPr>
            <w:tcW w:w="1361" w:type="dxa"/>
            <w:vAlign w:val="center"/>
          </w:tcPr>
          <w:p>
            <w:pPr>
              <w:pStyle w:val="13"/>
            </w:pPr>
            <w:r>
              <w:t>18.75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68.61</w:t>
            </w:r>
          </w:p>
        </w:tc>
        <w:tc>
          <w:tcPr>
            <w:tcW w:w="1361" w:type="dxa"/>
            <w:vAlign w:val="center"/>
          </w:tcPr>
          <w:p>
            <w:pPr>
              <w:pStyle w:val="13"/>
            </w:pPr>
            <w:r>
              <w:t>68.61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68.61</w:t>
            </w:r>
          </w:p>
        </w:tc>
        <w:tc>
          <w:tcPr>
            <w:tcW w:w="1361" w:type="dxa"/>
            <w:vAlign w:val="center"/>
          </w:tcPr>
          <w:p>
            <w:pPr>
              <w:pStyle w:val="13"/>
            </w:pPr>
            <w:r>
              <w:t>68.61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14.10</w:t>
            </w:r>
          </w:p>
        </w:tc>
        <w:tc>
          <w:tcPr>
            <w:tcW w:w="1361" w:type="dxa"/>
            <w:vAlign w:val="center"/>
          </w:tcPr>
          <w:p>
            <w:pPr>
              <w:pStyle w:val="13"/>
            </w:pPr>
            <w:r>
              <w:t>14.10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54.51</w:t>
            </w:r>
          </w:p>
        </w:tc>
        <w:tc>
          <w:tcPr>
            <w:tcW w:w="1361" w:type="dxa"/>
            <w:vAlign w:val="center"/>
          </w:tcPr>
          <w:p>
            <w:pPr>
              <w:pStyle w:val="13"/>
            </w:pPr>
            <w:r>
              <w:t>54.51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29.35</w:t>
            </w:r>
          </w:p>
        </w:tc>
        <w:tc>
          <w:tcPr>
            <w:tcW w:w="1361" w:type="dxa"/>
            <w:vAlign w:val="center"/>
          </w:tcPr>
          <w:p>
            <w:pPr>
              <w:pStyle w:val="13"/>
            </w:pPr>
            <w:r>
              <w:t>28.85</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21004</w:t>
            </w:r>
          </w:p>
        </w:tc>
        <w:tc>
          <w:tcPr>
            <w:tcW w:w="4535" w:type="dxa"/>
            <w:vAlign w:val="center"/>
          </w:tcPr>
          <w:p>
            <w:pPr>
              <w:pStyle w:val="14"/>
            </w:pPr>
            <w:r>
              <w:t>公共卫生</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2100408</w:t>
            </w:r>
          </w:p>
        </w:tc>
        <w:tc>
          <w:tcPr>
            <w:tcW w:w="4535" w:type="dxa"/>
            <w:vAlign w:val="center"/>
          </w:tcPr>
          <w:p>
            <w:pPr>
              <w:pStyle w:val="14"/>
            </w:pPr>
            <w:r>
              <w:t>基本公共卫生服务</w:t>
            </w: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r>
              <w:t>0.50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28.85</w:t>
            </w:r>
          </w:p>
        </w:tc>
        <w:tc>
          <w:tcPr>
            <w:tcW w:w="1361" w:type="dxa"/>
            <w:vAlign w:val="center"/>
          </w:tcPr>
          <w:p>
            <w:pPr>
              <w:pStyle w:val="13"/>
            </w:pPr>
            <w:r>
              <w:t>28.85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10.28</w:t>
            </w:r>
          </w:p>
        </w:tc>
        <w:tc>
          <w:tcPr>
            <w:tcW w:w="1361" w:type="dxa"/>
            <w:vAlign w:val="center"/>
          </w:tcPr>
          <w:p>
            <w:pPr>
              <w:pStyle w:val="13"/>
            </w:pPr>
            <w:r>
              <w:t>10.28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18.57</w:t>
            </w:r>
          </w:p>
        </w:tc>
        <w:tc>
          <w:tcPr>
            <w:tcW w:w="1361" w:type="dxa"/>
            <w:vAlign w:val="center"/>
          </w:tcPr>
          <w:p>
            <w:pPr>
              <w:pStyle w:val="13"/>
            </w:pPr>
            <w:r>
              <w:t>18.57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235.09</w:t>
            </w:r>
          </w:p>
        </w:tc>
        <w:tc>
          <w:tcPr>
            <w:tcW w:w="1361" w:type="dxa"/>
            <w:vAlign w:val="center"/>
          </w:tcPr>
          <w:p>
            <w:pPr>
              <w:pStyle w:val="13"/>
            </w:pPr>
          </w:p>
        </w:tc>
        <w:tc>
          <w:tcPr>
            <w:tcW w:w="1361" w:type="dxa"/>
            <w:vAlign w:val="center"/>
          </w:tcPr>
          <w:p>
            <w:pPr>
              <w:pStyle w:val="13"/>
            </w:pPr>
            <w:r>
              <w:t>235.09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235.09</w:t>
            </w:r>
          </w:p>
        </w:tc>
        <w:tc>
          <w:tcPr>
            <w:tcW w:w="1361" w:type="dxa"/>
            <w:vAlign w:val="center"/>
          </w:tcPr>
          <w:p>
            <w:pPr>
              <w:pStyle w:val="13"/>
            </w:pPr>
          </w:p>
        </w:tc>
        <w:tc>
          <w:tcPr>
            <w:tcW w:w="1361" w:type="dxa"/>
            <w:vAlign w:val="center"/>
          </w:tcPr>
          <w:p>
            <w:pPr>
              <w:pStyle w:val="13"/>
            </w:pPr>
            <w:r>
              <w:t>235.09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60.79</w:t>
            </w:r>
          </w:p>
        </w:tc>
        <w:tc>
          <w:tcPr>
            <w:tcW w:w="1361" w:type="dxa"/>
            <w:vAlign w:val="center"/>
          </w:tcPr>
          <w:p>
            <w:pPr>
              <w:pStyle w:val="13"/>
            </w:pPr>
          </w:p>
        </w:tc>
        <w:tc>
          <w:tcPr>
            <w:tcW w:w="1361" w:type="dxa"/>
            <w:vAlign w:val="center"/>
          </w:tcPr>
          <w:p>
            <w:pPr>
              <w:pStyle w:val="13"/>
            </w:pPr>
            <w:r>
              <w:t>60.79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2120199</w:t>
            </w:r>
          </w:p>
        </w:tc>
        <w:tc>
          <w:tcPr>
            <w:tcW w:w="4535" w:type="dxa"/>
            <w:vAlign w:val="center"/>
          </w:tcPr>
          <w:p>
            <w:pPr>
              <w:pStyle w:val="14"/>
            </w:pPr>
            <w:r>
              <w:t>其他城乡社区管理事务支出</w:t>
            </w:r>
          </w:p>
        </w:tc>
        <w:tc>
          <w:tcPr>
            <w:tcW w:w="1361" w:type="dxa"/>
            <w:vAlign w:val="center"/>
          </w:tcPr>
          <w:p>
            <w:pPr>
              <w:pStyle w:val="13"/>
            </w:pPr>
            <w:r>
              <w:t>174.30</w:t>
            </w:r>
          </w:p>
        </w:tc>
        <w:tc>
          <w:tcPr>
            <w:tcW w:w="1361" w:type="dxa"/>
            <w:vAlign w:val="center"/>
          </w:tcPr>
          <w:p>
            <w:pPr>
              <w:pStyle w:val="13"/>
            </w:pPr>
          </w:p>
        </w:tc>
        <w:tc>
          <w:tcPr>
            <w:tcW w:w="1361" w:type="dxa"/>
            <w:vAlign w:val="center"/>
          </w:tcPr>
          <w:p>
            <w:pPr>
              <w:pStyle w:val="13"/>
            </w:pPr>
            <w:r>
              <w:t>174.30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27.97</w:t>
            </w:r>
          </w:p>
        </w:tc>
        <w:tc>
          <w:tcPr>
            <w:tcW w:w="1361" w:type="dxa"/>
            <w:vAlign w:val="center"/>
          </w:tcPr>
          <w:p>
            <w:pPr>
              <w:pStyle w:val="13"/>
            </w:pPr>
            <w:r>
              <w:t>27.97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27.97</w:t>
            </w:r>
          </w:p>
        </w:tc>
        <w:tc>
          <w:tcPr>
            <w:tcW w:w="1361" w:type="dxa"/>
            <w:vAlign w:val="center"/>
          </w:tcPr>
          <w:p>
            <w:pPr>
              <w:pStyle w:val="13"/>
            </w:pPr>
            <w:r>
              <w:t>27.97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27.97</w:t>
            </w:r>
          </w:p>
        </w:tc>
        <w:tc>
          <w:tcPr>
            <w:tcW w:w="1361" w:type="dxa"/>
            <w:vAlign w:val="center"/>
          </w:tcPr>
          <w:p>
            <w:pPr>
              <w:pStyle w:val="13"/>
            </w:pPr>
            <w:r>
              <w:t>27.97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1309.76</w:t>
            </w:r>
          </w:p>
        </w:tc>
        <w:tc>
          <w:tcPr>
            <w:tcW w:w="3402" w:type="dxa"/>
            <w:vAlign w:val="center"/>
          </w:tcPr>
          <w:p>
            <w:pPr>
              <w:pStyle w:val="14"/>
            </w:pPr>
            <w:r>
              <w:t>一、一般公共服务支出</w:t>
            </w:r>
          </w:p>
        </w:tc>
        <w:tc>
          <w:tcPr>
            <w:tcW w:w="1474" w:type="dxa"/>
            <w:vAlign w:val="center"/>
          </w:tcPr>
          <w:p>
            <w:pPr>
              <w:pStyle w:val="13"/>
            </w:pPr>
            <w:r>
              <w:t>981.09</w:t>
            </w:r>
          </w:p>
        </w:tc>
        <w:tc>
          <w:tcPr>
            <w:tcW w:w="1474" w:type="dxa"/>
            <w:vAlign w:val="center"/>
          </w:tcPr>
          <w:p>
            <w:pPr>
              <w:pStyle w:val="13"/>
            </w:pPr>
            <w:r>
              <w:t>981.09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68.61</w:t>
            </w:r>
          </w:p>
        </w:tc>
        <w:tc>
          <w:tcPr>
            <w:tcW w:w="1474" w:type="dxa"/>
            <w:vAlign w:val="center"/>
          </w:tcPr>
          <w:p>
            <w:pPr>
              <w:pStyle w:val="13"/>
            </w:pPr>
            <w:r>
              <w:t>68.61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29.35</w:t>
            </w:r>
          </w:p>
        </w:tc>
        <w:tc>
          <w:tcPr>
            <w:tcW w:w="1474" w:type="dxa"/>
            <w:vAlign w:val="center"/>
          </w:tcPr>
          <w:p>
            <w:pPr>
              <w:pStyle w:val="13"/>
            </w:pPr>
            <w:r>
              <w:t>29.35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235.09</w:t>
            </w:r>
          </w:p>
        </w:tc>
        <w:tc>
          <w:tcPr>
            <w:tcW w:w="1474" w:type="dxa"/>
            <w:vAlign w:val="center"/>
          </w:tcPr>
          <w:p>
            <w:pPr>
              <w:pStyle w:val="13"/>
            </w:pPr>
            <w:r>
              <w:t>235.09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27.97</w:t>
            </w:r>
          </w:p>
        </w:tc>
        <w:tc>
          <w:tcPr>
            <w:tcW w:w="1474" w:type="dxa"/>
            <w:vAlign w:val="center"/>
          </w:tcPr>
          <w:p>
            <w:pPr>
              <w:pStyle w:val="13"/>
            </w:pPr>
            <w:r>
              <w:t>27.97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1309.76</w:t>
            </w:r>
          </w:p>
        </w:tc>
        <w:tc>
          <w:tcPr>
            <w:tcW w:w="3402" w:type="dxa"/>
            <w:vAlign w:val="center"/>
          </w:tcPr>
          <w:p>
            <w:pPr>
              <w:pStyle w:val="16"/>
            </w:pPr>
            <w:r>
              <w:t>本年支出合计</w:t>
            </w:r>
          </w:p>
        </w:tc>
        <w:tc>
          <w:tcPr>
            <w:tcW w:w="1474" w:type="dxa"/>
            <w:vAlign w:val="center"/>
          </w:tcPr>
          <w:p>
            <w:pPr>
              <w:pStyle w:val="17"/>
            </w:pPr>
            <w:r>
              <w:t>1342.12</w:t>
            </w:r>
          </w:p>
        </w:tc>
        <w:tc>
          <w:tcPr>
            <w:tcW w:w="1474" w:type="dxa"/>
            <w:vAlign w:val="center"/>
          </w:tcPr>
          <w:p>
            <w:pPr>
              <w:pStyle w:val="17"/>
            </w:pPr>
            <w:r>
              <w:t>1342.12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32.36</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32.36</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1342.12</w:t>
            </w:r>
          </w:p>
        </w:tc>
        <w:tc>
          <w:tcPr>
            <w:tcW w:w="3402" w:type="dxa"/>
            <w:vAlign w:val="center"/>
          </w:tcPr>
          <w:p>
            <w:pPr>
              <w:pStyle w:val="16"/>
            </w:pPr>
            <w:r>
              <w:t>支出总计</w:t>
            </w:r>
          </w:p>
        </w:tc>
        <w:tc>
          <w:tcPr>
            <w:tcW w:w="1474" w:type="dxa"/>
            <w:vAlign w:val="center"/>
          </w:tcPr>
          <w:p>
            <w:pPr>
              <w:pStyle w:val="17"/>
            </w:pPr>
            <w:r>
              <w:t>1342.12</w:t>
            </w:r>
          </w:p>
        </w:tc>
        <w:tc>
          <w:tcPr>
            <w:tcW w:w="1474" w:type="dxa"/>
            <w:vAlign w:val="center"/>
          </w:tcPr>
          <w:p>
            <w:pPr>
              <w:pStyle w:val="17"/>
            </w:pPr>
            <w:r>
              <w:t>1342.12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1342.12</w:t>
            </w:r>
          </w:p>
        </w:tc>
        <w:tc>
          <w:tcPr>
            <w:tcW w:w="2551" w:type="dxa"/>
            <w:vAlign w:val="center"/>
          </w:tcPr>
          <w:p>
            <w:pPr>
              <w:pStyle w:val="17"/>
            </w:pPr>
            <w:r>
              <w:t>1077.05</w:t>
            </w:r>
          </w:p>
        </w:tc>
        <w:tc>
          <w:tcPr>
            <w:tcW w:w="2551" w:type="dxa"/>
            <w:vAlign w:val="center"/>
          </w:tcPr>
          <w:p>
            <w:pPr>
              <w:pStyle w:val="17"/>
            </w:pPr>
            <w:r>
              <w:t>265.07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981.09</w:t>
            </w:r>
          </w:p>
        </w:tc>
        <w:tc>
          <w:tcPr>
            <w:tcW w:w="2551" w:type="dxa"/>
            <w:vAlign w:val="center"/>
          </w:tcPr>
          <w:p>
            <w:pPr>
              <w:pStyle w:val="13"/>
            </w:pPr>
            <w:r>
              <w:t>951.62</w:t>
            </w:r>
          </w:p>
        </w:tc>
        <w:tc>
          <w:tcPr>
            <w:tcW w:w="2551" w:type="dxa"/>
            <w:vAlign w:val="center"/>
          </w:tcPr>
          <w:p>
            <w:pPr>
              <w:pStyle w:val="13"/>
            </w:pPr>
            <w:r>
              <w:t>29.48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961.34</w:t>
            </w:r>
          </w:p>
        </w:tc>
        <w:tc>
          <w:tcPr>
            <w:tcW w:w="2551" w:type="dxa"/>
            <w:vAlign w:val="center"/>
          </w:tcPr>
          <w:p>
            <w:pPr>
              <w:pStyle w:val="13"/>
            </w:pPr>
            <w:r>
              <w:t>951.62</w:t>
            </w:r>
          </w:p>
        </w:tc>
        <w:tc>
          <w:tcPr>
            <w:tcW w:w="2551" w:type="dxa"/>
            <w:vAlign w:val="center"/>
          </w:tcPr>
          <w:p>
            <w:pPr>
              <w:pStyle w:val="13"/>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730.42</w:t>
            </w:r>
          </w:p>
        </w:tc>
        <w:tc>
          <w:tcPr>
            <w:tcW w:w="2551" w:type="dxa"/>
            <w:vAlign w:val="center"/>
          </w:tcPr>
          <w:p>
            <w:pPr>
              <w:pStyle w:val="13"/>
            </w:pPr>
            <w:r>
              <w:t>730.42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5.68</w:t>
            </w:r>
          </w:p>
        </w:tc>
        <w:tc>
          <w:tcPr>
            <w:tcW w:w="2551" w:type="dxa"/>
            <w:vAlign w:val="center"/>
          </w:tcPr>
          <w:p>
            <w:pPr>
              <w:pStyle w:val="13"/>
            </w:pPr>
          </w:p>
        </w:tc>
        <w:tc>
          <w:tcPr>
            <w:tcW w:w="2551" w:type="dxa"/>
            <w:vAlign w:val="center"/>
          </w:tcPr>
          <w:p>
            <w:pPr>
              <w:pStyle w:val="13"/>
            </w:pPr>
            <w:r>
              <w:t>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221.20</w:t>
            </w:r>
          </w:p>
        </w:tc>
        <w:tc>
          <w:tcPr>
            <w:tcW w:w="2551" w:type="dxa"/>
            <w:vAlign w:val="center"/>
          </w:tcPr>
          <w:p>
            <w:pPr>
              <w:pStyle w:val="13"/>
            </w:pPr>
            <w:r>
              <w:t>221.20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2010399</w:t>
            </w:r>
          </w:p>
        </w:tc>
        <w:tc>
          <w:tcPr>
            <w:tcW w:w="4535" w:type="dxa"/>
            <w:vAlign w:val="center"/>
          </w:tcPr>
          <w:p>
            <w:pPr>
              <w:pStyle w:val="14"/>
            </w:pPr>
            <w:r>
              <w:t>其他政府办公厅（室）及相关机构事务支出</w:t>
            </w:r>
          </w:p>
        </w:tc>
        <w:tc>
          <w:tcPr>
            <w:tcW w:w="2551" w:type="dxa"/>
            <w:vAlign w:val="center"/>
          </w:tcPr>
          <w:p>
            <w:pPr>
              <w:pStyle w:val="13"/>
            </w:pPr>
            <w:r>
              <w:t>4.04</w:t>
            </w:r>
          </w:p>
        </w:tc>
        <w:tc>
          <w:tcPr>
            <w:tcW w:w="2551" w:type="dxa"/>
            <w:vAlign w:val="center"/>
          </w:tcPr>
          <w:p>
            <w:pPr>
              <w:pStyle w:val="13"/>
            </w:pPr>
          </w:p>
        </w:tc>
        <w:tc>
          <w:tcPr>
            <w:tcW w:w="2551" w:type="dxa"/>
            <w:vAlign w:val="center"/>
          </w:tcPr>
          <w:p>
            <w:pPr>
              <w:pStyle w:val="13"/>
            </w:pPr>
            <w:r>
              <w:t>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18.75</w:t>
            </w:r>
          </w:p>
        </w:tc>
        <w:tc>
          <w:tcPr>
            <w:tcW w:w="2551" w:type="dxa"/>
            <w:vAlign w:val="center"/>
          </w:tcPr>
          <w:p>
            <w:pPr>
              <w:pStyle w:val="13"/>
            </w:pPr>
          </w:p>
        </w:tc>
        <w:tc>
          <w:tcPr>
            <w:tcW w:w="2551" w:type="dxa"/>
            <w:vAlign w:val="center"/>
          </w:tcPr>
          <w:p>
            <w:pPr>
              <w:pStyle w:val="13"/>
            </w:pPr>
            <w:r>
              <w:t>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18.75</w:t>
            </w:r>
          </w:p>
        </w:tc>
        <w:tc>
          <w:tcPr>
            <w:tcW w:w="2551" w:type="dxa"/>
            <w:vAlign w:val="center"/>
          </w:tcPr>
          <w:p>
            <w:pPr>
              <w:pStyle w:val="13"/>
            </w:pPr>
          </w:p>
        </w:tc>
        <w:tc>
          <w:tcPr>
            <w:tcW w:w="2551" w:type="dxa"/>
            <w:vAlign w:val="center"/>
          </w:tcPr>
          <w:p>
            <w:pPr>
              <w:pStyle w:val="13"/>
            </w:pPr>
            <w:r>
              <w:t>18.75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68.61</w:t>
            </w:r>
          </w:p>
        </w:tc>
        <w:tc>
          <w:tcPr>
            <w:tcW w:w="2551" w:type="dxa"/>
            <w:vAlign w:val="center"/>
          </w:tcPr>
          <w:p>
            <w:pPr>
              <w:pStyle w:val="13"/>
            </w:pPr>
            <w:r>
              <w:t>68.61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68.61</w:t>
            </w:r>
          </w:p>
        </w:tc>
        <w:tc>
          <w:tcPr>
            <w:tcW w:w="2551" w:type="dxa"/>
            <w:vAlign w:val="center"/>
          </w:tcPr>
          <w:p>
            <w:pPr>
              <w:pStyle w:val="13"/>
            </w:pPr>
            <w:r>
              <w:t>68.61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14.10</w:t>
            </w:r>
          </w:p>
        </w:tc>
        <w:tc>
          <w:tcPr>
            <w:tcW w:w="2551" w:type="dxa"/>
            <w:vAlign w:val="center"/>
          </w:tcPr>
          <w:p>
            <w:pPr>
              <w:pStyle w:val="13"/>
            </w:pPr>
            <w:r>
              <w:t>14.10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54.51</w:t>
            </w:r>
          </w:p>
        </w:tc>
        <w:tc>
          <w:tcPr>
            <w:tcW w:w="2551" w:type="dxa"/>
            <w:vAlign w:val="center"/>
          </w:tcPr>
          <w:p>
            <w:pPr>
              <w:pStyle w:val="13"/>
            </w:pPr>
            <w:r>
              <w:t>54.51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29.35</w:t>
            </w:r>
          </w:p>
        </w:tc>
        <w:tc>
          <w:tcPr>
            <w:tcW w:w="2551" w:type="dxa"/>
            <w:vAlign w:val="center"/>
          </w:tcPr>
          <w:p>
            <w:pPr>
              <w:pStyle w:val="13"/>
            </w:pPr>
            <w:r>
              <w:t>28.85</w:t>
            </w: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21004</w:t>
            </w:r>
          </w:p>
        </w:tc>
        <w:tc>
          <w:tcPr>
            <w:tcW w:w="4535" w:type="dxa"/>
            <w:vAlign w:val="center"/>
          </w:tcPr>
          <w:p>
            <w:pPr>
              <w:pStyle w:val="14"/>
            </w:pPr>
            <w:r>
              <w:t>公共卫生</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2100408</w:t>
            </w:r>
          </w:p>
        </w:tc>
        <w:tc>
          <w:tcPr>
            <w:tcW w:w="4535" w:type="dxa"/>
            <w:vAlign w:val="center"/>
          </w:tcPr>
          <w:p>
            <w:pPr>
              <w:pStyle w:val="14"/>
            </w:pPr>
            <w:r>
              <w:t>基本公共卫生服务</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28.85</w:t>
            </w:r>
          </w:p>
        </w:tc>
        <w:tc>
          <w:tcPr>
            <w:tcW w:w="2551" w:type="dxa"/>
            <w:vAlign w:val="center"/>
          </w:tcPr>
          <w:p>
            <w:pPr>
              <w:pStyle w:val="13"/>
            </w:pPr>
            <w:r>
              <w:t>28.85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10.28</w:t>
            </w:r>
          </w:p>
        </w:tc>
        <w:tc>
          <w:tcPr>
            <w:tcW w:w="2551" w:type="dxa"/>
            <w:vAlign w:val="center"/>
          </w:tcPr>
          <w:p>
            <w:pPr>
              <w:pStyle w:val="13"/>
            </w:pPr>
            <w:r>
              <w:t>10.28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18.57</w:t>
            </w:r>
          </w:p>
        </w:tc>
        <w:tc>
          <w:tcPr>
            <w:tcW w:w="2551" w:type="dxa"/>
            <w:vAlign w:val="center"/>
          </w:tcPr>
          <w:p>
            <w:pPr>
              <w:pStyle w:val="13"/>
            </w:pPr>
            <w:r>
              <w:t>18.57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235.09</w:t>
            </w:r>
          </w:p>
        </w:tc>
        <w:tc>
          <w:tcPr>
            <w:tcW w:w="2551" w:type="dxa"/>
            <w:vAlign w:val="center"/>
          </w:tcPr>
          <w:p>
            <w:pPr>
              <w:pStyle w:val="13"/>
            </w:pPr>
          </w:p>
        </w:tc>
        <w:tc>
          <w:tcPr>
            <w:tcW w:w="2551" w:type="dxa"/>
            <w:vAlign w:val="center"/>
          </w:tcPr>
          <w:p>
            <w:pPr>
              <w:pStyle w:val="13"/>
            </w:pPr>
            <w:r>
              <w:t>235.09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235.09</w:t>
            </w:r>
          </w:p>
        </w:tc>
        <w:tc>
          <w:tcPr>
            <w:tcW w:w="2551" w:type="dxa"/>
            <w:vAlign w:val="center"/>
          </w:tcPr>
          <w:p>
            <w:pPr>
              <w:pStyle w:val="13"/>
            </w:pPr>
          </w:p>
        </w:tc>
        <w:tc>
          <w:tcPr>
            <w:tcW w:w="2551" w:type="dxa"/>
            <w:vAlign w:val="center"/>
          </w:tcPr>
          <w:p>
            <w:pPr>
              <w:pStyle w:val="13"/>
            </w:pPr>
            <w:r>
              <w:t>235.09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60.79</w:t>
            </w:r>
          </w:p>
        </w:tc>
        <w:tc>
          <w:tcPr>
            <w:tcW w:w="2551" w:type="dxa"/>
            <w:vAlign w:val="center"/>
          </w:tcPr>
          <w:p>
            <w:pPr>
              <w:pStyle w:val="13"/>
            </w:pPr>
          </w:p>
        </w:tc>
        <w:tc>
          <w:tcPr>
            <w:tcW w:w="2551" w:type="dxa"/>
            <w:vAlign w:val="center"/>
          </w:tcPr>
          <w:p>
            <w:pPr>
              <w:pStyle w:val="13"/>
            </w:pPr>
            <w:r>
              <w:t>60.79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2120199</w:t>
            </w:r>
          </w:p>
        </w:tc>
        <w:tc>
          <w:tcPr>
            <w:tcW w:w="4535" w:type="dxa"/>
            <w:vAlign w:val="center"/>
          </w:tcPr>
          <w:p>
            <w:pPr>
              <w:pStyle w:val="14"/>
            </w:pPr>
            <w:r>
              <w:t>其他城乡社区管理事务支出</w:t>
            </w:r>
          </w:p>
        </w:tc>
        <w:tc>
          <w:tcPr>
            <w:tcW w:w="2551" w:type="dxa"/>
            <w:vAlign w:val="center"/>
          </w:tcPr>
          <w:p>
            <w:pPr>
              <w:pStyle w:val="13"/>
            </w:pPr>
            <w:r>
              <w:t>174.30</w:t>
            </w:r>
          </w:p>
        </w:tc>
        <w:tc>
          <w:tcPr>
            <w:tcW w:w="2551" w:type="dxa"/>
            <w:vAlign w:val="center"/>
          </w:tcPr>
          <w:p>
            <w:pPr>
              <w:pStyle w:val="13"/>
            </w:pPr>
          </w:p>
        </w:tc>
        <w:tc>
          <w:tcPr>
            <w:tcW w:w="2551" w:type="dxa"/>
            <w:vAlign w:val="center"/>
          </w:tcPr>
          <w:p>
            <w:pPr>
              <w:pStyle w:val="13"/>
            </w:pPr>
            <w:r>
              <w:t>174.30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27.97</w:t>
            </w:r>
          </w:p>
        </w:tc>
        <w:tc>
          <w:tcPr>
            <w:tcW w:w="2551" w:type="dxa"/>
            <w:vAlign w:val="center"/>
          </w:tcPr>
          <w:p>
            <w:pPr>
              <w:pStyle w:val="13"/>
            </w:pPr>
            <w:r>
              <w:t>27.97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27.97</w:t>
            </w:r>
          </w:p>
        </w:tc>
        <w:tc>
          <w:tcPr>
            <w:tcW w:w="2551" w:type="dxa"/>
            <w:vAlign w:val="center"/>
          </w:tcPr>
          <w:p>
            <w:pPr>
              <w:pStyle w:val="13"/>
            </w:pPr>
            <w:r>
              <w:t>27.97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27.97</w:t>
            </w:r>
          </w:p>
        </w:tc>
        <w:tc>
          <w:tcPr>
            <w:tcW w:w="2551" w:type="dxa"/>
            <w:vAlign w:val="center"/>
          </w:tcPr>
          <w:p>
            <w:pPr>
              <w:pStyle w:val="13"/>
            </w:pPr>
            <w:r>
              <w:t>27.97</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1077.05</w:t>
            </w:r>
          </w:p>
        </w:tc>
        <w:tc>
          <w:tcPr>
            <w:tcW w:w="2551" w:type="dxa"/>
            <w:vAlign w:val="center"/>
          </w:tcPr>
          <w:p>
            <w:pPr>
              <w:pStyle w:val="17"/>
            </w:pPr>
            <w:r>
              <w:t>1008.41</w:t>
            </w:r>
          </w:p>
        </w:tc>
        <w:tc>
          <w:tcPr>
            <w:tcW w:w="2551" w:type="dxa"/>
            <w:vAlign w:val="center"/>
          </w:tcPr>
          <w:p>
            <w:pPr>
              <w:pStyle w:val="17"/>
            </w:pPr>
            <w:r>
              <w:t>68.64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994.31</w:t>
            </w:r>
          </w:p>
        </w:tc>
        <w:tc>
          <w:tcPr>
            <w:tcW w:w="2551" w:type="dxa"/>
            <w:vAlign w:val="center"/>
          </w:tcPr>
          <w:p>
            <w:pPr>
              <w:pStyle w:val="13"/>
            </w:pPr>
            <w:r>
              <w:t>994.31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210.78</w:t>
            </w:r>
          </w:p>
        </w:tc>
        <w:tc>
          <w:tcPr>
            <w:tcW w:w="2551" w:type="dxa"/>
            <w:vAlign w:val="center"/>
          </w:tcPr>
          <w:p>
            <w:pPr>
              <w:pStyle w:val="13"/>
            </w:pPr>
            <w:r>
              <w:t>210.78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50.31</w:t>
            </w:r>
          </w:p>
        </w:tc>
        <w:tc>
          <w:tcPr>
            <w:tcW w:w="2551" w:type="dxa"/>
            <w:vAlign w:val="center"/>
          </w:tcPr>
          <w:p>
            <w:pPr>
              <w:pStyle w:val="13"/>
            </w:pPr>
            <w:r>
              <w:t>50.31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17.90</w:t>
            </w:r>
          </w:p>
        </w:tc>
        <w:tc>
          <w:tcPr>
            <w:tcW w:w="2551" w:type="dxa"/>
            <w:vAlign w:val="center"/>
          </w:tcPr>
          <w:p>
            <w:pPr>
              <w:pStyle w:val="13"/>
            </w:pPr>
            <w:r>
              <w:t>17.90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76.98</w:t>
            </w:r>
          </w:p>
        </w:tc>
        <w:tc>
          <w:tcPr>
            <w:tcW w:w="2551" w:type="dxa"/>
            <w:vAlign w:val="center"/>
          </w:tcPr>
          <w:p>
            <w:pPr>
              <w:pStyle w:val="13"/>
            </w:pPr>
            <w:r>
              <w:t>76.98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54.51</w:t>
            </w:r>
          </w:p>
        </w:tc>
        <w:tc>
          <w:tcPr>
            <w:tcW w:w="2551" w:type="dxa"/>
            <w:vAlign w:val="center"/>
          </w:tcPr>
          <w:p>
            <w:pPr>
              <w:pStyle w:val="13"/>
            </w:pPr>
            <w:r>
              <w:t>54.51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28.85</w:t>
            </w:r>
          </w:p>
        </w:tc>
        <w:tc>
          <w:tcPr>
            <w:tcW w:w="2551" w:type="dxa"/>
            <w:vAlign w:val="center"/>
          </w:tcPr>
          <w:p>
            <w:pPr>
              <w:pStyle w:val="13"/>
            </w:pPr>
            <w:r>
              <w:t>28.85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3.58</w:t>
            </w:r>
          </w:p>
        </w:tc>
        <w:tc>
          <w:tcPr>
            <w:tcW w:w="2551" w:type="dxa"/>
            <w:vAlign w:val="center"/>
          </w:tcPr>
          <w:p>
            <w:pPr>
              <w:pStyle w:val="13"/>
            </w:pPr>
            <w:r>
              <w:t>3.58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27.97</w:t>
            </w:r>
          </w:p>
        </w:tc>
        <w:tc>
          <w:tcPr>
            <w:tcW w:w="2551" w:type="dxa"/>
            <w:vAlign w:val="center"/>
          </w:tcPr>
          <w:p>
            <w:pPr>
              <w:pStyle w:val="13"/>
            </w:pPr>
            <w:r>
              <w:t>27.97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523.42</w:t>
            </w:r>
          </w:p>
        </w:tc>
        <w:tc>
          <w:tcPr>
            <w:tcW w:w="2551" w:type="dxa"/>
            <w:vAlign w:val="center"/>
          </w:tcPr>
          <w:p>
            <w:pPr>
              <w:pStyle w:val="13"/>
            </w:pPr>
            <w:r>
              <w:t>523.42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67.08</w:t>
            </w:r>
          </w:p>
        </w:tc>
        <w:tc>
          <w:tcPr>
            <w:tcW w:w="2551" w:type="dxa"/>
            <w:vAlign w:val="center"/>
          </w:tcPr>
          <w:p>
            <w:pPr>
              <w:pStyle w:val="13"/>
            </w:pPr>
          </w:p>
        </w:tc>
        <w:tc>
          <w:tcPr>
            <w:tcW w:w="2551" w:type="dxa"/>
            <w:vAlign w:val="center"/>
          </w:tcPr>
          <w:p>
            <w:pPr>
              <w:pStyle w:val="13"/>
            </w:pPr>
            <w:r>
              <w:t>67.08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19.10</w:t>
            </w:r>
          </w:p>
        </w:tc>
        <w:tc>
          <w:tcPr>
            <w:tcW w:w="2551" w:type="dxa"/>
            <w:vAlign w:val="center"/>
          </w:tcPr>
          <w:p>
            <w:pPr>
              <w:pStyle w:val="13"/>
            </w:pPr>
          </w:p>
        </w:tc>
        <w:tc>
          <w:tcPr>
            <w:tcW w:w="2551" w:type="dxa"/>
            <w:vAlign w:val="center"/>
          </w:tcPr>
          <w:p>
            <w:pPr>
              <w:pStyle w:val="13"/>
            </w:pPr>
            <w:r>
              <w:t>19.10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30204</w:t>
            </w:r>
          </w:p>
        </w:tc>
        <w:tc>
          <w:tcPr>
            <w:tcW w:w="4535" w:type="dxa"/>
            <w:vAlign w:val="center"/>
          </w:tcPr>
          <w:p>
            <w:pPr>
              <w:pStyle w:val="14"/>
            </w:pPr>
            <w:r>
              <w:t>手续费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1.52</w:t>
            </w:r>
          </w:p>
        </w:tc>
        <w:tc>
          <w:tcPr>
            <w:tcW w:w="2551" w:type="dxa"/>
            <w:vAlign w:val="center"/>
          </w:tcPr>
          <w:p>
            <w:pPr>
              <w:pStyle w:val="13"/>
            </w:pPr>
          </w:p>
        </w:tc>
        <w:tc>
          <w:tcPr>
            <w:tcW w:w="2551" w:type="dxa"/>
            <w:vAlign w:val="center"/>
          </w:tcPr>
          <w:p>
            <w:pPr>
              <w:pStyle w:val="13"/>
            </w:pPr>
            <w: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9.40</w:t>
            </w:r>
          </w:p>
        </w:tc>
        <w:tc>
          <w:tcPr>
            <w:tcW w:w="2551" w:type="dxa"/>
            <w:vAlign w:val="center"/>
          </w:tcPr>
          <w:p>
            <w:pPr>
              <w:pStyle w:val="13"/>
            </w:pPr>
          </w:p>
        </w:tc>
        <w:tc>
          <w:tcPr>
            <w:tcW w:w="2551" w:type="dxa"/>
            <w:vAlign w:val="center"/>
          </w:tcPr>
          <w:p>
            <w:pPr>
              <w:pStyle w:val="13"/>
            </w:pPr>
            <w:r>
              <w:t>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4.50</w:t>
            </w:r>
          </w:p>
        </w:tc>
        <w:tc>
          <w:tcPr>
            <w:tcW w:w="2551" w:type="dxa"/>
            <w:vAlign w:val="center"/>
          </w:tcPr>
          <w:p>
            <w:pPr>
              <w:pStyle w:val="13"/>
            </w:pPr>
          </w:p>
        </w:tc>
        <w:tc>
          <w:tcPr>
            <w:tcW w:w="2551"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11.52</w:t>
            </w:r>
          </w:p>
        </w:tc>
        <w:tc>
          <w:tcPr>
            <w:tcW w:w="2551" w:type="dxa"/>
            <w:vAlign w:val="center"/>
          </w:tcPr>
          <w:p>
            <w:pPr>
              <w:pStyle w:val="13"/>
            </w:pPr>
          </w:p>
        </w:tc>
        <w:tc>
          <w:tcPr>
            <w:tcW w:w="2551" w:type="dxa"/>
            <w:vAlign w:val="center"/>
          </w:tcPr>
          <w:p>
            <w:pPr>
              <w:pStyle w:val="13"/>
            </w:pPr>
            <w:r>
              <w:t>11.52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1.40</w:t>
            </w:r>
          </w:p>
        </w:tc>
        <w:tc>
          <w:tcPr>
            <w:tcW w:w="2551" w:type="dxa"/>
            <w:vAlign w:val="center"/>
          </w:tcPr>
          <w:p>
            <w:pPr>
              <w:pStyle w:val="13"/>
            </w:pPr>
          </w:p>
        </w:tc>
        <w:tc>
          <w:tcPr>
            <w:tcW w:w="2551" w:type="dxa"/>
            <w:vAlign w:val="center"/>
          </w:tcPr>
          <w:p>
            <w:pPr>
              <w:pStyle w:val="13"/>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17.05</w:t>
            </w:r>
          </w:p>
        </w:tc>
        <w:tc>
          <w:tcPr>
            <w:tcW w:w="2551" w:type="dxa"/>
            <w:vAlign w:val="center"/>
          </w:tcPr>
          <w:p>
            <w:pPr>
              <w:pStyle w:val="13"/>
            </w:pPr>
          </w:p>
        </w:tc>
        <w:tc>
          <w:tcPr>
            <w:tcW w:w="2551" w:type="dxa"/>
            <w:vAlign w:val="center"/>
          </w:tcPr>
          <w:p>
            <w:pPr>
              <w:pStyle w:val="13"/>
            </w:pPr>
            <w:r>
              <w:t>17.05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14.10</w:t>
            </w:r>
          </w:p>
        </w:tc>
        <w:tc>
          <w:tcPr>
            <w:tcW w:w="2551" w:type="dxa"/>
            <w:vAlign w:val="center"/>
          </w:tcPr>
          <w:p>
            <w:pPr>
              <w:pStyle w:val="13"/>
            </w:pPr>
            <w:r>
              <w:t>14.10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14.10</w:t>
            </w:r>
          </w:p>
        </w:tc>
        <w:tc>
          <w:tcPr>
            <w:tcW w:w="2551" w:type="dxa"/>
            <w:vAlign w:val="center"/>
          </w:tcPr>
          <w:p>
            <w:pPr>
              <w:pStyle w:val="13"/>
            </w:pPr>
            <w:r>
              <w:t>14.10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1.56</w:t>
            </w:r>
          </w:p>
        </w:tc>
        <w:tc>
          <w:tcPr>
            <w:tcW w:w="2551" w:type="dxa"/>
            <w:vAlign w:val="center"/>
          </w:tcPr>
          <w:p>
            <w:pPr>
              <w:pStyle w:val="13"/>
            </w:pPr>
          </w:p>
        </w:tc>
        <w:tc>
          <w:tcPr>
            <w:tcW w:w="2551" w:type="dxa"/>
            <w:vAlign w:val="center"/>
          </w:tcPr>
          <w:p>
            <w:pPr>
              <w:pStyle w:val="13"/>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31003</w:t>
            </w:r>
          </w:p>
        </w:tc>
        <w:tc>
          <w:tcPr>
            <w:tcW w:w="4535" w:type="dxa"/>
            <w:vAlign w:val="center"/>
          </w:tcPr>
          <w:p>
            <w:pPr>
              <w:pStyle w:val="14"/>
            </w:pPr>
            <w:r>
              <w:t>专用设备购置</w:t>
            </w:r>
          </w:p>
        </w:tc>
        <w:tc>
          <w:tcPr>
            <w:tcW w:w="2551" w:type="dxa"/>
            <w:vAlign w:val="center"/>
          </w:tcPr>
          <w:p>
            <w:pPr>
              <w:pStyle w:val="13"/>
            </w:pPr>
            <w:r>
              <w:t>0.56</w:t>
            </w:r>
          </w:p>
        </w:tc>
        <w:tc>
          <w:tcPr>
            <w:tcW w:w="2551" w:type="dxa"/>
            <w:vAlign w:val="center"/>
          </w:tcPr>
          <w:p>
            <w:pPr>
              <w:pStyle w:val="13"/>
            </w:pPr>
          </w:p>
        </w:tc>
        <w:tc>
          <w:tcPr>
            <w:tcW w:w="2551" w:type="dxa"/>
            <w:vAlign w:val="center"/>
          </w:tcPr>
          <w:p>
            <w:pPr>
              <w:pStyle w:val="13"/>
            </w:pPr>
            <w:r>
              <w:t>0.56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1.70</w:t>
            </w:r>
          </w:p>
        </w:tc>
        <w:tc>
          <w:tcPr>
            <w:tcW w:w="2381" w:type="dxa"/>
            <w:vAlign w:val="center"/>
          </w:tcPr>
          <w:p>
            <w:pPr>
              <w:pStyle w:val="17"/>
            </w:pPr>
            <w:r>
              <w:t>1.70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1.70</w:t>
            </w:r>
          </w:p>
        </w:tc>
        <w:tc>
          <w:tcPr>
            <w:tcW w:w="2381" w:type="dxa"/>
            <w:vAlign w:val="center"/>
          </w:tcPr>
          <w:p>
            <w:pPr>
              <w:pStyle w:val="13"/>
            </w:pPr>
            <w:r>
              <w:t>1.70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1.40</w:t>
            </w:r>
          </w:p>
        </w:tc>
        <w:tc>
          <w:tcPr>
            <w:tcW w:w="2381" w:type="dxa"/>
            <w:vAlign w:val="center"/>
          </w:tcPr>
          <w:p>
            <w:pPr>
              <w:pStyle w:val="13"/>
            </w:pPr>
            <w:r>
              <w:t>1.40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0.30</w:t>
            </w:r>
          </w:p>
        </w:tc>
        <w:tc>
          <w:tcPr>
            <w:tcW w:w="2381" w:type="dxa"/>
            <w:vAlign w:val="center"/>
          </w:tcPr>
          <w:p>
            <w:pPr>
              <w:pStyle w:val="13"/>
            </w:pPr>
            <w:r>
              <w:t>0.30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 xml:space="preserve">    其中：省属高校业务性会议费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12</w:t>
            </w:r>
          </w:p>
        </w:tc>
        <w:tc>
          <w:tcPr>
            <w:tcW w:w="3798" w:type="dxa"/>
            <w:vAlign w:val="center"/>
          </w:tcPr>
          <w:p>
            <w:pPr>
              <w:pStyle w:val="14"/>
            </w:pPr>
            <w:r>
              <w:t xml:space="preserve">          其他会议费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13</w:t>
            </w:r>
          </w:p>
        </w:tc>
        <w:tc>
          <w:tcPr>
            <w:tcW w:w="3798" w:type="dxa"/>
            <w:vAlign w:val="center"/>
          </w:tcPr>
          <w:p>
            <w:pPr>
              <w:pStyle w:val="14"/>
            </w:pPr>
            <w:r>
              <w:t>五、培训费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青龙满族自治县人民政府都阳路街道办事处本级2026年单位预算信息公开情况说明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按照《中华人民共和国预算法》、《地方预决算公开操作规程》和《关于进一步推进预算公开工作的实施意见》规定，现将青龙满族自治县人民政府都阳路街道办事处本级2026年单位预算公开如下：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1.宣传贯彻执行党的路线方针政策和党中央、上级党组织的决议。贯彻执行法律、法规、规章和上级人民代表大会及其常务委员会决议，执行上级政府的决定、命令，依法管理辖区公共事务。</w:t>
      </w:r>
    </w:p>
    <w:p>
      <w:pPr>
        <w:pStyle w:val="27"/>
      </w:pPr>
      <w:r>
        <w:t>2.讨论并决定本街道重大问题，统筹协调辖区单位和组织，团结、组织党内外干部和群众，抓好决策部署的组织实施和督促落实，组织实施于居民生活密切相关的公共服务，落实民政、民生、卫生健康、住房保障、就业创业、社会保障、文化教育和体育事业等政策。</w:t>
      </w:r>
    </w:p>
    <w:p>
      <w:pPr>
        <w:pStyle w:val="27"/>
      </w:pPr>
      <w:r>
        <w:t>3.负责办理上级人大常委会交办的监督、选举和其他工作，做好人大代表工作，联系选民，反映群众意见和要求。4.负责医疗、卫生、保健工作。开展疾病预防、医疗、保健、康复、健康教育等服务，建设完善社区医疗卫生服务网</w:t>
      </w:r>
    </w:p>
    <w:p>
      <w:pPr>
        <w:pStyle w:val="27"/>
      </w:pPr>
      <w:r>
        <w:t>络，促进医疗服务向居民小区和家庭延伸。配合相关部门做好流动人口管理工作。</w:t>
      </w:r>
    </w:p>
    <w:p>
      <w:pPr>
        <w:pStyle w:val="27"/>
      </w:pPr>
      <w:r>
        <w:t>5.负责搞好城市卫生、食品药品、安全生产管理。组织辖区单位和居民群众开展爱国卫生运动，配合有关部门加强城市卫生和安全生产管理与监督，维护城市正常秩序，组织成立业主委员会，选举业主委员会等工作，并做好日常指导和监督；做好辖区内居民、小区服务和消防安全工作，做好自管小区的物业管理工作，负责食品药品监管工作。</w:t>
      </w:r>
    </w:p>
    <w:p>
      <w:pPr>
        <w:pStyle w:val="27"/>
      </w:pPr>
      <w:r>
        <w:t>6.负责基层组织建设和纪检工作。负责街道党工委、居委会党支部等基层组织建设工作；负责组织党员活动，发展党员，对党员干部进行教育，掌握辖区内组织及党员队伍情况；做好纪检监察、工会、妇联、青年、武装等工作。7.负责开展各种群众性的社区文化娱乐、体育、教育、科普活动，努力提高居民素质和社区文明程度。</w:t>
      </w:r>
    </w:p>
    <w:p>
      <w:pPr>
        <w:pStyle w:val="27"/>
      </w:pPr>
      <w:r>
        <w:t>8.积极发挥街道办事处协调、指导、管理和服务职能，创造条件发展街、居经济和社区服务业。9.配合有关部门做好防汛、防火、防灾和抢险工作。</w:t>
      </w:r>
    </w:p>
    <w:p>
      <w:pPr>
        <w:pStyle w:val="27"/>
      </w:pPr>
      <w:r>
        <w:t>10.参与辖区设施规划、建设和验收，综合管理、统筹调度和考核督办涉及辖区的公共事务，按照有关规定统筹使用下沉到街道社区的人才物等资源。</w:t>
      </w:r>
    </w:p>
    <w:p>
      <w:pPr>
        <w:pStyle w:val="27"/>
      </w:pPr>
      <w:r>
        <w:t>11.承办上级党委、人大、政府交办的其他事项。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青龙满族自治县人民政府都阳路街道办事处本级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2026年预算收入1342.12万元，其中：一般公共预算收入1309.76万元，基金预算收入0.00万元，国有资本经营预算收入0.00万元，财政专户核拨收入0.00万元，单位资金收入0.00万元，上年结转结余32.36万元。</w:t>
      </w:r>
    </w:p>
    <w:p>
      <w:pPr>
        <w:pStyle w:val="28"/>
      </w:pPr>
      <w:r>
        <w:t>2、支出说明</w:t>
      </w:r>
    </w:p>
    <w:p>
      <w:pPr>
        <w:pStyle w:val="28"/>
      </w:pPr>
      <w:r>
        <w:t>收支预算总表支出栏、基本支出表、项目支出表按经济分类和支出功能分类科目编制，反映青龙满族自治县人民政府都阳路街道办事处本级年度单位预算中支出预算的总体情况。2026年支出预算1342.12万元，其中基本支出1077.05万元，包括人员经费1008.41万元和日常公用经费68.64万元；项目支出265.07万元，主要为社区工作经费、服务群众专项经费、社区房租等项目。；预计下年使用的单位资金结余0.00万元。委托业务费共计安排0.00万元，主要用于因技术原因确需对外委托的辅助性工作和确有必要对外委托开展咨询、评审、规划等工作。</w:t>
      </w:r>
    </w:p>
    <w:p>
      <w:pPr>
        <w:pStyle w:val="28"/>
      </w:pPr>
      <w:r>
        <w:t>3、比上年增减情况</w:t>
      </w:r>
    </w:p>
    <w:p>
      <w:pPr>
        <w:pStyle w:val="28"/>
      </w:pPr>
      <w:r>
        <w:t>2026年预算收支安排1342.12万元，较2025年预算增加15.93万元，其中：基本支出增加31.97万元，主要为新增社区工作 人员及调资，人员经费增加。项目支出减少16.04万元，主要为社区办公地点变更装修项目减少。。预计下年使用的单位资金结余增加0.00万元。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1、人大代表之家工作经费绩效目标表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13032126P003349103238</w:t>
            </w:r>
          </w:p>
        </w:tc>
        <w:tc>
          <w:tcPr>
            <w:tcW w:w="2835" w:type="dxa"/>
            <w:vAlign w:val="center"/>
          </w:tcPr>
          <w:p>
            <w:pPr>
              <w:pStyle w:val="12"/>
            </w:pPr>
            <w:r>
              <w:t>项目名称</w:t>
            </w:r>
          </w:p>
        </w:tc>
        <w:tc>
          <w:tcPr>
            <w:tcW w:w="6095" w:type="dxa"/>
            <w:gridSpan w:val="3"/>
            <w:vAlign w:val="center"/>
          </w:tcPr>
          <w:p>
            <w:pPr>
              <w:pStyle w:val="14"/>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预算资金1万元，其中财政资金1万元，主要用于人大代表之家工作经费.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1.学习宣传培训；开展代表活动；密切联系群众。</w:t>
            </w:r>
            <w:r>
              <w:tab/>
            </w:r>
            <w:r>
              <w:tab/>
            </w:r>
            <w:r>
              <w:tab/>
            </w:r>
            <w:r>
              <w:tab/>
            </w:r>
            <w:r>
              <w:tab/>
            </w:r>
            <w:r>
              <w:tab/>
            </w:r>
          </w:p>
          <w:p>
            <w:pPr>
              <w:pStyle w:val="14"/>
            </w:pPr>
          </w:p>
          <w:p>
            <w:pPr>
              <w:pStyle w:val="14"/>
            </w:pPr>
            <w:r>
              <w:t>2.接受群众监督；提出议案建议；交流履职经验。</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组织代表参加活动次数</w:t>
            </w:r>
          </w:p>
        </w:tc>
        <w:tc>
          <w:tcPr>
            <w:tcW w:w="5386" w:type="dxa"/>
            <w:vAlign w:val="center"/>
          </w:tcPr>
          <w:p>
            <w:pPr>
              <w:pStyle w:val="14"/>
            </w:pPr>
            <w:r>
              <w:t>计划召开学习宣传培训活动次数</w:t>
            </w:r>
          </w:p>
        </w:tc>
        <w:tc>
          <w:tcPr>
            <w:tcW w:w="2268" w:type="dxa"/>
            <w:vAlign w:val="center"/>
          </w:tcPr>
          <w:p>
            <w:pPr>
              <w:pStyle w:val="14"/>
            </w:pPr>
            <w:r>
              <w:t>≥3次</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组织调研的次数</w:t>
            </w:r>
          </w:p>
        </w:tc>
        <w:tc>
          <w:tcPr>
            <w:tcW w:w="5386" w:type="dxa"/>
            <w:vAlign w:val="center"/>
          </w:tcPr>
          <w:p>
            <w:pPr>
              <w:pStyle w:val="14"/>
            </w:pPr>
            <w:r>
              <w:t>计划开展调研的次数</w:t>
            </w:r>
          </w:p>
        </w:tc>
        <w:tc>
          <w:tcPr>
            <w:tcW w:w="2268" w:type="dxa"/>
            <w:vAlign w:val="center"/>
          </w:tcPr>
          <w:p>
            <w:pPr>
              <w:pStyle w:val="14"/>
            </w:pPr>
            <w:r>
              <w:t>≥2次</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人大代表数量</w:t>
            </w:r>
          </w:p>
        </w:tc>
        <w:tc>
          <w:tcPr>
            <w:tcW w:w="5386" w:type="dxa"/>
            <w:vAlign w:val="center"/>
          </w:tcPr>
          <w:p>
            <w:pPr>
              <w:pStyle w:val="14"/>
            </w:pPr>
            <w:r>
              <w:t>反映县街道办事处人大代表数量</w:t>
            </w:r>
          </w:p>
        </w:tc>
        <w:tc>
          <w:tcPr>
            <w:tcW w:w="2268" w:type="dxa"/>
            <w:vAlign w:val="center"/>
          </w:tcPr>
          <w:p>
            <w:pPr>
              <w:pStyle w:val="14"/>
            </w:pPr>
            <w:r>
              <w:t>12人</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活动完成率</w:t>
            </w:r>
          </w:p>
        </w:tc>
        <w:tc>
          <w:tcPr>
            <w:tcW w:w="5386" w:type="dxa"/>
            <w:vAlign w:val="center"/>
          </w:tcPr>
          <w:p>
            <w:pPr>
              <w:pStyle w:val="14"/>
            </w:pPr>
            <w:r>
              <w:t>做好协调组织工作，为代表依法履职提供服务</w:t>
            </w:r>
          </w:p>
        </w:tc>
        <w:tc>
          <w:tcPr>
            <w:tcW w:w="2268" w:type="dxa"/>
            <w:vAlign w:val="center"/>
          </w:tcPr>
          <w:p>
            <w:pPr>
              <w:pStyle w:val="14"/>
            </w:pPr>
            <w:r>
              <w:t>≥95百分比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代表参加活动或培训覆盖率</w:t>
            </w:r>
          </w:p>
        </w:tc>
        <w:tc>
          <w:tcPr>
            <w:tcW w:w="5386" w:type="dxa"/>
            <w:vAlign w:val="center"/>
          </w:tcPr>
          <w:p>
            <w:pPr>
              <w:pStyle w:val="14"/>
            </w:pPr>
            <w:r>
              <w:t>联络机构、网络平台完成情况占年初计划任务比率</w:t>
            </w:r>
          </w:p>
        </w:tc>
        <w:tc>
          <w:tcPr>
            <w:tcW w:w="2268" w:type="dxa"/>
            <w:vAlign w:val="center"/>
          </w:tcPr>
          <w:p>
            <w:pPr>
              <w:pStyle w:val="14"/>
            </w:pPr>
            <w:r>
              <w:t>≥85百分比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意见建议采纳率（%）</w:t>
            </w:r>
          </w:p>
        </w:tc>
        <w:tc>
          <w:tcPr>
            <w:tcW w:w="5386" w:type="dxa"/>
            <w:vAlign w:val="center"/>
          </w:tcPr>
          <w:p>
            <w:pPr>
              <w:pStyle w:val="14"/>
            </w:pPr>
            <w:r>
              <w:t>被采纳的意见建议数量占总数量的比率</w:t>
            </w:r>
          </w:p>
        </w:tc>
        <w:tc>
          <w:tcPr>
            <w:tcW w:w="2268" w:type="dxa"/>
            <w:vAlign w:val="center"/>
          </w:tcPr>
          <w:p>
            <w:pPr>
              <w:pStyle w:val="14"/>
            </w:pPr>
            <w:r>
              <w:t>≥50百分比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反映举办活动的及时率</w:t>
            </w:r>
          </w:p>
        </w:tc>
        <w:tc>
          <w:tcPr>
            <w:tcW w:w="2268" w:type="dxa"/>
            <w:vAlign w:val="center"/>
          </w:tcPr>
          <w:p>
            <w:pPr>
              <w:pStyle w:val="14"/>
            </w:pPr>
            <w:r>
              <w:t>≥90百分比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支出控制数</w:t>
            </w:r>
          </w:p>
        </w:tc>
        <w:tc>
          <w:tcPr>
            <w:tcW w:w="5386" w:type="dxa"/>
            <w:vAlign w:val="center"/>
          </w:tcPr>
          <w:p>
            <w:pPr>
              <w:pStyle w:val="14"/>
            </w:pPr>
            <w:r>
              <w:t>总体控制在年度预算额度内</w:t>
            </w:r>
          </w:p>
        </w:tc>
        <w:tc>
          <w:tcPr>
            <w:tcW w:w="2268" w:type="dxa"/>
            <w:vAlign w:val="center"/>
          </w:tcPr>
          <w:p>
            <w:pPr>
              <w:pStyle w:val="14"/>
            </w:pPr>
            <w:r>
              <w:t>≤1万元</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履职质量和水平</w:t>
            </w:r>
          </w:p>
        </w:tc>
        <w:tc>
          <w:tcPr>
            <w:tcW w:w="5386" w:type="dxa"/>
            <w:vAlign w:val="center"/>
          </w:tcPr>
          <w:p>
            <w:pPr>
              <w:pStyle w:val="14"/>
            </w:pPr>
            <w:r>
              <w:t>加强对社区人大工作的联系和指导，规范化、制度化水平显著提升</w:t>
            </w:r>
          </w:p>
        </w:tc>
        <w:tc>
          <w:tcPr>
            <w:tcW w:w="2268" w:type="dxa"/>
            <w:vAlign w:val="center"/>
          </w:tcPr>
          <w:p>
            <w:pPr>
              <w:pStyle w:val="14"/>
            </w:pPr>
            <w:r>
              <w:t>≥95百分比</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完成调研报告数量</w:t>
            </w:r>
          </w:p>
        </w:tc>
        <w:tc>
          <w:tcPr>
            <w:tcW w:w="5386" w:type="dxa"/>
            <w:vAlign w:val="center"/>
          </w:tcPr>
          <w:p>
            <w:pPr>
              <w:pStyle w:val="14"/>
            </w:pPr>
            <w:r>
              <w:t>当年完成调研报告的数量</w:t>
            </w:r>
          </w:p>
        </w:tc>
        <w:tc>
          <w:tcPr>
            <w:tcW w:w="2268" w:type="dxa"/>
            <w:vAlign w:val="center"/>
          </w:tcPr>
          <w:p>
            <w:pPr>
              <w:pStyle w:val="14"/>
            </w:pPr>
            <w:r>
              <w:t>≥2篇</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会议服务工作满意率</w:t>
            </w:r>
          </w:p>
        </w:tc>
        <w:tc>
          <w:tcPr>
            <w:tcW w:w="5386" w:type="dxa"/>
            <w:vAlign w:val="center"/>
          </w:tcPr>
          <w:p>
            <w:pPr>
              <w:pStyle w:val="14"/>
            </w:pPr>
            <w:r>
              <w:t>街道人大代表对代表工作的满意程度</w:t>
            </w:r>
          </w:p>
        </w:tc>
        <w:tc>
          <w:tcPr>
            <w:tcW w:w="2268" w:type="dxa"/>
            <w:vAlign w:val="center"/>
          </w:tcPr>
          <w:p>
            <w:pPr>
              <w:pStyle w:val="14"/>
            </w:pPr>
            <w:r>
              <w:t>≥95百分比</w:t>
            </w:r>
          </w:p>
        </w:tc>
        <w:tc>
          <w:tcPr>
            <w:tcW w:w="1276" w:type="dxa"/>
            <w:vAlign w:val="center"/>
          </w:tcPr>
          <w:p>
            <w:pPr>
              <w:pStyle w:val="14"/>
            </w:pPr>
            <w:r>
              <w:t>2026工作计划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13032125P000008100021</w:t>
            </w:r>
          </w:p>
        </w:tc>
        <w:tc>
          <w:tcPr>
            <w:tcW w:w="2835" w:type="dxa"/>
            <w:vAlign w:val="center"/>
          </w:tcPr>
          <w:p>
            <w:pPr>
              <w:pStyle w:val="12"/>
            </w:pPr>
            <w:r>
              <w:t>项目名称</w:t>
            </w:r>
          </w:p>
        </w:tc>
        <w:tc>
          <w:tcPr>
            <w:tcW w:w="6095" w:type="dxa"/>
            <w:gridSpan w:val="3"/>
            <w:vAlign w:val="center"/>
          </w:tcPr>
          <w:p>
            <w:pPr>
              <w:pStyle w:val="14"/>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8.04</w:t>
            </w:r>
          </w:p>
        </w:tc>
        <w:tc>
          <w:tcPr>
            <w:tcW w:w="2835" w:type="dxa"/>
            <w:vAlign w:val="center"/>
          </w:tcPr>
          <w:p>
            <w:pPr>
              <w:pStyle w:val="12"/>
            </w:pPr>
            <w:r>
              <w:t>其中：财政    资金</w:t>
            </w:r>
          </w:p>
        </w:tc>
        <w:tc>
          <w:tcPr>
            <w:tcW w:w="2551" w:type="dxa"/>
            <w:vAlign w:val="center"/>
          </w:tcPr>
          <w:p>
            <w:pPr>
              <w:pStyle w:val="14"/>
            </w:pPr>
            <w:r>
              <w:t>8.04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预算安排资金100万元，其中财政资金100万元，主要用于社区容貌干净整洁有序，提升居民幸福感。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1.实现社区容貌干净整洁有序，提升居民幸福感。</w:t>
            </w:r>
          </w:p>
          <w:p>
            <w:pPr>
              <w:pStyle w:val="14"/>
            </w:pPr>
            <w:r>
              <w:t>2.通过开展垃圾清理等服务群众工作，进一步改善社区人居环境卫生。</w:t>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社区数量</w:t>
            </w:r>
          </w:p>
        </w:tc>
        <w:tc>
          <w:tcPr>
            <w:tcW w:w="5386" w:type="dxa"/>
            <w:vAlign w:val="center"/>
          </w:tcPr>
          <w:p>
            <w:pPr>
              <w:pStyle w:val="14"/>
            </w:pPr>
            <w:r>
              <w:t>反映涉及社区组织数量</w:t>
            </w:r>
          </w:p>
        </w:tc>
        <w:tc>
          <w:tcPr>
            <w:tcW w:w="2268" w:type="dxa"/>
            <w:vAlign w:val="center"/>
          </w:tcPr>
          <w:p>
            <w:pPr>
              <w:pStyle w:val="14"/>
            </w:pPr>
            <w:r>
              <w:t>10个</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服务群众工作完成率</w:t>
            </w:r>
          </w:p>
        </w:tc>
        <w:tc>
          <w:tcPr>
            <w:tcW w:w="5386" w:type="dxa"/>
            <w:vAlign w:val="center"/>
          </w:tcPr>
          <w:p>
            <w:pPr>
              <w:pStyle w:val="14"/>
            </w:pPr>
            <w:r>
              <w:t>反映社区组织开展服务群众具体情况如：社区清运垃圾、公共卫生防疫等等</w:t>
            </w:r>
          </w:p>
        </w:tc>
        <w:tc>
          <w:tcPr>
            <w:tcW w:w="2268" w:type="dxa"/>
            <w:vAlign w:val="center"/>
          </w:tcPr>
          <w:p>
            <w:pPr>
              <w:pStyle w:val="14"/>
            </w:pPr>
            <w:r>
              <w:t>≥90%</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反映资金到位发放的及时情况</w:t>
            </w:r>
          </w:p>
        </w:tc>
        <w:tc>
          <w:tcPr>
            <w:tcW w:w="2268" w:type="dxa"/>
            <w:vAlign w:val="center"/>
          </w:tcPr>
          <w:p>
            <w:pPr>
              <w:pStyle w:val="14"/>
            </w:pPr>
            <w:r>
              <w:t>≥95%</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反映各社区服务群众各项工作完成的及时情况</w:t>
            </w:r>
          </w:p>
        </w:tc>
        <w:tc>
          <w:tcPr>
            <w:tcW w:w="2268" w:type="dxa"/>
            <w:vAlign w:val="center"/>
          </w:tcPr>
          <w:p>
            <w:pPr>
              <w:pStyle w:val="14"/>
            </w:pPr>
            <w:r>
              <w:t>≥95%</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服务群众经费</w:t>
            </w:r>
          </w:p>
        </w:tc>
        <w:tc>
          <w:tcPr>
            <w:tcW w:w="5386" w:type="dxa"/>
            <w:vAlign w:val="center"/>
          </w:tcPr>
          <w:p>
            <w:pPr>
              <w:pStyle w:val="14"/>
            </w:pPr>
            <w:r>
              <w:t>反映用于10个社区的垃圾清理等费用</w:t>
            </w:r>
          </w:p>
        </w:tc>
        <w:tc>
          <w:tcPr>
            <w:tcW w:w="2268" w:type="dxa"/>
            <w:vAlign w:val="center"/>
          </w:tcPr>
          <w:p>
            <w:pPr>
              <w:pStyle w:val="14"/>
            </w:pPr>
            <w:r>
              <w:t>≤100万元</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经费拨付标准</w:t>
            </w:r>
          </w:p>
        </w:tc>
        <w:tc>
          <w:tcPr>
            <w:tcW w:w="5386" w:type="dxa"/>
            <w:vAlign w:val="center"/>
          </w:tcPr>
          <w:p>
            <w:pPr>
              <w:pStyle w:val="14"/>
            </w:pPr>
            <w:r>
              <w:t>反映每个社区经费拨付标准</w:t>
            </w:r>
          </w:p>
        </w:tc>
        <w:tc>
          <w:tcPr>
            <w:tcW w:w="2268" w:type="dxa"/>
            <w:vAlign w:val="center"/>
          </w:tcPr>
          <w:p>
            <w:pPr>
              <w:pStyle w:val="14"/>
            </w:pPr>
            <w:r>
              <w:t>≤10万元/社区</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受益人数</w:t>
            </w:r>
          </w:p>
        </w:tc>
        <w:tc>
          <w:tcPr>
            <w:tcW w:w="5386" w:type="dxa"/>
            <w:vAlign w:val="center"/>
          </w:tcPr>
          <w:p>
            <w:pPr>
              <w:pStyle w:val="14"/>
            </w:pPr>
            <w:r>
              <w:t>通过项目实施进一步改善社区人居环境卫生，提升居民幸福感，反映受益人口数量</w:t>
            </w:r>
          </w:p>
        </w:tc>
        <w:tc>
          <w:tcPr>
            <w:tcW w:w="2268" w:type="dxa"/>
            <w:vAlign w:val="center"/>
          </w:tcPr>
          <w:p>
            <w:pPr>
              <w:pStyle w:val="14"/>
            </w:pPr>
            <w:r>
              <w:t>≥61000人</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改善生态环境质量</w:t>
            </w:r>
          </w:p>
        </w:tc>
        <w:tc>
          <w:tcPr>
            <w:tcW w:w="5386" w:type="dxa"/>
            <w:vAlign w:val="center"/>
          </w:tcPr>
          <w:p>
            <w:pPr>
              <w:pStyle w:val="14"/>
            </w:pPr>
            <w:r>
              <w:t>通过进一步改善社区生态环境，实现社区干净整洁有序,改善生态环境社区数量</w:t>
            </w:r>
          </w:p>
        </w:tc>
        <w:tc>
          <w:tcPr>
            <w:tcW w:w="2268" w:type="dxa"/>
            <w:vAlign w:val="center"/>
          </w:tcPr>
          <w:p>
            <w:pPr>
              <w:pStyle w:val="14"/>
            </w:pPr>
            <w:r>
              <w:t>10个</w:t>
            </w:r>
          </w:p>
        </w:tc>
        <w:tc>
          <w:tcPr>
            <w:tcW w:w="1276" w:type="dxa"/>
            <w:vAlign w:val="center"/>
          </w:tcPr>
          <w:p>
            <w:pPr>
              <w:pStyle w:val="14"/>
            </w:pPr>
            <w:r>
              <w:t>2023工作计划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通过问卷调查，满意和基本满意的群众占所有调查群众的比例</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13032126P00000810013Y</w:t>
            </w:r>
          </w:p>
        </w:tc>
        <w:tc>
          <w:tcPr>
            <w:tcW w:w="2835" w:type="dxa"/>
            <w:vAlign w:val="center"/>
          </w:tcPr>
          <w:p>
            <w:pPr>
              <w:pStyle w:val="12"/>
            </w:pPr>
            <w:r>
              <w:t>项目名称</w:t>
            </w:r>
          </w:p>
        </w:tc>
        <w:tc>
          <w:tcPr>
            <w:tcW w:w="6095" w:type="dxa"/>
            <w:gridSpan w:val="3"/>
            <w:vAlign w:val="center"/>
          </w:tcPr>
          <w:p>
            <w:pPr>
              <w:pStyle w:val="14"/>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120.00</w:t>
            </w:r>
          </w:p>
        </w:tc>
        <w:tc>
          <w:tcPr>
            <w:tcW w:w="2835" w:type="dxa"/>
            <w:vAlign w:val="center"/>
          </w:tcPr>
          <w:p>
            <w:pPr>
              <w:pStyle w:val="12"/>
            </w:pPr>
            <w:r>
              <w:t>其中：财政    资金</w:t>
            </w:r>
          </w:p>
        </w:tc>
        <w:tc>
          <w:tcPr>
            <w:tcW w:w="2551" w:type="dxa"/>
            <w:vAlign w:val="center"/>
          </w:tcPr>
          <w:p>
            <w:pPr>
              <w:pStyle w:val="14"/>
            </w:pPr>
            <w:r>
              <w:t>120.00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预算资金120万元，其中财政资金120万元，主要用于服务群众专项经费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1.通过开展垃圾清理等服务群众工作，进一步改善社区人居环境卫生。</w:t>
            </w:r>
          </w:p>
          <w:p>
            <w:pPr>
              <w:pStyle w:val="14"/>
            </w:pPr>
          </w:p>
          <w:p>
            <w:pPr>
              <w:pStyle w:val="14"/>
            </w:pPr>
            <w:r>
              <w:t>2.实现社区容貌干净整洁有序，提升居民幸福感。</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社区数量</w:t>
            </w:r>
          </w:p>
        </w:tc>
        <w:tc>
          <w:tcPr>
            <w:tcW w:w="5386" w:type="dxa"/>
            <w:vAlign w:val="center"/>
          </w:tcPr>
          <w:p>
            <w:pPr>
              <w:pStyle w:val="14"/>
            </w:pPr>
            <w:r>
              <w:t>反映涉及社区组织数量</w:t>
            </w:r>
          </w:p>
        </w:tc>
        <w:tc>
          <w:tcPr>
            <w:tcW w:w="2268" w:type="dxa"/>
            <w:vAlign w:val="center"/>
          </w:tcPr>
          <w:p>
            <w:pPr>
              <w:pStyle w:val="14"/>
            </w:pPr>
            <w:r>
              <w:t>10个</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服务群众工作完成率</w:t>
            </w:r>
          </w:p>
        </w:tc>
        <w:tc>
          <w:tcPr>
            <w:tcW w:w="5386" w:type="dxa"/>
            <w:vAlign w:val="center"/>
          </w:tcPr>
          <w:p>
            <w:pPr>
              <w:pStyle w:val="14"/>
            </w:pPr>
            <w:r>
              <w:t>反映社区组织开展服务群众具体情况如：社区清运垃圾、公共卫生防疫等等</w:t>
            </w:r>
          </w:p>
        </w:tc>
        <w:tc>
          <w:tcPr>
            <w:tcW w:w="2268" w:type="dxa"/>
            <w:vAlign w:val="center"/>
          </w:tcPr>
          <w:p>
            <w:pPr>
              <w:pStyle w:val="14"/>
            </w:pPr>
            <w:r>
              <w:t>≥90%</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资金发放及时性</w:t>
            </w:r>
          </w:p>
        </w:tc>
        <w:tc>
          <w:tcPr>
            <w:tcW w:w="5386" w:type="dxa"/>
            <w:vAlign w:val="center"/>
          </w:tcPr>
          <w:p>
            <w:pPr>
              <w:pStyle w:val="14"/>
            </w:pPr>
            <w:r>
              <w:t>反映资金到位发放的及时情况</w:t>
            </w:r>
          </w:p>
        </w:tc>
        <w:tc>
          <w:tcPr>
            <w:tcW w:w="2268" w:type="dxa"/>
            <w:vAlign w:val="center"/>
          </w:tcPr>
          <w:p>
            <w:pPr>
              <w:pStyle w:val="14"/>
            </w:pPr>
            <w:r>
              <w:t>≥95%</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反映各社区服务群众各项工作完成的及时情况</w:t>
            </w:r>
          </w:p>
        </w:tc>
        <w:tc>
          <w:tcPr>
            <w:tcW w:w="2268" w:type="dxa"/>
            <w:vAlign w:val="center"/>
          </w:tcPr>
          <w:p>
            <w:pPr>
              <w:pStyle w:val="14"/>
            </w:pPr>
            <w:r>
              <w:t>≥95%</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服务群众经费</w:t>
            </w:r>
          </w:p>
        </w:tc>
        <w:tc>
          <w:tcPr>
            <w:tcW w:w="5386" w:type="dxa"/>
            <w:vAlign w:val="center"/>
          </w:tcPr>
          <w:p>
            <w:pPr>
              <w:pStyle w:val="14"/>
            </w:pPr>
            <w:r>
              <w:t>反映用于10个社区的垃圾清理等费用</w:t>
            </w:r>
          </w:p>
        </w:tc>
        <w:tc>
          <w:tcPr>
            <w:tcW w:w="2268" w:type="dxa"/>
            <w:vAlign w:val="center"/>
          </w:tcPr>
          <w:p>
            <w:pPr>
              <w:pStyle w:val="14"/>
            </w:pPr>
            <w:r>
              <w:t>≤120万元</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经费拨付标准</w:t>
            </w:r>
          </w:p>
        </w:tc>
        <w:tc>
          <w:tcPr>
            <w:tcW w:w="5386" w:type="dxa"/>
            <w:vAlign w:val="center"/>
          </w:tcPr>
          <w:p>
            <w:pPr>
              <w:pStyle w:val="14"/>
            </w:pPr>
            <w:r>
              <w:t>反映每个社区经费拨付标准</w:t>
            </w:r>
          </w:p>
        </w:tc>
        <w:tc>
          <w:tcPr>
            <w:tcW w:w="2268" w:type="dxa"/>
            <w:vAlign w:val="center"/>
          </w:tcPr>
          <w:p>
            <w:pPr>
              <w:pStyle w:val="14"/>
            </w:pPr>
            <w:r>
              <w:t>≤10万元/社区</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受益人数</w:t>
            </w:r>
          </w:p>
        </w:tc>
        <w:tc>
          <w:tcPr>
            <w:tcW w:w="5386" w:type="dxa"/>
            <w:vAlign w:val="center"/>
          </w:tcPr>
          <w:p>
            <w:pPr>
              <w:pStyle w:val="14"/>
            </w:pPr>
            <w:r>
              <w:t>通过项目实施进一步改善社区人居环境卫生，提升居民幸福感，反映受益人口数量</w:t>
            </w:r>
          </w:p>
        </w:tc>
        <w:tc>
          <w:tcPr>
            <w:tcW w:w="2268" w:type="dxa"/>
            <w:vAlign w:val="center"/>
          </w:tcPr>
          <w:p>
            <w:pPr>
              <w:pStyle w:val="14"/>
            </w:pPr>
            <w:r>
              <w:t>≥61000人</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改善生态环境质量</w:t>
            </w:r>
          </w:p>
        </w:tc>
        <w:tc>
          <w:tcPr>
            <w:tcW w:w="5386" w:type="dxa"/>
            <w:vAlign w:val="center"/>
          </w:tcPr>
          <w:p>
            <w:pPr>
              <w:pStyle w:val="14"/>
            </w:pPr>
            <w:r>
              <w:t>通过进一步改善社区生态环境，实现社区干净整洁有序,改善生态环境社区数量</w:t>
            </w:r>
          </w:p>
        </w:tc>
        <w:tc>
          <w:tcPr>
            <w:tcW w:w="2268" w:type="dxa"/>
            <w:vAlign w:val="center"/>
          </w:tcPr>
          <w:p>
            <w:pPr>
              <w:pStyle w:val="14"/>
            </w:pPr>
            <w:r>
              <w:t>10个</w:t>
            </w:r>
          </w:p>
        </w:tc>
        <w:tc>
          <w:tcPr>
            <w:tcW w:w="1276" w:type="dxa"/>
            <w:vAlign w:val="center"/>
          </w:tcPr>
          <w:p>
            <w:pPr>
              <w:pStyle w:val="14"/>
            </w:pPr>
            <w:r>
              <w:t>2026工作计划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通过问卷调查，满意和基本满意的群众占所有调查群众的比例</w:t>
            </w:r>
          </w:p>
        </w:tc>
        <w:tc>
          <w:tcPr>
            <w:tcW w:w="2268" w:type="dxa"/>
            <w:vAlign w:val="center"/>
          </w:tcPr>
          <w:p>
            <w:pPr>
              <w:pStyle w:val="14"/>
            </w:pPr>
            <w:r>
              <w:t>≥90%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4、居民区卫生服务点资金绩效目标表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13032125P000008100048</w:t>
            </w:r>
          </w:p>
        </w:tc>
        <w:tc>
          <w:tcPr>
            <w:tcW w:w="2835" w:type="dxa"/>
            <w:vAlign w:val="center"/>
          </w:tcPr>
          <w:p>
            <w:pPr>
              <w:pStyle w:val="12"/>
            </w:pPr>
            <w:r>
              <w:t>项目名称</w:t>
            </w:r>
          </w:p>
        </w:tc>
        <w:tc>
          <w:tcPr>
            <w:tcW w:w="6095" w:type="dxa"/>
            <w:gridSpan w:val="3"/>
            <w:vAlign w:val="center"/>
          </w:tcPr>
          <w:p>
            <w:pPr>
              <w:pStyle w:val="14"/>
            </w:pPr>
            <w:r>
              <w:t>居民区卫生服务点资金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1.51</w:t>
            </w:r>
          </w:p>
        </w:tc>
        <w:tc>
          <w:tcPr>
            <w:tcW w:w="2835" w:type="dxa"/>
            <w:vAlign w:val="center"/>
          </w:tcPr>
          <w:p>
            <w:pPr>
              <w:pStyle w:val="12"/>
            </w:pPr>
            <w:r>
              <w:t>其中：财政    资金</w:t>
            </w:r>
          </w:p>
        </w:tc>
        <w:tc>
          <w:tcPr>
            <w:tcW w:w="2551" w:type="dxa"/>
            <w:vAlign w:val="center"/>
          </w:tcPr>
          <w:p>
            <w:pPr>
              <w:pStyle w:val="14"/>
            </w:pPr>
            <w:r>
              <w:t>1.51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预算安排资金4.17万元，其中财政资金4.17万元，主要用于居民卫生服务点的建设，增强疫情防控“哨点”作用，服务点的装修和制度牌等的购买，达到居民区卫生服务点的启用标准。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1.通过居民卫生服务点的建设，增强疫情防控“哨点”作用，进一步做好居民区疫情防控工作。</w:t>
            </w:r>
            <w:r>
              <w:tab/>
            </w:r>
            <w:r>
              <w:tab/>
            </w:r>
            <w:r>
              <w:tab/>
            </w:r>
            <w:r>
              <w:tab/>
            </w:r>
            <w:r>
              <w:tab/>
            </w:r>
            <w:r>
              <w:tab/>
            </w:r>
          </w:p>
          <w:p>
            <w:pPr>
              <w:pStyle w:val="14"/>
            </w:pPr>
          </w:p>
          <w:p>
            <w:pPr>
              <w:pStyle w:val="14"/>
            </w:pPr>
            <w:r>
              <w:t>2.通过服务点的装修和制度牌等的购买，达到居民区卫生服务点的启用标准。</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移动板房数量</w:t>
            </w:r>
          </w:p>
        </w:tc>
        <w:tc>
          <w:tcPr>
            <w:tcW w:w="5386" w:type="dxa"/>
            <w:vAlign w:val="center"/>
          </w:tcPr>
          <w:p>
            <w:pPr>
              <w:pStyle w:val="14"/>
            </w:pPr>
            <w:r>
              <w:t>建移动板房数量</w:t>
            </w:r>
          </w:p>
        </w:tc>
        <w:tc>
          <w:tcPr>
            <w:tcW w:w="2268" w:type="dxa"/>
            <w:vAlign w:val="center"/>
          </w:tcPr>
          <w:p>
            <w:pPr>
              <w:pStyle w:val="14"/>
            </w:pPr>
            <w:r>
              <w:t>24个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改造项目合格率</w:t>
            </w:r>
          </w:p>
        </w:tc>
        <w:tc>
          <w:tcPr>
            <w:tcW w:w="5386" w:type="dxa"/>
            <w:vAlign w:val="center"/>
          </w:tcPr>
          <w:p>
            <w:pPr>
              <w:pStyle w:val="14"/>
            </w:pPr>
            <w:r>
              <w:t>反映改造项目合格率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改造费用支付及时性</w:t>
            </w:r>
          </w:p>
        </w:tc>
        <w:tc>
          <w:tcPr>
            <w:tcW w:w="5386" w:type="dxa"/>
            <w:vAlign w:val="center"/>
          </w:tcPr>
          <w:p>
            <w:pPr>
              <w:pStyle w:val="14"/>
            </w:pPr>
            <w:r>
              <w:t>反映服务点改造费用支付及时性</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完工日期</w:t>
            </w:r>
          </w:p>
        </w:tc>
        <w:tc>
          <w:tcPr>
            <w:tcW w:w="5386" w:type="dxa"/>
            <w:vAlign w:val="center"/>
          </w:tcPr>
          <w:p>
            <w:pPr>
              <w:pStyle w:val="14"/>
            </w:pPr>
            <w:r>
              <w:t>反映居民区卫生服务点项目完工时间</w:t>
            </w:r>
          </w:p>
        </w:tc>
        <w:tc>
          <w:tcPr>
            <w:tcW w:w="2268" w:type="dxa"/>
            <w:vAlign w:val="center"/>
          </w:tcPr>
          <w:p>
            <w:pPr>
              <w:pStyle w:val="14"/>
            </w:pPr>
            <w:r>
              <w:t>2024年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服务点改造费用</w:t>
            </w:r>
          </w:p>
        </w:tc>
        <w:tc>
          <w:tcPr>
            <w:tcW w:w="5386" w:type="dxa"/>
            <w:vAlign w:val="center"/>
          </w:tcPr>
          <w:p>
            <w:pPr>
              <w:pStyle w:val="14"/>
            </w:pPr>
            <w:r>
              <w:t>反映服务点改造费用</w:t>
            </w:r>
          </w:p>
        </w:tc>
        <w:tc>
          <w:tcPr>
            <w:tcW w:w="2268" w:type="dxa"/>
            <w:vAlign w:val="center"/>
          </w:tcPr>
          <w:p>
            <w:pPr>
              <w:pStyle w:val="14"/>
            </w:pPr>
            <w:r>
              <w:t>20万元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服务点运行费用</w:t>
            </w:r>
          </w:p>
        </w:tc>
        <w:tc>
          <w:tcPr>
            <w:tcW w:w="5386" w:type="dxa"/>
            <w:vAlign w:val="center"/>
          </w:tcPr>
          <w:p>
            <w:pPr>
              <w:pStyle w:val="14"/>
            </w:pPr>
            <w:r>
              <w:t>反映服务点运行费用</w:t>
            </w:r>
          </w:p>
        </w:tc>
        <w:tc>
          <w:tcPr>
            <w:tcW w:w="2268" w:type="dxa"/>
            <w:vAlign w:val="center"/>
          </w:tcPr>
          <w:p>
            <w:pPr>
              <w:pStyle w:val="14"/>
            </w:pPr>
            <w:r>
              <w:t>≥4.34万元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提高防疫成效，提高办事效率</w:t>
            </w:r>
          </w:p>
        </w:tc>
        <w:tc>
          <w:tcPr>
            <w:tcW w:w="5386" w:type="dxa"/>
            <w:vAlign w:val="center"/>
          </w:tcPr>
          <w:p>
            <w:pPr>
              <w:pStyle w:val="14"/>
            </w:pPr>
            <w:r>
              <w:t>通过项目实施满足居民区卫生服务点正常运转</w:t>
            </w:r>
          </w:p>
        </w:tc>
        <w:tc>
          <w:tcPr>
            <w:tcW w:w="2268" w:type="dxa"/>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可持续年限</w:t>
            </w:r>
          </w:p>
        </w:tc>
        <w:tc>
          <w:tcPr>
            <w:tcW w:w="5386" w:type="dxa"/>
            <w:vAlign w:val="center"/>
          </w:tcPr>
          <w:p>
            <w:pPr>
              <w:pStyle w:val="14"/>
            </w:pPr>
            <w:r>
              <w:t>移动板房可持续使用年限</w:t>
            </w:r>
          </w:p>
        </w:tc>
        <w:tc>
          <w:tcPr>
            <w:tcW w:w="2268" w:type="dxa"/>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小区居民满意度</w:t>
            </w:r>
          </w:p>
        </w:tc>
        <w:tc>
          <w:tcPr>
            <w:tcW w:w="5386" w:type="dxa"/>
            <w:vAlign w:val="center"/>
          </w:tcPr>
          <w:p>
            <w:pPr>
              <w:pStyle w:val="14"/>
            </w:pPr>
            <w:r>
              <w:t>通过问卷调查，小区居民满意和基本满意的人员占所有调查人员的比例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5、居民区卫生服务点资金绩效目标表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13032126P00000810012B</w:t>
            </w:r>
          </w:p>
        </w:tc>
        <w:tc>
          <w:tcPr>
            <w:tcW w:w="2835" w:type="dxa"/>
            <w:vAlign w:val="center"/>
          </w:tcPr>
          <w:p>
            <w:pPr>
              <w:pStyle w:val="12"/>
            </w:pPr>
            <w:r>
              <w:t>项目名称</w:t>
            </w:r>
          </w:p>
        </w:tc>
        <w:tc>
          <w:tcPr>
            <w:tcW w:w="6095" w:type="dxa"/>
            <w:gridSpan w:val="3"/>
            <w:vAlign w:val="center"/>
          </w:tcPr>
          <w:p>
            <w:pPr>
              <w:pStyle w:val="14"/>
            </w:pPr>
            <w:r>
              <w:t>居民区卫生服务点资金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4.17</w:t>
            </w:r>
          </w:p>
        </w:tc>
        <w:tc>
          <w:tcPr>
            <w:tcW w:w="2835" w:type="dxa"/>
            <w:vAlign w:val="center"/>
          </w:tcPr>
          <w:p>
            <w:pPr>
              <w:pStyle w:val="12"/>
            </w:pPr>
            <w:r>
              <w:t>其中：财政    资金</w:t>
            </w:r>
          </w:p>
        </w:tc>
        <w:tc>
          <w:tcPr>
            <w:tcW w:w="2551" w:type="dxa"/>
            <w:vAlign w:val="center"/>
          </w:tcPr>
          <w:p>
            <w:pPr>
              <w:pStyle w:val="14"/>
            </w:pPr>
            <w:r>
              <w:t>4.17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预算资金4.17万元，其中财政资金4.17万元，主要用于居民区卫生服务点.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1.通过服务点的装修和制度牌等的购买，达到居民区卫生服务点的启用标准。</w:t>
            </w:r>
            <w:r>
              <w:tab/>
            </w:r>
            <w:r>
              <w:tab/>
            </w:r>
            <w:r>
              <w:tab/>
            </w:r>
          </w:p>
          <w:p>
            <w:pPr>
              <w:pStyle w:val="14"/>
            </w:pPr>
            <w:r>
              <w:tab/>
            </w:r>
            <w:r>
              <w:tab/>
            </w:r>
            <w:r>
              <w:tab/>
            </w:r>
            <w:r>
              <w:tab/>
            </w:r>
            <w:r>
              <w:tab/>
            </w:r>
          </w:p>
          <w:p>
            <w:pPr>
              <w:pStyle w:val="14"/>
            </w:pPr>
          </w:p>
          <w:p>
            <w:pPr>
              <w:pStyle w:val="14"/>
            </w:pPr>
            <w:r>
              <w:t>2.通过居民卫生服务点的建设，增强疫情防控“哨点”作用，进一步做好居民区疫情防控工作。</w:t>
            </w:r>
            <w:r>
              <w:tab/>
            </w:r>
            <w:r>
              <w:tab/>
            </w:r>
            <w:r>
              <w:tab/>
            </w:r>
          </w:p>
          <w:p>
            <w:pPr>
              <w:pStyle w:val="14"/>
            </w:pP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移动板房数量</w:t>
            </w:r>
          </w:p>
        </w:tc>
        <w:tc>
          <w:tcPr>
            <w:tcW w:w="5386" w:type="dxa"/>
            <w:vAlign w:val="center"/>
          </w:tcPr>
          <w:p>
            <w:pPr>
              <w:pStyle w:val="14"/>
            </w:pPr>
            <w:r>
              <w:t>建移动板房数量</w:t>
            </w:r>
          </w:p>
        </w:tc>
        <w:tc>
          <w:tcPr>
            <w:tcW w:w="2268" w:type="dxa"/>
            <w:vAlign w:val="center"/>
          </w:tcPr>
          <w:p>
            <w:pPr>
              <w:pStyle w:val="14"/>
            </w:pPr>
            <w:r>
              <w:t>24个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改造项目合格率</w:t>
            </w:r>
          </w:p>
        </w:tc>
        <w:tc>
          <w:tcPr>
            <w:tcW w:w="5386" w:type="dxa"/>
            <w:vAlign w:val="center"/>
          </w:tcPr>
          <w:p>
            <w:pPr>
              <w:pStyle w:val="14"/>
            </w:pPr>
            <w:r>
              <w:t>反映改造项目合格率</w:t>
            </w:r>
          </w:p>
        </w:tc>
        <w:tc>
          <w:tcPr>
            <w:tcW w:w="2268" w:type="dxa"/>
            <w:vAlign w:val="center"/>
          </w:tcPr>
          <w:p>
            <w:pPr>
              <w:pStyle w:val="14"/>
            </w:pPr>
            <w:r>
              <w:t>100%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改造费用支付及时性</w:t>
            </w:r>
          </w:p>
        </w:tc>
        <w:tc>
          <w:tcPr>
            <w:tcW w:w="5386" w:type="dxa"/>
            <w:vAlign w:val="center"/>
          </w:tcPr>
          <w:p>
            <w:pPr>
              <w:pStyle w:val="14"/>
            </w:pPr>
            <w:r>
              <w:t>反映服务点改造费用支付及时性</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完工日期</w:t>
            </w:r>
          </w:p>
        </w:tc>
        <w:tc>
          <w:tcPr>
            <w:tcW w:w="5386" w:type="dxa"/>
            <w:vAlign w:val="center"/>
          </w:tcPr>
          <w:p>
            <w:pPr>
              <w:pStyle w:val="14"/>
            </w:pPr>
            <w:r>
              <w:t>反映居民区卫生服务点项目完工时间</w:t>
            </w:r>
          </w:p>
        </w:tc>
        <w:tc>
          <w:tcPr>
            <w:tcW w:w="2268" w:type="dxa"/>
            <w:vAlign w:val="center"/>
          </w:tcPr>
          <w:p>
            <w:pPr>
              <w:pStyle w:val="14"/>
            </w:pPr>
            <w:r>
              <w:t>2026年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服务点改造费用</w:t>
            </w:r>
          </w:p>
        </w:tc>
        <w:tc>
          <w:tcPr>
            <w:tcW w:w="5386" w:type="dxa"/>
            <w:vAlign w:val="center"/>
          </w:tcPr>
          <w:p>
            <w:pPr>
              <w:pStyle w:val="14"/>
            </w:pPr>
            <w:r>
              <w:t>反映服务点改造费用</w:t>
            </w:r>
          </w:p>
        </w:tc>
        <w:tc>
          <w:tcPr>
            <w:tcW w:w="2268" w:type="dxa"/>
            <w:vAlign w:val="center"/>
          </w:tcPr>
          <w:p>
            <w:pPr>
              <w:pStyle w:val="14"/>
            </w:pPr>
            <w:r>
              <w:t>20万元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服务点运行费用</w:t>
            </w:r>
          </w:p>
        </w:tc>
        <w:tc>
          <w:tcPr>
            <w:tcW w:w="5386" w:type="dxa"/>
            <w:vAlign w:val="center"/>
          </w:tcPr>
          <w:p>
            <w:pPr>
              <w:pStyle w:val="14"/>
            </w:pPr>
            <w:r>
              <w:t>反映服务点运行费用</w:t>
            </w:r>
          </w:p>
        </w:tc>
        <w:tc>
          <w:tcPr>
            <w:tcW w:w="2268" w:type="dxa"/>
            <w:vAlign w:val="center"/>
          </w:tcPr>
          <w:p>
            <w:pPr>
              <w:pStyle w:val="14"/>
            </w:pPr>
            <w:r>
              <w:t>≥4.17万元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提高防疫成效，提高办事效率</w:t>
            </w:r>
          </w:p>
        </w:tc>
        <w:tc>
          <w:tcPr>
            <w:tcW w:w="5386" w:type="dxa"/>
            <w:vAlign w:val="center"/>
          </w:tcPr>
          <w:p>
            <w:pPr>
              <w:pStyle w:val="14"/>
            </w:pPr>
            <w:r>
              <w:t>通过项目实施满足居民区卫生服务点正常运转</w:t>
            </w:r>
          </w:p>
        </w:tc>
        <w:tc>
          <w:tcPr>
            <w:tcW w:w="2268" w:type="dxa"/>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可持续年限</w:t>
            </w:r>
          </w:p>
        </w:tc>
        <w:tc>
          <w:tcPr>
            <w:tcW w:w="5386" w:type="dxa"/>
            <w:vAlign w:val="center"/>
          </w:tcPr>
          <w:p>
            <w:pPr>
              <w:pStyle w:val="14"/>
            </w:pPr>
            <w:r>
              <w:t>移动板房可持续使用年限</w:t>
            </w:r>
          </w:p>
        </w:tc>
        <w:tc>
          <w:tcPr>
            <w:tcW w:w="2268" w:type="dxa"/>
            <w:vAlign w:val="center"/>
          </w:tcPr>
          <w:p>
            <w:pPr>
              <w:pStyle w:val="14"/>
            </w:pPr>
            <w:r>
              <w:t>≥5年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小区居民满意度</w:t>
            </w:r>
          </w:p>
        </w:tc>
        <w:tc>
          <w:tcPr>
            <w:tcW w:w="5386" w:type="dxa"/>
            <w:vAlign w:val="center"/>
          </w:tcPr>
          <w:p>
            <w:pPr>
              <w:pStyle w:val="14"/>
            </w:pPr>
            <w:r>
              <w:t>通过问卷调查，小区居民满意和基本满意的人员占所有调查人员的比例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6、社区房租绩效目标表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13032126P00000810011P</w:t>
            </w:r>
          </w:p>
        </w:tc>
        <w:tc>
          <w:tcPr>
            <w:tcW w:w="2835" w:type="dxa"/>
            <w:vAlign w:val="center"/>
          </w:tcPr>
          <w:p>
            <w:pPr>
              <w:pStyle w:val="12"/>
            </w:pPr>
            <w:r>
              <w:t>项目名称</w:t>
            </w:r>
          </w:p>
        </w:tc>
        <w:tc>
          <w:tcPr>
            <w:tcW w:w="6095" w:type="dxa"/>
            <w:gridSpan w:val="3"/>
            <w:vAlign w:val="center"/>
          </w:tcPr>
          <w:p>
            <w:pPr>
              <w:pStyle w:val="14"/>
            </w:pPr>
            <w:r>
              <w:t>社区房租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46.27</w:t>
            </w:r>
          </w:p>
        </w:tc>
        <w:tc>
          <w:tcPr>
            <w:tcW w:w="2835" w:type="dxa"/>
            <w:vAlign w:val="center"/>
          </w:tcPr>
          <w:p>
            <w:pPr>
              <w:pStyle w:val="12"/>
            </w:pPr>
            <w:r>
              <w:t>其中：财政    资金</w:t>
            </w:r>
          </w:p>
        </w:tc>
        <w:tc>
          <w:tcPr>
            <w:tcW w:w="2551" w:type="dxa"/>
            <w:vAlign w:val="center"/>
          </w:tcPr>
          <w:p>
            <w:pPr>
              <w:pStyle w:val="14"/>
            </w:pPr>
            <w:r>
              <w:t>46.27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预算资金46.27万元，其中财政资金46.27，主要用于社区房租。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1.通过租赁办公房，达到保证正常办公效果。</w:t>
            </w:r>
            <w:r>
              <w:tab/>
            </w:r>
          </w:p>
          <w:p>
            <w:pPr>
              <w:pStyle w:val="14"/>
            </w:pPr>
          </w:p>
          <w:p>
            <w:pPr>
              <w:pStyle w:val="14"/>
            </w:pPr>
            <w:r>
              <w:t>2."通过租赁办公用房，实现高效服务。</w:t>
            </w:r>
            <w:r>
              <w:tab/>
            </w:r>
            <w:r>
              <w:tab/>
            </w:r>
            <w:r>
              <w:tab/>
            </w:r>
          </w:p>
          <w:p>
            <w:pPr>
              <w:pStyle w:val="14"/>
            </w:pP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解决办公用房面积</w:t>
            </w:r>
          </w:p>
        </w:tc>
        <w:tc>
          <w:tcPr>
            <w:tcW w:w="5386" w:type="dxa"/>
            <w:vAlign w:val="center"/>
          </w:tcPr>
          <w:p>
            <w:pPr>
              <w:pStyle w:val="14"/>
            </w:pPr>
            <w:r>
              <w:t>反映办公用房租赁情况</w:t>
            </w:r>
          </w:p>
        </w:tc>
        <w:tc>
          <w:tcPr>
            <w:tcW w:w="2268" w:type="dxa"/>
            <w:vAlign w:val="center"/>
          </w:tcPr>
          <w:p>
            <w:pPr>
              <w:pStyle w:val="14"/>
            </w:pPr>
            <w:r>
              <w:t>≥3100平米</w:t>
            </w:r>
          </w:p>
        </w:tc>
        <w:tc>
          <w:tcPr>
            <w:tcW w:w="1276" w:type="dxa"/>
            <w:vAlign w:val="center"/>
          </w:tcPr>
          <w:p>
            <w:pPr>
              <w:pStyle w:val="14"/>
            </w:pPr>
            <w:r>
              <w:t>社区办公场所面积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每年支付房租次数</w:t>
            </w:r>
          </w:p>
        </w:tc>
        <w:tc>
          <w:tcPr>
            <w:tcW w:w="5386" w:type="dxa"/>
            <w:vAlign w:val="center"/>
          </w:tcPr>
          <w:p>
            <w:pPr>
              <w:pStyle w:val="14"/>
            </w:pPr>
            <w:r>
              <w:t>支付办公用房房租次数</w:t>
            </w:r>
          </w:p>
        </w:tc>
        <w:tc>
          <w:tcPr>
            <w:tcW w:w="2268" w:type="dxa"/>
            <w:vAlign w:val="center"/>
          </w:tcPr>
          <w:p>
            <w:pPr>
              <w:pStyle w:val="14"/>
            </w:pPr>
            <w:r>
              <w:t>1次/年</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租赁合同完成率</w:t>
            </w:r>
          </w:p>
        </w:tc>
        <w:tc>
          <w:tcPr>
            <w:tcW w:w="5386" w:type="dxa"/>
            <w:vAlign w:val="center"/>
          </w:tcPr>
          <w:p>
            <w:pPr>
              <w:pStyle w:val="14"/>
            </w:pPr>
            <w:r>
              <w:t>签订办公用房租赁合同完成率</w:t>
            </w:r>
          </w:p>
        </w:tc>
        <w:tc>
          <w:tcPr>
            <w:tcW w:w="2268" w:type="dxa"/>
            <w:vAlign w:val="center"/>
          </w:tcPr>
          <w:p>
            <w:pPr>
              <w:pStyle w:val="14"/>
            </w:pPr>
            <w:r>
              <w:t>≥95%</w:t>
            </w:r>
          </w:p>
        </w:tc>
        <w:tc>
          <w:tcPr>
            <w:tcW w:w="1276" w:type="dxa"/>
            <w:vAlign w:val="center"/>
          </w:tcPr>
          <w:p>
            <w:pPr>
              <w:pStyle w:val="14"/>
            </w:pPr>
            <w:r>
              <w:t>合同约定</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及时支付比率</w:t>
            </w:r>
          </w:p>
        </w:tc>
        <w:tc>
          <w:tcPr>
            <w:tcW w:w="5386" w:type="dxa"/>
            <w:vAlign w:val="center"/>
          </w:tcPr>
          <w:p>
            <w:pPr>
              <w:pStyle w:val="14"/>
            </w:pPr>
            <w:r>
              <w:t>支付房租及时率</w:t>
            </w:r>
          </w:p>
        </w:tc>
        <w:tc>
          <w:tcPr>
            <w:tcW w:w="2268" w:type="dxa"/>
            <w:vAlign w:val="center"/>
          </w:tcPr>
          <w:p>
            <w:pPr>
              <w:pStyle w:val="14"/>
            </w:pPr>
            <w:r>
              <w:t>≥95%</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资金费用支付及时性</w:t>
            </w:r>
          </w:p>
        </w:tc>
        <w:tc>
          <w:tcPr>
            <w:tcW w:w="5386" w:type="dxa"/>
            <w:vAlign w:val="center"/>
          </w:tcPr>
          <w:p>
            <w:pPr>
              <w:pStyle w:val="14"/>
            </w:pPr>
            <w:r>
              <w:t>反映各项费用支出及时情况</w:t>
            </w:r>
          </w:p>
        </w:tc>
        <w:tc>
          <w:tcPr>
            <w:tcW w:w="2268" w:type="dxa"/>
            <w:vAlign w:val="center"/>
          </w:tcPr>
          <w:p>
            <w:pPr>
              <w:pStyle w:val="14"/>
            </w:pPr>
            <w:r>
              <w:t>≥95%</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预算范围内</w:t>
            </w:r>
          </w:p>
        </w:tc>
        <w:tc>
          <w:tcPr>
            <w:tcW w:w="5386" w:type="dxa"/>
            <w:vAlign w:val="center"/>
          </w:tcPr>
          <w:p>
            <w:pPr>
              <w:pStyle w:val="14"/>
            </w:pPr>
            <w:r>
              <w:t>每年支付房屋租赁费</w:t>
            </w:r>
          </w:p>
        </w:tc>
        <w:tc>
          <w:tcPr>
            <w:tcW w:w="2268" w:type="dxa"/>
            <w:vAlign w:val="center"/>
          </w:tcPr>
          <w:p>
            <w:pPr>
              <w:pStyle w:val="14"/>
            </w:pPr>
            <w:r>
              <w:t>46.27万元</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解决办公用房人数</w:t>
            </w:r>
          </w:p>
        </w:tc>
        <w:tc>
          <w:tcPr>
            <w:tcW w:w="5386" w:type="dxa"/>
            <w:vAlign w:val="center"/>
          </w:tcPr>
          <w:p>
            <w:pPr>
              <w:pStyle w:val="14"/>
            </w:pPr>
            <w:r>
              <w:t>反映租用房屋所解决的办公用房人数</w:t>
            </w:r>
          </w:p>
        </w:tc>
        <w:tc>
          <w:tcPr>
            <w:tcW w:w="2268" w:type="dxa"/>
            <w:vAlign w:val="center"/>
          </w:tcPr>
          <w:p>
            <w:pPr>
              <w:pStyle w:val="14"/>
            </w:pPr>
            <w:r>
              <w:t>115人</w:t>
            </w:r>
          </w:p>
        </w:tc>
        <w:tc>
          <w:tcPr>
            <w:tcW w:w="1276" w:type="dxa"/>
            <w:vAlign w:val="center"/>
          </w:tcPr>
          <w:p>
            <w:pPr>
              <w:pStyle w:val="14"/>
            </w:pPr>
            <w:r>
              <w:t>社区干部人员名单</w:t>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通过及时支付运转经费，保障日常工作的持续有序推进</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单位工作人员满意率</w:t>
            </w:r>
          </w:p>
        </w:tc>
        <w:tc>
          <w:tcPr>
            <w:tcW w:w="5386" w:type="dxa"/>
            <w:vAlign w:val="center"/>
          </w:tcPr>
          <w:p>
            <w:pPr>
              <w:pStyle w:val="14"/>
            </w:pPr>
            <w:r>
              <w:t>反映单位工作人员满意率</w:t>
            </w:r>
          </w:p>
        </w:tc>
        <w:tc>
          <w:tcPr>
            <w:tcW w:w="2268" w:type="dxa"/>
            <w:vAlign w:val="center"/>
          </w:tcPr>
          <w:p>
            <w:pPr>
              <w:pStyle w:val="14"/>
            </w:pPr>
            <w:r>
              <w:t>≥95%</w:t>
            </w:r>
          </w:p>
        </w:tc>
        <w:tc>
          <w:tcPr>
            <w:tcW w:w="1276" w:type="dxa"/>
            <w:vAlign w:val="center"/>
          </w:tcPr>
          <w:p>
            <w:pPr>
              <w:pStyle w:val="14"/>
            </w:pPr>
            <w:r>
              <w:t>调查问卷</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7、社区工作经费绩效目标表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13032125P00000810001D</w:t>
            </w:r>
          </w:p>
        </w:tc>
        <w:tc>
          <w:tcPr>
            <w:tcW w:w="2835" w:type="dxa"/>
            <w:vAlign w:val="center"/>
          </w:tcPr>
          <w:p>
            <w:pPr>
              <w:pStyle w:val="12"/>
            </w:pPr>
            <w:r>
              <w:t>项目名称</w:t>
            </w:r>
          </w:p>
        </w:tc>
        <w:tc>
          <w:tcPr>
            <w:tcW w:w="6095" w:type="dxa"/>
            <w:gridSpan w:val="3"/>
            <w:vAlign w:val="center"/>
          </w:tcPr>
          <w:p>
            <w:pPr>
              <w:pStyle w:val="14"/>
            </w:pPr>
            <w:r>
              <w:t>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0.79</w:t>
            </w:r>
          </w:p>
        </w:tc>
        <w:tc>
          <w:tcPr>
            <w:tcW w:w="2835" w:type="dxa"/>
            <w:vAlign w:val="center"/>
          </w:tcPr>
          <w:p>
            <w:pPr>
              <w:pStyle w:val="12"/>
            </w:pPr>
            <w:r>
              <w:t>其中：财政    资金</w:t>
            </w:r>
          </w:p>
        </w:tc>
        <w:tc>
          <w:tcPr>
            <w:tcW w:w="2551" w:type="dxa"/>
            <w:vAlign w:val="center"/>
          </w:tcPr>
          <w:p>
            <w:pPr>
              <w:pStyle w:val="14"/>
            </w:pPr>
            <w:r>
              <w:t>0.79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预算安排资金50万元，其中财政资金50万元，主要用于日常工作有序开展，保证社区职能的有效履行。</w:t>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1.通过购置办公用品及办公设施，保证社区各项工作正常运转。</w:t>
            </w:r>
            <w:r>
              <w:tab/>
            </w:r>
            <w:r>
              <w:tab/>
            </w:r>
          </w:p>
          <w:p>
            <w:pPr>
              <w:pStyle w:val="14"/>
            </w:pPr>
            <w:r>
              <w:t>2.通过日常工作有序开展，保证社区职能的有效履行。</w:t>
            </w:r>
            <w:r>
              <w:tab/>
            </w:r>
          </w:p>
          <w:p>
            <w:pPr>
              <w:pStyle w:val="14"/>
            </w:pPr>
          </w:p>
          <w:p>
            <w:pPr>
              <w:pStyle w:val="14"/>
            </w:pPr>
            <w:r>
              <w:t>3.通过及时支付水电网、社区房租等费用，为社区正常运转提供基本保障。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支付办公费保障人数</w:t>
            </w:r>
          </w:p>
        </w:tc>
        <w:tc>
          <w:tcPr>
            <w:tcW w:w="5386" w:type="dxa"/>
            <w:vAlign w:val="center"/>
          </w:tcPr>
          <w:p>
            <w:pPr>
              <w:pStyle w:val="14"/>
            </w:pPr>
            <w:r>
              <w:t>支付办公费的人数</w:t>
            </w:r>
          </w:p>
        </w:tc>
        <w:tc>
          <w:tcPr>
            <w:tcW w:w="2268" w:type="dxa"/>
            <w:vAlign w:val="center"/>
          </w:tcPr>
          <w:p>
            <w:pPr>
              <w:pStyle w:val="14"/>
            </w:pPr>
            <w:r>
              <w:t>62人</w:t>
            </w:r>
          </w:p>
        </w:tc>
        <w:tc>
          <w:tcPr>
            <w:tcW w:w="1276" w:type="dxa"/>
            <w:vAlign w:val="center"/>
          </w:tcPr>
          <w:p>
            <w:pPr>
              <w:pStyle w:val="14"/>
            </w:pPr>
            <w:r>
              <w:t>社区干部人员名单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保障水电暖等办公空间面积数</w:t>
            </w:r>
          </w:p>
        </w:tc>
        <w:tc>
          <w:tcPr>
            <w:tcW w:w="5386" w:type="dxa"/>
            <w:vAlign w:val="center"/>
          </w:tcPr>
          <w:p>
            <w:pPr>
              <w:pStyle w:val="14"/>
            </w:pPr>
            <w:r>
              <w:t>支付水电费及供暖的办公场所面积数</w:t>
            </w:r>
          </w:p>
        </w:tc>
        <w:tc>
          <w:tcPr>
            <w:tcW w:w="2268" w:type="dxa"/>
            <w:vAlign w:val="center"/>
          </w:tcPr>
          <w:p>
            <w:pPr>
              <w:pStyle w:val="14"/>
            </w:pPr>
            <w:r>
              <w:t>4500平方米</w:t>
            </w:r>
          </w:p>
        </w:tc>
        <w:tc>
          <w:tcPr>
            <w:tcW w:w="1276" w:type="dxa"/>
            <w:vAlign w:val="center"/>
          </w:tcPr>
          <w:p>
            <w:pPr>
              <w:pStyle w:val="14"/>
            </w:pPr>
            <w:r>
              <w:t>10个社区办公场所面积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购买的办公用品合格数量占全部购买办公用品数量的比例</w:t>
            </w:r>
          </w:p>
        </w:tc>
        <w:tc>
          <w:tcPr>
            <w:tcW w:w="2268" w:type="dxa"/>
            <w:vAlign w:val="center"/>
          </w:tcPr>
          <w:p>
            <w:pPr>
              <w:pStyle w:val="14"/>
            </w:pPr>
            <w:r>
              <w:t>100%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办公场所水电费保障率</w:t>
            </w:r>
          </w:p>
        </w:tc>
        <w:tc>
          <w:tcPr>
            <w:tcW w:w="5386" w:type="dxa"/>
            <w:vAlign w:val="center"/>
          </w:tcPr>
          <w:p>
            <w:pPr>
              <w:pStyle w:val="14"/>
            </w:pPr>
            <w:r>
              <w:t>反映办公场所水电暖等基础设施费用的稳定情况</w:t>
            </w:r>
          </w:p>
        </w:tc>
        <w:tc>
          <w:tcPr>
            <w:tcW w:w="2268" w:type="dxa"/>
            <w:vAlign w:val="center"/>
          </w:tcPr>
          <w:p>
            <w:pPr>
              <w:pStyle w:val="14"/>
            </w:pPr>
            <w:r>
              <w:t>≥98%</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资金费用支付及时性</w:t>
            </w:r>
          </w:p>
        </w:tc>
        <w:tc>
          <w:tcPr>
            <w:tcW w:w="5386" w:type="dxa"/>
            <w:vAlign w:val="center"/>
          </w:tcPr>
          <w:p>
            <w:pPr>
              <w:pStyle w:val="14"/>
            </w:pPr>
            <w:r>
              <w:t>反映各项费用支出及时情况</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租赁办公场所费用</w:t>
            </w:r>
          </w:p>
        </w:tc>
        <w:tc>
          <w:tcPr>
            <w:tcW w:w="5386" w:type="dxa"/>
            <w:vAlign w:val="center"/>
          </w:tcPr>
          <w:p>
            <w:pPr>
              <w:pStyle w:val="14"/>
            </w:pPr>
            <w:r>
              <w:t>房租费成本</w:t>
            </w:r>
          </w:p>
        </w:tc>
        <w:tc>
          <w:tcPr>
            <w:tcW w:w="2268" w:type="dxa"/>
            <w:vAlign w:val="center"/>
          </w:tcPr>
          <w:p>
            <w:pPr>
              <w:pStyle w:val="14"/>
            </w:pPr>
            <w:r>
              <w:t>29.46万元</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人均定额金额</w:t>
            </w:r>
          </w:p>
        </w:tc>
        <w:tc>
          <w:tcPr>
            <w:tcW w:w="5386" w:type="dxa"/>
            <w:vAlign w:val="center"/>
          </w:tcPr>
          <w:p>
            <w:pPr>
              <w:pStyle w:val="14"/>
            </w:pPr>
            <w:r>
              <w:t>运转人均定额金额</w:t>
            </w:r>
          </w:p>
        </w:tc>
        <w:tc>
          <w:tcPr>
            <w:tcW w:w="2268" w:type="dxa"/>
            <w:vAlign w:val="center"/>
          </w:tcPr>
          <w:p>
            <w:pPr>
              <w:pStyle w:val="14"/>
            </w:pPr>
            <w:r>
              <w:t>≤0.8万元/人</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网络运行维护费</w:t>
            </w:r>
          </w:p>
        </w:tc>
        <w:tc>
          <w:tcPr>
            <w:tcW w:w="5386" w:type="dxa"/>
            <w:vAlign w:val="center"/>
          </w:tcPr>
          <w:p>
            <w:pPr>
              <w:pStyle w:val="14"/>
            </w:pPr>
            <w:r>
              <w:t>网络运行维护的成本</w:t>
            </w:r>
          </w:p>
        </w:tc>
        <w:tc>
          <w:tcPr>
            <w:tcW w:w="2268" w:type="dxa"/>
            <w:vAlign w:val="center"/>
          </w:tcPr>
          <w:p>
            <w:pPr>
              <w:pStyle w:val="14"/>
            </w:pPr>
            <w:r>
              <w:t>≤2.1万元/社区</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日常工作有效运转率</w:t>
            </w:r>
          </w:p>
        </w:tc>
        <w:tc>
          <w:tcPr>
            <w:tcW w:w="5386" w:type="dxa"/>
            <w:vAlign w:val="center"/>
          </w:tcPr>
          <w:p>
            <w:pPr>
              <w:pStyle w:val="14"/>
            </w:pPr>
            <w:r>
              <w:t>通过及时支付运转经费，有效保证单位各项日常工作顺利开展</w:t>
            </w:r>
          </w:p>
        </w:tc>
        <w:tc>
          <w:tcPr>
            <w:tcW w:w="2268" w:type="dxa"/>
            <w:vAlign w:val="center"/>
          </w:tcPr>
          <w:p>
            <w:pPr>
              <w:pStyle w:val="14"/>
            </w:pPr>
            <w:r>
              <w:t>≥98%</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5386" w:type="dxa"/>
            <w:vAlign w:val="center"/>
          </w:tcPr>
          <w:p>
            <w:pPr>
              <w:pStyle w:val="14"/>
            </w:pPr>
            <w:r>
              <w:t>节约水、电等资源，降低能耗，实现绿色办公，反映较上年节约率</w:t>
            </w:r>
          </w:p>
        </w:tc>
        <w:tc>
          <w:tcPr>
            <w:tcW w:w="2268" w:type="dxa"/>
            <w:vAlign w:val="center"/>
          </w:tcPr>
          <w:p>
            <w:pPr>
              <w:pStyle w:val="14"/>
            </w:pPr>
            <w:r>
              <w:t>≥1%</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通过及时支付运转经费，保障日常工作的持续有序推进</w:t>
            </w:r>
          </w:p>
        </w:tc>
        <w:tc>
          <w:tcPr>
            <w:tcW w:w="2268" w:type="dxa"/>
            <w:vAlign w:val="center"/>
          </w:tcPr>
          <w:p>
            <w:pPr>
              <w:pStyle w:val="14"/>
            </w:pPr>
            <w:r>
              <w:t>≥98%</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8、社区工作经费绩效目标表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13032126P000008100104</w:t>
            </w:r>
          </w:p>
        </w:tc>
        <w:tc>
          <w:tcPr>
            <w:tcW w:w="2835" w:type="dxa"/>
            <w:vAlign w:val="center"/>
          </w:tcPr>
          <w:p>
            <w:pPr>
              <w:pStyle w:val="12"/>
            </w:pPr>
            <w:r>
              <w:t>项目名称</w:t>
            </w:r>
          </w:p>
        </w:tc>
        <w:tc>
          <w:tcPr>
            <w:tcW w:w="6095" w:type="dxa"/>
            <w:gridSpan w:val="3"/>
            <w:vAlign w:val="center"/>
          </w:tcPr>
          <w:p>
            <w:pPr>
              <w:pStyle w:val="14"/>
            </w:pPr>
            <w:r>
              <w:t>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60.00</w:t>
            </w:r>
          </w:p>
        </w:tc>
        <w:tc>
          <w:tcPr>
            <w:tcW w:w="2835" w:type="dxa"/>
            <w:vAlign w:val="center"/>
          </w:tcPr>
          <w:p>
            <w:pPr>
              <w:pStyle w:val="12"/>
            </w:pPr>
            <w:r>
              <w:t>其中：财政    资金</w:t>
            </w:r>
          </w:p>
        </w:tc>
        <w:tc>
          <w:tcPr>
            <w:tcW w:w="2551" w:type="dxa"/>
            <w:vAlign w:val="center"/>
          </w:tcPr>
          <w:p>
            <w:pPr>
              <w:pStyle w:val="14"/>
            </w:pPr>
            <w:r>
              <w:t>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预算资金60万元，其中财政资金60万元，主要用于社区工作经费。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1."通过日常工作有序开展，保证社区职能的有效履行。</w:t>
            </w:r>
          </w:p>
          <w:p>
            <w:pPr>
              <w:pStyle w:val="14"/>
            </w:pPr>
            <w:r>
              <w:t>"</w:t>
            </w:r>
            <w:r>
              <w:tab/>
            </w:r>
            <w:r>
              <w:tab/>
            </w:r>
            <w:r>
              <w:tab/>
            </w:r>
            <w:r>
              <w:tab/>
            </w:r>
            <w:r>
              <w:tab/>
            </w:r>
            <w:r>
              <w:tab/>
            </w:r>
          </w:p>
          <w:p>
            <w:pPr>
              <w:pStyle w:val="14"/>
            </w:pPr>
          </w:p>
          <w:p>
            <w:pPr>
              <w:pStyle w:val="14"/>
            </w:pPr>
            <w:r>
              <w:t>2.通过及时支付水电网、社区房租等费用，为社区正常运转提供基本保障。</w:t>
            </w:r>
          </w:p>
          <w:p>
            <w:pPr>
              <w:pStyle w:val="14"/>
            </w:pPr>
            <w:r>
              <w:t>3."通过购置办公用品及办公设施，保证社区各项工作正常运转。</w:t>
            </w:r>
            <w:r>
              <w:tab/>
            </w: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支付办公费保障人数</w:t>
            </w:r>
          </w:p>
        </w:tc>
        <w:tc>
          <w:tcPr>
            <w:tcW w:w="5386" w:type="dxa"/>
            <w:vAlign w:val="center"/>
          </w:tcPr>
          <w:p>
            <w:pPr>
              <w:pStyle w:val="14"/>
            </w:pPr>
            <w:r>
              <w:t>支付办公费的人数</w:t>
            </w:r>
          </w:p>
        </w:tc>
        <w:tc>
          <w:tcPr>
            <w:tcW w:w="2268" w:type="dxa"/>
            <w:vAlign w:val="center"/>
          </w:tcPr>
          <w:p>
            <w:pPr>
              <w:pStyle w:val="14"/>
            </w:pPr>
            <w:r>
              <w:t>115人</w:t>
            </w:r>
          </w:p>
        </w:tc>
        <w:tc>
          <w:tcPr>
            <w:tcW w:w="1276" w:type="dxa"/>
            <w:vAlign w:val="center"/>
          </w:tcPr>
          <w:p>
            <w:pPr>
              <w:pStyle w:val="14"/>
            </w:pPr>
            <w:r>
              <w:t>社区干部人员名单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保障水电暖等办公空间面积数</w:t>
            </w:r>
          </w:p>
        </w:tc>
        <w:tc>
          <w:tcPr>
            <w:tcW w:w="5386" w:type="dxa"/>
            <w:vAlign w:val="center"/>
          </w:tcPr>
          <w:p>
            <w:pPr>
              <w:pStyle w:val="14"/>
            </w:pPr>
            <w:r>
              <w:t>支付水电费及供暖的办公场所面积数</w:t>
            </w:r>
          </w:p>
        </w:tc>
        <w:tc>
          <w:tcPr>
            <w:tcW w:w="2268" w:type="dxa"/>
            <w:vAlign w:val="center"/>
          </w:tcPr>
          <w:p>
            <w:pPr>
              <w:pStyle w:val="14"/>
            </w:pPr>
            <w:r>
              <w:t>4500平方米</w:t>
            </w:r>
          </w:p>
        </w:tc>
        <w:tc>
          <w:tcPr>
            <w:tcW w:w="1276" w:type="dxa"/>
            <w:vAlign w:val="center"/>
          </w:tcPr>
          <w:p>
            <w:pPr>
              <w:pStyle w:val="14"/>
            </w:pPr>
            <w:r>
              <w:t>10个社区办公场所面积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购置办公用品合格率</w:t>
            </w:r>
          </w:p>
        </w:tc>
        <w:tc>
          <w:tcPr>
            <w:tcW w:w="5386" w:type="dxa"/>
            <w:vAlign w:val="center"/>
          </w:tcPr>
          <w:p>
            <w:pPr>
              <w:pStyle w:val="14"/>
            </w:pPr>
            <w:r>
              <w:t>购买的办公用品合格数量占全部购买办公用品数量的比例</w:t>
            </w:r>
          </w:p>
        </w:tc>
        <w:tc>
          <w:tcPr>
            <w:tcW w:w="2268" w:type="dxa"/>
            <w:vAlign w:val="center"/>
          </w:tcPr>
          <w:p>
            <w:pPr>
              <w:pStyle w:val="14"/>
            </w:pPr>
            <w:r>
              <w:t>100%</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办公场所水电费保障率</w:t>
            </w:r>
          </w:p>
        </w:tc>
        <w:tc>
          <w:tcPr>
            <w:tcW w:w="5386" w:type="dxa"/>
            <w:vAlign w:val="center"/>
          </w:tcPr>
          <w:p>
            <w:pPr>
              <w:pStyle w:val="14"/>
            </w:pPr>
            <w:r>
              <w:t>反映办公场所水电暖等基础设施费用的稳定情况</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资金费用支付及时性</w:t>
            </w:r>
          </w:p>
        </w:tc>
        <w:tc>
          <w:tcPr>
            <w:tcW w:w="5386" w:type="dxa"/>
            <w:vAlign w:val="center"/>
          </w:tcPr>
          <w:p>
            <w:pPr>
              <w:pStyle w:val="14"/>
            </w:pPr>
            <w:r>
              <w:t>反映各项费用支出及时情况</w:t>
            </w:r>
          </w:p>
        </w:tc>
        <w:tc>
          <w:tcPr>
            <w:tcW w:w="2268" w:type="dxa"/>
            <w:vAlign w:val="center"/>
          </w:tcPr>
          <w:p>
            <w:pPr>
              <w:pStyle w:val="14"/>
            </w:pPr>
            <w:r>
              <w:t>≥95%</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租赁办公场所费用</w:t>
            </w:r>
          </w:p>
        </w:tc>
        <w:tc>
          <w:tcPr>
            <w:tcW w:w="5386" w:type="dxa"/>
            <w:vAlign w:val="center"/>
          </w:tcPr>
          <w:p>
            <w:pPr>
              <w:pStyle w:val="14"/>
            </w:pPr>
            <w:r>
              <w:t>房租费成本</w:t>
            </w:r>
          </w:p>
        </w:tc>
        <w:tc>
          <w:tcPr>
            <w:tcW w:w="2268" w:type="dxa"/>
            <w:vAlign w:val="center"/>
          </w:tcPr>
          <w:p>
            <w:pPr>
              <w:pStyle w:val="14"/>
            </w:pPr>
            <w:r>
              <w:t>29.46万元</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人均定额金额</w:t>
            </w:r>
          </w:p>
        </w:tc>
        <w:tc>
          <w:tcPr>
            <w:tcW w:w="5386" w:type="dxa"/>
            <w:vAlign w:val="center"/>
          </w:tcPr>
          <w:p>
            <w:pPr>
              <w:pStyle w:val="14"/>
            </w:pPr>
            <w:r>
              <w:t>运转人均定额金额</w:t>
            </w:r>
          </w:p>
        </w:tc>
        <w:tc>
          <w:tcPr>
            <w:tcW w:w="2268" w:type="dxa"/>
            <w:vAlign w:val="center"/>
          </w:tcPr>
          <w:p>
            <w:pPr>
              <w:pStyle w:val="14"/>
            </w:pPr>
            <w:r>
              <w:t>≤0.8万元/人</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网络运行维护费</w:t>
            </w:r>
          </w:p>
        </w:tc>
        <w:tc>
          <w:tcPr>
            <w:tcW w:w="5386" w:type="dxa"/>
            <w:vAlign w:val="center"/>
          </w:tcPr>
          <w:p>
            <w:pPr>
              <w:pStyle w:val="14"/>
            </w:pPr>
            <w:r>
              <w:t>网络运行维护的成本</w:t>
            </w:r>
          </w:p>
        </w:tc>
        <w:tc>
          <w:tcPr>
            <w:tcW w:w="2268" w:type="dxa"/>
            <w:vAlign w:val="center"/>
          </w:tcPr>
          <w:p>
            <w:pPr>
              <w:pStyle w:val="14"/>
            </w:pPr>
            <w:r>
              <w:t>≤2.1万元/社区</w:t>
            </w:r>
          </w:p>
        </w:tc>
        <w:tc>
          <w:tcPr>
            <w:tcW w:w="1276"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日常工作有效运转率</w:t>
            </w:r>
          </w:p>
        </w:tc>
        <w:tc>
          <w:tcPr>
            <w:tcW w:w="5386" w:type="dxa"/>
            <w:vAlign w:val="center"/>
          </w:tcPr>
          <w:p>
            <w:pPr>
              <w:pStyle w:val="14"/>
            </w:pPr>
            <w:r>
              <w:t>通过及时支付运转经费，有效保证单位各项日常工作顺利开展</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5386" w:type="dxa"/>
            <w:vAlign w:val="center"/>
          </w:tcPr>
          <w:p>
            <w:pPr>
              <w:pStyle w:val="14"/>
            </w:pPr>
            <w:r>
              <w:t>节约水、电等资源，降低能耗，实现绿色办公，反映较上年节约率</w:t>
            </w:r>
          </w:p>
        </w:tc>
        <w:tc>
          <w:tcPr>
            <w:tcW w:w="2268" w:type="dxa"/>
            <w:vAlign w:val="center"/>
          </w:tcPr>
          <w:p>
            <w:pPr>
              <w:pStyle w:val="14"/>
            </w:pPr>
            <w:r>
              <w:t>≥1%</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通过及时支付运转经费，保障日常工作的持续有序推进</w:t>
            </w:r>
          </w:p>
        </w:tc>
        <w:tc>
          <w:tcPr>
            <w:tcW w:w="2268" w:type="dxa"/>
            <w:vAlign w:val="center"/>
          </w:tcPr>
          <w:p>
            <w:pPr>
              <w:pStyle w:val="14"/>
            </w:pPr>
            <w:r>
              <w:t>≥98%</w:t>
            </w:r>
          </w:p>
        </w:tc>
        <w:tc>
          <w:tcPr>
            <w:tcW w:w="1276" w:type="dxa"/>
            <w:vAlign w:val="center"/>
          </w:tcPr>
          <w:p>
            <w:pPr>
              <w:pStyle w:val="14"/>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5386" w:type="dxa"/>
            <w:vAlign w:val="center"/>
          </w:tcPr>
          <w:p>
            <w:pPr>
              <w:pStyle w:val="14"/>
            </w:pPr>
            <w:r>
              <w:t>通过问卷调查，满意和基本满意的职工占所有调查职工的比例</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9、武装专项经费绩效目标表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13032125P000116100837</w:t>
            </w:r>
          </w:p>
        </w:tc>
        <w:tc>
          <w:tcPr>
            <w:tcW w:w="2835" w:type="dxa"/>
            <w:vAlign w:val="center"/>
          </w:tcPr>
          <w:p>
            <w:pPr>
              <w:pStyle w:val="12"/>
            </w:pPr>
            <w:r>
              <w:t>项目名称</w:t>
            </w:r>
          </w:p>
        </w:tc>
        <w:tc>
          <w:tcPr>
            <w:tcW w:w="6095" w:type="dxa"/>
            <w:gridSpan w:val="3"/>
            <w:vAlign w:val="center"/>
          </w:tcPr>
          <w:p>
            <w:pPr>
              <w:pStyle w:val="14"/>
            </w:pPr>
            <w:r>
              <w:t>武装专项经费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1.04</w:t>
            </w:r>
          </w:p>
        </w:tc>
        <w:tc>
          <w:tcPr>
            <w:tcW w:w="2835" w:type="dxa"/>
            <w:vAlign w:val="center"/>
          </w:tcPr>
          <w:p>
            <w:pPr>
              <w:pStyle w:val="12"/>
            </w:pPr>
            <w:r>
              <w:t>其中：财政    资金</w:t>
            </w:r>
          </w:p>
        </w:tc>
        <w:tc>
          <w:tcPr>
            <w:tcW w:w="2551" w:type="dxa"/>
            <w:vAlign w:val="center"/>
          </w:tcPr>
          <w:p>
            <w:pPr>
              <w:pStyle w:val="14"/>
            </w:pPr>
            <w:r>
              <w:t>1.04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预算安排金额3万元，其中财政金额3万元，主要用于开展兵役登记、征兵工作，为国家提供高素质兵源。</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1."通过开展民兵训练工作，确保人民武装力量得到保障。</w:t>
            </w:r>
            <w:r>
              <w:tab/>
            </w:r>
            <w:r>
              <w:tab/>
            </w:r>
            <w:r>
              <w:tab/>
            </w:r>
            <w:r>
              <w:tab/>
            </w:r>
            <w:r>
              <w:tab/>
            </w:r>
            <w:r>
              <w:tab/>
            </w:r>
            <w:r>
              <w:tab/>
            </w:r>
            <w:r>
              <w:tab/>
            </w:r>
            <w:r>
              <w:tab/>
            </w:r>
            <w:r>
              <w:tab/>
            </w:r>
            <w:r>
              <w:tab/>
            </w:r>
            <w:r>
              <w:t>"</w:t>
            </w:r>
            <w:r>
              <w:tab/>
            </w:r>
            <w:r>
              <w:tab/>
            </w:r>
            <w:r>
              <w:tab/>
            </w:r>
            <w:r>
              <w:tab/>
            </w:r>
            <w:r>
              <w:tab/>
            </w:r>
            <w:r>
              <w:tab/>
            </w:r>
          </w:p>
          <w:p>
            <w:pPr>
              <w:pStyle w:val="14"/>
            </w:pPr>
          </w:p>
          <w:p>
            <w:pPr>
              <w:pStyle w:val="14"/>
            </w:pPr>
            <w:r>
              <w:t>2."通过开展兵役登记、征兵工作，为国家提供高素质兵源。</w:t>
            </w:r>
            <w:r>
              <w:tab/>
            </w:r>
            <w:r>
              <w:tab/>
            </w:r>
            <w:r>
              <w:tab/>
            </w:r>
            <w:r>
              <w:tab/>
            </w:r>
            <w:r>
              <w:tab/>
            </w:r>
            <w:r>
              <w:tab/>
            </w:r>
            <w:r>
              <w:tab/>
            </w:r>
            <w:r>
              <w:tab/>
            </w:r>
            <w:r>
              <w:tab/>
            </w:r>
            <w:r>
              <w:tab/>
            </w:r>
            <w:r>
              <w:tab/>
            </w: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带动作用</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10、武装专项经费绩效目标表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13032126P00011610221R</w:t>
            </w:r>
          </w:p>
        </w:tc>
        <w:tc>
          <w:tcPr>
            <w:tcW w:w="2835" w:type="dxa"/>
            <w:vAlign w:val="center"/>
          </w:tcPr>
          <w:p>
            <w:pPr>
              <w:pStyle w:val="12"/>
            </w:pPr>
            <w:r>
              <w:t>项目名称</w:t>
            </w:r>
          </w:p>
        </w:tc>
        <w:tc>
          <w:tcPr>
            <w:tcW w:w="6095" w:type="dxa"/>
            <w:gridSpan w:val="3"/>
            <w:vAlign w:val="center"/>
          </w:tcPr>
          <w:p>
            <w:pPr>
              <w:pStyle w:val="14"/>
            </w:pPr>
            <w:r>
              <w:t>武装专项经费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预算资金3万元，其中财政资金3万元，主要用于武装经费.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1.通过开展兵役登记、征兵工作，为国家提供高素质兵源。</w:t>
            </w:r>
            <w:r>
              <w:tab/>
            </w:r>
            <w:r>
              <w:tab/>
            </w:r>
            <w:r>
              <w:tab/>
            </w:r>
            <w:r>
              <w:tab/>
            </w:r>
            <w:r>
              <w:tab/>
            </w:r>
            <w:r>
              <w:tab/>
            </w:r>
            <w:r>
              <w:tab/>
            </w:r>
            <w:r>
              <w:tab/>
            </w:r>
            <w:r>
              <w:tab/>
            </w:r>
            <w:r>
              <w:tab/>
            </w:r>
          </w:p>
          <w:p>
            <w:pPr>
              <w:pStyle w:val="14"/>
            </w:pPr>
          </w:p>
          <w:p>
            <w:pPr>
              <w:pStyle w:val="14"/>
            </w:pPr>
            <w:r>
              <w:t>2.通过开展民兵训练工作，确保人民武装力量得到保障。</w:t>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区域内服兵役人员数量</w:t>
            </w:r>
          </w:p>
        </w:tc>
        <w:tc>
          <w:tcPr>
            <w:tcW w:w="5386" w:type="dxa"/>
            <w:vAlign w:val="center"/>
          </w:tcPr>
          <w:p>
            <w:pPr>
              <w:pStyle w:val="14"/>
            </w:pPr>
            <w:r>
              <w:t>年度内依法服兵役数量</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参加民兵训练人数</w:t>
            </w:r>
          </w:p>
        </w:tc>
        <w:tc>
          <w:tcPr>
            <w:tcW w:w="5386" w:type="dxa"/>
            <w:vAlign w:val="center"/>
          </w:tcPr>
          <w:p>
            <w:pPr>
              <w:pStyle w:val="14"/>
            </w:pPr>
            <w:r>
              <w:t>年度内参加民兵训练的人数</w:t>
            </w:r>
          </w:p>
        </w:tc>
        <w:tc>
          <w:tcPr>
            <w:tcW w:w="2268" w:type="dxa"/>
            <w:vAlign w:val="center"/>
          </w:tcPr>
          <w:p>
            <w:pPr>
              <w:pStyle w:val="14"/>
            </w:pPr>
            <w:r>
              <w:t>≥30人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大学生兵数量</w:t>
            </w:r>
          </w:p>
        </w:tc>
        <w:tc>
          <w:tcPr>
            <w:tcW w:w="5386" w:type="dxa"/>
            <w:vAlign w:val="center"/>
          </w:tcPr>
          <w:p>
            <w:pPr>
              <w:pStyle w:val="14"/>
            </w:pPr>
            <w:r>
              <w:t>年度内新入伍大学生兵数量</w:t>
            </w:r>
          </w:p>
        </w:tc>
        <w:tc>
          <w:tcPr>
            <w:tcW w:w="2268" w:type="dxa"/>
            <w:vAlign w:val="center"/>
          </w:tcPr>
          <w:p>
            <w:pPr>
              <w:pStyle w:val="14"/>
            </w:pPr>
            <w:r>
              <w:t>≥5人</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民兵训练次数</w:t>
            </w:r>
          </w:p>
        </w:tc>
        <w:tc>
          <w:tcPr>
            <w:tcW w:w="5386" w:type="dxa"/>
            <w:vAlign w:val="center"/>
          </w:tcPr>
          <w:p>
            <w:pPr>
              <w:pStyle w:val="14"/>
            </w:pPr>
            <w:r>
              <w:t>年度内开展民兵训练次数</w:t>
            </w:r>
          </w:p>
        </w:tc>
        <w:tc>
          <w:tcPr>
            <w:tcW w:w="2268" w:type="dxa"/>
            <w:vAlign w:val="center"/>
          </w:tcPr>
          <w:p>
            <w:pPr>
              <w:pStyle w:val="14"/>
            </w:pPr>
            <w:r>
              <w:t>≥2次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大学生兵比率</w:t>
            </w:r>
          </w:p>
        </w:tc>
        <w:tc>
          <w:tcPr>
            <w:tcW w:w="5386" w:type="dxa"/>
            <w:vAlign w:val="center"/>
          </w:tcPr>
          <w:p>
            <w:pPr>
              <w:pStyle w:val="14"/>
            </w:pPr>
            <w:r>
              <w:t>年度内新入伍大学生兵所占比率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开展兵源普查登记时限</w:t>
            </w:r>
          </w:p>
        </w:tc>
        <w:tc>
          <w:tcPr>
            <w:tcW w:w="5386" w:type="dxa"/>
            <w:vAlign w:val="center"/>
          </w:tcPr>
          <w:p>
            <w:pPr>
              <w:pStyle w:val="14"/>
            </w:pPr>
            <w:r>
              <w:t>提前做好兵源普查登记工作的时间</w:t>
            </w:r>
          </w:p>
        </w:tc>
        <w:tc>
          <w:tcPr>
            <w:tcW w:w="2268" w:type="dxa"/>
            <w:vAlign w:val="center"/>
          </w:tcPr>
          <w:p>
            <w:pPr>
              <w:pStyle w:val="14"/>
            </w:pPr>
            <w:r>
              <w:t>≤6月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武装工作支出费用</w:t>
            </w:r>
          </w:p>
        </w:tc>
        <w:tc>
          <w:tcPr>
            <w:tcW w:w="5386" w:type="dxa"/>
            <w:vAlign w:val="center"/>
          </w:tcPr>
          <w:p>
            <w:pPr>
              <w:pStyle w:val="14"/>
            </w:pPr>
            <w:r>
              <w:t>武装部在开展工作中发生的差旅、办公等支出的成本</w:t>
            </w:r>
          </w:p>
        </w:tc>
        <w:tc>
          <w:tcPr>
            <w:tcW w:w="2268" w:type="dxa"/>
            <w:vAlign w:val="center"/>
          </w:tcPr>
          <w:p>
            <w:pPr>
              <w:pStyle w:val="14"/>
            </w:pPr>
            <w:r>
              <w:t>≤3万元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兵源普查登记覆盖率</w:t>
            </w:r>
          </w:p>
        </w:tc>
        <w:tc>
          <w:tcPr>
            <w:tcW w:w="5386" w:type="dxa"/>
            <w:vAlign w:val="center"/>
          </w:tcPr>
          <w:p>
            <w:pPr>
              <w:pStyle w:val="14"/>
            </w:pPr>
            <w:r>
              <w:t>普查登记的兵源占实有兵源的比率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示范带动作用</w:t>
            </w:r>
          </w:p>
        </w:tc>
        <w:tc>
          <w:tcPr>
            <w:tcW w:w="5386" w:type="dxa"/>
            <w:vAlign w:val="center"/>
          </w:tcPr>
          <w:p>
            <w:pPr>
              <w:pStyle w:val="14"/>
            </w:pPr>
            <w:r>
              <w:t>示范带动作用</w:t>
            </w:r>
          </w:p>
        </w:tc>
        <w:tc>
          <w:tcPr>
            <w:tcW w:w="2268" w:type="dxa"/>
            <w:vAlign w:val="center"/>
          </w:tcPr>
          <w:p>
            <w:pPr>
              <w:pStyle w:val="14"/>
            </w:pPr>
            <w:r>
              <w:t>带动作用</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新入伍兵满意度</w:t>
            </w:r>
          </w:p>
        </w:tc>
        <w:tc>
          <w:tcPr>
            <w:tcW w:w="5386" w:type="dxa"/>
            <w:vAlign w:val="center"/>
          </w:tcPr>
          <w:p>
            <w:pPr>
              <w:pStyle w:val="14"/>
            </w:pPr>
            <w:r>
              <w:t>新入伍兵役及其家属对武装工作的满意度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13032125P00333710041U</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8.16</w:t>
            </w:r>
          </w:p>
        </w:tc>
        <w:tc>
          <w:tcPr>
            <w:tcW w:w="2835" w:type="dxa"/>
            <w:vAlign w:val="center"/>
          </w:tcPr>
          <w:p>
            <w:pPr>
              <w:pStyle w:val="12"/>
            </w:pPr>
            <w:r>
              <w:t>其中：财政    资金</w:t>
            </w:r>
          </w:p>
        </w:tc>
        <w:tc>
          <w:tcPr>
            <w:tcW w:w="2551" w:type="dxa"/>
            <w:vAlign w:val="center"/>
          </w:tcPr>
          <w:p>
            <w:pPr>
              <w:pStyle w:val="14"/>
            </w:pPr>
            <w:r>
              <w:t>8.16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预算资金12万元，其中财政资金12万元，主要用于信访维稳经费。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1.通过开展接访工作，能够有效化解信访矛盾，解决纠纷，避免演变恶行事件。</w:t>
            </w:r>
          </w:p>
          <w:p>
            <w:pPr>
              <w:pStyle w:val="14"/>
            </w:pPr>
            <w:r>
              <w:t>2.通过开展信访稳定工作，确保本地信访工作稳定，能够妥善处理突发性、群体性事件。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≥50次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≥50次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差旅费</w:t>
            </w:r>
          </w:p>
        </w:tc>
        <w:tc>
          <w:tcPr>
            <w:tcW w:w="5386" w:type="dxa"/>
            <w:vAlign w:val="center"/>
          </w:tcPr>
          <w:p>
            <w:pPr>
              <w:pStyle w:val="14"/>
            </w:pPr>
            <w:r>
              <w:t>反映驻京信访值班差旅费用</w:t>
            </w:r>
          </w:p>
        </w:tc>
        <w:tc>
          <w:tcPr>
            <w:tcW w:w="2268" w:type="dxa"/>
            <w:vAlign w:val="center"/>
          </w:tcPr>
          <w:p>
            <w:pPr>
              <w:pStyle w:val="14"/>
            </w:pPr>
            <w:r>
              <w:t>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其他交通费</w:t>
            </w:r>
          </w:p>
        </w:tc>
        <w:tc>
          <w:tcPr>
            <w:tcW w:w="5386" w:type="dxa"/>
            <w:vAlign w:val="center"/>
          </w:tcPr>
          <w:p>
            <w:pPr>
              <w:pStyle w:val="14"/>
            </w:pPr>
            <w:r>
              <w:t>反映接信访人员用车费用</w:t>
            </w:r>
          </w:p>
        </w:tc>
        <w:tc>
          <w:tcPr>
            <w:tcW w:w="2268" w:type="dxa"/>
            <w:vAlign w:val="center"/>
          </w:tcPr>
          <w:p>
            <w:pPr>
              <w:pStyle w:val="14"/>
            </w:pPr>
            <w:r>
              <w:t>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信访下降率（%）</w:t>
            </w:r>
          </w:p>
        </w:tc>
        <w:tc>
          <w:tcPr>
            <w:tcW w:w="5386" w:type="dxa"/>
            <w:vAlign w:val="center"/>
          </w:tcPr>
          <w:p>
            <w:pPr>
              <w:pStyle w:val="14"/>
            </w:pPr>
            <w:r>
              <w:t>辖区内群众信访下降率（%）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保证社会稳定</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信访救助人满意度</w:t>
            </w:r>
          </w:p>
        </w:tc>
        <w:tc>
          <w:tcPr>
            <w:tcW w:w="5386" w:type="dxa"/>
            <w:vAlign w:val="center"/>
          </w:tcPr>
          <w:p>
            <w:pPr>
              <w:pStyle w:val="14"/>
            </w:pPr>
            <w:r>
              <w:t>参与调查问卷的信访人员满意度</w:t>
            </w:r>
          </w:p>
        </w:tc>
        <w:tc>
          <w:tcPr>
            <w:tcW w:w="2268" w:type="dxa"/>
            <w:vAlign w:val="center"/>
          </w:tcPr>
          <w:p>
            <w:pPr>
              <w:pStyle w:val="14"/>
            </w:pPr>
            <w:r>
              <w:t>≥80%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13032126P003337100568</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预算资金10万元，其中财政资金10万元，主要用于信访维稳经费.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1.通过开展信访稳定工作，确保本地信访工作稳定，能够妥善处理突发性、群体性事件。</w:t>
            </w:r>
            <w:r>
              <w:tab/>
            </w:r>
            <w:r>
              <w:tab/>
            </w:r>
            <w:r>
              <w:tab/>
            </w:r>
            <w:r>
              <w:tab/>
            </w:r>
            <w:r>
              <w:tab/>
            </w:r>
            <w:r>
              <w:tab/>
            </w:r>
          </w:p>
          <w:p>
            <w:pPr>
              <w:pStyle w:val="14"/>
            </w:pPr>
            <w:r>
              <w:tab/>
            </w:r>
            <w:r>
              <w:tab/>
            </w:r>
            <w:r>
              <w:tab/>
            </w:r>
          </w:p>
          <w:p>
            <w:pPr>
              <w:pStyle w:val="14"/>
            </w:pPr>
          </w:p>
          <w:p>
            <w:pPr>
              <w:pStyle w:val="14"/>
            </w:pPr>
            <w:r>
              <w:t>2.通过开展接访工作，能够有效化解信访矛盾，解决纠纷，避免演变恶行事件。</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反映每年下乡维稳的次数</w:t>
            </w:r>
          </w:p>
        </w:tc>
        <w:tc>
          <w:tcPr>
            <w:tcW w:w="2268" w:type="dxa"/>
            <w:vAlign w:val="center"/>
          </w:tcPr>
          <w:p>
            <w:pPr>
              <w:pStyle w:val="14"/>
            </w:pPr>
            <w:r>
              <w:t>≥50次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宣传次数</w:t>
            </w:r>
          </w:p>
        </w:tc>
        <w:tc>
          <w:tcPr>
            <w:tcW w:w="5386" w:type="dxa"/>
            <w:vAlign w:val="center"/>
          </w:tcPr>
          <w:p>
            <w:pPr>
              <w:pStyle w:val="14"/>
            </w:pPr>
            <w:r>
              <w:t>反映每年法制宣传教育次数</w:t>
            </w:r>
          </w:p>
        </w:tc>
        <w:tc>
          <w:tcPr>
            <w:tcW w:w="2268" w:type="dxa"/>
            <w:vAlign w:val="center"/>
          </w:tcPr>
          <w:p>
            <w:pPr>
              <w:pStyle w:val="14"/>
            </w:pPr>
            <w:r>
              <w:t>≥50次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及时率</w:t>
            </w:r>
          </w:p>
        </w:tc>
        <w:tc>
          <w:tcPr>
            <w:tcW w:w="5386" w:type="dxa"/>
            <w:vAlign w:val="center"/>
          </w:tcPr>
          <w:p>
            <w:pPr>
              <w:pStyle w:val="14"/>
            </w:pPr>
            <w:r>
              <w:t>反映完成各项工作及时率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差旅费</w:t>
            </w:r>
          </w:p>
        </w:tc>
        <w:tc>
          <w:tcPr>
            <w:tcW w:w="5386" w:type="dxa"/>
            <w:vAlign w:val="center"/>
          </w:tcPr>
          <w:p>
            <w:pPr>
              <w:pStyle w:val="14"/>
            </w:pPr>
            <w:r>
              <w:t>反映驻京信访值班差旅费用</w:t>
            </w:r>
          </w:p>
        </w:tc>
        <w:tc>
          <w:tcPr>
            <w:tcW w:w="2268" w:type="dxa"/>
            <w:vAlign w:val="center"/>
          </w:tcPr>
          <w:p>
            <w:pPr>
              <w:pStyle w:val="14"/>
            </w:pPr>
            <w:r>
              <w:t>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其他交通费</w:t>
            </w:r>
          </w:p>
        </w:tc>
        <w:tc>
          <w:tcPr>
            <w:tcW w:w="5386" w:type="dxa"/>
            <w:vAlign w:val="center"/>
          </w:tcPr>
          <w:p>
            <w:pPr>
              <w:pStyle w:val="14"/>
            </w:pPr>
            <w:r>
              <w:t>反映接信访人员用车费用</w:t>
            </w:r>
          </w:p>
        </w:tc>
        <w:tc>
          <w:tcPr>
            <w:tcW w:w="2268" w:type="dxa"/>
            <w:vAlign w:val="center"/>
          </w:tcPr>
          <w:p>
            <w:pPr>
              <w:pStyle w:val="14"/>
            </w:pPr>
            <w:r>
              <w:t>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涉稳舆情处置率（%）</w:t>
            </w:r>
          </w:p>
        </w:tc>
        <w:tc>
          <w:tcPr>
            <w:tcW w:w="5386" w:type="dxa"/>
            <w:vAlign w:val="center"/>
          </w:tcPr>
          <w:p>
            <w:pPr>
              <w:pStyle w:val="14"/>
            </w:pPr>
            <w:r>
              <w:t>处置的涉稳舆情数占涉稳网络舆情总数的比率</w:t>
            </w:r>
          </w:p>
        </w:tc>
        <w:tc>
          <w:tcPr>
            <w:tcW w:w="2268" w:type="dxa"/>
            <w:vAlign w:val="center"/>
          </w:tcPr>
          <w:p>
            <w:pPr>
              <w:pStyle w:val="14"/>
            </w:pPr>
            <w:r>
              <w:t>≥80%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信访下降率（%）</w:t>
            </w:r>
          </w:p>
        </w:tc>
        <w:tc>
          <w:tcPr>
            <w:tcW w:w="5386" w:type="dxa"/>
            <w:vAlign w:val="center"/>
          </w:tcPr>
          <w:p>
            <w:pPr>
              <w:pStyle w:val="14"/>
            </w:pPr>
            <w:r>
              <w:t>辖区内群众信访下降率（%）</w:t>
            </w:r>
          </w:p>
        </w:tc>
        <w:tc>
          <w:tcPr>
            <w:tcW w:w="2268" w:type="dxa"/>
            <w:vAlign w:val="center"/>
          </w:tcPr>
          <w:p>
            <w:pPr>
              <w:pStyle w:val="14"/>
            </w:pPr>
            <w:r>
              <w:t>≥20%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维护社会稳定</w:t>
            </w:r>
          </w:p>
        </w:tc>
        <w:tc>
          <w:tcPr>
            <w:tcW w:w="5386" w:type="dxa"/>
            <w:vAlign w:val="center"/>
          </w:tcPr>
          <w:p>
            <w:pPr>
              <w:pStyle w:val="14"/>
            </w:pPr>
            <w:r>
              <w:t>维护社会稳定</w:t>
            </w:r>
          </w:p>
        </w:tc>
        <w:tc>
          <w:tcPr>
            <w:tcW w:w="2268" w:type="dxa"/>
            <w:vAlign w:val="center"/>
          </w:tcPr>
          <w:p>
            <w:pPr>
              <w:pStyle w:val="14"/>
            </w:pPr>
            <w:r>
              <w:t>保证社会稳定</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信访救助人满意度</w:t>
            </w:r>
          </w:p>
        </w:tc>
        <w:tc>
          <w:tcPr>
            <w:tcW w:w="5386" w:type="dxa"/>
            <w:vAlign w:val="center"/>
          </w:tcPr>
          <w:p>
            <w:pPr>
              <w:pStyle w:val="14"/>
            </w:pPr>
            <w:r>
              <w:t>参与调查问卷的信访人员满意度</w:t>
            </w:r>
          </w:p>
        </w:tc>
        <w:tc>
          <w:tcPr>
            <w:tcW w:w="2268" w:type="dxa"/>
            <w:vAlign w:val="center"/>
          </w:tcPr>
          <w:p>
            <w:pPr>
              <w:pStyle w:val="14"/>
            </w:pPr>
            <w:r>
              <w:t>≥80%</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13、严重精神障碍患者监护人责任险绩效目标表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13032126P000006100295</w:t>
            </w:r>
          </w:p>
        </w:tc>
        <w:tc>
          <w:tcPr>
            <w:tcW w:w="2835" w:type="dxa"/>
            <w:vAlign w:val="center"/>
          </w:tcPr>
          <w:p>
            <w:pPr>
              <w:pStyle w:val="12"/>
            </w:pPr>
            <w:r>
              <w:t>项目名称</w:t>
            </w:r>
          </w:p>
        </w:tc>
        <w:tc>
          <w:tcPr>
            <w:tcW w:w="6095" w:type="dxa"/>
            <w:gridSpan w:val="3"/>
            <w:vAlign w:val="center"/>
          </w:tcPr>
          <w:p>
            <w:pPr>
              <w:pStyle w:val="14"/>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预算资金0.5万元，其中财政资金0.5万元，主要用于严重精神障碍患者监护人责任险。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1."通过以政府出资投保的方式，减少监护人损失、增强监护人、当事人社会保障，从而化解事后风险。</w:t>
            </w:r>
            <w:r>
              <w:tab/>
            </w:r>
            <w:r>
              <w:tab/>
            </w:r>
            <w:r>
              <w:tab/>
            </w:r>
            <w:r>
              <w:t>"</w:t>
            </w:r>
            <w:r>
              <w:tab/>
            </w:r>
            <w:r>
              <w:tab/>
            </w:r>
            <w:r>
              <w:tab/>
            </w:r>
            <w:r>
              <w:tab/>
            </w:r>
            <w:r>
              <w:tab/>
            </w:r>
            <w:r>
              <w:tab/>
            </w:r>
          </w:p>
          <w:p>
            <w:pPr>
              <w:pStyle w:val="14"/>
            </w:pPr>
          </w:p>
          <w:p>
            <w:pPr>
              <w:pStyle w:val="14"/>
            </w:pPr>
            <w:r>
              <w:t>2."通过为严重精神障碍患者监护人办理相关保险业，预防严重精神障碍患者伤及人身、损坏财物事件发生。</w:t>
            </w:r>
            <w:r>
              <w:tab/>
            </w:r>
            <w:r>
              <w:tab/>
            </w:r>
            <w:r>
              <w:tab/>
            </w:r>
            <w:r>
              <w:tab/>
            </w:r>
            <w:r>
              <w:tab/>
            </w:r>
            <w:r>
              <w:tab/>
            </w:r>
            <w:r>
              <w:tab/>
            </w:r>
            <w:r>
              <w:tab/>
            </w:r>
            <w:r>
              <w:tab/>
            </w:r>
            <w:r>
              <w:t>"</w:t>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享受保险人数(人)</w:t>
            </w:r>
          </w:p>
        </w:tc>
        <w:tc>
          <w:tcPr>
            <w:tcW w:w="5386" w:type="dxa"/>
            <w:vAlign w:val="center"/>
          </w:tcPr>
          <w:p>
            <w:pPr>
              <w:pStyle w:val="14"/>
            </w:pPr>
            <w:r>
              <w:t>享受严重精神障碍患者监护人责任险的人数</w:t>
            </w:r>
          </w:p>
        </w:tc>
        <w:tc>
          <w:tcPr>
            <w:tcW w:w="2268" w:type="dxa"/>
            <w:vAlign w:val="center"/>
          </w:tcPr>
          <w:p>
            <w:pPr>
              <w:pStyle w:val="14"/>
            </w:pPr>
            <w:r>
              <w:t>49人</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严重精神障碍患者</w:t>
            </w:r>
          </w:p>
        </w:tc>
        <w:tc>
          <w:tcPr>
            <w:tcW w:w="5386" w:type="dxa"/>
            <w:vAlign w:val="center"/>
          </w:tcPr>
          <w:p>
            <w:pPr>
              <w:pStyle w:val="14"/>
            </w:pPr>
            <w:r>
              <w:t>反映严重精神障碍患者人数</w:t>
            </w:r>
          </w:p>
        </w:tc>
        <w:tc>
          <w:tcPr>
            <w:tcW w:w="2268" w:type="dxa"/>
            <w:vAlign w:val="center"/>
          </w:tcPr>
          <w:p>
            <w:pPr>
              <w:pStyle w:val="14"/>
            </w:pPr>
            <w:r>
              <w:t>49人</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参保率</w:t>
            </w:r>
          </w:p>
        </w:tc>
        <w:tc>
          <w:tcPr>
            <w:tcW w:w="5386" w:type="dxa"/>
            <w:vAlign w:val="center"/>
          </w:tcPr>
          <w:p>
            <w:pPr>
              <w:pStyle w:val="14"/>
            </w:pPr>
            <w:r>
              <w:t>已参保人数占应参保人数的比率</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审核准确率</w:t>
            </w:r>
          </w:p>
        </w:tc>
        <w:tc>
          <w:tcPr>
            <w:tcW w:w="5386" w:type="dxa"/>
            <w:vAlign w:val="center"/>
          </w:tcPr>
          <w:p>
            <w:pPr>
              <w:pStyle w:val="14"/>
            </w:pPr>
            <w:r>
              <w:t>责任险报销事项审核准确率</w:t>
            </w:r>
          </w:p>
        </w:tc>
        <w:tc>
          <w:tcPr>
            <w:tcW w:w="2268" w:type="dxa"/>
            <w:vAlign w:val="center"/>
          </w:tcPr>
          <w:p>
            <w:pPr>
              <w:pStyle w:val="14"/>
            </w:pPr>
            <w:r>
              <w:t>100%</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办结率</w:t>
            </w:r>
          </w:p>
        </w:tc>
        <w:tc>
          <w:tcPr>
            <w:tcW w:w="5386" w:type="dxa"/>
            <w:vAlign w:val="center"/>
          </w:tcPr>
          <w:p>
            <w:pPr>
              <w:pStyle w:val="14"/>
            </w:pPr>
            <w:r>
              <w:t>责任险报销事项实际在规定时间内及时办结的件数占应在规定时间内及时办结的件数的比率</w:t>
            </w:r>
          </w:p>
        </w:tc>
        <w:tc>
          <w:tcPr>
            <w:tcW w:w="2268" w:type="dxa"/>
            <w:vAlign w:val="center"/>
          </w:tcPr>
          <w:p>
            <w:pPr>
              <w:pStyle w:val="14"/>
            </w:pPr>
            <w:r>
              <w:t>≥95%</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缴纳保险及时率</w:t>
            </w:r>
          </w:p>
        </w:tc>
        <w:tc>
          <w:tcPr>
            <w:tcW w:w="5386" w:type="dxa"/>
            <w:vAlign w:val="center"/>
          </w:tcPr>
          <w:p>
            <w:pPr>
              <w:pStyle w:val="14"/>
            </w:pPr>
            <w:r>
              <w:t>反映及时足额缴纳保险时间</w:t>
            </w:r>
          </w:p>
        </w:tc>
        <w:tc>
          <w:tcPr>
            <w:tcW w:w="2268" w:type="dxa"/>
            <w:vAlign w:val="center"/>
          </w:tcPr>
          <w:p>
            <w:pPr>
              <w:pStyle w:val="14"/>
            </w:pPr>
            <w:r>
              <w:t>10月前</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补助标准</w:t>
            </w:r>
          </w:p>
        </w:tc>
        <w:tc>
          <w:tcPr>
            <w:tcW w:w="5386" w:type="dxa"/>
            <w:vAlign w:val="center"/>
          </w:tcPr>
          <w:p>
            <w:pPr>
              <w:pStyle w:val="14"/>
            </w:pPr>
            <w:r>
              <w:t>给予严重精神障碍患者监护人每人每年支付保险的费用</w:t>
            </w:r>
          </w:p>
        </w:tc>
        <w:tc>
          <w:tcPr>
            <w:tcW w:w="2268" w:type="dxa"/>
            <w:vAlign w:val="center"/>
          </w:tcPr>
          <w:p>
            <w:pPr>
              <w:pStyle w:val="14"/>
            </w:pPr>
            <w:r>
              <w:t>100元</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提高监护人保障</w:t>
            </w:r>
          </w:p>
        </w:tc>
        <w:tc>
          <w:tcPr>
            <w:tcW w:w="5386" w:type="dxa"/>
            <w:vAlign w:val="center"/>
          </w:tcPr>
          <w:p>
            <w:pPr>
              <w:pStyle w:val="14"/>
            </w:pPr>
            <w:r>
              <w:t>减少监护人损失、增强监护人、当事人社会保障，从而化解事后风险</w:t>
            </w:r>
          </w:p>
        </w:tc>
        <w:tc>
          <w:tcPr>
            <w:tcW w:w="2268" w:type="dxa"/>
            <w:vAlign w:val="center"/>
          </w:tcPr>
          <w:p>
            <w:pPr>
              <w:pStyle w:val="14"/>
            </w:pPr>
            <w:r>
              <w:t>49人</w:t>
            </w:r>
          </w:p>
        </w:tc>
        <w:tc>
          <w:tcPr>
            <w:tcW w:w="1276" w:type="dxa"/>
            <w:vAlign w:val="center"/>
          </w:tcPr>
          <w:p>
            <w:pPr>
              <w:pStyle w:val="14"/>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5386" w:type="dxa"/>
            <w:vAlign w:val="center"/>
          </w:tcPr>
          <w:p>
            <w:pPr>
              <w:pStyle w:val="14"/>
            </w:pPr>
            <w:r>
              <w:t>通过开展信息宣传工作，创造良好的舆论氛围，使我厅工作得到广大受众的充分认可。</w:t>
            </w:r>
          </w:p>
        </w:tc>
        <w:tc>
          <w:tcPr>
            <w:tcW w:w="2268" w:type="dxa"/>
            <w:vAlign w:val="center"/>
          </w:tcPr>
          <w:p>
            <w:pPr>
              <w:pStyle w:val="14"/>
            </w:pPr>
            <w:r>
              <w:t>≥95%</w:t>
            </w:r>
          </w:p>
        </w:tc>
        <w:tc>
          <w:tcPr>
            <w:tcW w:w="1276" w:type="dxa"/>
            <w:vAlign w:val="center"/>
          </w:tcPr>
          <w:p>
            <w:pPr>
              <w:pStyle w:val="14"/>
            </w:pPr>
            <w:r>
              <w:t>关于实施严重精神障碍患者监护人以奖代补和监护人责任险的暂行办法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被保险人满意度（%）</w:t>
            </w:r>
          </w:p>
        </w:tc>
        <w:tc>
          <w:tcPr>
            <w:tcW w:w="5386" w:type="dxa"/>
            <w:vAlign w:val="center"/>
          </w:tcPr>
          <w:p>
            <w:pPr>
              <w:pStyle w:val="14"/>
            </w:pPr>
            <w:r>
              <w:t>被保险监护人对保险服务的满意程度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14、综治工作经费绩效目标表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13032125P00000410031A</w:t>
            </w:r>
          </w:p>
        </w:tc>
        <w:tc>
          <w:tcPr>
            <w:tcW w:w="2835" w:type="dxa"/>
            <w:vAlign w:val="center"/>
          </w:tcPr>
          <w:p>
            <w:pPr>
              <w:pStyle w:val="12"/>
            </w:pPr>
            <w:r>
              <w:t>项目名称</w:t>
            </w:r>
          </w:p>
        </w:tc>
        <w:tc>
          <w:tcPr>
            <w:tcW w:w="6095" w:type="dxa"/>
            <w:gridSpan w:val="3"/>
            <w:vAlign w:val="center"/>
          </w:tcPr>
          <w:p>
            <w:pPr>
              <w:pStyle w:val="14"/>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0.59</w:t>
            </w:r>
          </w:p>
        </w:tc>
        <w:tc>
          <w:tcPr>
            <w:tcW w:w="2835" w:type="dxa"/>
            <w:vAlign w:val="center"/>
          </w:tcPr>
          <w:p>
            <w:pPr>
              <w:pStyle w:val="12"/>
            </w:pPr>
            <w:r>
              <w:t>其中：财政    资金</w:t>
            </w:r>
          </w:p>
        </w:tc>
        <w:tc>
          <w:tcPr>
            <w:tcW w:w="2551" w:type="dxa"/>
            <w:vAlign w:val="center"/>
          </w:tcPr>
          <w:p>
            <w:pPr>
              <w:pStyle w:val="14"/>
            </w:pPr>
            <w:r>
              <w:t>0.59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预算安排资金5.5万元，其中财政资金5.5万元，主要用于加强法制宣传教育、提高公民的法律意识和素质，教育群众知法、懂法和守法。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1.妥善处理突发性、群体性事件；搞好村级治安工作，深化农村平安创建工作。</w:t>
            </w:r>
            <w:r>
              <w:tab/>
            </w:r>
            <w:r>
              <w:tab/>
            </w:r>
            <w:r>
              <w:tab/>
            </w:r>
            <w:r>
              <w:tab/>
            </w:r>
            <w:r>
              <w:tab/>
            </w:r>
            <w:r>
              <w:tab/>
            </w:r>
          </w:p>
          <w:p>
            <w:pPr>
              <w:pStyle w:val="14"/>
            </w:pPr>
          </w:p>
          <w:p>
            <w:pPr>
              <w:pStyle w:val="14"/>
            </w:pPr>
            <w:r>
              <w:t>2.通过加强法制宣传教育、提高公民的法律意识和素质，教育群众知法、懂法和守法。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印刷宣传单</w:t>
            </w:r>
          </w:p>
        </w:tc>
        <w:tc>
          <w:tcPr>
            <w:tcW w:w="5386" w:type="dxa"/>
            <w:vAlign w:val="center"/>
          </w:tcPr>
          <w:p>
            <w:pPr>
              <w:pStyle w:val="14"/>
            </w:pPr>
            <w:r>
              <w:t>反映印刷宣传单数量</w:t>
            </w:r>
          </w:p>
        </w:tc>
        <w:tc>
          <w:tcPr>
            <w:tcW w:w="2268" w:type="dxa"/>
            <w:vAlign w:val="center"/>
          </w:tcPr>
          <w:p>
            <w:pPr>
              <w:pStyle w:val="14"/>
            </w:pPr>
            <w:r>
              <w:t>≥1000份</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维稳次数</w:t>
            </w:r>
          </w:p>
        </w:tc>
        <w:tc>
          <w:tcPr>
            <w:tcW w:w="5386" w:type="dxa"/>
            <w:vAlign w:val="center"/>
          </w:tcPr>
          <w:p>
            <w:pPr>
              <w:pStyle w:val="14"/>
            </w:pPr>
            <w:r>
              <w:t>反映下社区维稳的次数</w:t>
            </w:r>
          </w:p>
        </w:tc>
        <w:tc>
          <w:tcPr>
            <w:tcW w:w="2268" w:type="dxa"/>
            <w:vAlign w:val="center"/>
          </w:tcPr>
          <w:p>
            <w:pPr>
              <w:pStyle w:val="14"/>
            </w:pPr>
            <w:r>
              <w:t>≥50次</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协调督导事项化解率</w:t>
            </w:r>
          </w:p>
        </w:tc>
        <w:tc>
          <w:tcPr>
            <w:tcW w:w="5386" w:type="dxa"/>
            <w:vAlign w:val="center"/>
          </w:tcPr>
          <w:p>
            <w:pPr>
              <w:pStyle w:val="14"/>
            </w:pPr>
            <w:r>
              <w:t>化解事项占督导事项总数的比率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5386" w:type="dxa"/>
            <w:vAlign w:val="center"/>
          </w:tcPr>
          <w:p>
            <w:pPr>
              <w:pStyle w:val="14"/>
            </w:pPr>
            <w:r>
              <w:t>各项工作按年度计划完成</w:t>
            </w:r>
          </w:p>
        </w:tc>
        <w:tc>
          <w:tcPr>
            <w:tcW w:w="2268" w:type="dxa"/>
            <w:vAlign w:val="center"/>
          </w:tcPr>
          <w:p>
            <w:pPr>
              <w:pStyle w:val="14"/>
            </w:pPr>
            <w:r>
              <w:t>≤12月</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宣传费支出</w:t>
            </w:r>
          </w:p>
        </w:tc>
        <w:tc>
          <w:tcPr>
            <w:tcW w:w="5386" w:type="dxa"/>
            <w:vAlign w:val="center"/>
          </w:tcPr>
          <w:p>
            <w:pPr>
              <w:pStyle w:val="14"/>
            </w:pPr>
            <w:r>
              <w:t>印刷宣传单支出的费用</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差旅费</w:t>
            </w:r>
          </w:p>
        </w:tc>
        <w:tc>
          <w:tcPr>
            <w:tcW w:w="5386" w:type="dxa"/>
            <w:vAlign w:val="center"/>
          </w:tcPr>
          <w:p>
            <w:pPr>
              <w:pStyle w:val="14"/>
            </w:pPr>
            <w:r>
              <w:t>差旅费接信访人返青费用</w:t>
            </w:r>
          </w:p>
        </w:tc>
        <w:tc>
          <w:tcPr>
            <w:tcW w:w="2268" w:type="dxa"/>
            <w:vAlign w:val="center"/>
          </w:tcPr>
          <w:p>
            <w:pPr>
              <w:pStyle w:val="14"/>
            </w:pPr>
            <w:r>
              <w:t>≤4.5万元</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“民转刑”命案减少率(%)</w:t>
            </w:r>
          </w:p>
        </w:tc>
        <w:tc>
          <w:tcPr>
            <w:tcW w:w="5386" w:type="dxa"/>
            <w:vAlign w:val="center"/>
          </w:tcPr>
          <w:p>
            <w:pPr>
              <w:pStyle w:val="14"/>
            </w:pPr>
            <w:r>
              <w:t>“民转刑”命案发生数量的减少比率</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立体化社会治安防控体系覆盖率(%)</w:t>
            </w:r>
          </w:p>
        </w:tc>
        <w:tc>
          <w:tcPr>
            <w:tcW w:w="5386" w:type="dxa"/>
            <w:vAlign w:val="center"/>
          </w:tcPr>
          <w:p>
            <w:pPr>
              <w:pStyle w:val="14"/>
            </w:pPr>
            <w:r>
              <w:t>立体化社会治安防控体系在街道、社区两级的覆盖情况</w:t>
            </w:r>
          </w:p>
        </w:tc>
        <w:tc>
          <w:tcPr>
            <w:tcW w:w="2268" w:type="dxa"/>
            <w:vAlign w:val="center"/>
          </w:tcPr>
          <w:p>
            <w:pPr>
              <w:pStyle w:val="14"/>
            </w:pPr>
            <w:r>
              <w:t>≥90%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群众对综治工作满意率</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青龙满族自治县人民政府都阳路街道办事处本级小计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2.00</w:t>
            </w:r>
          </w:p>
        </w:tc>
        <w:tc>
          <w:tcPr>
            <w:tcW w:w="964" w:type="dxa"/>
            <w:vAlign w:val="center"/>
          </w:tcPr>
          <w:p>
            <w:pPr>
              <w:pStyle w:val="17"/>
            </w:pPr>
            <w:r>
              <w:t>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42.19</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1000</w:t>
            </w:r>
          </w:p>
        </w:tc>
        <w:tc>
          <w:tcPr>
            <w:tcW w:w="850" w:type="dxa"/>
            <w:vAlign w:val="center"/>
          </w:tcPr>
          <w:p>
            <w:pPr>
              <w:pStyle w:val="13"/>
            </w:pPr>
            <w:r>
              <w:t>0.00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青龙满族自治县人民政府都阳路街道办事处本级上年末固定资产金额为191.91万元（详见下表）。本年度拟购置固定资产总额为0.00万元，已按要求列入政府采购预算，详见政府采购预算表。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927001青龙满族自治县人民政府都阳路街道办事处本级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191.91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r>
              <w:t>52</w:t>
            </w:r>
          </w:p>
        </w:tc>
        <w:tc>
          <w:tcPr>
            <w:tcW w:w="2835" w:type="dxa"/>
            <w:vAlign w:val="center"/>
          </w:tcPr>
          <w:p>
            <w:pPr>
              <w:pStyle w:val="13"/>
            </w:pPr>
            <w:r>
              <w:t>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52</w:t>
            </w:r>
          </w:p>
        </w:tc>
        <w:tc>
          <w:tcPr>
            <w:tcW w:w="2835" w:type="dxa"/>
            <w:vAlign w:val="center"/>
          </w:tcPr>
          <w:p>
            <w:pPr>
              <w:pStyle w:val="13"/>
            </w:pPr>
            <w:r>
              <w:t>25.42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892</w:t>
            </w:r>
          </w:p>
        </w:tc>
        <w:tc>
          <w:tcPr>
            <w:tcW w:w="2835" w:type="dxa"/>
            <w:vAlign w:val="center"/>
          </w:tcPr>
          <w:p>
            <w:pPr>
              <w:pStyle w:val="13"/>
            </w:pPr>
            <w:r>
              <w:t>149.14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109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85040C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111</Pages>
  <TotalTime>1</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2026-01-29T10:16:00Z</dcterms:created>
  <dc:creator>Administrator</dc:creator>
  <cp:lastModifiedBy>Administrator</cp:lastModifiedBy>
  <dcterms:modified xsi:type="dcterms:W3CDTF">2026-01-29T02:35:20Z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43F6B05856D24E7BAA698D80F7BB3FB4</vt:lpwstr>
  </property>
</Properties>
</file>