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22" w:name="_GoBack"/>
      <w:bookmarkEnd w:id="22"/>
      <w:r>
        <w:rPr>
          <w:rFonts w:ascii="黑体" w:hAnsi="黑体" w:eastAsia="黑体" w:cs="黑体"/>
          <w:b/>
          <w:color w:val="000000"/>
          <w:sz w:val="44"/>
        </w:rPr>
        <w:t>2025年部门预算信息公开目录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870.30</w:t>
            </w:r>
          </w:p>
        </w:tc>
        <w:tc>
          <w:tcPr>
            <w:tcW w:w="4535" w:type="dxa"/>
            <w:vAlign w:val="center"/>
          </w:tcPr>
          <w:p>
            <w:pPr>
              <w:pStyle w:val="12"/>
            </w:pPr>
            <w:r>
              <w:t>一、一般公共服务支出</w:t>
            </w:r>
          </w:p>
        </w:tc>
        <w:tc>
          <w:tcPr>
            <w:tcW w:w="2126" w:type="dxa"/>
            <w:vAlign w:val="center"/>
          </w:tcPr>
          <w:p>
            <w:pPr>
              <w:pStyle w:val="11"/>
            </w:pPr>
            <w:r>
              <w:t>636.83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3.93</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110.49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52.72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47.79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43.58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874.23</w:t>
            </w:r>
          </w:p>
        </w:tc>
        <w:tc>
          <w:tcPr>
            <w:tcW w:w="4535" w:type="dxa"/>
            <w:vAlign w:val="center"/>
          </w:tcPr>
          <w:p>
            <w:pPr>
              <w:pStyle w:val="14"/>
            </w:pPr>
            <w:r>
              <w:t>本年支出合计</w:t>
            </w:r>
          </w:p>
        </w:tc>
        <w:tc>
          <w:tcPr>
            <w:tcW w:w="2126" w:type="dxa"/>
            <w:vAlign w:val="center"/>
          </w:tcPr>
          <w:p>
            <w:pPr>
              <w:pStyle w:val="15"/>
            </w:pPr>
            <w:r>
              <w:t>929.35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55.11</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929.35</w:t>
            </w:r>
          </w:p>
        </w:tc>
        <w:tc>
          <w:tcPr>
            <w:tcW w:w="4535" w:type="dxa"/>
            <w:vAlign w:val="center"/>
          </w:tcPr>
          <w:p>
            <w:pPr>
              <w:pStyle w:val="14"/>
            </w:pPr>
            <w:r>
              <w:t>支出总计</w:t>
            </w:r>
          </w:p>
        </w:tc>
        <w:tc>
          <w:tcPr>
            <w:tcW w:w="2126" w:type="dxa"/>
            <w:vAlign w:val="center"/>
          </w:tcPr>
          <w:p>
            <w:pPr>
              <w:pStyle w:val="15"/>
            </w:pPr>
            <w:r>
              <w:t>929.35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929.35</w:t>
            </w:r>
          </w:p>
        </w:tc>
        <w:tc>
          <w:tcPr>
            <w:tcW w:w="1134" w:type="dxa"/>
            <w:vAlign w:val="center"/>
          </w:tcPr>
          <w:p>
            <w:pPr>
              <w:pStyle w:val="15"/>
            </w:pPr>
            <w:r>
              <w:t>874.23</w:t>
            </w:r>
          </w:p>
        </w:tc>
        <w:tc>
          <w:tcPr>
            <w:tcW w:w="1134" w:type="dxa"/>
            <w:vAlign w:val="center"/>
          </w:tcPr>
          <w:p>
            <w:pPr>
              <w:pStyle w:val="15"/>
            </w:pPr>
            <w:r>
              <w:t>874.23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55.11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636.83</w:t>
            </w:r>
          </w:p>
        </w:tc>
        <w:tc>
          <w:tcPr>
            <w:tcW w:w="1134" w:type="dxa"/>
            <w:vAlign w:val="center"/>
          </w:tcPr>
          <w:p>
            <w:pPr>
              <w:pStyle w:val="11"/>
            </w:pPr>
            <w:r>
              <w:t>630.05</w:t>
            </w:r>
          </w:p>
        </w:tc>
        <w:tc>
          <w:tcPr>
            <w:tcW w:w="1134" w:type="dxa"/>
            <w:vAlign w:val="center"/>
          </w:tcPr>
          <w:p>
            <w:pPr>
              <w:pStyle w:val="11"/>
            </w:pPr>
            <w:r>
              <w:t>630.05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629.83</w:t>
            </w:r>
          </w:p>
        </w:tc>
        <w:tc>
          <w:tcPr>
            <w:tcW w:w="1134" w:type="dxa"/>
            <w:vAlign w:val="center"/>
          </w:tcPr>
          <w:p>
            <w:pPr>
              <w:pStyle w:val="11"/>
            </w:pPr>
            <w:r>
              <w:t>623.05</w:t>
            </w:r>
          </w:p>
        </w:tc>
        <w:tc>
          <w:tcPr>
            <w:tcW w:w="1134" w:type="dxa"/>
            <w:vAlign w:val="center"/>
          </w:tcPr>
          <w:p>
            <w:pPr>
              <w:pStyle w:val="11"/>
            </w:pPr>
            <w:r>
              <w:t>623.05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291.72</w:t>
            </w:r>
          </w:p>
        </w:tc>
        <w:tc>
          <w:tcPr>
            <w:tcW w:w="1134" w:type="dxa"/>
            <w:vAlign w:val="center"/>
          </w:tcPr>
          <w:p>
            <w:pPr>
              <w:pStyle w:val="11"/>
            </w:pPr>
            <w:r>
              <w:t>285.20</w:t>
            </w:r>
          </w:p>
        </w:tc>
        <w:tc>
          <w:tcPr>
            <w:tcW w:w="1134" w:type="dxa"/>
            <w:vAlign w:val="center"/>
          </w:tcPr>
          <w:p>
            <w:pPr>
              <w:pStyle w:val="11"/>
            </w:pPr>
            <w:r>
              <w:t>285.20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336.12</w:t>
            </w:r>
          </w:p>
        </w:tc>
        <w:tc>
          <w:tcPr>
            <w:tcW w:w="1134" w:type="dxa"/>
            <w:vAlign w:val="center"/>
          </w:tcPr>
          <w:p>
            <w:pPr>
              <w:pStyle w:val="11"/>
            </w:pPr>
            <w:r>
              <w:t>335.85</w:t>
            </w:r>
          </w:p>
        </w:tc>
        <w:tc>
          <w:tcPr>
            <w:tcW w:w="1134" w:type="dxa"/>
            <w:vAlign w:val="center"/>
          </w:tcPr>
          <w:p>
            <w:pPr>
              <w:pStyle w:val="11"/>
            </w:pPr>
            <w:r>
              <w:t>335.85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110.49</w:t>
            </w:r>
          </w:p>
        </w:tc>
        <w:tc>
          <w:tcPr>
            <w:tcW w:w="1134" w:type="dxa"/>
            <w:vAlign w:val="center"/>
          </w:tcPr>
          <w:p>
            <w:pPr>
              <w:pStyle w:val="11"/>
            </w:pPr>
            <w:r>
              <w:t>108.95</w:t>
            </w:r>
          </w:p>
        </w:tc>
        <w:tc>
          <w:tcPr>
            <w:tcW w:w="1134" w:type="dxa"/>
            <w:vAlign w:val="center"/>
          </w:tcPr>
          <w:p>
            <w:pPr>
              <w:pStyle w:val="11"/>
            </w:pPr>
            <w:r>
              <w:t>108.95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109.52</w:t>
            </w:r>
          </w:p>
        </w:tc>
        <w:tc>
          <w:tcPr>
            <w:tcW w:w="1134" w:type="dxa"/>
            <w:vAlign w:val="center"/>
          </w:tcPr>
          <w:p>
            <w:pPr>
              <w:pStyle w:val="11"/>
            </w:pPr>
            <w:r>
              <w:t>107.99</w:t>
            </w:r>
          </w:p>
        </w:tc>
        <w:tc>
          <w:tcPr>
            <w:tcW w:w="1134" w:type="dxa"/>
            <w:vAlign w:val="center"/>
          </w:tcPr>
          <w:p>
            <w:pPr>
              <w:pStyle w:val="11"/>
            </w:pPr>
            <w:r>
              <w:t>107.99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14.59</w:t>
            </w:r>
          </w:p>
        </w:tc>
        <w:tc>
          <w:tcPr>
            <w:tcW w:w="1134" w:type="dxa"/>
            <w:vAlign w:val="center"/>
          </w:tcPr>
          <w:p>
            <w:pPr>
              <w:pStyle w:val="11"/>
            </w:pPr>
            <w:r>
              <w:t>14.59</w:t>
            </w:r>
          </w:p>
        </w:tc>
        <w:tc>
          <w:tcPr>
            <w:tcW w:w="1134" w:type="dxa"/>
            <w:vAlign w:val="center"/>
          </w:tcPr>
          <w:p>
            <w:pPr>
              <w:pStyle w:val="11"/>
            </w:pPr>
            <w:r>
              <w:t>14.59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3.68</w:t>
            </w:r>
          </w:p>
        </w:tc>
        <w:tc>
          <w:tcPr>
            <w:tcW w:w="1134" w:type="dxa"/>
            <w:vAlign w:val="center"/>
          </w:tcPr>
          <w:p>
            <w:pPr>
              <w:pStyle w:val="11"/>
            </w:pPr>
            <w:r>
              <w:t>2.15</w:t>
            </w:r>
          </w:p>
        </w:tc>
        <w:tc>
          <w:tcPr>
            <w:tcW w:w="1134" w:type="dxa"/>
            <w:vAlign w:val="center"/>
          </w:tcPr>
          <w:p>
            <w:pPr>
              <w:pStyle w:val="11"/>
            </w:pPr>
            <w:r>
              <w:t>2.15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84.55</w:t>
            </w:r>
          </w:p>
        </w:tc>
        <w:tc>
          <w:tcPr>
            <w:tcW w:w="1134" w:type="dxa"/>
            <w:vAlign w:val="center"/>
          </w:tcPr>
          <w:p>
            <w:pPr>
              <w:pStyle w:val="11"/>
            </w:pPr>
            <w:r>
              <w:t>84.55</w:t>
            </w:r>
          </w:p>
        </w:tc>
        <w:tc>
          <w:tcPr>
            <w:tcW w:w="1134" w:type="dxa"/>
            <w:vAlign w:val="center"/>
          </w:tcPr>
          <w:p>
            <w:pPr>
              <w:pStyle w:val="11"/>
            </w:pPr>
            <w:r>
              <w:t>84.55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6.70</w:t>
            </w:r>
          </w:p>
        </w:tc>
        <w:tc>
          <w:tcPr>
            <w:tcW w:w="1134" w:type="dxa"/>
            <w:vAlign w:val="center"/>
          </w:tcPr>
          <w:p>
            <w:pPr>
              <w:pStyle w:val="11"/>
            </w:pPr>
            <w:r>
              <w:t>6.70</w:t>
            </w:r>
          </w:p>
        </w:tc>
        <w:tc>
          <w:tcPr>
            <w:tcW w:w="1134" w:type="dxa"/>
            <w:vAlign w:val="center"/>
          </w:tcPr>
          <w:p>
            <w:pPr>
              <w:pStyle w:val="11"/>
            </w:pPr>
            <w:r>
              <w:t>6.70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0.97</w:t>
            </w:r>
          </w:p>
        </w:tc>
        <w:tc>
          <w:tcPr>
            <w:tcW w:w="1134" w:type="dxa"/>
            <w:vAlign w:val="center"/>
          </w:tcPr>
          <w:p>
            <w:pPr>
              <w:pStyle w:val="11"/>
            </w:pPr>
            <w:r>
              <w:t>0.97</w:t>
            </w:r>
          </w:p>
        </w:tc>
        <w:tc>
          <w:tcPr>
            <w:tcW w:w="1134" w:type="dxa"/>
            <w:vAlign w:val="center"/>
          </w:tcPr>
          <w:p>
            <w:pPr>
              <w:pStyle w:val="11"/>
            </w:pPr>
            <w:r>
              <w:t>0.97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0.97</w:t>
            </w:r>
          </w:p>
        </w:tc>
        <w:tc>
          <w:tcPr>
            <w:tcW w:w="1134" w:type="dxa"/>
            <w:vAlign w:val="center"/>
          </w:tcPr>
          <w:p>
            <w:pPr>
              <w:pStyle w:val="11"/>
            </w:pPr>
            <w:r>
              <w:t>0.97</w:t>
            </w:r>
          </w:p>
        </w:tc>
        <w:tc>
          <w:tcPr>
            <w:tcW w:w="1134" w:type="dxa"/>
            <w:vAlign w:val="center"/>
          </w:tcPr>
          <w:p>
            <w:pPr>
              <w:pStyle w:val="11"/>
            </w:pPr>
            <w:r>
              <w:t>0.97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52.72</w:t>
            </w:r>
          </w:p>
        </w:tc>
        <w:tc>
          <w:tcPr>
            <w:tcW w:w="1134" w:type="dxa"/>
            <w:vAlign w:val="center"/>
          </w:tcPr>
          <w:p>
            <w:pPr>
              <w:pStyle w:val="11"/>
            </w:pPr>
            <w:r>
              <w:t>52.72</w:t>
            </w:r>
          </w:p>
        </w:tc>
        <w:tc>
          <w:tcPr>
            <w:tcW w:w="1134" w:type="dxa"/>
            <w:vAlign w:val="center"/>
          </w:tcPr>
          <w:p>
            <w:pPr>
              <w:pStyle w:val="11"/>
            </w:pPr>
            <w:r>
              <w:t>52.72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r>
              <w:t>1.02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51.70</w:t>
            </w:r>
          </w:p>
        </w:tc>
        <w:tc>
          <w:tcPr>
            <w:tcW w:w="1134" w:type="dxa"/>
            <w:vAlign w:val="center"/>
          </w:tcPr>
          <w:p>
            <w:pPr>
              <w:pStyle w:val="11"/>
            </w:pPr>
            <w:r>
              <w:t>51.70</w:t>
            </w:r>
          </w:p>
        </w:tc>
        <w:tc>
          <w:tcPr>
            <w:tcW w:w="1134" w:type="dxa"/>
            <w:vAlign w:val="center"/>
          </w:tcPr>
          <w:p>
            <w:pPr>
              <w:pStyle w:val="11"/>
            </w:pPr>
            <w:r>
              <w:t>51.70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23.66</w:t>
            </w:r>
          </w:p>
        </w:tc>
        <w:tc>
          <w:tcPr>
            <w:tcW w:w="1134" w:type="dxa"/>
            <w:vAlign w:val="center"/>
          </w:tcPr>
          <w:p>
            <w:pPr>
              <w:pStyle w:val="11"/>
            </w:pPr>
            <w:r>
              <w:t>23.66</w:t>
            </w:r>
          </w:p>
        </w:tc>
        <w:tc>
          <w:tcPr>
            <w:tcW w:w="1134" w:type="dxa"/>
            <w:vAlign w:val="center"/>
          </w:tcPr>
          <w:p>
            <w:pPr>
              <w:pStyle w:val="11"/>
            </w:pPr>
            <w:r>
              <w:t>23.66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28.05</w:t>
            </w:r>
          </w:p>
        </w:tc>
        <w:tc>
          <w:tcPr>
            <w:tcW w:w="1134" w:type="dxa"/>
            <w:vAlign w:val="center"/>
          </w:tcPr>
          <w:p>
            <w:pPr>
              <w:pStyle w:val="11"/>
            </w:pPr>
            <w:r>
              <w:t>28.05</w:t>
            </w:r>
          </w:p>
        </w:tc>
        <w:tc>
          <w:tcPr>
            <w:tcW w:w="1134" w:type="dxa"/>
            <w:vAlign w:val="center"/>
          </w:tcPr>
          <w:p>
            <w:pPr>
              <w:pStyle w:val="11"/>
            </w:pPr>
            <w:r>
              <w:t>28.05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3.93</w:t>
            </w:r>
          </w:p>
        </w:tc>
        <w:tc>
          <w:tcPr>
            <w:tcW w:w="1134" w:type="dxa"/>
            <w:vAlign w:val="center"/>
          </w:tcPr>
          <w:p>
            <w:pPr>
              <w:pStyle w:val="11"/>
            </w:pPr>
            <w:r>
              <w:t>3.93</w:t>
            </w:r>
          </w:p>
        </w:tc>
        <w:tc>
          <w:tcPr>
            <w:tcW w:w="1134" w:type="dxa"/>
            <w:vAlign w:val="center"/>
          </w:tcPr>
          <w:p>
            <w:pPr>
              <w:pStyle w:val="11"/>
            </w:pPr>
            <w:r>
              <w:t>3.93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3.93</w:t>
            </w:r>
          </w:p>
        </w:tc>
        <w:tc>
          <w:tcPr>
            <w:tcW w:w="1134" w:type="dxa"/>
            <w:vAlign w:val="center"/>
          </w:tcPr>
          <w:p>
            <w:pPr>
              <w:pStyle w:val="11"/>
            </w:pPr>
            <w:r>
              <w:t>3.93</w:t>
            </w:r>
          </w:p>
        </w:tc>
        <w:tc>
          <w:tcPr>
            <w:tcW w:w="1134" w:type="dxa"/>
            <w:vAlign w:val="center"/>
          </w:tcPr>
          <w:p>
            <w:pPr>
              <w:pStyle w:val="11"/>
            </w:pPr>
            <w:r>
              <w:t>3.93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3.93</w:t>
            </w:r>
          </w:p>
        </w:tc>
        <w:tc>
          <w:tcPr>
            <w:tcW w:w="1134" w:type="dxa"/>
            <w:vAlign w:val="center"/>
          </w:tcPr>
          <w:p>
            <w:pPr>
              <w:pStyle w:val="11"/>
            </w:pPr>
            <w:r>
              <w:t>3.93</w:t>
            </w:r>
          </w:p>
        </w:tc>
        <w:tc>
          <w:tcPr>
            <w:tcW w:w="1134" w:type="dxa"/>
            <w:vAlign w:val="center"/>
          </w:tcPr>
          <w:p>
            <w:pPr>
              <w:pStyle w:val="11"/>
            </w:pPr>
            <w:r>
              <w:t>3.93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47.79</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21305</w:t>
            </w:r>
          </w:p>
        </w:tc>
        <w:tc>
          <w:tcPr>
            <w:tcW w:w="1559" w:type="dxa"/>
            <w:vAlign w:val="center"/>
          </w:tcPr>
          <w:p>
            <w:pPr>
              <w:pStyle w:val="12"/>
            </w:pPr>
            <w:r>
              <w:t>巩固</w:t>
            </w:r>
            <w:r>
              <w:rPr>
                <w:rFonts w:hint="eastAsia"/>
                <w:lang w:val="en-US" w:eastAsia="zh-CN"/>
              </w:rPr>
              <w:t>拓展</w:t>
            </w:r>
            <w:r>
              <w:t>脱贫攻</w:t>
            </w:r>
            <w:r>
              <w:rPr>
                <w:sz w:val="21"/>
                <w:szCs w:val="21"/>
              </w:rPr>
              <w:t>坚</w:t>
            </w:r>
            <w:r>
              <w:t>衔接乡村振兴</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2130599</w:t>
            </w:r>
          </w:p>
        </w:tc>
        <w:tc>
          <w:tcPr>
            <w:tcW w:w="1559" w:type="dxa"/>
            <w:vAlign w:val="center"/>
          </w:tcPr>
          <w:p>
            <w:pPr>
              <w:pStyle w:val="12"/>
            </w:pPr>
            <w:r>
              <w:t>其他巩固</w:t>
            </w:r>
            <w:r>
              <w:rPr>
                <w:rFonts w:hint="eastAsia"/>
                <w:lang w:val="en-US" w:eastAsia="zh-CN"/>
              </w:rPr>
              <w:t>拓展</w:t>
            </w:r>
            <w:r>
              <w:t>脱贫攻坚成果衔接乡村振兴支出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46.79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46.79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43.58</w:t>
            </w:r>
          </w:p>
        </w:tc>
        <w:tc>
          <w:tcPr>
            <w:tcW w:w="1134" w:type="dxa"/>
            <w:vAlign w:val="center"/>
          </w:tcPr>
          <w:p>
            <w:pPr>
              <w:pStyle w:val="11"/>
            </w:pPr>
            <w:r>
              <w:t>43.58</w:t>
            </w:r>
          </w:p>
        </w:tc>
        <w:tc>
          <w:tcPr>
            <w:tcW w:w="1134" w:type="dxa"/>
            <w:vAlign w:val="center"/>
          </w:tcPr>
          <w:p>
            <w:pPr>
              <w:pStyle w:val="11"/>
            </w:pPr>
            <w:r>
              <w:t>43.58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43.58</w:t>
            </w:r>
          </w:p>
        </w:tc>
        <w:tc>
          <w:tcPr>
            <w:tcW w:w="1134" w:type="dxa"/>
            <w:vAlign w:val="center"/>
          </w:tcPr>
          <w:p>
            <w:pPr>
              <w:pStyle w:val="11"/>
            </w:pPr>
            <w:r>
              <w:t>43.58</w:t>
            </w:r>
          </w:p>
        </w:tc>
        <w:tc>
          <w:tcPr>
            <w:tcW w:w="1134" w:type="dxa"/>
            <w:vAlign w:val="center"/>
          </w:tcPr>
          <w:p>
            <w:pPr>
              <w:pStyle w:val="11"/>
            </w:pPr>
            <w:r>
              <w:t>43.58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43.58</w:t>
            </w:r>
          </w:p>
        </w:tc>
        <w:tc>
          <w:tcPr>
            <w:tcW w:w="1134" w:type="dxa"/>
            <w:vAlign w:val="center"/>
          </w:tcPr>
          <w:p>
            <w:pPr>
              <w:pStyle w:val="11"/>
            </w:pPr>
            <w:r>
              <w:t>43.58</w:t>
            </w:r>
          </w:p>
        </w:tc>
        <w:tc>
          <w:tcPr>
            <w:tcW w:w="1134" w:type="dxa"/>
            <w:vAlign w:val="center"/>
          </w:tcPr>
          <w:p>
            <w:pPr>
              <w:pStyle w:val="11"/>
            </w:pPr>
            <w:r>
              <w:t>43.58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929.35</w:t>
            </w:r>
          </w:p>
        </w:tc>
        <w:tc>
          <w:tcPr>
            <w:tcW w:w="1361" w:type="dxa"/>
            <w:vAlign w:val="center"/>
          </w:tcPr>
          <w:p>
            <w:pPr>
              <w:pStyle w:val="15"/>
            </w:pPr>
            <w:r>
              <w:t>833.60</w:t>
            </w:r>
          </w:p>
        </w:tc>
        <w:tc>
          <w:tcPr>
            <w:tcW w:w="1361" w:type="dxa"/>
            <w:vAlign w:val="center"/>
          </w:tcPr>
          <w:p>
            <w:pPr>
              <w:pStyle w:val="15"/>
            </w:pPr>
            <w:r>
              <w:t>95.74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636.83</w:t>
            </w:r>
          </w:p>
        </w:tc>
        <w:tc>
          <w:tcPr>
            <w:tcW w:w="1361" w:type="dxa"/>
            <w:vAlign w:val="center"/>
          </w:tcPr>
          <w:p>
            <w:pPr>
              <w:pStyle w:val="11"/>
            </w:pPr>
            <w:r>
              <w:t>627.83</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629.83</w:t>
            </w:r>
          </w:p>
        </w:tc>
        <w:tc>
          <w:tcPr>
            <w:tcW w:w="1361" w:type="dxa"/>
            <w:vAlign w:val="center"/>
          </w:tcPr>
          <w:p>
            <w:pPr>
              <w:pStyle w:val="11"/>
            </w:pPr>
            <w:r>
              <w:t>627.83</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291.72</w:t>
            </w:r>
          </w:p>
        </w:tc>
        <w:tc>
          <w:tcPr>
            <w:tcW w:w="1361" w:type="dxa"/>
            <w:vAlign w:val="center"/>
          </w:tcPr>
          <w:p>
            <w:pPr>
              <w:pStyle w:val="11"/>
            </w:pPr>
            <w:r>
              <w:t>291.72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336.12</w:t>
            </w:r>
          </w:p>
        </w:tc>
        <w:tc>
          <w:tcPr>
            <w:tcW w:w="1361" w:type="dxa"/>
            <w:vAlign w:val="center"/>
          </w:tcPr>
          <w:p>
            <w:pPr>
              <w:pStyle w:val="11"/>
            </w:pPr>
            <w:r>
              <w:t>336.12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110.49</w:t>
            </w:r>
          </w:p>
        </w:tc>
        <w:tc>
          <w:tcPr>
            <w:tcW w:w="1361" w:type="dxa"/>
            <w:vAlign w:val="center"/>
          </w:tcPr>
          <w:p>
            <w:pPr>
              <w:pStyle w:val="11"/>
            </w:pPr>
            <w:r>
              <w:t>110.49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109.52</w:t>
            </w:r>
          </w:p>
        </w:tc>
        <w:tc>
          <w:tcPr>
            <w:tcW w:w="1361" w:type="dxa"/>
            <w:vAlign w:val="center"/>
          </w:tcPr>
          <w:p>
            <w:pPr>
              <w:pStyle w:val="11"/>
            </w:pPr>
            <w:r>
              <w:t>109.52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14.59</w:t>
            </w:r>
          </w:p>
        </w:tc>
        <w:tc>
          <w:tcPr>
            <w:tcW w:w="1361" w:type="dxa"/>
            <w:vAlign w:val="center"/>
          </w:tcPr>
          <w:p>
            <w:pPr>
              <w:pStyle w:val="11"/>
            </w:pPr>
            <w:r>
              <w:t>14.59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3.68</w:t>
            </w:r>
          </w:p>
        </w:tc>
        <w:tc>
          <w:tcPr>
            <w:tcW w:w="1361" w:type="dxa"/>
            <w:vAlign w:val="center"/>
          </w:tcPr>
          <w:p>
            <w:pPr>
              <w:pStyle w:val="11"/>
            </w:pPr>
            <w:r>
              <w:t>3.68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84.55</w:t>
            </w:r>
          </w:p>
        </w:tc>
        <w:tc>
          <w:tcPr>
            <w:tcW w:w="1361" w:type="dxa"/>
            <w:vAlign w:val="center"/>
          </w:tcPr>
          <w:p>
            <w:pPr>
              <w:pStyle w:val="11"/>
            </w:pPr>
            <w:r>
              <w:t>84.55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6.70</w:t>
            </w:r>
          </w:p>
        </w:tc>
        <w:tc>
          <w:tcPr>
            <w:tcW w:w="1361" w:type="dxa"/>
            <w:vAlign w:val="center"/>
          </w:tcPr>
          <w:p>
            <w:pPr>
              <w:pStyle w:val="11"/>
            </w:pPr>
            <w:r>
              <w:t>6.70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0.97</w:t>
            </w:r>
          </w:p>
        </w:tc>
        <w:tc>
          <w:tcPr>
            <w:tcW w:w="1361" w:type="dxa"/>
            <w:vAlign w:val="center"/>
          </w:tcPr>
          <w:p>
            <w:pPr>
              <w:pStyle w:val="11"/>
            </w:pPr>
            <w:r>
              <w:t>0.97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0.97</w:t>
            </w:r>
          </w:p>
        </w:tc>
        <w:tc>
          <w:tcPr>
            <w:tcW w:w="1361" w:type="dxa"/>
            <w:vAlign w:val="center"/>
          </w:tcPr>
          <w:p>
            <w:pPr>
              <w:pStyle w:val="11"/>
            </w:pPr>
            <w:r>
              <w:t>0.97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52.72</w:t>
            </w:r>
          </w:p>
        </w:tc>
        <w:tc>
          <w:tcPr>
            <w:tcW w:w="1361" w:type="dxa"/>
            <w:vAlign w:val="center"/>
          </w:tcPr>
          <w:p>
            <w:pPr>
              <w:pStyle w:val="11"/>
            </w:pPr>
            <w:r>
              <w:t>51.70</w:t>
            </w:r>
          </w:p>
        </w:tc>
        <w:tc>
          <w:tcPr>
            <w:tcW w:w="1361" w:type="dxa"/>
            <w:vAlign w:val="center"/>
          </w:tcPr>
          <w:p>
            <w:pPr>
              <w:pStyle w:val="11"/>
            </w:pPr>
            <w:r>
              <w:t>1.02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1.02</w:t>
            </w:r>
          </w:p>
        </w:tc>
        <w:tc>
          <w:tcPr>
            <w:tcW w:w="1361" w:type="dxa"/>
            <w:vAlign w:val="center"/>
          </w:tcPr>
          <w:p>
            <w:pPr>
              <w:pStyle w:val="11"/>
            </w:pPr>
          </w:p>
        </w:tc>
        <w:tc>
          <w:tcPr>
            <w:tcW w:w="1361" w:type="dxa"/>
            <w:vAlign w:val="center"/>
          </w:tcPr>
          <w:p>
            <w:pPr>
              <w:pStyle w:val="11"/>
            </w:pPr>
            <w:r>
              <w:t>1.02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1.02</w:t>
            </w:r>
          </w:p>
        </w:tc>
        <w:tc>
          <w:tcPr>
            <w:tcW w:w="1361" w:type="dxa"/>
            <w:vAlign w:val="center"/>
          </w:tcPr>
          <w:p>
            <w:pPr>
              <w:pStyle w:val="11"/>
            </w:pPr>
          </w:p>
        </w:tc>
        <w:tc>
          <w:tcPr>
            <w:tcW w:w="1361" w:type="dxa"/>
            <w:vAlign w:val="center"/>
          </w:tcPr>
          <w:p>
            <w:pPr>
              <w:pStyle w:val="11"/>
            </w:pPr>
            <w:r>
              <w:t>1.02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51.70</w:t>
            </w:r>
          </w:p>
        </w:tc>
        <w:tc>
          <w:tcPr>
            <w:tcW w:w="1361" w:type="dxa"/>
            <w:vAlign w:val="center"/>
          </w:tcPr>
          <w:p>
            <w:pPr>
              <w:pStyle w:val="11"/>
            </w:pPr>
            <w:r>
              <w:t>51.70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23.66</w:t>
            </w:r>
          </w:p>
        </w:tc>
        <w:tc>
          <w:tcPr>
            <w:tcW w:w="1361" w:type="dxa"/>
            <w:vAlign w:val="center"/>
          </w:tcPr>
          <w:p>
            <w:pPr>
              <w:pStyle w:val="11"/>
            </w:pPr>
            <w:r>
              <w:t>23.66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28.05</w:t>
            </w:r>
          </w:p>
        </w:tc>
        <w:tc>
          <w:tcPr>
            <w:tcW w:w="1361" w:type="dxa"/>
            <w:vAlign w:val="center"/>
          </w:tcPr>
          <w:p>
            <w:pPr>
              <w:pStyle w:val="11"/>
            </w:pPr>
            <w:r>
              <w:t>28.05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33.00</w:t>
            </w:r>
          </w:p>
        </w:tc>
        <w:tc>
          <w:tcPr>
            <w:tcW w:w="1361" w:type="dxa"/>
            <w:vAlign w:val="center"/>
          </w:tcPr>
          <w:p>
            <w:pPr>
              <w:pStyle w:val="11"/>
            </w:pPr>
          </w:p>
        </w:tc>
        <w:tc>
          <w:tcPr>
            <w:tcW w:w="1361" w:type="dxa"/>
            <w:vAlign w:val="center"/>
          </w:tcPr>
          <w:p>
            <w:pPr>
              <w:pStyle w:val="11"/>
            </w:pPr>
            <w:r>
              <w:t>33.00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3.93</w:t>
            </w:r>
          </w:p>
        </w:tc>
        <w:tc>
          <w:tcPr>
            <w:tcW w:w="1361" w:type="dxa"/>
            <w:vAlign w:val="center"/>
          </w:tcPr>
          <w:p>
            <w:pPr>
              <w:pStyle w:val="11"/>
            </w:pPr>
          </w:p>
        </w:tc>
        <w:tc>
          <w:tcPr>
            <w:tcW w:w="1361" w:type="dxa"/>
            <w:vAlign w:val="center"/>
          </w:tcPr>
          <w:p>
            <w:pPr>
              <w:pStyle w:val="11"/>
            </w:pPr>
            <w:r>
              <w:t>3.93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3.93</w:t>
            </w:r>
          </w:p>
        </w:tc>
        <w:tc>
          <w:tcPr>
            <w:tcW w:w="1361" w:type="dxa"/>
            <w:vAlign w:val="center"/>
          </w:tcPr>
          <w:p>
            <w:pPr>
              <w:pStyle w:val="11"/>
            </w:pPr>
          </w:p>
        </w:tc>
        <w:tc>
          <w:tcPr>
            <w:tcW w:w="1361" w:type="dxa"/>
            <w:vAlign w:val="center"/>
          </w:tcPr>
          <w:p>
            <w:pPr>
              <w:pStyle w:val="11"/>
            </w:pPr>
            <w:r>
              <w:t>3.93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3.93</w:t>
            </w:r>
          </w:p>
        </w:tc>
        <w:tc>
          <w:tcPr>
            <w:tcW w:w="1361" w:type="dxa"/>
            <w:vAlign w:val="center"/>
          </w:tcPr>
          <w:p>
            <w:pPr>
              <w:pStyle w:val="11"/>
            </w:pPr>
          </w:p>
        </w:tc>
        <w:tc>
          <w:tcPr>
            <w:tcW w:w="1361" w:type="dxa"/>
            <w:vAlign w:val="center"/>
          </w:tcPr>
          <w:p>
            <w:pPr>
              <w:pStyle w:val="11"/>
            </w:pPr>
            <w:r>
              <w:t>3.93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47.79</w:t>
            </w:r>
          </w:p>
        </w:tc>
        <w:tc>
          <w:tcPr>
            <w:tcW w:w="1361" w:type="dxa"/>
            <w:vAlign w:val="center"/>
          </w:tcPr>
          <w:p>
            <w:pPr>
              <w:pStyle w:val="11"/>
            </w:pPr>
          </w:p>
        </w:tc>
        <w:tc>
          <w:tcPr>
            <w:tcW w:w="1361" w:type="dxa"/>
            <w:vAlign w:val="center"/>
          </w:tcPr>
          <w:p>
            <w:pPr>
              <w:pStyle w:val="11"/>
            </w:pPr>
            <w:r>
              <w:t>47.79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21305</w:t>
            </w:r>
          </w:p>
        </w:tc>
        <w:tc>
          <w:tcPr>
            <w:tcW w:w="4535" w:type="dxa"/>
            <w:vAlign w:val="center"/>
          </w:tcPr>
          <w:p>
            <w:pPr>
              <w:pStyle w:val="12"/>
            </w:pPr>
            <w:r>
              <w:t>巩固</w:t>
            </w:r>
            <w:r>
              <w:rPr>
                <w:rFonts w:hint="eastAsia"/>
                <w:lang w:val="en-US" w:eastAsia="zh-CN"/>
              </w:rPr>
              <w:t>拓展</w:t>
            </w:r>
            <w:r>
              <w:t>脱贫攻坚成果衔接乡村振兴</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2130599</w:t>
            </w:r>
          </w:p>
        </w:tc>
        <w:tc>
          <w:tcPr>
            <w:tcW w:w="4535" w:type="dxa"/>
            <w:vAlign w:val="center"/>
          </w:tcPr>
          <w:p>
            <w:pPr>
              <w:pStyle w:val="12"/>
            </w:pPr>
            <w:r>
              <w:t>其他巩固</w:t>
            </w:r>
            <w:r>
              <w:rPr>
                <w:rFonts w:hint="eastAsia"/>
                <w:lang w:val="en-US" w:eastAsia="zh-CN"/>
              </w:rPr>
              <w:t>拓展</w:t>
            </w:r>
            <w:r>
              <w:t>脱贫攻坚成果衔接乡村振兴支出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46.79</w:t>
            </w:r>
          </w:p>
        </w:tc>
        <w:tc>
          <w:tcPr>
            <w:tcW w:w="1361" w:type="dxa"/>
            <w:vAlign w:val="center"/>
          </w:tcPr>
          <w:p>
            <w:pPr>
              <w:pStyle w:val="11"/>
            </w:pPr>
          </w:p>
        </w:tc>
        <w:tc>
          <w:tcPr>
            <w:tcW w:w="1361" w:type="dxa"/>
            <w:vAlign w:val="center"/>
          </w:tcPr>
          <w:p>
            <w:pPr>
              <w:pStyle w:val="11"/>
            </w:pPr>
            <w:r>
              <w:t>46.79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46.79</w:t>
            </w:r>
          </w:p>
        </w:tc>
        <w:tc>
          <w:tcPr>
            <w:tcW w:w="1361" w:type="dxa"/>
            <w:vAlign w:val="center"/>
          </w:tcPr>
          <w:p>
            <w:pPr>
              <w:pStyle w:val="11"/>
            </w:pPr>
          </w:p>
        </w:tc>
        <w:tc>
          <w:tcPr>
            <w:tcW w:w="1361" w:type="dxa"/>
            <w:vAlign w:val="center"/>
          </w:tcPr>
          <w:p>
            <w:pPr>
              <w:pStyle w:val="11"/>
            </w:pPr>
            <w:r>
              <w:t>46.79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43.58</w:t>
            </w:r>
          </w:p>
        </w:tc>
        <w:tc>
          <w:tcPr>
            <w:tcW w:w="1361" w:type="dxa"/>
            <w:vAlign w:val="center"/>
          </w:tcPr>
          <w:p>
            <w:pPr>
              <w:pStyle w:val="11"/>
            </w:pPr>
            <w:r>
              <w:t>43.58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43.58</w:t>
            </w:r>
          </w:p>
        </w:tc>
        <w:tc>
          <w:tcPr>
            <w:tcW w:w="1361" w:type="dxa"/>
            <w:vAlign w:val="center"/>
          </w:tcPr>
          <w:p>
            <w:pPr>
              <w:pStyle w:val="11"/>
            </w:pPr>
            <w:r>
              <w:t>43.58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43.58</w:t>
            </w:r>
          </w:p>
        </w:tc>
        <w:tc>
          <w:tcPr>
            <w:tcW w:w="1361" w:type="dxa"/>
            <w:vAlign w:val="center"/>
          </w:tcPr>
          <w:p>
            <w:pPr>
              <w:pStyle w:val="11"/>
            </w:pPr>
            <w:r>
              <w:t>43.58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870.30</w:t>
            </w:r>
          </w:p>
        </w:tc>
        <w:tc>
          <w:tcPr>
            <w:tcW w:w="3402" w:type="dxa"/>
            <w:vAlign w:val="center"/>
          </w:tcPr>
          <w:p>
            <w:pPr>
              <w:pStyle w:val="12"/>
            </w:pPr>
            <w:r>
              <w:t>一、一般公共服务支出</w:t>
            </w:r>
          </w:p>
        </w:tc>
        <w:tc>
          <w:tcPr>
            <w:tcW w:w="1474" w:type="dxa"/>
            <w:vAlign w:val="center"/>
          </w:tcPr>
          <w:p>
            <w:pPr>
              <w:pStyle w:val="11"/>
            </w:pPr>
            <w:r>
              <w:t>636.83</w:t>
            </w:r>
          </w:p>
        </w:tc>
        <w:tc>
          <w:tcPr>
            <w:tcW w:w="1474" w:type="dxa"/>
            <w:vAlign w:val="center"/>
          </w:tcPr>
          <w:p>
            <w:pPr>
              <w:pStyle w:val="11"/>
            </w:pPr>
            <w:r>
              <w:t>636.83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3.93</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110.49</w:t>
            </w:r>
          </w:p>
        </w:tc>
        <w:tc>
          <w:tcPr>
            <w:tcW w:w="1474" w:type="dxa"/>
            <w:vAlign w:val="center"/>
          </w:tcPr>
          <w:p>
            <w:pPr>
              <w:pStyle w:val="11"/>
            </w:pPr>
            <w:r>
              <w:t>110.49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52.72</w:t>
            </w:r>
          </w:p>
        </w:tc>
        <w:tc>
          <w:tcPr>
            <w:tcW w:w="1474" w:type="dxa"/>
            <w:vAlign w:val="center"/>
          </w:tcPr>
          <w:p>
            <w:pPr>
              <w:pStyle w:val="11"/>
            </w:pPr>
            <w:r>
              <w:t>52.72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33.00</w:t>
            </w:r>
          </w:p>
        </w:tc>
        <w:tc>
          <w:tcPr>
            <w:tcW w:w="1474" w:type="dxa"/>
            <w:vAlign w:val="center"/>
          </w:tcPr>
          <w:p>
            <w:pPr>
              <w:pStyle w:val="11"/>
            </w:pPr>
            <w:r>
              <w:t>33.00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3.93</w:t>
            </w:r>
          </w:p>
        </w:tc>
        <w:tc>
          <w:tcPr>
            <w:tcW w:w="1474" w:type="dxa"/>
            <w:vAlign w:val="center"/>
          </w:tcPr>
          <w:p>
            <w:pPr>
              <w:pStyle w:val="11"/>
            </w:pPr>
          </w:p>
        </w:tc>
        <w:tc>
          <w:tcPr>
            <w:tcW w:w="1474" w:type="dxa"/>
            <w:vAlign w:val="center"/>
          </w:tcPr>
          <w:p>
            <w:pPr>
              <w:pStyle w:val="11"/>
            </w:pPr>
            <w:r>
              <w:t>3.93</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47.79</w:t>
            </w:r>
          </w:p>
        </w:tc>
        <w:tc>
          <w:tcPr>
            <w:tcW w:w="1474" w:type="dxa"/>
            <w:vAlign w:val="center"/>
          </w:tcPr>
          <w:p>
            <w:pPr>
              <w:pStyle w:val="11"/>
            </w:pPr>
            <w:r>
              <w:t>47.79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43.58</w:t>
            </w:r>
          </w:p>
        </w:tc>
        <w:tc>
          <w:tcPr>
            <w:tcW w:w="1474" w:type="dxa"/>
            <w:vAlign w:val="center"/>
          </w:tcPr>
          <w:p>
            <w:pPr>
              <w:pStyle w:val="11"/>
            </w:pPr>
            <w:r>
              <w:t>43.58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1.00</w:t>
            </w:r>
          </w:p>
        </w:tc>
        <w:tc>
          <w:tcPr>
            <w:tcW w:w="1474" w:type="dxa"/>
            <w:vAlign w:val="center"/>
          </w:tcPr>
          <w:p>
            <w:pPr>
              <w:pStyle w:val="11"/>
            </w:pPr>
            <w:r>
              <w:t>1.00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874.23</w:t>
            </w:r>
          </w:p>
        </w:tc>
        <w:tc>
          <w:tcPr>
            <w:tcW w:w="3402" w:type="dxa"/>
            <w:vAlign w:val="center"/>
          </w:tcPr>
          <w:p>
            <w:pPr>
              <w:pStyle w:val="14"/>
            </w:pPr>
            <w:r>
              <w:t>本年支出合计</w:t>
            </w:r>
          </w:p>
        </w:tc>
        <w:tc>
          <w:tcPr>
            <w:tcW w:w="1474" w:type="dxa"/>
            <w:vAlign w:val="center"/>
          </w:tcPr>
          <w:p>
            <w:pPr>
              <w:pStyle w:val="15"/>
            </w:pPr>
            <w:r>
              <w:t>929.35</w:t>
            </w:r>
          </w:p>
        </w:tc>
        <w:tc>
          <w:tcPr>
            <w:tcW w:w="1474" w:type="dxa"/>
            <w:vAlign w:val="center"/>
          </w:tcPr>
          <w:p>
            <w:pPr>
              <w:pStyle w:val="15"/>
            </w:pPr>
            <w:r>
              <w:t>925.42</w:t>
            </w:r>
          </w:p>
        </w:tc>
        <w:tc>
          <w:tcPr>
            <w:tcW w:w="1474" w:type="dxa"/>
            <w:vAlign w:val="center"/>
          </w:tcPr>
          <w:p>
            <w:pPr>
              <w:pStyle w:val="15"/>
            </w:pPr>
            <w:r>
              <w:t>3.93</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55.11</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55.11</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929.35</w:t>
            </w:r>
          </w:p>
        </w:tc>
        <w:tc>
          <w:tcPr>
            <w:tcW w:w="3402" w:type="dxa"/>
            <w:vAlign w:val="center"/>
          </w:tcPr>
          <w:p>
            <w:pPr>
              <w:pStyle w:val="14"/>
            </w:pPr>
            <w:r>
              <w:t>支出总计</w:t>
            </w:r>
          </w:p>
        </w:tc>
        <w:tc>
          <w:tcPr>
            <w:tcW w:w="1474" w:type="dxa"/>
            <w:vAlign w:val="center"/>
          </w:tcPr>
          <w:p>
            <w:pPr>
              <w:pStyle w:val="15"/>
            </w:pPr>
            <w:r>
              <w:t>929.35</w:t>
            </w:r>
          </w:p>
        </w:tc>
        <w:tc>
          <w:tcPr>
            <w:tcW w:w="1474" w:type="dxa"/>
            <w:vAlign w:val="center"/>
          </w:tcPr>
          <w:p>
            <w:pPr>
              <w:pStyle w:val="15"/>
            </w:pPr>
            <w:r>
              <w:t>925.42</w:t>
            </w:r>
          </w:p>
        </w:tc>
        <w:tc>
          <w:tcPr>
            <w:tcW w:w="1474" w:type="dxa"/>
            <w:vAlign w:val="center"/>
          </w:tcPr>
          <w:p>
            <w:pPr>
              <w:pStyle w:val="15"/>
            </w:pPr>
            <w:r>
              <w:t>3.93</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925.42</w:t>
            </w:r>
          </w:p>
        </w:tc>
        <w:tc>
          <w:tcPr>
            <w:tcW w:w="2551" w:type="dxa"/>
            <w:vAlign w:val="center"/>
          </w:tcPr>
          <w:p>
            <w:pPr>
              <w:pStyle w:val="15"/>
            </w:pPr>
            <w:r>
              <w:t>833.60</w:t>
            </w:r>
          </w:p>
        </w:tc>
        <w:tc>
          <w:tcPr>
            <w:tcW w:w="2551" w:type="dxa"/>
            <w:vAlign w:val="center"/>
          </w:tcPr>
          <w:p>
            <w:pPr>
              <w:pStyle w:val="15"/>
            </w:pPr>
            <w:r>
              <w:t>91.81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636.83</w:t>
            </w:r>
          </w:p>
        </w:tc>
        <w:tc>
          <w:tcPr>
            <w:tcW w:w="2551" w:type="dxa"/>
            <w:vAlign w:val="center"/>
          </w:tcPr>
          <w:p>
            <w:pPr>
              <w:pStyle w:val="11"/>
            </w:pPr>
            <w:r>
              <w:t>627.83</w:t>
            </w:r>
          </w:p>
        </w:tc>
        <w:tc>
          <w:tcPr>
            <w:tcW w:w="2551"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629.83</w:t>
            </w:r>
          </w:p>
        </w:tc>
        <w:tc>
          <w:tcPr>
            <w:tcW w:w="2551" w:type="dxa"/>
            <w:vAlign w:val="center"/>
          </w:tcPr>
          <w:p>
            <w:pPr>
              <w:pStyle w:val="11"/>
            </w:pPr>
            <w:r>
              <w:t>627.83</w:t>
            </w: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291.72</w:t>
            </w:r>
          </w:p>
        </w:tc>
        <w:tc>
          <w:tcPr>
            <w:tcW w:w="2551" w:type="dxa"/>
            <w:vAlign w:val="center"/>
          </w:tcPr>
          <w:p>
            <w:pPr>
              <w:pStyle w:val="11"/>
            </w:pPr>
            <w:r>
              <w:t>291.72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336.12</w:t>
            </w:r>
          </w:p>
        </w:tc>
        <w:tc>
          <w:tcPr>
            <w:tcW w:w="2551" w:type="dxa"/>
            <w:vAlign w:val="center"/>
          </w:tcPr>
          <w:p>
            <w:pPr>
              <w:pStyle w:val="11"/>
            </w:pPr>
            <w:r>
              <w:t>336.12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110.49</w:t>
            </w:r>
          </w:p>
        </w:tc>
        <w:tc>
          <w:tcPr>
            <w:tcW w:w="2551" w:type="dxa"/>
            <w:vAlign w:val="center"/>
          </w:tcPr>
          <w:p>
            <w:pPr>
              <w:pStyle w:val="11"/>
            </w:pPr>
            <w:r>
              <w:t>110.49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109.52</w:t>
            </w:r>
          </w:p>
        </w:tc>
        <w:tc>
          <w:tcPr>
            <w:tcW w:w="2551" w:type="dxa"/>
            <w:vAlign w:val="center"/>
          </w:tcPr>
          <w:p>
            <w:pPr>
              <w:pStyle w:val="11"/>
            </w:pPr>
            <w:r>
              <w:t>109.52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14.59</w:t>
            </w:r>
          </w:p>
        </w:tc>
        <w:tc>
          <w:tcPr>
            <w:tcW w:w="2551" w:type="dxa"/>
            <w:vAlign w:val="center"/>
          </w:tcPr>
          <w:p>
            <w:pPr>
              <w:pStyle w:val="11"/>
            </w:pPr>
            <w:r>
              <w:t>14.59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3.68</w:t>
            </w:r>
          </w:p>
        </w:tc>
        <w:tc>
          <w:tcPr>
            <w:tcW w:w="2551" w:type="dxa"/>
            <w:vAlign w:val="center"/>
          </w:tcPr>
          <w:p>
            <w:pPr>
              <w:pStyle w:val="11"/>
            </w:pPr>
            <w:r>
              <w:t>3.68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84.55</w:t>
            </w:r>
          </w:p>
        </w:tc>
        <w:tc>
          <w:tcPr>
            <w:tcW w:w="2551" w:type="dxa"/>
            <w:vAlign w:val="center"/>
          </w:tcPr>
          <w:p>
            <w:pPr>
              <w:pStyle w:val="11"/>
            </w:pPr>
            <w:r>
              <w:t>84.55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6.70</w:t>
            </w:r>
          </w:p>
        </w:tc>
        <w:tc>
          <w:tcPr>
            <w:tcW w:w="2551" w:type="dxa"/>
            <w:vAlign w:val="center"/>
          </w:tcPr>
          <w:p>
            <w:pPr>
              <w:pStyle w:val="11"/>
            </w:pPr>
            <w:r>
              <w:t>6.70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0.97</w:t>
            </w:r>
          </w:p>
        </w:tc>
        <w:tc>
          <w:tcPr>
            <w:tcW w:w="2551" w:type="dxa"/>
            <w:vAlign w:val="center"/>
          </w:tcPr>
          <w:p>
            <w:pPr>
              <w:pStyle w:val="11"/>
            </w:pPr>
            <w:r>
              <w:t>0.97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0.97</w:t>
            </w:r>
          </w:p>
        </w:tc>
        <w:tc>
          <w:tcPr>
            <w:tcW w:w="2551" w:type="dxa"/>
            <w:vAlign w:val="center"/>
          </w:tcPr>
          <w:p>
            <w:pPr>
              <w:pStyle w:val="11"/>
            </w:pPr>
            <w:r>
              <w:t>0.97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52.72</w:t>
            </w:r>
          </w:p>
        </w:tc>
        <w:tc>
          <w:tcPr>
            <w:tcW w:w="2551" w:type="dxa"/>
            <w:vAlign w:val="center"/>
          </w:tcPr>
          <w:p>
            <w:pPr>
              <w:pStyle w:val="11"/>
            </w:pPr>
            <w:r>
              <w:t>51.70</w:t>
            </w:r>
          </w:p>
        </w:tc>
        <w:tc>
          <w:tcPr>
            <w:tcW w:w="2551" w:type="dxa"/>
            <w:vAlign w:val="center"/>
          </w:tcPr>
          <w:p>
            <w:pPr>
              <w:pStyle w:val="11"/>
            </w:pPr>
            <w: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1.02</w:t>
            </w:r>
          </w:p>
        </w:tc>
        <w:tc>
          <w:tcPr>
            <w:tcW w:w="2551" w:type="dxa"/>
            <w:vAlign w:val="center"/>
          </w:tcPr>
          <w:p>
            <w:pPr>
              <w:pStyle w:val="11"/>
            </w:pPr>
          </w:p>
        </w:tc>
        <w:tc>
          <w:tcPr>
            <w:tcW w:w="2551" w:type="dxa"/>
            <w:vAlign w:val="center"/>
          </w:tcPr>
          <w:p>
            <w:pPr>
              <w:pStyle w:val="11"/>
            </w:pPr>
            <w: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1.02</w:t>
            </w:r>
          </w:p>
        </w:tc>
        <w:tc>
          <w:tcPr>
            <w:tcW w:w="2551" w:type="dxa"/>
            <w:vAlign w:val="center"/>
          </w:tcPr>
          <w:p>
            <w:pPr>
              <w:pStyle w:val="11"/>
            </w:pPr>
          </w:p>
        </w:tc>
        <w:tc>
          <w:tcPr>
            <w:tcW w:w="2551" w:type="dxa"/>
            <w:vAlign w:val="center"/>
          </w:tcPr>
          <w:p>
            <w:pPr>
              <w:pStyle w:val="11"/>
            </w:pPr>
            <w: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51.70</w:t>
            </w:r>
          </w:p>
        </w:tc>
        <w:tc>
          <w:tcPr>
            <w:tcW w:w="2551" w:type="dxa"/>
            <w:vAlign w:val="center"/>
          </w:tcPr>
          <w:p>
            <w:pPr>
              <w:pStyle w:val="11"/>
            </w:pPr>
            <w:r>
              <w:t>51.70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23.66</w:t>
            </w:r>
          </w:p>
        </w:tc>
        <w:tc>
          <w:tcPr>
            <w:tcW w:w="2551" w:type="dxa"/>
            <w:vAlign w:val="center"/>
          </w:tcPr>
          <w:p>
            <w:pPr>
              <w:pStyle w:val="11"/>
            </w:pPr>
            <w:r>
              <w:t>23.66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28.05</w:t>
            </w:r>
          </w:p>
        </w:tc>
        <w:tc>
          <w:tcPr>
            <w:tcW w:w="2551" w:type="dxa"/>
            <w:vAlign w:val="center"/>
          </w:tcPr>
          <w:p>
            <w:pPr>
              <w:pStyle w:val="11"/>
            </w:pPr>
            <w:r>
              <w:t>28.05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33.00</w:t>
            </w:r>
          </w:p>
        </w:tc>
        <w:tc>
          <w:tcPr>
            <w:tcW w:w="2551" w:type="dxa"/>
            <w:vAlign w:val="center"/>
          </w:tcPr>
          <w:p>
            <w:pPr>
              <w:pStyle w:val="11"/>
            </w:pPr>
          </w:p>
        </w:tc>
        <w:tc>
          <w:tcPr>
            <w:tcW w:w="2551" w:type="dxa"/>
            <w:vAlign w:val="center"/>
          </w:tcPr>
          <w:p>
            <w:pPr>
              <w:pStyle w:val="11"/>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47.79</w:t>
            </w:r>
          </w:p>
        </w:tc>
        <w:tc>
          <w:tcPr>
            <w:tcW w:w="2551" w:type="dxa"/>
            <w:vAlign w:val="center"/>
          </w:tcPr>
          <w:p>
            <w:pPr>
              <w:pStyle w:val="11"/>
            </w:pPr>
          </w:p>
        </w:tc>
        <w:tc>
          <w:tcPr>
            <w:tcW w:w="2551" w:type="dxa"/>
            <w:vAlign w:val="center"/>
          </w:tcPr>
          <w:p>
            <w:pPr>
              <w:pStyle w:val="11"/>
            </w:pPr>
            <w:r>
              <w:t>47.79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21305</w:t>
            </w:r>
          </w:p>
        </w:tc>
        <w:tc>
          <w:tcPr>
            <w:tcW w:w="4535" w:type="dxa"/>
            <w:vAlign w:val="center"/>
          </w:tcPr>
          <w:p>
            <w:pPr>
              <w:pStyle w:val="12"/>
            </w:pPr>
            <w:r>
              <w:t>巩固</w:t>
            </w:r>
            <w:r>
              <w:rPr>
                <w:rFonts w:hint="eastAsia"/>
                <w:lang w:val="en-US" w:eastAsia="zh-CN"/>
              </w:rPr>
              <w:t>拓展</w:t>
            </w:r>
            <w:r>
              <w:t>脱贫攻坚成果衔接乡村振兴</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2130599</w:t>
            </w:r>
          </w:p>
        </w:tc>
        <w:tc>
          <w:tcPr>
            <w:tcW w:w="4535" w:type="dxa"/>
            <w:vAlign w:val="center"/>
          </w:tcPr>
          <w:p>
            <w:pPr>
              <w:pStyle w:val="12"/>
            </w:pPr>
            <w:r>
              <w:t>其他巩固</w:t>
            </w:r>
            <w:r>
              <w:rPr>
                <w:rFonts w:hint="eastAsia"/>
                <w:lang w:val="en-US" w:eastAsia="zh-CN"/>
              </w:rPr>
              <w:t>拓展</w:t>
            </w:r>
            <w:r>
              <w:t>脱贫攻坚成果衔接乡村振兴支出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46.79</w:t>
            </w:r>
          </w:p>
        </w:tc>
        <w:tc>
          <w:tcPr>
            <w:tcW w:w="2551" w:type="dxa"/>
            <w:vAlign w:val="center"/>
          </w:tcPr>
          <w:p>
            <w:pPr>
              <w:pStyle w:val="11"/>
            </w:pPr>
          </w:p>
        </w:tc>
        <w:tc>
          <w:tcPr>
            <w:tcW w:w="2551" w:type="dxa"/>
            <w:vAlign w:val="center"/>
          </w:tcPr>
          <w:p>
            <w:pPr>
              <w:pStyle w:val="11"/>
            </w:pPr>
            <w:r>
              <w:t>46.79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46.79</w:t>
            </w:r>
          </w:p>
        </w:tc>
        <w:tc>
          <w:tcPr>
            <w:tcW w:w="2551" w:type="dxa"/>
            <w:vAlign w:val="center"/>
          </w:tcPr>
          <w:p>
            <w:pPr>
              <w:pStyle w:val="11"/>
            </w:pPr>
          </w:p>
        </w:tc>
        <w:tc>
          <w:tcPr>
            <w:tcW w:w="2551" w:type="dxa"/>
            <w:vAlign w:val="center"/>
          </w:tcPr>
          <w:p>
            <w:pPr>
              <w:pStyle w:val="11"/>
            </w:pPr>
            <w:r>
              <w:t>46.79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43.58</w:t>
            </w:r>
          </w:p>
        </w:tc>
        <w:tc>
          <w:tcPr>
            <w:tcW w:w="2551" w:type="dxa"/>
            <w:vAlign w:val="center"/>
          </w:tcPr>
          <w:p>
            <w:pPr>
              <w:pStyle w:val="11"/>
            </w:pPr>
            <w:r>
              <w:t>43.58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43.58</w:t>
            </w:r>
          </w:p>
        </w:tc>
        <w:tc>
          <w:tcPr>
            <w:tcW w:w="2551" w:type="dxa"/>
            <w:vAlign w:val="center"/>
          </w:tcPr>
          <w:p>
            <w:pPr>
              <w:pStyle w:val="11"/>
            </w:pPr>
            <w:r>
              <w:t>43.58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43.58</w:t>
            </w:r>
          </w:p>
        </w:tc>
        <w:tc>
          <w:tcPr>
            <w:tcW w:w="2551" w:type="dxa"/>
            <w:vAlign w:val="center"/>
          </w:tcPr>
          <w:p>
            <w:pPr>
              <w:pStyle w:val="11"/>
            </w:pPr>
            <w:r>
              <w:t>43.58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833.60</w:t>
            </w:r>
          </w:p>
        </w:tc>
        <w:tc>
          <w:tcPr>
            <w:tcW w:w="2551" w:type="dxa"/>
            <w:vAlign w:val="center"/>
          </w:tcPr>
          <w:p>
            <w:pPr>
              <w:pStyle w:val="15"/>
            </w:pPr>
            <w:r>
              <w:t>758.85</w:t>
            </w:r>
          </w:p>
        </w:tc>
        <w:tc>
          <w:tcPr>
            <w:tcW w:w="2551" w:type="dxa"/>
            <w:vAlign w:val="center"/>
          </w:tcPr>
          <w:p>
            <w:pPr>
              <w:pStyle w:val="15"/>
            </w:pPr>
            <w:r>
              <w:t>74.75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739.61</w:t>
            </w:r>
          </w:p>
        </w:tc>
        <w:tc>
          <w:tcPr>
            <w:tcW w:w="2551" w:type="dxa"/>
            <w:vAlign w:val="center"/>
          </w:tcPr>
          <w:p>
            <w:pPr>
              <w:pStyle w:val="11"/>
            </w:pPr>
            <w:r>
              <w:t>739.61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284.02</w:t>
            </w:r>
          </w:p>
        </w:tc>
        <w:tc>
          <w:tcPr>
            <w:tcW w:w="2551" w:type="dxa"/>
            <w:vAlign w:val="center"/>
          </w:tcPr>
          <w:p>
            <w:pPr>
              <w:pStyle w:val="11"/>
            </w:pPr>
            <w:r>
              <w:t>284.02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127.53</w:t>
            </w:r>
          </w:p>
        </w:tc>
        <w:tc>
          <w:tcPr>
            <w:tcW w:w="2551" w:type="dxa"/>
            <w:vAlign w:val="center"/>
          </w:tcPr>
          <w:p>
            <w:pPr>
              <w:pStyle w:val="11"/>
            </w:pPr>
            <w:r>
              <w:t>127.53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25.16</w:t>
            </w:r>
          </w:p>
        </w:tc>
        <w:tc>
          <w:tcPr>
            <w:tcW w:w="2551" w:type="dxa"/>
            <w:vAlign w:val="center"/>
          </w:tcPr>
          <w:p>
            <w:pPr>
              <w:pStyle w:val="11"/>
            </w:pPr>
            <w:r>
              <w:t>25.16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113.23</w:t>
            </w:r>
          </w:p>
        </w:tc>
        <w:tc>
          <w:tcPr>
            <w:tcW w:w="2551" w:type="dxa"/>
            <w:vAlign w:val="center"/>
          </w:tcPr>
          <w:p>
            <w:pPr>
              <w:pStyle w:val="11"/>
            </w:pPr>
            <w:r>
              <w:t>113.23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84.55</w:t>
            </w:r>
          </w:p>
        </w:tc>
        <w:tc>
          <w:tcPr>
            <w:tcW w:w="2551" w:type="dxa"/>
            <w:vAlign w:val="center"/>
          </w:tcPr>
          <w:p>
            <w:pPr>
              <w:pStyle w:val="11"/>
            </w:pPr>
            <w:r>
              <w:t>84.55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6.70</w:t>
            </w:r>
          </w:p>
        </w:tc>
        <w:tc>
          <w:tcPr>
            <w:tcW w:w="2551" w:type="dxa"/>
            <w:vAlign w:val="center"/>
          </w:tcPr>
          <w:p>
            <w:pPr>
              <w:pStyle w:val="11"/>
            </w:pPr>
            <w:r>
              <w:t>6.70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51.70</w:t>
            </w:r>
          </w:p>
        </w:tc>
        <w:tc>
          <w:tcPr>
            <w:tcW w:w="2551" w:type="dxa"/>
            <w:vAlign w:val="center"/>
          </w:tcPr>
          <w:p>
            <w:pPr>
              <w:pStyle w:val="11"/>
            </w:pPr>
            <w:r>
              <w:t>51.70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2.64</w:t>
            </w:r>
          </w:p>
        </w:tc>
        <w:tc>
          <w:tcPr>
            <w:tcW w:w="2551" w:type="dxa"/>
            <w:vAlign w:val="center"/>
          </w:tcPr>
          <w:p>
            <w:pPr>
              <w:pStyle w:val="11"/>
            </w:pPr>
            <w:r>
              <w:t>2.64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43.58</w:t>
            </w:r>
          </w:p>
        </w:tc>
        <w:tc>
          <w:tcPr>
            <w:tcW w:w="2551" w:type="dxa"/>
            <w:vAlign w:val="center"/>
          </w:tcPr>
          <w:p>
            <w:pPr>
              <w:pStyle w:val="11"/>
            </w:pPr>
            <w:r>
              <w:t>43.58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0.50</w:t>
            </w:r>
          </w:p>
        </w:tc>
        <w:tc>
          <w:tcPr>
            <w:tcW w:w="2551" w:type="dxa"/>
            <w:vAlign w:val="center"/>
          </w:tcPr>
          <w:p>
            <w:pPr>
              <w:pStyle w:val="11"/>
            </w:pPr>
            <w:r>
              <w:t>0.50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74.75</w:t>
            </w:r>
          </w:p>
        </w:tc>
        <w:tc>
          <w:tcPr>
            <w:tcW w:w="2551" w:type="dxa"/>
            <w:vAlign w:val="center"/>
          </w:tcPr>
          <w:p>
            <w:pPr>
              <w:pStyle w:val="11"/>
            </w:pPr>
          </w:p>
        </w:tc>
        <w:tc>
          <w:tcPr>
            <w:tcW w:w="2551" w:type="dxa"/>
            <w:vAlign w:val="center"/>
          </w:tcPr>
          <w:p>
            <w:pPr>
              <w:pStyle w:val="11"/>
            </w:pPr>
            <w:r>
              <w:t>74.75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24.99</w:t>
            </w:r>
          </w:p>
        </w:tc>
        <w:tc>
          <w:tcPr>
            <w:tcW w:w="2551" w:type="dxa"/>
            <w:vAlign w:val="center"/>
          </w:tcPr>
          <w:p>
            <w:pPr>
              <w:pStyle w:val="11"/>
            </w:pPr>
          </w:p>
        </w:tc>
        <w:tc>
          <w:tcPr>
            <w:tcW w:w="2551" w:type="dxa"/>
            <w:vAlign w:val="center"/>
          </w:tcPr>
          <w:p>
            <w:pPr>
              <w:pStyle w:val="11"/>
            </w:pPr>
            <w:r>
              <w:t>24.99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11.45</w:t>
            </w:r>
          </w:p>
        </w:tc>
        <w:tc>
          <w:tcPr>
            <w:tcW w:w="2551" w:type="dxa"/>
            <w:vAlign w:val="center"/>
          </w:tcPr>
          <w:p>
            <w:pPr>
              <w:pStyle w:val="11"/>
            </w:pPr>
          </w:p>
        </w:tc>
        <w:tc>
          <w:tcPr>
            <w:tcW w:w="2551" w:type="dxa"/>
            <w:vAlign w:val="center"/>
          </w:tcPr>
          <w:p>
            <w:pPr>
              <w:pStyle w:val="11"/>
            </w:pPr>
            <w:r>
              <w:t>11.45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4.11</w:t>
            </w:r>
          </w:p>
        </w:tc>
        <w:tc>
          <w:tcPr>
            <w:tcW w:w="2551" w:type="dxa"/>
            <w:vAlign w:val="center"/>
          </w:tcPr>
          <w:p>
            <w:pPr>
              <w:pStyle w:val="11"/>
            </w:pPr>
          </w:p>
        </w:tc>
        <w:tc>
          <w:tcPr>
            <w:tcW w:w="2551" w:type="dxa"/>
            <w:vAlign w:val="center"/>
          </w:tcPr>
          <w:p>
            <w:pPr>
              <w:pStyle w:val="11"/>
            </w:pPr>
            <w:r>
              <w:t>4.11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3.20</w:t>
            </w:r>
          </w:p>
        </w:tc>
        <w:tc>
          <w:tcPr>
            <w:tcW w:w="2551" w:type="dxa"/>
            <w:vAlign w:val="center"/>
          </w:tcPr>
          <w:p>
            <w:pPr>
              <w:pStyle w:val="11"/>
            </w:pPr>
          </w:p>
        </w:tc>
        <w:tc>
          <w:tcPr>
            <w:tcW w:w="2551" w:type="dxa"/>
            <w:vAlign w:val="center"/>
          </w:tcPr>
          <w:p>
            <w:pPr>
              <w:pStyle w:val="11"/>
            </w:pPr>
            <w:r>
              <w:t>3.20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22.00</w:t>
            </w:r>
          </w:p>
        </w:tc>
        <w:tc>
          <w:tcPr>
            <w:tcW w:w="2551" w:type="dxa"/>
            <w:vAlign w:val="center"/>
          </w:tcPr>
          <w:p>
            <w:pPr>
              <w:pStyle w:val="11"/>
            </w:pPr>
          </w:p>
        </w:tc>
        <w:tc>
          <w:tcPr>
            <w:tcW w:w="2551" w:type="dxa"/>
            <w:vAlign w:val="center"/>
          </w:tcPr>
          <w:p>
            <w:pPr>
              <w:pStyle w:val="11"/>
            </w:pPr>
            <w:r>
              <w:t>22.00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19.24</w:t>
            </w:r>
          </w:p>
        </w:tc>
        <w:tc>
          <w:tcPr>
            <w:tcW w:w="2551" w:type="dxa"/>
            <w:vAlign w:val="center"/>
          </w:tcPr>
          <w:p>
            <w:pPr>
              <w:pStyle w:val="11"/>
            </w:pPr>
            <w:r>
              <w:t>19.24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18.27</w:t>
            </w:r>
          </w:p>
        </w:tc>
        <w:tc>
          <w:tcPr>
            <w:tcW w:w="2551" w:type="dxa"/>
            <w:vAlign w:val="center"/>
          </w:tcPr>
          <w:p>
            <w:pPr>
              <w:pStyle w:val="11"/>
            </w:pPr>
            <w:r>
              <w:t>18.27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0.97</w:t>
            </w:r>
          </w:p>
        </w:tc>
        <w:tc>
          <w:tcPr>
            <w:tcW w:w="2551" w:type="dxa"/>
            <w:vAlign w:val="center"/>
          </w:tcPr>
          <w:p>
            <w:pPr>
              <w:pStyle w:val="11"/>
            </w:pPr>
            <w:r>
              <w:t>0.97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3.93</w:t>
            </w:r>
          </w:p>
        </w:tc>
        <w:tc>
          <w:tcPr>
            <w:tcW w:w="2551" w:type="dxa"/>
            <w:vAlign w:val="center"/>
          </w:tcPr>
          <w:p>
            <w:pPr>
              <w:pStyle w:val="15"/>
            </w:pPr>
          </w:p>
        </w:tc>
        <w:tc>
          <w:tcPr>
            <w:tcW w:w="2551" w:type="dxa"/>
            <w:vAlign w:val="center"/>
          </w:tcPr>
          <w:p>
            <w:pPr>
              <w:pStyle w:val="15"/>
            </w:pPr>
            <w:r>
              <w:t>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3.93</w:t>
            </w:r>
          </w:p>
        </w:tc>
        <w:tc>
          <w:tcPr>
            <w:tcW w:w="2551" w:type="dxa"/>
            <w:vAlign w:val="center"/>
          </w:tcPr>
          <w:p>
            <w:pPr>
              <w:pStyle w:val="11"/>
            </w:pPr>
          </w:p>
        </w:tc>
        <w:tc>
          <w:tcPr>
            <w:tcW w:w="2551" w:type="dxa"/>
            <w:vAlign w:val="center"/>
          </w:tcPr>
          <w:p>
            <w:pPr>
              <w:pStyle w:val="11"/>
            </w:pPr>
            <w:r>
              <w:t>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3.93</w:t>
            </w:r>
          </w:p>
        </w:tc>
        <w:tc>
          <w:tcPr>
            <w:tcW w:w="2551" w:type="dxa"/>
            <w:vAlign w:val="center"/>
          </w:tcPr>
          <w:p>
            <w:pPr>
              <w:pStyle w:val="11"/>
            </w:pPr>
          </w:p>
        </w:tc>
        <w:tc>
          <w:tcPr>
            <w:tcW w:w="2551" w:type="dxa"/>
            <w:vAlign w:val="center"/>
          </w:tcPr>
          <w:p>
            <w:pPr>
              <w:pStyle w:val="11"/>
            </w:pPr>
            <w:r>
              <w:t>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3.93</w:t>
            </w:r>
          </w:p>
        </w:tc>
        <w:tc>
          <w:tcPr>
            <w:tcW w:w="2551" w:type="dxa"/>
            <w:vAlign w:val="center"/>
          </w:tcPr>
          <w:p>
            <w:pPr>
              <w:pStyle w:val="11"/>
            </w:pPr>
          </w:p>
        </w:tc>
        <w:tc>
          <w:tcPr>
            <w:tcW w:w="2551" w:type="dxa"/>
            <w:vAlign w:val="center"/>
          </w:tcPr>
          <w:p>
            <w:pPr>
              <w:pStyle w:val="11"/>
            </w:pPr>
            <w:r>
              <w:t>3.93</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bookmarkStart w:id="9" w:name="OLE_LINK1"/>
      <w:r>
        <w:rPr>
          <w:rFonts w:ascii="方正小标宋_GBK" w:hAnsi="方正小标宋_GBK" w:eastAsia="方正小标宋_GBK" w:cs="方正小标宋_GBK"/>
          <w:color w:val="000000"/>
          <w:sz w:val="36"/>
        </w:rPr>
        <w:t>部门预算财政拨款“三公”经费支出表</w:t>
      </w:r>
      <w:bookmarkEnd w:id="8"/>
    </w:p>
    <w:tbl>
      <w:tblPr>
        <w:tblStyle w:val="4"/>
        <w:tblW w:w="122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2731"/>
        <w:gridCol w:w="2146"/>
        <w:gridCol w:w="1893"/>
        <w:gridCol w:w="1915"/>
        <w:gridCol w:w="19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20" w:type="dxa"/>
            <w:gridSpan w:val="3"/>
            <w:tcBorders>
              <w:top w:val="single" w:color="FFFFFF" w:sz="6" w:space="0"/>
              <w:left w:val="single" w:color="FFFFFF" w:sz="6" w:space="0"/>
              <w:right w:val="single" w:color="FFFFFF" w:sz="6" w:space="0"/>
            </w:tcBorders>
            <w:vAlign w:val="center"/>
          </w:tcPr>
          <w:p>
            <w:pPr>
              <w:pStyle w:val="9"/>
              <w:rPr>
                <w:kern w:val="2"/>
              </w:rPr>
            </w:pPr>
            <w:r>
              <w:t>921青龙满族自治县朱杖子乡人民政府</w:t>
            </w:r>
          </w:p>
        </w:tc>
        <w:tc>
          <w:tcPr>
            <w:tcW w:w="5712" w:type="dxa"/>
            <w:gridSpan w:val="3"/>
            <w:tcBorders>
              <w:top w:val="single" w:color="FFFFFF" w:sz="6" w:space="0"/>
              <w:left w:val="single" w:color="FFFFFF" w:sz="6" w:space="0"/>
              <w:right w:val="single" w:color="FFFFFF" w:sz="6" w:space="0"/>
            </w:tcBorders>
            <w:vAlign w:val="center"/>
          </w:tcPr>
          <w:p>
            <w:pPr>
              <w:pStyle w:val="8"/>
              <w:jc w:val="both"/>
              <w:rPr>
                <w:rFonts w:hint="eastAsia" w:eastAsia="方正小标宋_GBK"/>
                <w:kern w:val="2"/>
                <w:lang w:eastAsia="zh-CN"/>
              </w:rPr>
            </w:pPr>
            <w:r>
              <w:t>预算年度：2025</w:t>
            </w:r>
            <w:r>
              <w:rPr>
                <w:rFonts w:hint="eastAsia"/>
                <w:lang w:val="en-US" w:eastAsia="zh-CN"/>
              </w:rPr>
              <w:t xml:space="preserve">                                       </w:t>
            </w: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0"/>
              <w:keepNext w:val="0"/>
              <w:keepLines w:val="0"/>
              <w:widowControl/>
              <w:suppressLineNumbers w:val="0"/>
              <w:spacing w:beforeAutospacing="0" w:afterAutospacing="0"/>
              <w:ind w:left="0" w:right="0"/>
              <w:rPr>
                <w:kern w:val="2"/>
              </w:rPr>
            </w:pPr>
            <w:r>
              <w:rPr>
                <w:kern w:val="2"/>
              </w:rPr>
              <w:t>序号</w:t>
            </w:r>
          </w:p>
        </w:tc>
        <w:tc>
          <w:tcPr>
            <w:tcW w:w="10589" w:type="dxa"/>
            <w:gridSpan w:val="5"/>
            <w:vAlign w:val="center"/>
          </w:tcPr>
          <w:p>
            <w:pPr>
              <w:pStyle w:val="10"/>
              <w:keepNext w:val="0"/>
              <w:keepLines w:val="0"/>
              <w:widowControl/>
              <w:suppressLineNumbers w:val="0"/>
              <w:spacing w:beforeAutospacing="0" w:afterAutospacing="0"/>
              <w:ind w:left="0" w:right="0"/>
              <w:rPr>
                <w:kern w:val="2"/>
              </w:rPr>
            </w:pPr>
            <w:r>
              <w:rPr>
                <w:kern w:val="2"/>
              </w:rPr>
              <w:t>项  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vAlign w:val="top"/>
          </w:tcPr>
          <w:p>
            <w:pPr>
              <w:keepNext w:val="0"/>
              <w:keepLines w:val="0"/>
              <w:widowControl/>
              <w:suppressLineNumbers w:val="0"/>
              <w:spacing w:before="0" w:beforeAutospacing="0" w:after="0" w:afterAutospacing="0"/>
              <w:ind w:left="0" w:right="0"/>
              <w:rPr>
                <w:kern w:val="2"/>
              </w:rPr>
            </w:pPr>
          </w:p>
        </w:tc>
        <w:tc>
          <w:tcPr>
            <w:tcW w:w="2731" w:type="dxa"/>
            <w:vAlign w:val="top"/>
          </w:tcPr>
          <w:p>
            <w:pPr>
              <w:keepNext w:val="0"/>
              <w:keepLines w:val="0"/>
              <w:widowControl/>
              <w:suppressLineNumbers w:val="0"/>
              <w:spacing w:before="0" w:beforeAutospacing="0" w:after="0" w:afterAutospacing="0"/>
              <w:ind w:left="0" w:right="0"/>
              <w:rPr>
                <w:kern w:val="2"/>
              </w:rPr>
            </w:pPr>
          </w:p>
        </w:tc>
        <w:tc>
          <w:tcPr>
            <w:tcW w:w="2146" w:type="dxa"/>
            <w:vAlign w:val="center"/>
          </w:tcPr>
          <w:p>
            <w:pPr>
              <w:pStyle w:val="10"/>
              <w:keepNext w:val="0"/>
              <w:keepLines w:val="0"/>
              <w:widowControl/>
              <w:suppressLineNumbers w:val="0"/>
              <w:spacing w:beforeAutospacing="0" w:afterAutospacing="0"/>
              <w:ind w:left="0" w:right="0"/>
              <w:rPr>
                <w:kern w:val="2"/>
              </w:rPr>
            </w:pPr>
            <w:r>
              <w:rPr>
                <w:kern w:val="2"/>
              </w:rPr>
              <w:t>合计</w:t>
            </w:r>
          </w:p>
        </w:tc>
        <w:tc>
          <w:tcPr>
            <w:tcW w:w="1893" w:type="dxa"/>
            <w:vAlign w:val="center"/>
          </w:tcPr>
          <w:p>
            <w:pPr>
              <w:pStyle w:val="10"/>
              <w:keepNext w:val="0"/>
              <w:keepLines w:val="0"/>
              <w:widowControl/>
              <w:suppressLineNumbers w:val="0"/>
              <w:spacing w:beforeAutospacing="0" w:afterAutospacing="0"/>
              <w:ind w:left="0" w:right="0"/>
              <w:rPr>
                <w:kern w:val="2"/>
              </w:rPr>
            </w:pPr>
            <w:r>
              <w:rPr>
                <w:kern w:val="2"/>
              </w:rPr>
              <w:t>一般公共预算              财政拨款</w:t>
            </w:r>
          </w:p>
        </w:tc>
        <w:tc>
          <w:tcPr>
            <w:tcW w:w="1915" w:type="dxa"/>
            <w:vAlign w:val="center"/>
          </w:tcPr>
          <w:p>
            <w:pPr>
              <w:pStyle w:val="10"/>
              <w:keepNext w:val="0"/>
              <w:keepLines w:val="0"/>
              <w:widowControl/>
              <w:suppressLineNumbers w:val="0"/>
              <w:spacing w:beforeAutospacing="0" w:afterAutospacing="0"/>
              <w:ind w:left="0" w:right="0"/>
              <w:rPr>
                <w:kern w:val="2"/>
              </w:rPr>
            </w:pPr>
            <w:r>
              <w:rPr>
                <w:kern w:val="2"/>
              </w:rPr>
              <w:t>政府性基金                  预算拨款</w:t>
            </w:r>
          </w:p>
        </w:tc>
        <w:tc>
          <w:tcPr>
            <w:tcW w:w="1904" w:type="dxa"/>
            <w:vAlign w:val="center"/>
          </w:tcPr>
          <w:p>
            <w:pPr>
              <w:pStyle w:val="10"/>
              <w:keepNext w:val="0"/>
              <w:keepLines w:val="0"/>
              <w:widowControl/>
              <w:suppressLineNumbers w:val="0"/>
              <w:spacing w:beforeAutospacing="0" w:afterAutospacing="0"/>
              <w:ind w:left="0" w:right="0"/>
              <w:rPr>
                <w:kern w:val="2"/>
              </w:rPr>
            </w:pPr>
            <w:r>
              <w:rPr>
                <w:kern w:val="2"/>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0"/>
              <w:keepNext w:val="0"/>
              <w:keepLines w:val="0"/>
              <w:widowControl/>
              <w:suppressLineNumbers w:val="0"/>
              <w:spacing w:beforeAutospacing="0" w:afterAutospacing="0"/>
              <w:ind w:left="0" w:right="0"/>
              <w:rPr>
                <w:kern w:val="2"/>
              </w:rPr>
            </w:pPr>
            <w:r>
              <w:rPr>
                <w:kern w:val="2"/>
              </w:rPr>
              <w:t>栏次</w:t>
            </w:r>
          </w:p>
        </w:tc>
        <w:tc>
          <w:tcPr>
            <w:tcW w:w="2731" w:type="dxa"/>
            <w:vAlign w:val="center"/>
          </w:tcPr>
          <w:p>
            <w:pPr>
              <w:pStyle w:val="10"/>
              <w:keepNext w:val="0"/>
              <w:keepLines w:val="0"/>
              <w:widowControl/>
              <w:suppressLineNumbers w:val="0"/>
              <w:spacing w:beforeAutospacing="0" w:afterAutospacing="0"/>
              <w:ind w:left="0" w:right="0"/>
              <w:rPr>
                <w:kern w:val="2"/>
              </w:rPr>
            </w:pPr>
            <w:r>
              <w:rPr>
                <w:kern w:val="2"/>
              </w:rPr>
              <w:t>1</w:t>
            </w:r>
          </w:p>
        </w:tc>
        <w:tc>
          <w:tcPr>
            <w:tcW w:w="2146" w:type="dxa"/>
            <w:vAlign w:val="center"/>
          </w:tcPr>
          <w:p>
            <w:pPr>
              <w:pStyle w:val="10"/>
              <w:keepNext w:val="0"/>
              <w:keepLines w:val="0"/>
              <w:widowControl/>
              <w:suppressLineNumbers w:val="0"/>
              <w:spacing w:beforeAutospacing="0" w:afterAutospacing="0"/>
              <w:ind w:left="0" w:right="0"/>
              <w:rPr>
                <w:kern w:val="2"/>
              </w:rPr>
            </w:pPr>
            <w:r>
              <w:rPr>
                <w:kern w:val="2"/>
              </w:rPr>
              <w:t>2</w:t>
            </w:r>
          </w:p>
        </w:tc>
        <w:tc>
          <w:tcPr>
            <w:tcW w:w="1893" w:type="dxa"/>
            <w:vAlign w:val="center"/>
          </w:tcPr>
          <w:p>
            <w:pPr>
              <w:pStyle w:val="10"/>
              <w:keepNext w:val="0"/>
              <w:keepLines w:val="0"/>
              <w:widowControl/>
              <w:suppressLineNumbers w:val="0"/>
              <w:spacing w:beforeAutospacing="0" w:afterAutospacing="0"/>
              <w:ind w:left="0" w:right="0"/>
              <w:rPr>
                <w:kern w:val="2"/>
              </w:rPr>
            </w:pPr>
            <w:r>
              <w:rPr>
                <w:kern w:val="2"/>
              </w:rPr>
              <w:t>3</w:t>
            </w:r>
          </w:p>
        </w:tc>
        <w:tc>
          <w:tcPr>
            <w:tcW w:w="1915" w:type="dxa"/>
            <w:vAlign w:val="center"/>
          </w:tcPr>
          <w:p>
            <w:pPr>
              <w:pStyle w:val="10"/>
              <w:keepNext w:val="0"/>
              <w:keepLines w:val="0"/>
              <w:widowControl/>
              <w:suppressLineNumbers w:val="0"/>
              <w:spacing w:beforeAutospacing="0" w:afterAutospacing="0"/>
              <w:ind w:left="0" w:right="0"/>
              <w:rPr>
                <w:kern w:val="2"/>
              </w:rPr>
            </w:pPr>
            <w:r>
              <w:rPr>
                <w:kern w:val="2"/>
              </w:rPr>
              <w:t>4</w:t>
            </w:r>
          </w:p>
        </w:tc>
        <w:tc>
          <w:tcPr>
            <w:tcW w:w="1904" w:type="dxa"/>
            <w:vAlign w:val="center"/>
          </w:tcPr>
          <w:p>
            <w:pPr>
              <w:pStyle w:val="10"/>
              <w:keepNext w:val="0"/>
              <w:keepLines w:val="0"/>
              <w:widowControl/>
              <w:suppressLineNumbers w:val="0"/>
              <w:spacing w:beforeAutospacing="0" w:afterAutospacing="0"/>
              <w:ind w:left="0" w:right="0"/>
              <w:rPr>
                <w:kern w:val="2"/>
              </w:rPr>
            </w:pPr>
            <w:r>
              <w:rPr>
                <w:kern w:val="2"/>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1</w:t>
            </w:r>
          </w:p>
        </w:tc>
        <w:tc>
          <w:tcPr>
            <w:tcW w:w="2731" w:type="dxa"/>
            <w:vAlign w:val="center"/>
          </w:tcPr>
          <w:p>
            <w:pPr>
              <w:pStyle w:val="14"/>
              <w:keepNext w:val="0"/>
              <w:keepLines w:val="0"/>
              <w:widowControl/>
              <w:suppressLineNumbers w:val="0"/>
              <w:spacing w:beforeAutospacing="0" w:afterAutospacing="0"/>
              <w:ind w:left="0" w:right="0"/>
              <w:rPr>
                <w:kern w:val="2"/>
              </w:rPr>
            </w:pPr>
            <w:r>
              <w:rPr>
                <w:kern w:val="2"/>
              </w:rPr>
              <w:t>“三公”经费小计</w:t>
            </w:r>
          </w:p>
        </w:tc>
        <w:tc>
          <w:tcPr>
            <w:tcW w:w="2146" w:type="dxa"/>
            <w:vAlign w:val="center"/>
          </w:tcPr>
          <w:p>
            <w:pPr>
              <w:pStyle w:val="15"/>
              <w:keepNext w:val="0"/>
              <w:keepLines w:val="0"/>
              <w:widowControl/>
              <w:suppressLineNumbers w:val="0"/>
              <w:spacing w:beforeAutospacing="0" w:afterAutospacing="0"/>
              <w:ind w:left="0" w:right="0"/>
              <w:rPr>
                <w:kern w:val="2"/>
              </w:rPr>
            </w:pPr>
            <w:r>
              <w:rPr>
                <w:rFonts w:hint="eastAsia"/>
                <w:kern w:val="2"/>
                <w:lang w:val="en-US" w:eastAsia="zh-CN"/>
              </w:rPr>
              <w:t>4</w:t>
            </w:r>
            <w:r>
              <w:rPr>
                <w:kern w:val="2"/>
              </w:rPr>
              <w:t>.20</w:t>
            </w:r>
          </w:p>
        </w:tc>
        <w:tc>
          <w:tcPr>
            <w:tcW w:w="1893" w:type="dxa"/>
            <w:vAlign w:val="center"/>
          </w:tcPr>
          <w:p>
            <w:pPr>
              <w:pStyle w:val="15"/>
              <w:keepNext w:val="0"/>
              <w:keepLines w:val="0"/>
              <w:widowControl/>
              <w:suppressLineNumbers w:val="0"/>
              <w:spacing w:beforeAutospacing="0" w:afterAutospacing="0"/>
              <w:ind w:left="0" w:right="0"/>
              <w:rPr>
                <w:kern w:val="2"/>
              </w:rPr>
            </w:pPr>
            <w:r>
              <w:rPr>
                <w:rFonts w:hint="eastAsia"/>
                <w:kern w:val="2"/>
                <w:lang w:val="en-US" w:eastAsia="zh-CN"/>
              </w:rPr>
              <w:t>4</w:t>
            </w:r>
            <w:r>
              <w:rPr>
                <w:kern w:val="2"/>
              </w:rPr>
              <w:t>.20</w:t>
            </w:r>
          </w:p>
        </w:tc>
        <w:tc>
          <w:tcPr>
            <w:tcW w:w="1915" w:type="dxa"/>
            <w:vAlign w:val="center"/>
          </w:tcPr>
          <w:p>
            <w:pPr>
              <w:pStyle w:val="15"/>
              <w:keepNext w:val="0"/>
              <w:keepLines w:val="0"/>
              <w:widowControl/>
              <w:suppressLineNumbers w:val="0"/>
              <w:spacing w:beforeAutospacing="0" w:afterAutospacing="0"/>
              <w:ind w:left="0" w:right="0"/>
              <w:rPr>
                <w:kern w:val="2"/>
              </w:rPr>
            </w:pPr>
          </w:p>
        </w:tc>
        <w:tc>
          <w:tcPr>
            <w:tcW w:w="1904" w:type="dxa"/>
            <w:vAlign w:val="center"/>
          </w:tcPr>
          <w:p>
            <w:pPr>
              <w:pStyle w:val="15"/>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2</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一、因公出国（境）费</w:t>
            </w:r>
          </w:p>
        </w:tc>
        <w:tc>
          <w:tcPr>
            <w:tcW w:w="2146" w:type="dxa"/>
            <w:vAlign w:val="center"/>
          </w:tcPr>
          <w:p>
            <w:pPr>
              <w:pStyle w:val="11"/>
              <w:keepNext w:val="0"/>
              <w:keepLines w:val="0"/>
              <w:widowControl/>
              <w:suppressLineNumbers w:val="0"/>
              <w:spacing w:beforeAutospacing="0" w:afterAutospacing="0"/>
              <w:ind w:left="0" w:right="0"/>
              <w:rPr>
                <w:kern w:val="2"/>
              </w:rPr>
            </w:pPr>
          </w:p>
        </w:tc>
        <w:tc>
          <w:tcPr>
            <w:tcW w:w="1893" w:type="dxa"/>
            <w:vAlign w:val="center"/>
          </w:tcPr>
          <w:p>
            <w:pPr>
              <w:pStyle w:val="11"/>
              <w:keepNext w:val="0"/>
              <w:keepLines w:val="0"/>
              <w:widowControl/>
              <w:suppressLineNumbers w:val="0"/>
              <w:spacing w:beforeAutospacing="0" w:afterAutospacing="0"/>
              <w:ind w:left="0" w:right="0"/>
              <w:rPr>
                <w:kern w:val="2"/>
              </w:rPr>
            </w:pPr>
          </w:p>
        </w:tc>
        <w:tc>
          <w:tcPr>
            <w:tcW w:w="1915" w:type="dxa"/>
            <w:vAlign w:val="center"/>
          </w:tcPr>
          <w:p>
            <w:pPr>
              <w:pStyle w:val="11"/>
              <w:keepNext w:val="0"/>
              <w:keepLines w:val="0"/>
              <w:widowControl/>
              <w:suppressLineNumbers w:val="0"/>
              <w:spacing w:beforeAutospacing="0" w:afterAutospacing="0"/>
              <w:ind w:left="0" w:right="0"/>
              <w:rPr>
                <w:kern w:val="2"/>
              </w:rPr>
            </w:pPr>
          </w:p>
        </w:tc>
        <w:tc>
          <w:tcPr>
            <w:tcW w:w="1904"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3</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 xml:space="preserve">    其中：教学科研人员因公出国（境）费</w:t>
            </w:r>
          </w:p>
        </w:tc>
        <w:tc>
          <w:tcPr>
            <w:tcW w:w="2146" w:type="dxa"/>
            <w:vAlign w:val="center"/>
          </w:tcPr>
          <w:p>
            <w:pPr>
              <w:pStyle w:val="11"/>
              <w:keepNext w:val="0"/>
              <w:keepLines w:val="0"/>
              <w:widowControl/>
              <w:suppressLineNumbers w:val="0"/>
              <w:spacing w:beforeAutospacing="0" w:afterAutospacing="0"/>
              <w:ind w:left="0" w:right="0"/>
              <w:rPr>
                <w:kern w:val="2"/>
              </w:rPr>
            </w:pPr>
          </w:p>
        </w:tc>
        <w:tc>
          <w:tcPr>
            <w:tcW w:w="1893" w:type="dxa"/>
            <w:vAlign w:val="center"/>
          </w:tcPr>
          <w:p>
            <w:pPr>
              <w:pStyle w:val="11"/>
              <w:keepNext w:val="0"/>
              <w:keepLines w:val="0"/>
              <w:widowControl/>
              <w:suppressLineNumbers w:val="0"/>
              <w:spacing w:beforeAutospacing="0" w:afterAutospacing="0"/>
              <w:ind w:left="0" w:right="0"/>
              <w:rPr>
                <w:kern w:val="2"/>
              </w:rPr>
            </w:pPr>
          </w:p>
        </w:tc>
        <w:tc>
          <w:tcPr>
            <w:tcW w:w="1915" w:type="dxa"/>
            <w:vAlign w:val="center"/>
          </w:tcPr>
          <w:p>
            <w:pPr>
              <w:pStyle w:val="11"/>
              <w:keepNext w:val="0"/>
              <w:keepLines w:val="0"/>
              <w:widowControl/>
              <w:suppressLineNumbers w:val="0"/>
              <w:spacing w:beforeAutospacing="0" w:afterAutospacing="0"/>
              <w:ind w:left="0" w:right="0"/>
              <w:rPr>
                <w:kern w:val="2"/>
              </w:rPr>
            </w:pPr>
          </w:p>
        </w:tc>
        <w:tc>
          <w:tcPr>
            <w:tcW w:w="1904"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4</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 xml:space="preserve">          其他因公出国（境）费</w:t>
            </w:r>
          </w:p>
        </w:tc>
        <w:tc>
          <w:tcPr>
            <w:tcW w:w="2146" w:type="dxa"/>
            <w:vAlign w:val="center"/>
          </w:tcPr>
          <w:p>
            <w:pPr>
              <w:pStyle w:val="11"/>
              <w:keepNext w:val="0"/>
              <w:keepLines w:val="0"/>
              <w:widowControl/>
              <w:suppressLineNumbers w:val="0"/>
              <w:spacing w:beforeAutospacing="0" w:afterAutospacing="0"/>
              <w:ind w:left="0" w:right="0"/>
              <w:rPr>
                <w:kern w:val="2"/>
              </w:rPr>
            </w:pPr>
          </w:p>
        </w:tc>
        <w:tc>
          <w:tcPr>
            <w:tcW w:w="1893" w:type="dxa"/>
            <w:vAlign w:val="center"/>
          </w:tcPr>
          <w:p>
            <w:pPr>
              <w:pStyle w:val="11"/>
              <w:keepNext w:val="0"/>
              <w:keepLines w:val="0"/>
              <w:widowControl/>
              <w:suppressLineNumbers w:val="0"/>
              <w:spacing w:beforeAutospacing="0" w:afterAutospacing="0"/>
              <w:ind w:left="0" w:right="0"/>
              <w:rPr>
                <w:kern w:val="2"/>
              </w:rPr>
            </w:pPr>
          </w:p>
        </w:tc>
        <w:tc>
          <w:tcPr>
            <w:tcW w:w="1915" w:type="dxa"/>
            <w:vAlign w:val="center"/>
          </w:tcPr>
          <w:p>
            <w:pPr>
              <w:pStyle w:val="11"/>
              <w:keepNext w:val="0"/>
              <w:keepLines w:val="0"/>
              <w:widowControl/>
              <w:suppressLineNumbers w:val="0"/>
              <w:spacing w:beforeAutospacing="0" w:afterAutospacing="0"/>
              <w:ind w:left="0" w:right="0"/>
              <w:rPr>
                <w:kern w:val="2"/>
              </w:rPr>
            </w:pPr>
          </w:p>
        </w:tc>
        <w:tc>
          <w:tcPr>
            <w:tcW w:w="1904"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5</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二、公务用车购置及运维费</w:t>
            </w:r>
          </w:p>
        </w:tc>
        <w:tc>
          <w:tcPr>
            <w:tcW w:w="2146" w:type="dxa"/>
            <w:vAlign w:val="center"/>
          </w:tcPr>
          <w:p>
            <w:pPr>
              <w:pStyle w:val="11"/>
              <w:keepNext w:val="0"/>
              <w:keepLines w:val="0"/>
              <w:widowControl/>
              <w:suppressLineNumbers w:val="0"/>
              <w:spacing w:beforeAutospacing="0" w:afterAutospacing="0"/>
              <w:ind w:left="0" w:right="0"/>
              <w:rPr>
                <w:kern w:val="2"/>
              </w:rPr>
            </w:pPr>
            <w:r>
              <w:rPr>
                <w:kern w:val="2"/>
              </w:rPr>
              <w:t>3.20</w:t>
            </w:r>
          </w:p>
        </w:tc>
        <w:tc>
          <w:tcPr>
            <w:tcW w:w="1893" w:type="dxa"/>
            <w:vAlign w:val="center"/>
          </w:tcPr>
          <w:p>
            <w:pPr>
              <w:pStyle w:val="11"/>
              <w:keepNext w:val="0"/>
              <w:keepLines w:val="0"/>
              <w:widowControl/>
              <w:suppressLineNumbers w:val="0"/>
              <w:spacing w:beforeAutospacing="0" w:afterAutospacing="0"/>
              <w:ind w:left="0" w:right="0"/>
              <w:rPr>
                <w:kern w:val="2"/>
              </w:rPr>
            </w:pPr>
            <w:r>
              <w:rPr>
                <w:kern w:val="2"/>
              </w:rPr>
              <w:t>3.20</w:t>
            </w:r>
          </w:p>
        </w:tc>
        <w:tc>
          <w:tcPr>
            <w:tcW w:w="1915" w:type="dxa"/>
            <w:vAlign w:val="center"/>
          </w:tcPr>
          <w:p>
            <w:pPr>
              <w:pStyle w:val="11"/>
              <w:keepNext w:val="0"/>
              <w:keepLines w:val="0"/>
              <w:widowControl/>
              <w:suppressLineNumbers w:val="0"/>
              <w:spacing w:beforeAutospacing="0" w:afterAutospacing="0"/>
              <w:ind w:left="0" w:right="0"/>
              <w:rPr>
                <w:kern w:val="2"/>
              </w:rPr>
            </w:pPr>
          </w:p>
        </w:tc>
        <w:tc>
          <w:tcPr>
            <w:tcW w:w="1904"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6</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 xml:space="preserve">    其中：公务用车购置费</w:t>
            </w:r>
          </w:p>
        </w:tc>
        <w:tc>
          <w:tcPr>
            <w:tcW w:w="2146" w:type="dxa"/>
            <w:vAlign w:val="center"/>
          </w:tcPr>
          <w:p>
            <w:pPr>
              <w:pStyle w:val="11"/>
              <w:keepNext w:val="0"/>
              <w:keepLines w:val="0"/>
              <w:widowControl/>
              <w:suppressLineNumbers w:val="0"/>
              <w:spacing w:beforeAutospacing="0" w:afterAutospacing="0"/>
              <w:ind w:left="0" w:right="0"/>
              <w:rPr>
                <w:kern w:val="2"/>
              </w:rPr>
            </w:pPr>
          </w:p>
        </w:tc>
        <w:tc>
          <w:tcPr>
            <w:tcW w:w="1893" w:type="dxa"/>
            <w:vAlign w:val="center"/>
          </w:tcPr>
          <w:p>
            <w:pPr>
              <w:pStyle w:val="11"/>
              <w:keepNext w:val="0"/>
              <w:keepLines w:val="0"/>
              <w:widowControl/>
              <w:suppressLineNumbers w:val="0"/>
              <w:spacing w:beforeAutospacing="0" w:afterAutospacing="0"/>
              <w:ind w:left="0" w:right="0"/>
              <w:rPr>
                <w:kern w:val="2"/>
              </w:rPr>
            </w:pPr>
          </w:p>
        </w:tc>
        <w:tc>
          <w:tcPr>
            <w:tcW w:w="1915" w:type="dxa"/>
            <w:vAlign w:val="center"/>
          </w:tcPr>
          <w:p>
            <w:pPr>
              <w:pStyle w:val="11"/>
              <w:keepNext w:val="0"/>
              <w:keepLines w:val="0"/>
              <w:widowControl/>
              <w:suppressLineNumbers w:val="0"/>
              <w:spacing w:beforeAutospacing="0" w:afterAutospacing="0"/>
              <w:ind w:left="0" w:right="0"/>
              <w:rPr>
                <w:kern w:val="2"/>
              </w:rPr>
            </w:pPr>
          </w:p>
        </w:tc>
        <w:tc>
          <w:tcPr>
            <w:tcW w:w="1904"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7</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 xml:space="preserve">          公务用车运行维护费</w:t>
            </w:r>
          </w:p>
        </w:tc>
        <w:tc>
          <w:tcPr>
            <w:tcW w:w="2146" w:type="dxa"/>
            <w:vAlign w:val="center"/>
          </w:tcPr>
          <w:p>
            <w:pPr>
              <w:pStyle w:val="11"/>
              <w:keepNext w:val="0"/>
              <w:keepLines w:val="0"/>
              <w:widowControl/>
              <w:suppressLineNumbers w:val="0"/>
              <w:spacing w:beforeAutospacing="0" w:afterAutospacing="0"/>
              <w:ind w:left="0" w:right="0"/>
              <w:rPr>
                <w:kern w:val="2"/>
              </w:rPr>
            </w:pPr>
            <w:r>
              <w:rPr>
                <w:kern w:val="2"/>
              </w:rPr>
              <w:t>3.20</w:t>
            </w:r>
          </w:p>
        </w:tc>
        <w:tc>
          <w:tcPr>
            <w:tcW w:w="1893" w:type="dxa"/>
            <w:vAlign w:val="center"/>
          </w:tcPr>
          <w:p>
            <w:pPr>
              <w:pStyle w:val="11"/>
              <w:keepNext w:val="0"/>
              <w:keepLines w:val="0"/>
              <w:widowControl/>
              <w:suppressLineNumbers w:val="0"/>
              <w:spacing w:beforeAutospacing="0" w:afterAutospacing="0"/>
              <w:ind w:left="0" w:right="0"/>
              <w:rPr>
                <w:kern w:val="2"/>
              </w:rPr>
            </w:pPr>
            <w:r>
              <w:rPr>
                <w:kern w:val="2"/>
              </w:rPr>
              <w:t>3.20</w:t>
            </w:r>
          </w:p>
        </w:tc>
        <w:tc>
          <w:tcPr>
            <w:tcW w:w="1915" w:type="dxa"/>
            <w:vAlign w:val="center"/>
          </w:tcPr>
          <w:p>
            <w:pPr>
              <w:pStyle w:val="11"/>
              <w:keepNext w:val="0"/>
              <w:keepLines w:val="0"/>
              <w:widowControl/>
              <w:suppressLineNumbers w:val="0"/>
              <w:spacing w:beforeAutospacing="0" w:afterAutospacing="0"/>
              <w:ind w:left="0" w:right="0"/>
              <w:rPr>
                <w:kern w:val="2"/>
              </w:rPr>
            </w:pPr>
          </w:p>
        </w:tc>
        <w:tc>
          <w:tcPr>
            <w:tcW w:w="1904" w:type="dxa"/>
            <w:vAlign w:val="center"/>
          </w:tcPr>
          <w:p>
            <w:pPr>
              <w:pStyle w:val="11"/>
              <w:keepNext w:val="0"/>
              <w:keepLines w:val="0"/>
              <w:widowControl/>
              <w:suppressLineNumbers w:val="0"/>
              <w:spacing w:beforeAutospacing="0" w:afterAutospacing="0"/>
              <w:ind w:left="0" w:right="0"/>
              <w:rPr>
                <w:kern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keepNext w:val="0"/>
              <w:keepLines w:val="0"/>
              <w:widowControl/>
              <w:suppressLineNumbers w:val="0"/>
              <w:spacing w:beforeAutospacing="0" w:afterAutospacing="0"/>
              <w:ind w:left="0" w:right="0"/>
              <w:rPr>
                <w:kern w:val="2"/>
              </w:rPr>
            </w:pPr>
            <w:r>
              <w:rPr>
                <w:kern w:val="2"/>
              </w:rPr>
              <w:t>8</w:t>
            </w:r>
          </w:p>
        </w:tc>
        <w:tc>
          <w:tcPr>
            <w:tcW w:w="2731" w:type="dxa"/>
            <w:vAlign w:val="center"/>
          </w:tcPr>
          <w:p>
            <w:pPr>
              <w:pStyle w:val="12"/>
              <w:keepNext w:val="0"/>
              <w:keepLines w:val="0"/>
              <w:widowControl/>
              <w:suppressLineNumbers w:val="0"/>
              <w:spacing w:beforeAutospacing="0" w:afterAutospacing="0"/>
              <w:ind w:left="0" w:right="0"/>
              <w:rPr>
                <w:kern w:val="2"/>
              </w:rPr>
            </w:pPr>
            <w:r>
              <w:rPr>
                <w:kern w:val="2"/>
              </w:rPr>
              <w:t>三、公务接待费</w:t>
            </w:r>
          </w:p>
        </w:tc>
        <w:tc>
          <w:tcPr>
            <w:tcW w:w="2146" w:type="dxa"/>
            <w:vAlign w:val="center"/>
          </w:tcPr>
          <w:p>
            <w:pPr>
              <w:pStyle w:val="11"/>
              <w:keepNext w:val="0"/>
              <w:keepLines w:val="0"/>
              <w:widowControl/>
              <w:suppressLineNumbers w:val="0"/>
              <w:spacing w:beforeAutospacing="0" w:afterAutospacing="0"/>
              <w:ind w:left="0" w:right="0"/>
              <w:rPr>
                <w:rFonts w:hint="default" w:eastAsia="方正书宋_GBK"/>
                <w:kern w:val="2"/>
                <w:lang w:val="en-US" w:eastAsia="zh-CN"/>
              </w:rPr>
            </w:pPr>
            <w:r>
              <w:rPr>
                <w:rFonts w:hint="eastAsia"/>
                <w:kern w:val="2"/>
                <w:lang w:val="en-US" w:eastAsia="zh-CN"/>
              </w:rPr>
              <w:t>1.0</w:t>
            </w:r>
          </w:p>
        </w:tc>
        <w:tc>
          <w:tcPr>
            <w:tcW w:w="1893" w:type="dxa"/>
            <w:vAlign w:val="center"/>
          </w:tcPr>
          <w:p>
            <w:pPr>
              <w:pStyle w:val="11"/>
              <w:keepNext w:val="0"/>
              <w:keepLines w:val="0"/>
              <w:widowControl/>
              <w:suppressLineNumbers w:val="0"/>
              <w:spacing w:beforeAutospacing="0" w:afterAutospacing="0"/>
              <w:ind w:left="0" w:right="0"/>
              <w:rPr>
                <w:rFonts w:hint="default" w:eastAsia="方正书宋_GBK"/>
                <w:kern w:val="2"/>
                <w:lang w:val="en-US" w:eastAsia="zh-CN"/>
              </w:rPr>
            </w:pPr>
            <w:r>
              <w:rPr>
                <w:rFonts w:hint="eastAsia"/>
                <w:kern w:val="2"/>
                <w:lang w:val="en-US" w:eastAsia="zh-CN"/>
              </w:rPr>
              <w:t>1.0</w:t>
            </w:r>
          </w:p>
        </w:tc>
        <w:tc>
          <w:tcPr>
            <w:tcW w:w="1915" w:type="dxa"/>
            <w:vAlign w:val="center"/>
          </w:tcPr>
          <w:p>
            <w:pPr>
              <w:pStyle w:val="11"/>
              <w:keepNext w:val="0"/>
              <w:keepLines w:val="0"/>
              <w:widowControl/>
              <w:suppressLineNumbers w:val="0"/>
              <w:spacing w:beforeAutospacing="0" w:afterAutospacing="0"/>
              <w:ind w:left="0" w:right="0"/>
              <w:rPr>
                <w:kern w:val="2"/>
              </w:rPr>
            </w:pPr>
          </w:p>
        </w:tc>
        <w:tc>
          <w:tcPr>
            <w:tcW w:w="1904" w:type="dxa"/>
            <w:vAlign w:val="center"/>
          </w:tcPr>
          <w:p>
            <w:pPr>
              <w:pStyle w:val="11"/>
              <w:keepNext w:val="0"/>
              <w:keepLines w:val="0"/>
              <w:widowControl/>
              <w:suppressLineNumbers w:val="0"/>
              <w:spacing w:beforeAutospacing="0" w:afterAutospacing="0"/>
              <w:ind w:left="0" w:right="0"/>
              <w:rPr>
                <w:kern w:val="2"/>
              </w:rPr>
            </w:pPr>
          </w:p>
        </w:tc>
      </w:tr>
      <w:bookmarkEnd w:id="9"/>
    </w:tbl>
    <w:p>
      <w:pPr>
        <w:jc w:val="center"/>
        <w:rPr>
          <w:rFonts w:ascii="方正小标宋_GBK" w:hAnsi="方正小标宋_GBK" w:eastAsia="方正小标宋_GBK" w:cs="方正小标宋_GBK"/>
          <w:color w:val="000000"/>
          <w:sz w:val="44"/>
        </w:rPr>
      </w:pPr>
    </w:p>
    <w:p>
      <w:pPr>
        <w:jc w:val="center"/>
        <w:rPr>
          <w:rFonts w:ascii="方正小标宋_GBK" w:hAnsi="方正小标宋_GBK" w:eastAsia="方正小标宋_GBK" w:cs="方正小标宋_GBK"/>
          <w:color w:val="000000"/>
          <w:sz w:val="44"/>
        </w:rPr>
      </w:pPr>
    </w:p>
    <w:p>
      <w:pPr>
        <w:jc w:val="center"/>
      </w:pPr>
      <w:r>
        <w:rPr>
          <w:rFonts w:ascii="方正小标宋_GBK" w:hAnsi="方正小标宋_GBK" w:eastAsia="方正小标宋_GBK" w:cs="方正小标宋_GBK"/>
          <w:color w:val="000000"/>
          <w:sz w:val="44"/>
        </w:rPr>
        <w:t>青龙满族自治县朱杖子乡人民政府2025年部门预算信息公开情况说明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按照《中华人民共和国预算法》、《地方预决算公开操作规程》和《关于进一步推进预算公开工作的实施意见》规定，现将青龙满族自治县朱杖子乡人民政府2025年部门预算公开如下：</w:t>
      </w:r>
    </w:p>
    <w:p>
      <w:pPr>
        <w:spacing w:before="10" w:after="10" w:line="360" w:lineRule="auto"/>
        <w:ind w:firstLine="640"/>
        <w:outlineLvl w:val="2"/>
      </w:pPr>
      <w:bookmarkStart w:id="10" w:name="_Toc_3_3_0000000010"/>
      <w:r>
        <w:rPr>
          <w:rFonts w:ascii="黑体" w:hAnsi="黑体" w:eastAsia="黑体" w:cs="黑体"/>
          <w:color w:val="000000"/>
          <w:sz w:val="32"/>
        </w:rPr>
        <w:t>一、部门职责及机构设置情况</w:t>
      </w:r>
      <w:bookmarkEnd w:id="10"/>
    </w:p>
    <w:p>
      <w:pPr>
        <w:ind w:firstLine="640"/>
      </w:pPr>
      <w:r>
        <w:rPr>
          <w:rFonts w:ascii="方正楷体_GBK" w:hAnsi="方正楷体_GBK" w:eastAsia="方正楷体_GBK" w:cs="方正楷体_GBK"/>
          <w:b/>
          <w:color w:val="000000"/>
          <w:sz w:val="32"/>
        </w:rPr>
        <w:t>部门职责：</w:t>
      </w:r>
    </w:p>
    <w:p>
      <w:pPr>
        <w:pStyle w:val="17"/>
      </w:pPr>
      <w: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青龙满族自治县朱杖子乡人民政府本级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bookmarkStart w:id="11" w:name="_Toc_3_3_0000000011"/>
      <w:r>
        <w:rPr>
          <w:rFonts w:ascii="黑体" w:hAnsi="黑体" w:eastAsia="黑体" w:cs="黑体"/>
          <w:color w:val="000000"/>
          <w:sz w:val="32"/>
        </w:rPr>
        <w:t>二、部门预算安排的总体情况</w:t>
      </w:r>
      <w:bookmarkEnd w:id="11"/>
    </w:p>
    <w:p>
      <w:pPr>
        <w:pStyle w:val="18"/>
      </w:pPr>
      <w:r>
        <w:t>按照预算管理有关规定，目前部门预算的编制实行综合预算管理，即全部收入和支出都反映在预算中。青龙满族自治县朱杖子乡人民政府机关及所属事业单位的收支包含在部门预算中。</w:t>
      </w:r>
    </w:p>
    <w:p>
      <w:pPr>
        <w:pStyle w:val="18"/>
      </w:pPr>
      <w:r>
        <w:t>1、收入说明</w:t>
      </w:r>
    </w:p>
    <w:p>
      <w:pPr>
        <w:pStyle w:val="18"/>
      </w:pPr>
      <w:r>
        <w:t>反映本部门当年全部收入。2025年预算收入929.35万元，其中：一般公共预算收入870.30万元，基金预算收入3.93万元，国有资本经营预算收入0.00万元，财政专户核拨收入0.00万元，单位资金收入0.00万元，上年结转结余55.11万元。</w:t>
      </w:r>
    </w:p>
    <w:p>
      <w:pPr>
        <w:pStyle w:val="18"/>
      </w:pPr>
      <w:r>
        <w:t>2、支出说明</w:t>
      </w:r>
    </w:p>
    <w:p>
      <w:pPr>
        <w:pStyle w:val="18"/>
      </w:pPr>
      <w:r>
        <w:t>收支预算总表支出栏、基本支出表、项目支出表按经济分类和支出功能分类科目编制，反映青龙满族自治县朱杖子乡人民政府年度部门预算中支出预算的总体情况。2025年支出预算929.35万元，其中基本支出833.60万元，包括人员经费758.85万元和日常公用经费74.75万元；项目支出95.74万元，主要为扶贫工作专项经费 、党建经费、人大经费 、团委工作经费 、防火防汛经费、燃煤锅炉改造及清洁能源补贴 、全国自然灾害综合风险普查工作经费 、专项武装经费等。</w:t>
      </w:r>
    </w:p>
    <w:p>
      <w:pPr>
        <w:pStyle w:val="18"/>
      </w:pPr>
      <w:r>
        <w:t>3、比上年增减情况</w:t>
      </w:r>
    </w:p>
    <w:p>
      <w:pPr>
        <w:pStyle w:val="18"/>
      </w:pPr>
      <w:r>
        <w:t>2025年预算收支安排929.35万元，较2024年预算减少33.49万元，其中：基本支出减少12.41万元，主要为减少了人员经费支出及公用经费。项目支出减少21.08万元，主要为减少了武装工作经费等项目资金。</w:t>
      </w:r>
    </w:p>
    <w:p>
      <w:pPr>
        <w:spacing w:before="10" w:after="10" w:line="360" w:lineRule="auto"/>
        <w:ind w:firstLine="640"/>
        <w:outlineLvl w:val="2"/>
      </w:pPr>
      <w:bookmarkStart w:id="12" w:name="_Toc_3_3_0000000012"/>
      <w:r>
        <w:rPr>
          <w:rFonts w:ascii="黑体" w:hAnsi="黑体" w:eastAsia="黑体" w:cs="黑体"/>
          <w:color w:val="000000"/>
          <w:sz w:val="32"/>
        </w:rPr>
        <w:t>三、机关运行经费安排情况</w:t>
      </w:r>
      <w:bookmarkEnd w:id="12"/>
    </w:p>
    <w:p>
      <w:pPr>
        <w:pStyle w:val="19"/>
      </w:pPr>
      <w:r>
        <w:t>2025年，我部门机关运行经费共计安排74.75万元，主要用于日常维修、办公用房水电费、办公用房取暖费、办公用房物业管理费等日常运行支出。</w:t>
      </w:r>
    </w:p>
    <w:p>
      <w:pPr>
        <w:spacing w:before="10" w:after="10" w:line="360" w:lineRule="auto"/>
        <w:ind w:firstLine="640"/>
        <w:outlineLvl w:val="2"/>
      </w:pPr>
      <w:bookmarkStart w:id="13" w:name="_Toc_3_3_0000000013"/>
      <w:r>
        <w:rPr>
          <w:rFonts w:ascii="黑体" w:hAnsi="黑体" w:eastAsia="黑体" w:cs="黑体"/>
          <w:color w:val="000000"/>
          <w:sz w:val="32"/>
        </w:rPr>
        <w:t>四、财政拨款“三公”经费预算情况及增减变化原因</w:t>
      </w:r>
      <w:bookmarkEnd w:id="13"/>
    </w:p>
    <w:p>
      <w:pPr>
        <w:pStyle w:val="20"/>
      </w:pPr>
      <w:r>
        <w:t>2025年，我部门财政拨款“三公”经费预算安排</w:t>
      </w:r>
      <w:r>
        <w:rPr>
          <w:rFonts w:hint="eastAsia" w:eastAsiaTheme="minorEastAsia"/>
          <w:lang w:eastAsia="zh-CN"/>
        </w:rPr>
        <w:t>4.2</w:t>
      </w:r>
      <w:r>
        <w:t>万元，其中因公出国（境）费0.00万元；公务用车购置及运维费</w:t>
      </w:r>
      <w:r>
        <w:rPr>
          <w:rFonts w:hint="eastAsia" w:eastAsiaTheme="minorEastAsia"/>
          <w:lang w:eastAsia="zh-CN"/>
        </w:rPr>
        <w:t>3.2</w:t>
      </w:r>
      <w:r>
        <w:t>万元（其中：公务用车购置费为0.00万元，公务用车运维费</w:t>
      </w:r>
      <w:r>
        <w:rPr>
          <w:rFonts w:hint="eastAsia" w:eastAsiaTheme="minorEastAsia"/>
          <w:lang w:eastAsia="zh-CN"/>
        </w:rPr>
        <w:t>3.2</w:t>
      </w:r>
      <w:r>
        <w:t>万元)；公务接待费</w:t>
      </w:r>
      <w:r>
        <w:rPr>
          <w:rFonts w:hint="eastAsia" w:eastAsiaTheme="minorEastAsia"/>
          <w:lang w:eastAsia="zh-CN"/>
        </w:rPr>
        <w:t>1</w:t>
      </w:r>
      <w:r>
        <w:t>万元。与2024年相比减少</w:t>
      </w:r>
      <w:r>
        <w:rPr>
          <w:rFonts w:hint="eastAsia" w:eastAsiaTheme="minorEastAsia"/>
          <w:lang w:eastAsia="zh-CN"/>
        </w:rPr>
        <w:t>1</w:t>
      </w:r>
      <w:r>
        <w:t>万元，增减变化的主要原因是我单位认真贯彻落实中央“八项规定”要求，严格执行公务用车管理办法，严格控制公务用车运维费并严格落实了《党政机关厉行节约反对浪费条例》，规范公务接待活动，严格审批、严控标准，大力压缩公务接待费支出。</w:t>
      </w:r>
    </w:p>
    <w:p>
      <w:pPr>
        <w:spacing w:before="10" w:after="10" w:line="360" w:lineRule="auto"/>
        <w:ind w:firstLine="640"/>
        <w:outlineLvl w:val="2"/>
      </w:pPr>
      <w:bookmarkStart w:id="14" w:name="_Toc_3_3_0000000014"/>
      <w:r>
        <w:rPr>
          <w:rFonts w:ascii="黑体" w:hAnsi="黑体" w:eastAsia="黑体" w:cs="黑体"/>
          <w:color w:val="000000"/>
          <w:sz w:val="32"/>
        </w:rPr>
        <w:t>五、部门整体绩效目标</w:t>
      </w:r>
      <w:bookmarkEnd w:id="14"/>
    </w:p>
    <w:p>
      <w:pPr>
        <w:spacing w:line="500" w:lineRule="exact"/>
        <w:ind w:firstLine="560"/>
      </w:pPr>
      <w:r>
        <w:rPr>
          <w:rFonts w:eastAsia="方正仿宋_GBK"/>
          <w:color w:val="000000"/>
          <w:sz w:val="28"/>
        </w:rPr>
        <w:t>（一）总体绩效目标</w:t>
      </w:r>
    </w:p>
    <w:p>
      <w:pPr>
        <w:pStyle w:val="21"/>
      </w:pPr>
      <w:r>
        <w:t>二十大</w:t>
      </w:r>
      <w:r>
        <w:rPr>
          <w:rFonts w:hint="eastAsia"/>
          <w:lang w:val="en-US" w:eastAsia="zh-CN"/>
        </w:rPr>
        <w:t>胜</w:t>
      </w:r>
      <w:r>
        <w:t>利召开，是我们党进入全面建设社会主义现代化国家、向第二个百年奋斗目标进军新征程的重要时刻。值此蓄势待发的新起点，我们将进一步坚定信心、振奋精神，克难攻坚、扎实苦干，努力开创全镇新局面。</w:t>
      </w:r>
    </w:p>
    <w:p>
      <w:pPr>
        <w:pStyle w:val="21"/>
      </w:pPr>
      <w:r>
        <w:t>（一）围绕基层组织建设，提升服务能力水平。</w:t>
      </w:r>
    </w:p>
    <w:p>
      <w:pPr>
        <w:pStyle w:val="21"/>
      </w:pPr>
      <w:r>
        <w:t>（二）围绕地区资源优势，发展壮大镇域经济。</w:t>
      </w:r>
    </w:p>
    <w:p>
      <w:pPr>
        <w:pStyle w:val="21"/>
      </w:pPr>
      <w:r>
        <w:t>（三）围绕防贫监测，持续巩固巩固</w:t>
      </w:r>
      <w:r>
        <w:rPr>
          <w:rFonts w:hint="eastAsia"/>
          <w:lang w:val="en-US" w:eastAsia="zh-CN"/>
        </w:rPr>
        <w:t>拓展</w:t>
      </w:r>
      <w:r>
        <w:t>脱贫攻坚成果。</w:t>
      </w:r>
    </w:p>
    <w:p>
      <w:pPr>
        <w:pStyle w:val="21"/>
      </w:pPr>
      <w:r>
        <w:t>（四）围绕环境污染防治，推进生态文明建设。</w:t>
      </w:r>
    </w:p>
    <w:p>
      <w:pPr>
        <w:pStyle w:val="21"/>
      </w:pPr>
      <w:r>
        <w:t>（五）围绕平安建设，推进社会治理水平提高。</w:t>
      </w:r>
    </w:p>
    <w:p>
      <w:pPr>
        <w:spacing w:line="500" w:lineRule="exact"/>
        <w:ind w:firstLine="560"/>
      </w:pPr>
      <w:r>
        <w:rPr>
          <w:rFonts w:eastAsia="方正仿宋_GBK"/>
          <w:color w:val="000000"/>
          <w:sz w:val="28"/>
        </w:rPr>
        <w:t>（二）分项绩效目标</w:t>
      </w:r>
    </w:p>
    <w:p>
      <w:pPr>
        <w:pStyle w:val="22"/>
      </w:pPr>
      <w:r>
        <w:t>一、扶贫产业资金及时足额落实到位，产业项目建设圆满完成，提质增效入户类扶贫资金全额到户。集中力量，整合资源，圆满实现脱贫攻坚阶段性胜利。</w:t>
      </w:r>
    </w:p>
    <w:p>
      <w:pPr>
        <w:pStyle w:val="22"/>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pPr>
        <w:pStyle w:val="22"/>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pPr>
        <w:pStyle w:val="22"/>
      </w:pPr>
      <w:r>
        <w:t>四、做好青年统战对象的团结教育、引导、服务工作，为全县经济社会发展贡献力量。</w:t>
      </w:r>
    </w:p>
    <w:p>
      <w:pPr>
        <w:pStyle w:val="22"/>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部门做好中、小学学生的教育管理工作。</w:t>
      </w:r>
    </w:p>
    <w:p>
      <w:pPr>
        <w:pStyle w:val="22"/>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pPr>
        <w:pStyle w:val="22"/>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pPr>
        <w:pStyle w:val="22"/>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pPr>
        <w:pStyle w:val="22"/>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pPr>
        <w:pStyle w:val="22"/>
      </w:pPr>
      <w:r>
        <w:t xml:space="preserve">九、严格按照法律法规规定开展村财管工作，确保实现农村基层财务管理规范化、公开化。完善农村综合改革，保 障村级行政运行经费、村干部工资及时足额到位。 </w:t>
      </w:r>
    </w:p>
    <w:p>
      <w:pPr>
        <w:pStyle w:val="22"/>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pPr>
        <w:pStyle w:val="22"/>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pPr>
        <w:spacing w:line="500" w:lineRule="exact"/>
        <w:ind w:firstLine="560"/>
      </w:pPr>
      <w:r>
        <w:rPr>
          <w:rFonts w:eastAsia="方正仿宋_GBK"/>
          <w:color w:val="000000"/>
          <w:sz w:val="28"/>
        </w:rPr>
        <w:t>（三）工作保障措施</w:t>
      </w:r>
    </w:p>
    <w:p>
      <w:pPr>
        <w:pStyle w:val="23"/>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3"/>
      </w:pPr>
      <w:r>
        <w:t>2、加强生态建设。深入实施大气污染防治行动，狠抓秸秆禁烧和综合利用，积极推广清洁燃烧炉具。深入实施水环境治理行动，全力抓好河道垃圾清理。</w:t>
      </w:r>
    </w:p>
    <w:p>
      <w:pPr>
        <w:pStyle w:val="23"/>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3"/>
      </w:pPr>
      <w:r>
        <w:t>4、完善社会保障体系，新农合、新农保做到应保尽保；建立健全促进就业长效机制，继续抓好低保、五保等工作，认真落实农村大病救助、困难救助救济等政策。</w:t>
      </w:r>
    </w:p>
    <w:p>
      <w:pPr>
        <w:pStyle w:val="23"/>
      </w:pPr>
      <w:r>
        <w:t>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3"/>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3"/>
      </w:pPr>
      <w:r>
        <w:t xml:space="preserve">7、加强党风廉政建设。严格落实中央“八项规定”，不断提高服务群众水平。完善工作机制，建立健全绩效考核、出勤管理、带薪年休假和村级考核、财务监督等制度。牢固树立过紧日子思想，严格控制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pPr>
        <w:pStyle w:val="23"/>
      </w:pPr>
      <w:r>
        <w:t>8、完善制度建设。包括制定完善预算绩效管理制度、资金管理办法、工作保障制度等，为全年预算绩效目标的实现奠定制度基础。</w:t>
      </w:r>
    </w:p>
    <w:p>
      <w:pPr>
        <w:pStyle w:val="23"/>
      </w:pPr>
      <w:r>
        <w:t>9、加强支出管理。通过优化支出结构、编细编实预算、加快履行政府采购手续、尽快启动项目、及时支付资金、按规定及时下达资金等多种措施，确保支出进度达标。</w:t>
      </w:r>
    </w:p>
    <w:p>
      <w:pPr>
        <w:pStyle w:val="23"/>
      </w:pPr>
      <w:r>
        <w:t>10、加强绩效运行监控。按要求开展绩效运行监控，发现问题及时采取措施，确保绩效目标如期保质实现。</w:t>
      </w:r>
    </w:p>
    <w:p>
      <w:pPr>
        <w:pStyle w:val="23"/>
      </w:pPr>
      <w:r>
        <w:t>11、做好绩效自评。按要求开展上年度部门预算绩效自评和重点评价工作，对评价中发现的问题及时整改，调整优化支出结构，提高财政资金使用效益。</w:t>
      </w:r>
    </w:p>
    <w:p>
      <w:pPr>
        <w:pStyle w:val="23"/>
      </w:pPr>
      <w:r>
        <w:t>12、规范财务资产管理。完善财务管理制度，严格审批程序，加强固定资产登记、使用和报废处置管理，做到支出合理，物尽其用。</w:t>
      </w:r>
    </w:p>
    <w:p>
      <w:pPr>
        <w:pStyle w:val="23"/>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sectPr>
          <w:pgSz w:w="16840" w:h="11900" w:orient="landscape"/>
          <w:pgMar w:top="1361" w:right="1020" w:bottom="1361" w:left="1020" w:header="720" w:footer="720" w:gutter="0"/>
          <w:cols w:space="720" w:num="1"/>
        </w:sectPr>
      </w:pPr>
      <w:r>
        <w:t>14、加强宣传培训调研等。加强人员培训，提高本部门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outlineLvl w:val="2"/>
        <w:rPr>
          <w:rFonts w:ascii="黑体" w:hAnsi="黑体" w:eastAsia="黑体" w:cs="黑体"/>
          <w:color w:val="000000"/>
          <w:sz w:val="32"/>
        </w:rPr>
      </w:pPr>
      <w:bookmarkStart w:id="15" w:name="_Toc_3_3_0000000015"/>
      <w:r>
        <w:rPr>
          <w:rFonts w:ascii="黑体" w:hAnsi="黑体" w:eastAsia="黑体" w:cs="黑体"/>
          <w:color w:val="000000"/>
          <w:sz w:val="32"/>
        </w:rPr>
        <w:t>六、部门主管专项资金预算安排情况及绩效目标</w:t>
      </w:r>
      <w:bookmarkEnd w:id="15"/>
    </w:p>
    <w:p>
      <w:pPr>
        <w:spacing w:before="10" w:after="10" w:line="360" w:lineRule="auto"/>
        <w:ind w:firstLine="640" w:firstLineChars="200"/>
        <w:outlineLvl w:val="2"/>
        <w:rPr>
          <w:rFonts w:hint="eastAsia" w:ascii="仿宋_GB2312" w:hAnsi="仿宋_GB2312" w:eastAsia="仿宋_GB2312" w:cs="仿宋_GB2312"/>
          <w:color w:val="000000"/>
          <w:sz w:val="32"/>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32"/>
        </w:rPr>
        <w:t>我部门无专项资金预算安排。</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6" w:name="_Toc_3_3_0000000016"/>
      <w:r>
        <w:rPr>
          <w:rFonts w:ascii="黑体" w:hAnsi="黑体" w:eastAsia="黑体" w:cs="黑体"/>
          <w:color w:val="000000"/>
          <w:sz w:val="32"/>
        </w:rPr>
        <w:t>七、部门项目预算安排情况及绩效目标</w:t>
      </w:r>
      <w:bookmarkEnd w:id="16"/>
    </w:p>
    <w:p>
      <w:pPr>
        <w:ind w:firstLine="560"/>
      </w:pPr>
      <w:r>
        <w:rPr>
          <w:rFonts w:ascii="方正仿宋_GBK" w:hAnsi="方正仿宋_GBK" w:eastAsia="方正仿宋_GBK" w:cs="方正仿宋_GBK"/>
          <w:color w:val="000000"/>
          <w:sz w:val="28"/>
        </w:rPr>
        <w:t>1、党建工作经费绩效目标表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13032125P003349102999</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预算安排资金1万元，其中财政资金1万元，主要用于开展组织、宣传等党建工作，加强干部队伍建设，发挥基层党组织的作用。</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1.通过践行“不忘初心、牢记使命”宗旨，充分发挥党的思想政治优势、组织优势和密切联系群众的优势。</w:t>
            </w:r>
            <w:r>
              <w:tab/>
            </w:r>
            <w:r>
              <w:tab/>
            </w:r>
            <w:r>
              <w:tab/>
            </w:r>
          </w:p>
          <w:p>
            <w:pPr>
              <w:pStyle w:val="12"/>
            </w:pPr>
            <w:r>
              <w:t>2.通过开展组织、宣传等党建工作，加强干部队伍建设，发挥基层党组织的作用。</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2268" w:type="dxa"/>
            <w:vAlign w:val="center"/>
          </w:tcPr>
          <w:p>
            <w:pPr>
              <w:pStyle w:val="12"/>
            </w:pPr>
            <w:r>
              <w:t>≥15次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舆情信息数量（条）</w:t>
            </w:r>
          </w:p>
        </w:tc>
        <w:tc>
          <w:tcPr>
            <w:tcW w:w="5386" w:type="dxa"/>
            <w:vAlign w:val="center"/>
          </w:tcPr>
          <w:p>
            <w:pPr>
              <w:pStyle w:val="12"/>
            </w:pPr>
            <w:r>
              <w:t>收集、分析、上报舆情信息的数量</w:t>
            </w:r>
          </w:p>
        </w:tc>
        <w:tc>
          <w:tcPr>
            <w:tcW w:w="2268" w:type="dxa"/>
            <w:vAlign w:val="center"/>
          </w:tcPr>
          <w:p>
            <w:pPr>
              <w:pStyle w:val="12"/>
            </w:pPr>
            <w:r>
              <w:t>≥60条</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党建工作完成时效性</w:t>
            </w:r>
          </w:p>
        </w:tc>
        <w:tc>
          <w:tcPr>
            <w:tcW w:w="5386" w:type="dxa"/>
            <w:vAlign w:val="center"/>
          </w:tcPr>
          <w:p>
            <w:pPr>
              <w:pStyle w:val="12"/>
            </w:pPr>
            <w:r>
              <w:t>全年按计划完成各项工作</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268" w:type="dxa"/>
            <w:vAlign w:val="center"/>
          </w:tcPr>
          <w:p>
            <w:pPr>
              <w:pStyle w:val="12"/>
            </w:pPr>
            <w:r>
              <w:t>≤1万元</w:t>
            </w:r>
          </w:p>
        </w:tc>
        <w:tc>
          <w:tcPr>
            <w:tcW w:w="1276" w:type="dxa"/>
            <w:vAlign w:val="center"/>
          </w:tcPr>
          <w:p>
            <w:pPr>
              <w:pStyle w:val="12"/>
            </w:pPr>
            <w:r>
              <w:t>年度工作计划与预算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基层党组织带动示范作用</w:t>
            </w:r>
          </w:p>
        </w:tc>
        <w:tc>
          <w:tcPr>
            <w:tcW w:w="5386" w:type="dxa"/>
            <w:vAlign w:val="center"/>
          </w:tcPr>
          <w:p>
            <w:pPr>
              <w:pStyle w:val="12"/>
            </w:pPr>
            <w:r>
              <w:t>通过党建工作促进党员队伍能力提升，在经济建设中发挥带动示范作用</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党员带头发展经济</w:t>
            </w:r>
          </w:p>
        </w:tc>
        <w:tc>
          <w:tcPr>
            <w:tcW w:w="5386" w:type="dxa"/>
            <w:vAlign w:val="center"/>
          </w:tcPr>
          <w:p>
            <w:pPr>
              <w:pStyle w:val="12"/>
            </w:pPr>
            <w:r>
              <w:t>通过党员带动发展经济，增加村民收入</w:t>
            </w:r>
          </w:p>
        </w:tc>
        <w:tc>
          <w:tcPr>
            <w:tcW w:w="2268" w:type="dxa"/>
            <w:vAlign w:val="center"/>
          </w:tcPr>
          <w:p>
            <w:pPr>
              <w:pStyle w:val="12"/>
            </w:pPr>
            <w:r>
              <w:t>≥1500元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全乡党员对党建工作的满意程度</w:t>
            </w:r>
          </w:p>
        </w:tc>
        <w:tc>
          <w:tcPr>
            <w:tcW w:w="2268" w:type="dxa"/>
            <w:vAlign w:val="center"/>
          </w:tcPr>
          <w:p>
            <w:pPr>
              <w:pStyle w:val="12"/>
            </w:pPr>
            <w:r>
              <w:t>≥95%</w:t>
            </w:r>
          </w:p>
        </w:tc>
        <w:tc>
          <w:tcPr>
            <w:tcW w:w="1276" w:type="dxa"/>
            <w:vAlign w:val="center"/>
          </w:tcPr>
          <w:p>
            <w:pPr>
              <w:pStyle w:val="12"/>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2、扶贫工作专项经费绩效目标表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13032125P00334910298M</w:t>
            </w:r>
          </w:p>
        </w:tc>
        <w:tc>
          <w:tcPr>
            <w:tcW w:w="2835" w:type="dxa"/>
            <w:vAlign w:val="center"/>
          </w:tcPr>
          <w:p>
            <w:pPr>
              <w:pStyle w:val="10"/>
            </w:pPr>
            <w:r>
              <w:t>项目名称</w:t>
            </w:r>
          </w:p>
        </w:tc>
        <w:tc>
          <w:tcPr>
            <w:tcW w:w="6095" w:type="dxa"/>
            <w:gridSpan w:val="3"/>
            <w:vAlign w:val="center"/>
          </w:tcPr>
          <w:p>
            <w:pPr>
              <w:pStyle w:val="12"/>
            </w:pPr>
            <w:r>
              <w:t>扶贫工作专项经费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预算安排资金1万元，其中财政资金1万元，主要用于项目实施，保障扶贫工作的正常进行。</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1.完成脱贫攻坚任务，提供有力保障。</w:t>
            </w:r>
            <w:r>
              <w:tab/>
            </w:r>
            <w:r>
              <w:tab/>
            </w:r>
            <w:r>
              <w:tab/>
            </w:r>
            <w:r>
              <w:tab/>
            </w:r>
            <w:r>
              <w:tab/>
            </w:r>
            <w:r>
              <w:tab/>
            </w:r>
          </w:p>
          <w:p>
            <w:pPr>
              <w:pStyle w:val="12"/>
            </w:pPr>
          </w:p>
          <w:p>
            <w:pPr>
              <w:pStyle w:val="12"/>
            </w:pPr>
            <w:r>
              <w:t>2.通过项目实施，保障扶贫工作的正常进行。</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贫困村脱贫出列数（个）</w:t>
            </w:r>
          </w:p>
        </w:tc>
        <w:tc>
          <w:tcPr>
            <w:tcW w:w="5386" w:type="dxa"/>
            <w:vAlign w:val="center"/>
          </w:tcPr>
          <w:p>
            <w:pPr>
              <w:pStyle w:val="12"/>
            </w:pPr>
            <w:r>
              <w:t>建档立卡贫困村脱贫出列数量</w:t>
            </w:r>
          </w:p>
        </w:tc>
        <w:tc>
          <w:tcPr>
            <w:tcW w:w="2268" w:type="dxa"/>
            <w:vAlign w:val="center"/>
          </w:tcPr>
          <w:p>
            <w:pPr>
              <w:pStyle w:val="12"/>
            </w:pPr>
            <w:r>
              <w:t>4个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农村脱贫人口比率</w:t>
            </w:r>
          </w:p>
        </w:tc>
        <w:tc>
          <w:tcPr>
            <w:tcW w:w="5386" w:type="dxa"/>
            <w:vAlign w:val="center"/>
          </w:tcPr>
          <w:p>
            <w:pPr>
              <w:pStyle w:val="12"/>
            </w:pPr>
            <w:r>
              <w:t>年度计划脱贫人口数量占贫困人口总数的比率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各项工作按年度计划完成</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扶贫工作交通费支出</w:t>
            </w:r>
          </w:p>
        </w:tc>
        <w:tc>
          <w:tcPr>
            <w:tcW w:w="5386" w:type="dxa"/>
            <w:vAlign w:val="center"/>
          </w:tcPr>
          <w:p>
            <w:pPr>
              <w:pStyle w:val="12"/>
            </w:pPr>
            <w:r>
              <w:t>下乡扶贫的租车等交通费用支出</w:t>
            </w:r>
          </w:p>
        </w:tc>
        <w:tc>
          <w:tcPr>
            <w:tcW w:w="2268" w:type="dxa"/>
            <w:vAlign w:val="center"/>
          </w:tcPr>
          <w:p>
            <w:pPr>
              <w:pStyle w:val="12"/>
            </w:pPr>
            <w:r>
              <w:t>≤0.3万元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扶贫工作办公费支出</w:t>
            </w:r>
          </w:p>
        </w:tc>
        <w:tc>
          <w:tcPr>
            <w:tcW w:w="5386" w:type="dxa"/>
            <w:vAlign w:val="center"/>
          </w:tcPr>
          <w:p>
            <w:pPr>
              <w:pStyle w:val="12"/>
            </w:pPr>
            <w:r>
              <w:t>用于下乡扶贫工作办公经费支出</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扶贫慰问支出</w:t>
            </w:r>
          </w:p>
        </w:tc>
        <w:tc>
          <w:tcPr>
            <w:tcW w:w="5386" w:type="dxa"/>
            <w:vAlign w:val="center"/>
          </w:tcPr>
          <w:p>
            <w:pPr>
              <w:pStyle w:val="12"/>
            </w:pPr>
            <w:r>
              <w:t>用于下乡扶贫慰问支出</w:t>
            </w:r>
          </w:p>
        </w:tc>
        <w:tc>
          <w:tcPr>
            <w:tcW w:w="2268" w:type="dxa"/>
            <w:vAlign w:val="center"/>
          </w:tcPr>
          <w:p>
            <w:pPr>
              <w:pStyle w:val="12"/>
            </w:pPr>
            <w:r>
              <w:t>≤0.2万元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扶贫保障工作完成</w:t>
            </w:r>
          </w:p>
        </w:tc>
        <w:tc>
          <w:tcPr>
            <w:tcW w:w="5386" w:type="dxa"/>
            <w:vAlign w:val="center"/>
          </w:tcPr>
          <w:p>
            <w:pPr>
              <w:pStyle w:val="12"/>
            </w:pPr>
            <w:r>
              <w:t>反应保障脱贫工作的正常运行，解决下乡扶贫的后勤问题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贫困村农民人均纯收入增长率（%）</w:t>
            </w:r>
          </w:p>
        </w:tc>
        <w:tc>
          <w:tcPr>
            <w:tcW w:w="5386" w:type="dxa"/>
            <w:vAlign w:val="center"/>
          </w:tcPr>
          <w:p>
            <w:pPr>
              <w:pStyle w:val="12"/>
            </w:pPr>
            <w:r>
              <w:t>贫困村农民人均纯收入的同比增长比率</w:t>
            </w:r>
          </w:p>
        </w:tc>
        <w:tc>
          <w:tcPr>
            <w:tcW w:w="2268" w:type="dxa"/>
            <w:vAlign w:val="center"/>
          </w:tcPr>
          <w:p>
            <w:pPr>
              <w:pStyle w:val="12"/>
            </w:pPr>
            <w:r>
              <w:t>≥20%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被帮扶贫困人员满意度</w:t>
            </w:r>
          </w:p>
        </w:tc>
        <w:tc>
          <w:tcPr>
            <w:tcW w:w="5386" w:type="dxa"/>
            <w:vAlign w:val="center"/>
          </w:tcPr>
          <w:p>
            <w:pPr>
              <w:pStyle w:val="12"/>
            </w:pPr>
            <w:r>
              <w:t>被帮扶贫困人员对扶贫工作的满意度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3、农村环境综合整治工作经费绩效目标表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13032125P003349103032</w:t>
            </w:r>
          </w:p>
        </w:tc>
        <w:tc>
          <w:tcPr>
            <w:tcW w:w="2835" w:type="dxa"/>
            <w:vAlign w:val="center"/>
          </w:tcPr>
          <w:p>
            <w:pPr>
              <w:pStyle w:val="10"/>
            </w:pPr>
            <w:r>
              <w:t>项目名称</w:t>
            </w:r>
          </w:p>
        </w:tc>
        <w:tc>
          <w:tcPr>
            <w:tcW w:w="6095" w:type="dxa"/>
            <w:gridSpan w:val="3"/>
            <w:vAlign w:val="center"/>
          </w:tcPr>
          <w:p>
            <w:pPr>
              <w:pStyle w:val="12"/>
            </w:pPr>
            <w:r>
              <w:t>农村环境综合整治工作经费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预算安排资金2万元，其中财政资金2万元，主要通过环境整治工作，解决村庄环境脏、乱、差问题，确保村容村貌干净整洁有序。</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1.通过环境整治工作，解决村庄环境脏、乱、差问题，确保村容村貌干净整洁有序。</w:t>
            </w:r>
            <w:r>
              <w:tab/>
            </w:r>
            <w:r>
              <w:tab/>
            </w:r>
            <w:r>
              <w:tab/>
            </w:r>
            <w:r>
              <w:tab/>
            </w:r>
            <w:r>
              <w:tab/>
            </w:r>
            <w:r>
              <w:tab/>
            </w:r>
          </w:p>
          <w:p>
            <w:pPr>
              <w:pStyle w:val="12"/>
            </w:pPr>
          </w:p>
          <w:p>
            <w:pPr>
              <w:pStyle w:val="12"/>
            </w:pPr>
            <w:r>
              <w:t>2.通过环境整治工作，改善农村生态环境，确保提高人民生活环境质量。</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下乡检查工作</w:t>
            </w:r>
          </w:p>
        </w:tc>
        <w:tc>
          <w:tcPr>
            <w:tcW w:w="5386" w:type="dxa"/>
            <w:vAlign w:val="center"/>
          </w:tcPr>
          <w:p>
            <w:pPr>
              <w:pStyle w:val="12"/>
            </w:pPr>
            <w:r>
              <w:t>反映下乡检查工作的次数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重点污染治理工程数量</w:t>
            </w:r>
          </w:p>
        </w:tc>
        <w:tc>
          <w:tcPr>
            <w:tcW w:w="5386" w:type="dxa"/>
            <w:vAlign w:val="center"/>
          </w:tcPr>
          <w:p>
            <w:pPr>
              <w:pStyle w:val="12"/>
            </w:pPr>
            <w:r>
              <w:t>反映完成的重点污染治理工程数量</w:t>
            </w:r>
          </w:p>
        </w:tc>
        <w:tc>
          <w:tcPr>
            <w:tcW w:w="2268" w:type="dxa"/>
            <w:vAlign w:val="center"/>
          </w:tcPr>
          <w:p>
            <w:pPr>
              <w:pStyle w:val="12"/>
            </w:pPr>
            <w:r>
              <w:t>≥5件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反映下乡宣传次数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反映用于下乡宣传印刷的宣传单数量</w:t>
            </w:r>
          </w:p>
        </w:tc>
        <w:tc>
          <w:tcPr>
            <w:tcW w:w="2268" w:type="dxa"/>
            <w:vAlign w:val="center"/>
          </w:tcPr>
          <w:p>
            <w:pPr>
              <w:pStyle w:val="12"/>
            </w:pPr>
            <w:r>
              <w:t>≥5000份</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生活垃圾整治率</w:t>
            </w:r>
          </w:p>
        </w:tc>
        <w:tc>
          <w:tcPr>
            <w:tcW w:w="5386" w:type="dxa"/>
            <w:vAlign w:val="center"/>
          </w:tcPr>
          <w:p>
            <w:pPr>
              <w:pStyle w:val="12"/>
            </w:pPr>
            <w:r>
              <w:t>整治生活垃圾占发现的比率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检查时间</w:t>
            </w:r>
          </w:p>
        </w:tc>
        <w:tc>
          <w:tcPr>
            <w:tcW w:w="5386" w:type="dxa"/>
            <w:vAlign w:val="center"/>
          </w:tcPr>
          <w:p>
            <w:pPr>
              <w:pStyle w:val="12"/>
            </w:pPr>
            <w:r>
              <w:t>反映下乡检查工作的时间</w:t>
            </w:r>
          </w:p>
        </w:tc>
        <w:tc>
          <w:tcPr>
            <w:tcW w:w="2268" w:type="dxa"/>
            <w:vAlign w:val="center"/>
          </w:tcPr>
          <w:p>
            <w:pPr>
              <w:pStyle w:val="12"/>
            </w:pPr>
            <w:r>
              <w:t>每月1号定期检查</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预算支出</w:t>
            </w:r>
          </w:p>
        </w:tc>
        <w:tc>
          <w:tcPr>
            <w:tcW w:w="5386" w:type="dxa"/>
            <w:vAlign w:val="center"/>
          </w:tcPr>
          <w:p>
            <w:pPr>
              <w:pStyle w:val="12"/>
            </w:pPr>
            <w:r>
              <w:t>支出成本控制在预算金额内</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环保意识提高</w:t>
            </w:r>
          </w:p>
        </w:tc>
        <w:tc>
          <w:tcPr>
            <w:tcW w:w="5386" w:type="dxa"/>
            <w:vAlign w:val="center"/>
          </w:tcPr>
          <w:p>
            <w:pPr>
              <w:pStyle w:val="12"/>
            </w:pPr>
            <w:r>
              <w:t>有效解决村庄环境脏、乱、差问题，基本实现村容村貌干净整洁有序，村民清洁卫生文明意识明显提高。</w:t>
            </w:r>
          </w:p>
        </w:tc>
        <w:tc>
          <w:tcPr>
            <w:tcW w:w="2268" w:type="dxa"/>
            <w:vAlign w:val="center"/>
          </w:tcPr>
          <w:p>
            <w:pPr>
              <w:pStyle w:val="12"/>
            </w:pPr>
            <w:r>
              <w:t>全乡较去年提高20%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生态环境质量改善</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根据调查中，满意和较满意的群众人数占全部调查人数的比率</w:t>
            </w:r>
          </w:p>
        </w:tc>
        <w:tc>
          <w:tcPr>
            <w:tcW w:w="2268" w:type="dxa"/>
            <w:vAlign w:val="center"/>
          </w:tcPr>
          <w:p>
            <w:pPr>
              <w:pStyle w:val="12"/>
            </w:pPr>
            <w:r>
              <w:t>≥90%</w:t>
            </w:r>
          </w:p>
        </w:tc>
        <w:tc>
          <w:tcPr>
            <w:tcW w:w="1276" w:type="dxa"/>
            <w:vAlign w:val="center"/>
          </w:tcPr>
          <w:p>
            <w:pPr>
              <w:pStyle w:val="12"/>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4、人大之家工作经费绩效目标表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13032125P003349103007</w:t>
            </w:r>
          </w:p>
        </w:tc>
        <w:tc>
          <w:tcPr>
            <w:tcW w:w="2835" w:type="dxa"/>
            <w:vAlign w:val="center"/>
          </w:tcPr>
          <w:p>
            <w:pPr>
              <w:pStyle w:val="10"/>
            </w:pPr>
            <w:r>
              <w:t>项目名称</w:t>
            </w:r>
          </w:p>
        </w:tc>
        <w:tc>
          <w:tcPr>
            <w:tcW w:w="6095" w:type="dxa"/>
            <w:gridSpan w:val="3"/>
            <w:vAlign w:val="center"/>
          </w:tcPr>
          <w:p>
            <w:pPr>
              <w:pStyle w:val="12"/>
            </w:pPr>
            <w:r>
              <w:t>人大之家工作经费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预算安排资金1万元，其中财政资金1万元，主要用于开展人大代表之家工作，提供场地和经费，有利于学习宣传宪法法律和党的路线方针政策及各级党委政府重大决策部署，定期开展代表活动。</w:t>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bookmarkStart w:id="17" w:name="OLE_LINK2" w:colFirst="1" w:colLast="4"/>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bookmarkEnd w:id="17"/>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1.通过开展人大代表之家工作，提供场地和经费，有利于学习宣传宪法法律和党的路线方针政策及各级党委政府重大决策部署，定期开展代表活动。</w:t>
            </w:r>
            <w:r>
              <w:tab/>
            </w:r>
            <w:r>
              <w:tab/>
            </w:r>
            <w:r>
              <w:tab/>
            </w:r>
            <w:r>
              <w:tab/>
            </w:r>
            <w:r>
              <w:tab/>
            </w:r>
          </w:p>
          <w:p>
            <w:pPr>
              <w:pStyle w:val="12"/>
            </w:pPr>
          </w:p>
          <w:p>
            <w:pPr>
              <w:pStyle w:val="12"/>
            </w:pPr>
            <w:r>
              <w:t>2.通过学习宣传培训，开展代表活动，使得人大机关团体密切联系群众，能够定期开展人大代表接访、走访、约访、回访等工作，接受群众监督，提出议案建议。</w:t>
            </w:r>
            <w:r>
              <w:tab/>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2268" w:type="dxa"/>
            <w:vAlign w:val="center"/>
          </w:tcPr>
          <w:p>
            <w:pPr>
              <w:pStyle w:val="12"/>
            </w:pPr>
            <w:r>
              <w:t>≥2%</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2268" w:type="dxa"/>
            <w:vAlign w:val="center"/>
          </w:tcPr>
          <w:p>
            <w:pPr>
              <w:pStyle w:val="12"/>
            </w:pPr>
            <w:r>
              <w:t>≥2%</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5386" w:type="dxa"/>
            <w:vAlign w:val="center"/>
          </w:tcPr>
          <w:p>
            <w:pPr>
              <w:pStyle w:val="12"/>
            </w:pPr>
            <w:r>
              <w:t>反映乡级人大代表数量</w:t>
            </w:r>
          </w:p>
        </w:tc>
        <w:tc>
          <w:tcPr>
            <w:tcW w:w="2268" w:type="dxa"/>
            <w:vAlign w:val="center"/>
          </w:tcPr>
          <w:p>
            <w:pPr>
              <w:pStyle w:val="12"/>
            </w:pPr>
            <w:r>
              <w:t>55人</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5386" w:type="dxa"/>
            <w:vAlign w:val="center"/>
          </w:tcPr>
          <w:p>
            <w:pPr>
              <w:pStyle w:val="12"/>
            </w:pPr>
            <w:r>
              <w:t>当年完成调研报告的数量</w:t>
            </w:r>
          </w:p>
        </w:tc>
        <w:tc>
          <w:tcPr>
            <w:tcW w:w="2268" w:type="dxa"/>
            <w:vAlign w:val="center"/>
          </w:tcPr>
          <w:p>
            <w:pPr>
              <w:pStyle w:val="12"/>
            </w:pPr>
            <w:r>
              <w:t>≥2篇</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做好协调组织工作，为代表依法履职提供服务</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反映举办活动的时间</w:t>
            </w:r>
          </w:p>
        </w:tc>
        <w:tc>
          <w:tcPr>
            <w:tcW w:w="2268" w:type="dxa"/>
            <w:vAlign w:val="center"/>
          </w:tcPr>
          <w:p>
            <w:pPr>
              <w:pStyle w:val="12"/>
            </w:pPr>
            <w:r>
              <w:t>2025年</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≤1万元</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履职质量和水平</w:t>
            </w:r>
          </w:p>
        </w:tc>
        <w:tc>
          <w:tcPr>
            <w:tcW w:w="5386" w:type="dxa"/>
            <w:vAlign w:val="center"/>
          </w:tcPr>
          <w:p>
            <w:pPr>
              <w:pStyle w:val="12"/>
            </w:pPr>
            <w:r>
              <w:t>加强对乡镇人大工作的联系和指导，规范化、制度化水平显著提升</w:t>
            </w:r>
          </w:p>
        </w:tc>
        <w:tc>
          <w:tcPr>
            <w:tcW w:w="2268" w:type="dxa"/>
            <w:vAlign w:val="center"/>
          </w:tcPr>
          <w:p>
            <w:pPr>
              <w:pStyle w:val="12"/>
            </w:pPr>
            <w:r>
              <w:t>≥20%</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人大代表提出建议采纳率</w:t>
            </w:r>
          </w:p>
        </w:tc>
        <w:tc>
          <w:tcPr>
            <w:tcW w:w="2268" w:type="dxa"/>
            <w:vAlign w:val="center"/>
          </w:tcPr>
          <w:p>
            <w:pPr>
              <w:pStyle w:val="12"/>
            </w:pPr>
            <w:r>
              <w:t>≥50%</w:t>
            </w:r>
          </w:p>
        </w:tc>
        <w:tc>
          <w:tcPr>
            <w:tcW w:w="1276" w:type="dxa"/>
            <w:vAlign w:val="center"/>
          </w:tcPr>
          <w:p>
            <w:pPr>
              <w:pStyle w:val="12"/>
            </w:pPr>
            <w:r>
              <w:t>人大活动工作计划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会议服务工作满意率</w:t>
            </w:r>
          </w:p>
        </w:tc>
        <w:tc>
          <w:tcPr>
            <w:tcW w:w="5386" w:type="dxa"/>
            <w:vAlign w:val="center"/>
          </w:tcPr>
          <w:p>
            <w:pPr>
              <w:pStyle w:val="12"/>
            </w:pPr>
            <w:r>
              <w:t>乡人大代表和常委对代表工作的满意程度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5、团委工作经费绩效目标表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13032125P00334910301T</w:t>
            </w:r>
          </w:p>
        </w:tc>
        <w:tc>
          <w:tcPr>
            <w:tcW w:w="2835" w:type="dxa"/>
            <w:vAlign w:val="center"/>
          </w:tcPr>
          <w:p>
            <w:pPr>
              <w:pStyle w:val="10"/>
            </w:pPr>
            <w:r>
              <w:t>项目名称</w:t>
            </w:r>
          </w:p>
        </w:tc>
        <w:tc>
          <w:tcPr>
            <w:tcW w:w="6095" w:type="dxa"/>
            <w:gridSpan w:val="3"/>
            <w:vAlign w:val="center"/>
          </w:tcPr>
          <w:p>
            <w:pPr>
              <w:pStyle w:val="12"/>
            </w:pPr>
            <w: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预算安排资金1万元，其中财政资金1万元，主要用于开展好群团组织工作，为党的建设储备好后备力量。</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1.开展好群团组织工作，为党的建设储备好后备力量。</w:t>
            </w:r>
            <w:r>
              <w:tab/>
            </w:r>
            <w:r>
              <w:tab/>
            </w:r>
            <w:r>
              <w:tab/>
            </w:r>
            <w:r>
              <w:tab/>
            </w:r>
            <w:r>
              <w:tab/>
            </w:r>
            <w:r>
              <w:tab/>
            </w:r>
          </w:p>
          <w:p>
            <w:pPr>
              <w:pStyle w:val="12"/>
            </w:pPr>
          </w:p>
          <w:p>
            <w:pPr>
              <w:pStyle w:val="12"/>
            </w:pPr>
            <w:r>
              <w:t>2.通过团委工作有序开展，积极发挥团委作用。</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组织乡青年慰问留守儿童活动的次数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2268" w:type="dxa"/>
            <w:vAlign w:val="center"/>
          </w:tcPr>
          <w:p>
            <w:pPr>
              <w:pStyle w:val="12"/>
            </w:pPr>
            <w:r>
              <w:t>≥3000张</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反映各项活动完成时间</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团费收缴完成率</w:t>
            </w:r>
          </w:p>
        </w:tc>
        <w:tc>
          <w:tcPr>
            <w:tcW w:w="5386" w:type="dxa"/>
            <w:vAlign w:val="center"/>
          </w:tcPr>
          <w:p>
            <w:pPr>
              <w:pStyle w:val="12"/>
            </w:pPr>
            <w:r>
              <w:t>反映全乡团费收缴和上缴工作完成比率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群众对全乡团委工作的满意度</w:t>
            </w:r>
          </w:p>
        </w:tc>
        <w:tc>
          <w:tcPr>
            <w:tcW w:w="5386" w:type="dxa"/>
            <w:vAlign w:val="center"/>
          </w:tcPr>
          <w:p>
            <w:pPr>
              <w:pStyle w:val="12"/>
            </w:pPr>
            <w:r>
              <w:t>全乡群众对团委工作的满意度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6、专项武装经费绩效目标表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13032125P00334910304M</w:t>
            </w:r>
          </w:p>
        </w:tc>
        <w:tc>
          <w:tcPr>
            <w:tcW w:w="2835" w:type="dxa"/>
            <w:vAlign w:val="center"/>
          </w:tcPr>
          <w:p>
            <w:pPr>
              <w:pStyle w:val="10"/>
            </w:pPr>
            <w:r>
              <w:t>项目名称</w:t>
            </w:r>
          </w:p>
        </w:tc>
        <w:tc>
          <w:tcPr>
            <w:tcW w:w="6095" w:type="dxa"/>
            <w:gridSpan w:val="3"/>
            <w:vAlign w:val="center"/>
          </w:tcPr>
          <w:p>
            <w:pPr>
              <w:pStyle w:val="12"/>
            </w:pPr>
            <w:r>
              <w:t>专项武装经费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预算安排资金2万元，其中财政资金2万元，主要用于开展民兵训练工作，确保人民武装力量得到保障，开展兵役登记、征兵工作，为国家提供高素质兵源。</w:t>
            </w:r>
            <w:r>
              <w:tab/>
            </w:r>
            <w:r>
              <w:tab/>
            </w:r>
            <w:r>
              <w:tab/>
            </w:r>
            <w:r>
              <w:tab/>
            </w:r>
            <w:r>
              <w:tab/>
            </w:r>
            <w:r>
              <w:tab/>
            </w:r>
          </w:p>
          <w:p>
            <w:pPr>
              <w:pStyle w:val="12"/>
            </w:pP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1.通过开展民兵训练工作，确保人民武装力量得到保障。</w:t>
            </w:r>
            <w:r>
              <w:tab/>
            </w:r>
            <w:r>
              <w:tab/>
            </w:r>
            <w:r>
              <w:tab/>
            </w:r>
            <w:r>
              <w:tab/>
            </w:r>
            <w:r>
              <w:tab/>
            </w:r>
            <w:r>
              <w:tab/>
            </w:r>
          </w:p>
          <w:p>
            <w:pPr>
              <w:pStyle w:val="12"/>
            </w:pPr>
          </w:p>
          <w:p>
            <w:pPr>
              <w:pStyle w:val="12"/>
            </w:pPr>
            <w:r>
              <w:t>2.通过开展兵役登记、征兵工作，为国家提供高素质兵源。</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5386" w:type="dxa"/>
            <w:vAlign w:val="center"/>
          </w:tcPr>
          <w:p>
            <w:pPr>
              <w:pStyle w:val="12"/>
            </w:pPr>
            <w:r>
              <w:t>年度内依法服兵役数量</w:t>
            </w:r>
          </w:p>
        </w:tc>
        <w:tc>
          <w:tcPr>
            <w:tcW w:w="2268" w:type="dxa"/>
            <w:vAlign w:val="center"/>
          </w:tcPr>
          <w:p>
            <w:pPr>
              <w:pStyle w:val="12"/>
            </w:pPr>
            <w:r>
              <w:t>≥6人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参加民兵训练人数</w:t>
            </w:r>
          </w:p>
        </w:tc>
        <w:tc>
          <w:tcPr>
            <w:tcW w:w="5386" w:type="dxa"/>
            <w:vAlign w:val="center"/>
          </w:tcPr>
          <w:p>
            <w:pPr>
              <w:pStyle w:val="12"/>
            </w:pPr>
            <w:r>
              <w:t>年度内参加民兵训练的人数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5386" w:type="dxa"/>
            <w:vAlign w:val="center"/>
          </w:tcPr>
          <w:p>
            <w:pPr>
              <w:pStyle w:val="12"/>
            </w:pPr>
            <w:r>
              <w:t>年度内新入伍大学生兵数量</w:t>
            </w:r>
          </w:p>
        </w:tc>
        <w:tc>
          <w:tcPr>
            <w:tcW w:w="2268" w:type="dxa"/>
            <w:vAlign w:val="center"/>
          </w:tcPr>
          <w:p>
            <w:pPr>
              <w:pStyle w:val="12"/>
            </w:pPr>
            <w:r>
              <w:t>≥5人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年度内开展民兵训练次数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2268" w:type="dxa"/>
            <w:vAlign w:val="center"/>
          </w:tcPr>
          <w:p>
            <w:pPr>
              <w:pStyle w:val="12"/>
            </w:pPr>
            <w:r>
              <w:t>≤6月</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示范带动作用</w:t>
            </w:r>
          </w:p>
        </w:tc>
        <w:tc>
          <w:tcPr>
            <w:tcW w:w="5386" w:type="dxa"/>
            <w:vAlign w:val="center"/>
          </w:tcPr>
          <w:p>
            <w:pPr>
              <w:pStyle w:val="12"/>
            </w:pPr>
            <w:r>
              <w:t>示范带动作用</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7、自然灾害综合风险普查工作经费绩效目标表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13032125P00334910302E</w:t>
            </w:r>
          </w:p>
        </w:tc>
        <w:tc>
          <w:tcPr>
            <w:tcW w:w="2835" w:type="dxa"/>
            <w:vAlign w:val="center"/>
          </w:tcPr>
          <w:p>
            <w:pPr>
              <w:pStyle w:val="10"/>
            </w:pPr>
            <w:r>
              <w:t>项目名称</w:t>
            </w:r>
          </w:p>
        </w:tc>
        <w:tc>
          <w:tcPr>
            <w:tcW w:w="6095" w:type="dxa"/>
            <w:gridSpan w:val="3"/>
            <w:vAlign w:val="center"/>
          </w:tcPr>
          <w:p>
            <w:pPr>
              <w:pStyle w:val="12"/>
            </w:pPr>
            <w:r>
              <w:t>自然灾害综合风险普查工作经费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预算资金安排1万元，其中财政资金1万元，主要用于开展全乡自然灾害普查工作，确保全面掌握我镇自然灾害风险防范情况。</w:t>
            </w:r>
          </w:p>
          <w:p>
            <w:pPr>
              <w:pStyle w:val="12"/>
            </w:pPr>
            <w:r>
              <w:tab/>
            </w:r>
            <w:r>
              <w:tab/>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1.通过设备购置和宣传培训工作，提升我乡抵御自然灾害综合防范能力</w:t>
            </w:r>
          </w:p>
          <w:p>
            <w:pPr>
              <w:pStyle w:val="12"/>
            </w:pPr>
            <w:r>
              <w:tab/>
            </w:r>
            <w:r>
              <w:tab/>
            </w:r>
            <w:r>
              <w:tab/>
            </w:r>
            <w:r>
              <w:tab/>
            </w:r>
            <w:r>
              <w:tab/>
            </w:r>
          </w:p>
          <w:p>
            <w:pPr>
              <w:pStyle w:val="12"/>
            </w:pPr>
          </w:p>
          <w:p>
            <w:pPr>
              <w:pStyle w:val="12"/>
            </w:pPr>
            <w:r>
              <w:t>2.通过开展全乡自然灾害普查工作，确保全面掌握我镇自然灾害风险防范情况。</w:t>
            </w:r>
          </w:p>
          <w:p>
            <w:pPr>
              <w:pStyle w:val="12"/>
            </w:pP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普查行政村个数</w:t>
            </w:r>
          </w:p>
        </w:tc>
        <w:tc>
          <w:tcPr>
            <w:tcW w:w="5386" w:type="dxa"/>
            <w:vAlign w:val="center"/>
          </w:tcPr>
          <w:p>
            <w:pPr>
              <w:pStyle w:val="12"/>
            </w:pPr>
            <w:r>
              <w:t>反映普查行政村个数</w:t>
            </w:r>
          </w:p>
        </w:tc>
        <w:tc>
          <w:tcPr>
            <w:tcW w:w="2268" w:type="dxa"/>
            <w:vAlign w:val="center"/>
          </w:tcPr>
          <w:p>
            <w:pPr>
              <w:pStyle w:val="12"/>
            </w:pPr>
            <w:r>
              <w:t>9个</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普查自然灾害类型</w:t>
            </w:r>
          </w:p>
        </w:tc>
        <w:tc>
          <w:tcPr>
            <w:tcW w:w="5386" w:type="dxa"/>
            <w:vAlign w:val="center"/>
          </w:tcPr>
          <w:p>
            <w:pPr>
              <w:pStyle w:val="12"/>
            </w:pPr>
            <w:r>
              <w:t>本次普查涉及的自然灾害类型个数</w:t>
            </w:r>
          </w:p>
        </w:tc>
        <w:tc>
          <w:tcPr>
            <w:tcW w:w="2268" w:type="dxa"/>
            <w:vAlign w:val="center"/>
          </w:tcPr>
          <w:p>
            <w:pPr>
              <w:pStyle w:val="12"/>
            </w:pPr>
            <w:r>
              <w:t>≥6项</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受益人数</w:t>
            </w:r>
          </w:p>
        </w:tc>
        <w:tc>
          <w:tcPr>
            <w:tcW w:w="5386" w:type="dxa"/>
            <w:vAlign w:val="center"/>
          </w:tcPr>
          <w:p>
            <w:pPr>
              <w:pStyle w:val="12"/>
            </w:pPr>
            <w:r>
              <w:t>自然灾害普查受益人口数</w:t>
            </w:r>
          </w:p>
        </w:tc>
        <w:tc>
          <w:tcPr>
            <w:tcW w:w="2268" w:type="dxa"/>
            <w:vAlign w:val="center"/>
          </w:tcPr>
          <w:p>
            <w:pPr>
              <w:pStyle w:val="12"/>
            </w:pPr>
            <w:r>
              <w:t>≥14500人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普查工作完成率</w:t>
            </w:r>
          </w:p>
        </w:tc>
        <w:tc>
          <w:tcPr>
            <w:tcW w:w="5386" w:type="dxa"/>
            <w:vAlign w:val="center"/>
          </w:tcPr>
          <w:p>
            <w:pPr>
              <w:pStyle w:val="12"/>
            </w:pPr>
            <w:r>
              <w:t>普查工作完成率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普查工作完成时间</w:t>
            </w:r>
          </w:p>
        </w:tc>
        <w:tc>
          <w:tcPr>
            <w:tcW w:w="2268" w:type="dxa"/>
            <w:vAlign w:val="center"/>
          </w:tcPr>
          <w:p>
            <w:pPr>
              <w:pStyle w:val="12"/>
            </w:pPr>
            <w:r>
              <w:t>2025年12月底</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宣传、办公费用</w:t>
            </w:r>
          </w:p>
        </w:tc>
        <w:tc>
          <w:tcPr>
            <w:tcW w:w="5386" w:type="dxa"/>
            <w:vAlign w:val="center"/>
          </w:tcPr>
          <w:p>
            <w:pPr>
              <w:pStyle w:val="12"/>
            </w:pPr>
            <w:r>
              <w:t>反映用于本次普查宣传费、办公费</w:t>
            </w:r>
          </w:p>
        </w:tc>
        <w:tc>
          <w:tcPr>
            <w:tcW w:w="2268" w:type="dxa"/>
            <w:vAlign w:val="center"/>
          </w:tcPr>
          <w:p>
            <w:pPr>
              <w:pStyle w:val="12"/>
            </w:pPr>
            <w:r>
              <w:t>≤0.5万元</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租车费用</w:t>
            </w:r>
          </w:p>
        </w:tc>
        <w:tc>
          <w:tcPr>
            <w:tcW w:w="5386" w:type="dxa"/>
            <w:vAlign w:val="center"/>
          </w:tcPr>
          <w:p>
            <w:pPr>
              <w:pStyle w:val="12"/>
            </w:pPr>
            <w:r>
              <w:t>反映用于本次普查租车费</w:t>
            </w:r>
          </w:p>
        </w:tc>
        <w:tc>
          <w:tcPr>
            <w:tcW w:w="2268" w:type="dxa"/>
            <w:vAlign w:val="center"/>
          </w:tcPr>
          <w:p>
            <w:pPr>
              <w:pStyle w:val="12"/>
            </w:pPr>
            <w:r>
              <w:t>≤0.5万元</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提升抵御自然灾害防范能力</w:t>
            </w:r>
          </w:p>
        </w:tc>
        <w:tc>
          <w:tcPr>
            <w:tcW w:w="5386" w:type="dxa"/>
            <w:vAlign w:val="center"/>
          </w:tcPr>
          <w:p>
            <w:pPr>
              <w:pStyle w:val="12"/>
            </w:pPr>
            <w:r>
              <w:t>通过普查，提升抵御自然灾害防能力，提交高质量普查结果报告</w:t>
            </w:r>
          </w:p>
        </w:tc>
        <w:tc>
          <w:tcPr>
            <w:tcW w:w="2268" w:type="dxa"/>
            <w:vAlign w:val="center"/>
          </w:tcPr>
          <w:p>
            <w:pPr>
              <w:pStyle w:val="12"/>
            </w:pPr>
            <w:r>
              <w:t>≥1份</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防灾减灾能力提成情况</w:t>
            </w:r>
          </w:p>
        </w:tc>
        <w:tc>
          <w:tcPr>
            <w:tcW w:w="5386" w:type="dxa"/>
            <w:vAlign w:val="center"/>
          </w:tcPr>
          <w:p>
            <w:pPr>
              <w:pStyle w:val="12"/>
            </w:pPr>
            <w:r>
              <w:t>通过开展灾害普查，促进防灾减灾能力提升</w:t>
            </w:r>
          </w:p>
        </w:tc>
        <w:tc>
          <w:tcPr>
            <w:tcW w:w="2268" w:type="dxa"/>
            <w:vAlign w:val="center"/>
          </w:tcPr>
          <w:p>
            <w:pPr>
              <w:pStyle w:val="12"/>
            </w:pPr>
            <w:r>
              <w:t>≥10%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村民调查中，满意和较满意的人数占全部调查人数的比率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8、村级组织运转经费-村干部基础职务补贴绩效目标表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13032124P00000210043K</w:t>
            </w:r>
          </w:p>
        </w:tc>
        <w:tc>
          <w:tcPr>
            <w:tcW w:w="2835" w:type="dxa"/>
            <w:vAlign w:val="center"/>
          </w:tcPr>
          <w:p>
            <w:pPr>
              <w:pStyle w:val="10"/>
            </w:pPr>
            <w:r>
              <w:t>项目名称</w:t>
            </w:r>
          </w:p>
        </w:tc>
        <w:tc>
          <w:tcPr>
            <w:tcW w:w="6095" w:type="dxa"/>
            <w:gridSpan w:val="3"/>
            <w:vAlign w:val="center"/>
          </w:tcPr>
          <w:p>
            <w:pPr>
              <w:pStyle w:val="12"/>
            </w:pPr>
            <w:r>
              <w:t>村级组织运转经费-村干部基础职务补贴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37.79</w:t>
            </w:r>
          </w:p>
        </w:tc>
        <w:tc>
          <w:tcPr>
            <w:tcW w:w="2835" w:type="dxa"/>
            <w:vAlign w:val="center"/>
          </w:tcPr>
          <w:p>
            <w:pPr>
              <w:pStyle w:val="10"/>
            </w:pPr>
            <w:r>
              <w:t>其中：财政    资金</w:t>
            </w:r>
          </w:p>
        </w:tc>
        <w:tc>
          <w:tcPr>
            <w:tcW w:w="2551" w:type="dxa"/>
            <w:vAlign w:val="center"/>
          </w:tcPr>
          <w:p>
            <w:pPr>
              <w:pStyle w:val="12"/>
            </w:pPr>
            <w:r>
              <w:t>37.79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预算安排资金37.792万元，其中财政资金37.792万元，主要用于村干部基础职务补贴发放。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1.通过及时发放村干部基础职务补贴，为农村干部工作生活提供保障。</w:t>
            </w:r>
            <w:r>
              <w:tab/>
            </w:r>
            <w:r>
              <w:tab/>
            </w:r>
            <w:r>
              <w:tab/>
            </w:r>
          </w:p>
          <w:p>
            <w:pPr>
              <w:pStyle w:val="12"/>
            </w:pPr>
            <w:r>
              <w:t>2.激发农村干部干事创业热情，确保村级工作正常运转及村干部队伍稳定。</w:t>
            </w:r>
            <w:r>
              <w:tab/>
            </w:r>
            <w:r>
              <w:tab/>
            </w:r>
            <w:r>
              <w:tab/>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反映发放村干部基础职务补贴的村数</w:t>
            </w:r>
          </w:p>
        </w:tc>
        <w:tc>
          <w:tcPr>
            <w:tcW w:w="2268" w:type="dxa"/>
            <w:vAlign w:val="center"/>
          </w:tcPr>
          <w:p>
            <w:pPr>
              <w:pStyle w:val="12"/>
            </w:pPr>
            <w:r>
              <w:t>9个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57人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2268" w:type="dxa"/>
            <w:vAlign w:val="center"/>
          </w:tcPr>
          <w:p>
            <w:pPr>
              <w:pStyle w:val="12"/>
            </w:pPr>
            <w:r>
              <w:t>36000元</w:t>
            </w:r>
          </w:p>
        </w:tc>
        <w:tc>
          <w:tcPr>
            <w:tcW w:w="1276" w:type="dxa"/>
            <w:vAlign w:val="center"/>
          </w:tcPr>
          <w:p>
            <w:pPr>
              <w:pStyle w:val="12"/>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其他人员补贴标准</w:t>
            </w:r>
          </w:p>
        </w:tc>
        <w:tc>
          <w:tcPr>
            <w:tcW w:w="5386" w:type="dxa"/>
            <w:vAlign w:val="center"/>
          </w:tcPr>
          <w:p>
            <w:pPr>
              <w:pStyle w:val="12"/>
            </w:pPr>
            <w:r>
              <w:t>反映其他村两委干部人均补贴标准</w:t>
            </w:r>
          </w:p>
        </w:tc>
        <w:tc>
          <w:tcPr>
            <w:tcW w:w="2268" w:type="dxa"/>
            <w:vAlign w:val="center"/>
          </w:tcPr>
          <w:p>
            <w:pPr>
              <w:pStyle w:val="12"/>
            </w:pPr>
            <w:r>
              <w:t>≥12000元</w:t>
            </w:r>
          </w:p>
        </w:tc>
        <w:tc>
          <w:tcPr>
            <w:tcW w:w="1276" w:type="dxa"/>
            <w:vAlign w:val="center"/>
          </w:tcPr>
          <w:p>
            <w:pPr>
              <w:pStyle w:val="12"/>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村干部主观能动性</w:t>
            </w:r>
          </w:p>
        </w:tc>
        <w:tc>
          <w:tcPr>
            <w:tcW w:w="5386" w:type="dxa"/>
            <w:vAlign w:val="center"/>
          </w:tcPr>
          <w:p>
            <w:pPr>
              <w:pStyle w:val="12"/>
            </w:pPr>
            <w:r>
              <w:t>反映村干部全年工作效率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9、村级组织运转经费-服务群众专项经费绩效目标表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13032124P00000610042N</w:t>
            </w:r>
          </w:p>
        </w:tc>
        <w:tc>
          <w:tcPr>
            <w:tcW w:w="2835" w:type="dxa"/>
            <w:vAlign w:val="center"/>
          </w:tcPr>
          <w:p>
            <w:pPr>
              <w:pStyle w:val="10"/>
            </w:pPr>
            <w:r>
              <w:t>项目名称</w:t>
            </w:r>
          </w:p>
        </w:tc>
        <w:tc>
          <w:tcPr>
            <w:tcW w:w="6095" w:type="dxa"/>
            <w:gridSpan w:val="3"/>
            <w:vAlign w:val="center"/>
          </w:tcPr>
          <w:p>
            <w:pPr>
              <w:pStyle w:val="12"/>
            </w:pPr>
            <w:r>
              <w:t>村级组织运转经费-服务群众专项经费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w:t>
            </w:r>
          </w:p>
        </w:tc>
        <w:tc>
          <w:tcPr>
            <w:tcW w:w="2835" w:type="dxa"/>
            <w:vAlign w:val="center"/>
          </w:tcPr>
          <w:p>
            <w:pPr>
              <w:pStyle w:val="10"/>
            </w:pPr>
            <w:r>
              <w:t>其中：财政    资金</w:t>
            </w:r>
          </w:p>
        </w:tc>
        <w:tc>
          <w:tcPr>
            <w:tcW w:w="2551" w:type="dxa"/>
            <w:vAlign w:val="center"/>
          </w:tcPr>
          <w:p>
            <w:pPr>
              <w:pStyle w:val="12"/>
            </w:pPr>
            <w:r>
              <w:t>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预算安排资金9万元，其中财政资金9万元，主要用于村级组织的工作支出。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1.通过开展服务群众工作，为村综合服务站日常运转、公共设施维护等提供保障，为群众提供便捷优质生产生活条件。</w:t>
            </w:r>
            <w:r>
              <w:tab/>
            </w:r>
            <w:r>
              <w:tab/>
            </w:r>
            <w:r>
              <w:tab/>
            </w:r>
          </w:p>
          <w:p>
            <w:pPr>
              <w:pStyle w:val="12"/>
            </w:pPr>
          </w:p>
          <w:p>
            <w:pPr>
              <w:pStyle w:val="12"/>
            </w:pPr>
            <w:r>
              <w:t>2.通过项目实施为村级组织公共卫生防疫、村内治安等临时劳务用工提供费用保障，为群众提供安全稳定生活环境。</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9个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反映生活垃圾分类实施效果</w:t>
            </w:r>
          </w:p>
        </w:tc>
        <w:tc>
          <w:tcPr>
            <w:tcW w:w="5386" w:type="dxa"/>
            <w:vAlign w:val="center"/>
          </w:tcPr>
          <w:p>
            <w:pPr>
              <w:pStyle w:val="12"/>
            </w:pPr>
            <w:r>
              <w:t>反映生活垃圾分类实施效果</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10、防火防汛工作经费绩效目标表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13032125P00330610017J</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预算安排资金1万元，其中财政资金1万元，主要用于开展日常防火工作，广泛宣传，全天候巡查，加强防火扑救物资的储备，有效防范和遏制森林火灾的发生。</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1.通过开展巡视巡查整治工作，及时消除防汛安全隐患，确保辖区内河道行洪通畅。</w:t>
            </w:r>
            <w:r>
              <w:tab/>
            </w:r>
            <w:r>
              <w:tab/>
            </w:r>
            <w:r>
              <w:tab/>
            </w:r>
            <w:r>
              <w:tab/>
            </w:r>
            <w:r>
              <w:tab/>
            </w:r>
            <w:r>
              <w:tab/>
            </w:r>
          </w:p>
          <w:p>
            <w:pPr>
              <w:pStyle w:val="12"/>
            </w:pPr>
          </w:p>
          <w:p>
            <w:pPr>
              <w:pStyle w:val="12"/>
            </w:pPr>
            <w:r>
              <w:t>2.通过扎实开展日常防火工作，广泛宣传，全天候巡查，加强防火扑救物资的储备，有效防范和遏制森林火灾的发生。</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≥200次</w:t>
            </w:r>
          </w:p>
        </w:tc>
        <w:tc>
          <w:tcPr>
            <w:tcW w:w="1276" w:type="dxa"/>
            <w:vAlign w:val="center"/>
          </w:tcPr>
          <w:p>
            <w:pPr>
              <w:pStyle w:val="12"/>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反应巡查范围为整个镇区。</w:t>
            </w:r>
          </w:p>
        </w:tc>
        <w:tc>
          <w:tcPr>
            <w:tcW w:w="2268" w:type="dxa"/>
            <w:vAlign w:val="center"/>
          </w:tcPr>
          <w:p>
            <w:pPr>
              <w:pStyle w:val="12"/>
            </w:pPr>
            <w:r>
              <w:t>≥95%</w:t>
            </w:r>
          </w:p>
        </w:tc>
        <w:tc>
          <w:tcPr>
            <w:tcW w:w="1276" w:type="dxa"/>
            <w:vAlign w:val="center"/>
          </w:tcPr>
          <w:p>
            <w:pPr>
              <w:pStyle w:val="12"/>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确保河道畅通</w:t>
            </w:r>
          </w:p>
        </w:tc>
        <w:tc>
          <w:tcPr>
            <w:tcW w:w="5386" w:type="dxa"/>
            <w:vAlign w:val="center"/>
          </w:tcPr>
          <w:p>
            <w:pPr>
              <w:pStyle w:val="12"/>
            </w:pPr>
            <w:r>
              <w:t>反映汛期河道通畅率</w:t>
            </w:r>
          </w:p>
        </w:tc>
        <w:tc>
          <w:tcPr>
            <w:tcW w:w="2268" w:type="dxa"/>
            <w:vAlign w:val="center"/>
          </w:tcPr>
          <w:p>
            <w:pPr>
              <w:pStyle w:val="12"/>
            </w:pPr>
            <w:r>
              <w:t>100%</w:t>
            </w:r>
          </w:p>
        </w:tc>
        <w:tc>
          <w:tcPr>
            <w:tcW w:w="1276" w:type="dxa"/>
            <w:vAlign w:val="center"/>
          </w:tcPr>
          <w:p>
            <w:pPr>
              <w:pStyle w:val="12"/>
            </w:pPr>
            <w:r>
              <w:t>防灾巡查制度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2268" w:type="dxa"/>
            <w:vAlign w:val="center"/>
          </w:tcPr>
          <w:p>
            <w:pPr>
              <w:pStyle w:val="12"/>
            </w:pPr>
            <w:r>
              <w:t>2025年全年持续</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抢险物资支出</w:t>
            </w:r>
          </w:p>
        </w:tc>
        <w:tc>
          <w:tcPr>
            <w:tcW w:w="5386" w:type="dxa"/>
            <w:vAlign w:val="center"/>
          </w:tcPr>
          <w:p>
            <w:pPr>
              <w:pStyle w:val="12"/>
            </w:pPr>
            <w:r>
              <w:t>反应防火防汛储备的抢险物资</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268" w:type="dxa"/>
            <w:vAlign w:val="center"/>
          </w:tcPr>
          <w:p>
            <w:pPr>
              <w:pStyle w:val="12"/>
            </w:pPr>
            <w:r>
              <w:t>≤0.01%</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11、明德小学地租绩效目标表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13032125P000115100580</w:t>
            </w:r>
          </w:p>
        </w:tc>
        <w:tc>
          <w:tcPr>
            <w:tcW w:w="2835" w:type="dxa"/>
            <w:vAlign w:val="center"/>
          </w:tcPr>
          <w:p>
            <w:pPr>
              <w:pStyle w:val="10"/>
            </w:pPr>
            <w:r>
              <w:t>项目名称</w:t>
            </w:r>
          </w:p>
        </w:tc>
        <w:tc>
          <w:tcPr>
            <w:tcW w:w="6095" w:type="dxa"/>
            <w:gridSpan w:val="3"/>
            <w:vAlign w:val="center"/>
          </w:tcPr>
          <w:p>
            <w:pPr>
              <w:pStyle w:val="12"/>
            </w:pPr>
            <w:r>
              <w:t>明德小学地租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3.93</w:t>
            </w:r>
          </w:p>
        </w:tc>
        <w:tc>
          <w:tcPr>
            <w:tcW w:w="2835" w:type="dxa"/>
            <w:vAlign w:val="center"/>
          </w:tcPr>
          <w:p>
            <w:pPr>
              <w:pStyle w:val="10"/>
            </w:pPr>
            <w:r>
              <w:t>其中：财政    资金</w:t>
            </w:r>
          </w:p>
        </w:tc>
        <w:tc>
          <w:tcPr>
            <w:tcW w:w="2551" w:type="dxa"/>
            <w:vAlign w:val="center"/>
          </w:tcPr>
          <w:p>
            <w:pPr>
              <w:pStyle w:val="12"/>
            </w:pPr>
            <w:r>
              <w:t>3.93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预算安排资金3.93万元，其中财政资金3.93万元，主要用于发放明德小学土地租金，保障明德小学正常运转。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1.通过及时发放补助，保证农民收益。</w:t>
            </w:r>
          </w:p>
          <w:p>
            <w:pPr>
              <w:pStyle w:val="12"/>
            </w:pPr>
            <w:r>
              <w:t>2.通过及时发放明德小学土地租金，保障明德小学正常运转。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租地面积</w:t>
            </w:r>
          </w:p>
        </w:tc>
        <w:tc>
          <w:tcPr>
            <w:tcW w:w="5386" w:type="dxa"/>
            <w:vAlign w:val="center"/>
          </w:tcPr>
          <w:p>
            <w:pPr>
              <w:pStyle w:val="12"/>
            </w:pPr>
            <w:r>
              <w:t>反映租地面积</w:t>
            </w:r>
          </w:p>
        </w:tc>
        <w:tc>
          <w:tcPr>
            <w:tcW w:w="2268" w:type="dxa"/>
            <w:vAlign w:val="center"/>
          </w:tcPr>
          <w:p>
            <w:pPr>
              <w:pStyle w:val="12"/>
            </w:pPr>
            <w:r>
              <w:t>34.74亩</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反映金额准确性</w:t>
            </w:r>
          </w:p>
        </w:tc>
        <w:tc>
          <w:tcPr>
            <w:tcW w:w="5386" w:type="dxa"/>
            <w:vAlign w:val="center"/>
          </w:tcPr>
          <w:p>
            <w:pPr>
              <w:pStyle w:val="12"/>
            </w:pPr>
            <w:r>
              <w:t>反映发放金额胡准确性</w:t>
            </w:r>
          </w:p>
        </w:tc>
        <w:tc>
          <w:tcPr>
            <w:tcW w:w="2268" w:type="dxa"/>
            <w:vAlign w:val="center"/>
          </w:tcPr>
          <w:p>
            <w:pPr>
              <w:pStyle w:val="12"/>
            </w:pPr>
            <w:r>
              <w:t>100%</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租地面积的准确性</w:t>
            </w:r>
          </w:p>
        </w:tc>
        <w:tc>
          <w:tcPr>
            <w:tcW w:w="5386" w:type="dxa"/>
            <w:vAlign w:val="center"/>
          </w:tcPr>
          <w:p>
            <w:pPr>
              <w:pStyle w:val="12"/>
            </w:pPr>
            <w:r>
              <w:t>反映租地面积的准确性</w:t>
            </w:r>
          </w:p>
        </w:tc>
        <w:tc>
          <w:tcPr>
            <w:tcW w:w="2268" w:type="dxa"/>
            <w:vAlign w:val="center"/>
          </w:tcPr>
          <w:p>
            <w:pPr>
              <w:pStyle w:val="12"/>
            </w:pPr>
            <w:r>
              <w:t>100%</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租金发放的及时性</w:t>
            </w:r>
          </w:p>
        </w:tc>
        <w:tc>
          <w:tcPr>
            <w:tcW w:w="5386" w:type="dxa"/>
            <w:vAlign w:val="center"/>
          </w:tcPr>
          <w:p>
            <w:pPr>
              <w:pStyle w:val="12"/>
            </w:pPr>
            <w:r>
              <w:t>反映租金发放完成时间</w:t>
            </w:r>
          </w:p>
        </w:tc>
        <w:tc>
          <w:tcPr>
            <w:tcW w:w="2268" w:type="dxa"/>
            <w:vAlign w:val="center"/>
          </w:tcPr>
          <w:p>
            <w:pPr>
              <w:pStyle w:val="12"/>
            </w:pPr>
            <w:r>
              <w:t>6月底前</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租金发放标准</w:t>
            </w:r>
          </w:p>
        </w:tc>
        <w:tc>
          <w:tcPr>
            <w:tcW w:w="5386" w:type="dxa"/>
            <w:vAlign w:val="center"/>
          </w:tcPr>
          <w:p>
            <w:pPr>
              <w:pStyle w:val="12"/>
            </w:pPr>
            <w:r>
              <w:t>反映每亩地租金标准</w:t>
            </w:r>
          </w:p>
        </w:tc>
        <w:tc>
          <w:tcPr>
            <w:tcW w:w="2268" w:type="dxa"/>
            <w:vAlign w:val="center"/>
          </w:tcPr>
          <w:p>
            <w:pPr>
              <w:pStyle w:val="12"/>
            </w:pPr>
            <w:r>
              <w:t>1200元</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社会影响度</w:t>
            </w:r>
          </w:p>
        </w:tc>
        <w:tc>
          <w:tcPr>
            <w:tcW w:w="5386" w:type="dxa"/>
            <w:vAlign w:val="center"/>
          </w:tcPr>
          <w:p>
            <w:pPr>
              <w:pStyle w:val="12"/>
            </w:pPr>
            <w:r>
              <w:t>反映明德小学正常运转。</w:t>
            </w:r>
          </w:p>
        </w:tc>
        <w:tc>
          <w:tcPr>
            <w:tcW w:w="2268" w:type="dxa"/>
            <w:vAlign w:val="center"/>
          </w:tcPr>
          <w:p>
            <w:pPr>
              <w:pStyle w:val="12"/>
            </w:pPr>
            <w:r>
              <w:t>≥95%</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项目发挥作用情况</w:t>
            </w:r>
          </w:p>
        </w:tc>
        <w:tc>
          <w:tcPr>
            <w:tcW w:w="5386" w:type="dxa"/>
            <w:vAlign w:val="center"/>
          </w:tcPr>
          <w:p>
            <w:pPr>
              <w:pStyle w:val="12"/>
            </w:pPr>
            <w:r>
              <w:t>反映土地租金及时发放到农户，保证明德小学正常运转。</w:t>
            </w:r>
          </w:p>
        </w:tc>
        <w:tc>
          <w:tcPr>
            <w:tcW w:w="2268" w:type="dxa"/>
            <w:vAlign w:val="center"/>
          </w:tcPr>
          <w:p>
            <w:pPr>
              <w:pStyle w:val="12"/>
            </w:pPr>
            <w:r>
              <w:t>≥95%</w:t>
            </w:r>
          </w:p>
        </w:tc>
        <w:tc>
          <w:tcPr>
            <w:tcW w:w="1276" w:type="dxa"/>
            <w:vAlign w:val="center"/>
          </w:tcPr>
          <w:p>
            <w:pPr>
              <w:pStyle w:val="12"/>
            </w:pPr>
            <w:r>
              <w:t>年度计划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反映土地租户对租金发放工作的满意度</w:t>
            </w:r>
          </w:p>
        </w:tc>
        <w:tc>
          <w:tcPr>
            <w:tcW w:w="2268" w:type="dxa"/>
            <w:vAlign w:val="center"/>
          </w:tcPr>
          <w:p>
            <w:pPr>
              <w:pStyle w:val="12"/>
            </w:pPr>
            <w:r>
              <w:t>≥95%</w:t>
            </w:r>
          </w:p>
        </w:tc>
        <w:tc>
          <w:tcPr>
            <w:tcW w:w="1276" w:type="dxa"/>
            <w:vAlign w:val="center"/>
          </w:tcPr>
          <w:p>
            <w:pPr>
              <w:pStyle w:val="12"/>
            </w:pPr>
            <w:r>
              <w:t>年度计划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12、燃煤锅炉改造及清洁能源补贴绩效目标表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13032125P000116101193</w:t>
            </w:r>
          </w:p>
        </w:tc>
        <w:tc>
          <w:tcPr>
            <w:tcW w:w="2835" w:type="dxa"/>
            <w:vAlign w:val="center"/>
          </w:tcPr>
          <w:p>
            <w:pPr>
              <w:pStyle w:val="10"/>
            </w:pPr>
            <w:r>
              <w:t>项目名称</w:t>
            </w:r>
          </w:p>
        </w:tc>
        <w:tc>
          <w:tcPr>
            <w:tcW w:w="6095" w:type="dxa"/>
            <w:gridSpan w:val="3"/>
            <w:vAlign w:val="center"/>
          </w:tcPr>
          <w:p>
            <w:pPr>
              <w:pStyle w:val="12"/>
            </w:pPr>
            <w:r>
              <w:t>燃煤锅炉改造及清洁能源补贴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预算安排资金30万元，其中财政资金30万元，主要用于改变取暖方式，加大大气治理力度，提升大气质量。</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1.通过改变取暖方式，加大大气治理力度，提升大气质量。</w:t>
            </w:r>
            <w:r>
              <w:tab/>
            </w:r>
            <w:r>
              <w:tab/>
            </w:r>
            <w:r>
              <w:tab/>
            </w:r>
            <w:r>
              <w:tab/>
            </w:r>
            <w:r>
              <w:tab/>
            </w:r>
            <w:r>
              <w:tab/>
            </w:r>
          </w:p>
          <w:p>
            <w:pPr>
              <w:pStyle w:val="12"/>
            </w:pPr>
          </w:p>
          <w:p>
            <w:pPr>
              <w:pStyle w:val="12"/>
            </w:pPr>
            <w:r>
              <w:t>2.通过开展燃煤锅炉改造工作，确保机关正常办公，为机关工作人员和群众提供良好的工作办事环境。</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268" w:type="dxa"/>
            <w:vAlign w:val="center"/>
          </w:tcPr>
          <w:p>
            <w:pPr>
              <w:pStyle w:val="12"/>
            </w:pPr>
            <w:r>
              <w:t>≥1656㎡</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2268" w:type="dxa"/>
            <w:vAlign w:val="center"/>
          </w:tcPr>
          <w:p>
            <w:pPr>
              <w:pStyle w:val="12"/>
            </w:pPr>
            <w:r>
              <w:t>≤8万元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办公场所采购费用支出</w:t>
            </w:r>
          </w:p>
        </w:tc>
        <w:tc>
          <w:tcPr>
            <w:tcW w:w="2268" w:type="dxa"/>
            <w:vAlign w:val="center"/>
          </w:tcPr>
          <w:p>
            <w:pPr>
              <w:pStyle w:val="12"/>
            </w:pPr>
            <w:r>
              <w:t>≤22万元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2268" w:type="dxa"/>
            <w:vAlign w:val="center"/>
          </w:tcPr>
          <w:p>
            <w:pPr>
              <w:pStyle w:val="12"/>
            </w:pPr>
            <w:r>
              <w:t>≥10%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13、严重精神障碍患者监护人责任险绩效目标表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13032125P00000610011X</w:t>
            </w:r>
          </w:p>
        </w:tc>
        <w:tc>
          <w:tcPr>
            <w:tcW w:w="2835" w:type="dxa"/>
            <w:vAlign w:val="center"/>
          </w:tcPr>
          <w:p>
            <w:pPr>
              <w:pStyle w:val="10"/>
            </w:pPr>
            <w:r>
              <w:t>项目名称</w:t>
            </w:r>
          </w:p>
        </w:tc>
        <w:tc>
          <w:tcPr>
            <w:tcW w:w="6095" w:type="dxa"/>
            <w:gridSpan w:val="3"/>
            <w:vAlign w:val="center"/>
          </w:tcPr>
          <w:p>
            <w:pPr>
              <w:pStyle w:val="12"/>
            </w:pPr>
            <w:r>
              <w:t>严重精神障碍患者监护人责任险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w:t>
            </w:r>
          </w:p>
        </w:tc>
        <w:tc>
          <w:tcPr>
            <w:tcW w:w="2835" w:type="dxa"/>
            <w:vAlign w:val="center"/>
          </w:tcPr>
          <w:p>
            <w:pPr>
              <w:pStyle w:val="10"/>
            </w:pPr>
            <w:r>
              <w:t>其中：财政    资金</w:t>
            </w:r>
          </w:p>
        </w:tc>
        <w:tc>
          <w:tcPr>
            <w:tcW w:w="2551" w:type="dxa"/>
            <w:vAlign w:val="center"/>
          </w:tcPr>
          <w:p>
            <w:pPr>
              <w:pStyle w:val="12"/>
            </w:pPr>
            <w:r>
              <w:t>1.02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预算安排资金1.02万元，其中财政资金1.02万元，主要用于为严重精神障碍患者监护人办理相关保险业，预防严重精神障碍患者伤及人身、损坏财物事件发生。</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1.通过以政府出资投保的方式，减少监护人损失、增强监护人、当事人社会保障，从而化解事后风险。</w:t>
            </w:r>
            <w:r>
              <w:tab/>
            </w:r>
            <w:r>
              <w:tab/>
            </w:r>
            <w:r>
              <w:tab/>
            </w:r>
            <w:r>
              <w:tab/>
            </w:r>
            <w:r>
              <w:tab/>
            </w:r>
            <w:r>
              <w:tab/>
            </w:r>
          </w:p>
          <w:p>
            <w:pPr>
              <w:pStyle w:val="12"/>
            </w:pPr>
          </w:p>
          <w:p>
            <w:pPr>
              <w:pStyle w:val="12"/>
            </w:pPr>
            <w:r>
              <w:t>2.通过为严重精神障碍患者监护人办理相关保险业，预防严重精神障碍患者伤及人身、损坏财物事件发生。</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享受保险人数(人)</w:t>
            </w:r>
          </w:p>
        </w:tc>
        <w:tc>
          <w:tcPr>
            <w:tcW w:w="5386" w:type="dxa"/>
            <w:vAlign w:val="center"/>
          </w:tcPr>
          <w:p>
            <w:pPr>
              <w:pStyle w:val="12"/>
            </w:pPr>
            <w:r>
              <w:t>享受严重精神障碍患者监护人责任险的人数</w:t>
            </w:r>
          </w:p>
        </w:tc>
        <w:tc>
          <w:tcPr>
            <w:tcW w:w="2268" w:type="dxa"/>
            <w:vAlign w:val="center"/>
          </w:tcPr>
          <w:p>
            <w:pPr>
              <w:pStyle w:val="12"/>
            </w:pPr>
            <w:r>
              <w:t>102人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严重精神障碍患者</w:t>
            </w:r>
          </w:p>
        </w:tc>
        <w:tc>
          <w:tcPr>
            <w:tcW w:w="5386" w:type="dxa"/>
            <w:vAlign w:val="center"/>
          </w:tcPr>
          <w:p>
            <w:pPr>
              <w:pStyle w:val="12"/>
            </w:pPr>
            <w:r>
              <w:t>反映严重精神障碍患者人数</w:t>
            </w:r>
          </w:p>
        </w:tc>
        <w:tc>
          <w:tcPr>
            <w:tcW w:w="2268" w:type="dxa"/>
            <w:vAlign w:val="center"/>
          </w:tcPr>
          <w:p>
            <w:pPr>
              <w:pStyle w:val="12"/>
            </w:pPr>
            <w:r>
              <w:t>102人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审核准确率</w:t>
            </w:r>
          </w:p>
        </w:tc>
        <w:tc>
          <w:tcPr>
            <w:tcW w:w="5386" w:type="dxa"/>
            <w:vAlign w:val="center"/>
          </w:tcPr>
          <w:p>
            <w:pPr>
              <w:pStyle w:val="12"/>
            </w:pPr>
            <w:r>
              <w:t>责任险报销事项审核准确率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2268" w:type="dxa"/>
            <w:vAlign w:val="center"/>
          </w:tcPr>
          <w:p>
            <w:pPr>
              <w:pStyle w:val="12"/>
            </w:pPr>
            <w:r>
              <w:t>10月前</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w:t>
            </w:r>
          </w:p>
        </w:tc>
        <w:tc>
          <w:tcPr>
            <w:tcW w:w="2268" w:type="dxa"/>
            <w:vAlign w:val="center"/>
          </w:tcPr>
          <w:p>
            <w:pPr>
              <w:pStyle w:val="12"/>
            </w:pPr>
            <w:r>
              <w:t>100元</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102人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102人</w:t>
            </w:r>
          </w:p>
        </w:tc>
        <w:tc>
          <w:tcPr>
            <w:tcW w:w="1276" w:type="dxa"/>
            <w:vAlign w:val="center"/>
          </w:tcPr>
          <w:p>
            <w:pPr>
              <w:pStyle w:val="12"/>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14、综治工作经费绩效目标表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13032125P00000410016L</w:t>
            </w:r>
          </w:p>
        </w:tc>
        <w:tc>
          <w:tcPr>
            <w:tcW w:w="2835" w:type="dxa"/>
            <w:vAlign w:val="center"/>
          </w:tcPr>
          <w:p>
            <w:pPr>
              <w:pStyle w:val="10"/>
            </w:pPr>
            <w:r>
              <w:t>项目名称</w:t>
            </w:r>
          </w:p>
        </w:tc>
        <w:tc>
          <w:tcPr>
            <w:tcW w:w="6095" w:type="dxa"/>
            <w:gridSpan w:val="3"/>
            <w:vAlign w:val="center"/>
          </w:tcPr>
          <w:p>
            <w:pPr>
              <w:pStyle w:val="12"/>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预算安排资金4万元，其中财政资金4万元，主要用于处理突发性、群体性事件；搞好村级治安工作，深化农村平安创建工作。</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p>
        </w:tc>
        <w:tc>
          <w:tcPr>
            <w:tcW w:w="2835" w:type="dxa"/>
            <w:vAlign w:val="center"/>
          </w:tcPr>
          <w:p>
            <w:pPr>
              <w:pStyle w:val="13"/>
            </w:pPr>
            <w:r>
              <w:rPr>
                <w:rFonts w:hint="eastAsia"/>
                <w:lang w:val="en-US" w:eastAsia="zh-CN"/>
              </w:rPr>
              <w:t>50</w:t>
            </w:r>
          </w:p>
        </w:tc>
        <w:tc>
          <w:tcPr>
            <w:tcW w:w="2551" w:type="dxa"/>
            <w:vAlign w:val="center"/>
          </w:tcPr>
          <w:p>
            <w:pPr>
              <w:pStyle w:val="13"/>
            </w:pPr>
            <w:r>
              <w:rPr>
                <w:rFonts w:hint="eastAsia"/>
                <w:lang w:val="en-US" w:eastAsia="zh-CN"/>
              </w:rPr>
              <w:t>75</w:t>
            </w:r>
          </w:p>
        </w:tc>
        <w:tc>
          <w:tcPr>
            <w:tcW w:w="3544" w:type="dxa"/>
            <w:gridSpan w:val="2"/>
            <w:vAlign w:val="center"/>
          </w:tcPr>
          <w:p>
            <w:pPr>
              <w:pStyle w:val="13"/>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1.妥善处理突发性、群体性事件；搞好村级治安工作，深化农村平安创建工作。</w:t>
            </w:r>
            <w:r>
              <w:tab/>
            </w:r>
            <w:r>
              <w:tab/>
            </w:r>
            <w:r>
              <w:tab/>
            </w:r>
            <w:r>
              <w:tab/>
            </w:r>
            <w:r>
              <w:tab/>
            </w:r>
            <w:r>
              <w:tab/>
            </w:r>
          </w:p>
          <w:p>
            <w:pPr>
              <w:pStyle w:val="12"/>
            </w:pPr>
          </w:p>
          <w:p>
            <w:pPr>
              <w:pStyle w:val="12"/>
            </w:pPr>
            <w:r>
              <w:t>2.通过加强法制宣传教育、提高公民的法律意识和素质，教育群众知法、懂法和守法。</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2268" w:type="dxa"/>
            <w:vAlign w:val="center"/>
          </w:tcPr>
          <w:p>
            <w:pPr>
              <w:pStyle w:val="12"/>
            </w:pPr>
            <w:r>
              <w:t>≥2500份</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268" w:type="dxa"/>
            <w:vAlign w:val="center"/>
          </w:tcPr>
          <w:p>
            <w:pPr>
              <w:pStyle w:val="12"/>
            </w:pPr>
            <w:r>
              <w:t>≤12月</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宣传费支出</w:t>
            </w:r>
          </w:p>
        </w:tc>
        <w:tc>
          <w:tcPr>
            <w:tcW w:w="5386" w:type="dxa"/>
            <w:vAlign w:val="center"/>
          </w:tcPr>
          <w:p>
            <w:pPr>
              <w:pStyle w:val="12"/>
            </w:pPr>
            <w:r>
              <w:t>印刷宣传单支出的费用</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支付救济费</w:t>
            </w:r>
          </w:p>
        </w:tc>
        <w:tc>
          <w:tcPr>
            <w:tcW w:w="5386" w:type="dxa"/>
            <w:vAlign w:val="center"/>
          </w:tcPr>
          <w:p>
            <w:pPr>
              <w:pStyle w:val="12"/>
            </w:pPr>
            <w:r>
              <w:t>用于生活困难的信访人员支出</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“民转刑”命案减少率(%)</w:t>
            </w:r>
          </w:p>
        </w:tc>
        <w:tc>
          <w:tcPr>
            <w:tcW w:w="5386" w:type="dxa"/>
            <w:vAlign w:val="center"/>
          </w:tcPr>
          <w:p>
            <w:pPr>
              <w:pStyle w:val="12"/>
            </w:pPr>
            <w:r>
              <w:t>“民转刑”命案发生数量的减少比率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立体化社会治安防控体系覆盖率(%)</w:t>
            </w:r>
          </w:p>
        </w:tc>
        <w:tc>
          <w:tcPr>
            <w:tcW w:w="5386" w:type="dxa"/>
            <w:vAlign w:val="center"/>
          </w:tcPr>
          <w:p>
            <w:pPr>
              <w:pStyle w:val="12"/>
            </w:pPr>
            <w:r>
              <w:t>立体化社会治安防控体系在镇村两级的覆盖情况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8" w:name="_Toc_3_3_0000000017"/>
      <w:r>
        <w:rPr>
          <w:rFonts w:ascii="黑体" w:hAnsi="黑体" w:eastAsia="黑体" w:cs="黑体"/>
          <w:color w:val="000000"/>
          <w:sz w:val="32"/>
        </w:rPr>
        <w:t>八、政府采购预算情况</w:t>
      </w:r>
      <w:bookmarkEnd w:id="18"/>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7712"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11.87</w:t>
            </w:r>
          </w:p>
        </w:tc>
        <w:tc>
          <w:tcPr>
            <w:tcW w:w="964" w:type="dxa"/>
            <w:vAlign w:val="center"/>
          </w:tcPr>
          <w:p>
            <w:pPr>
              <w:pStyle w:val="15"/>
            </w:pPr>
            <w:r>
              <w:t>11.87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青龙满族自治县朱杖子乡人民政府本级小计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11.87</w:t>
            </w:r>
          </w:p>
        </w:tc>
        <w:tc>
          <w:tcPr>
            <w:tcW w:w="964" w:type="dxa"/>
            <w:vAlign w:val="center"/>
          </w:tcPr>
          <w:p>
            <w:pPr>
              <w:pStyle w:val="15"/>
            </w:pPr>
            <w:r>
              <w:t>11.87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45.27</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1500</w:t>
            </w:r>
          </w:p>
        </w:tc>
        <w:tc>
          <w:tcPr>
            <w:tcW w:w="850" w:type="dxa"/>
            <w:vAlign w:val="center"/>
          </w:tcPr>
          <w:p>
            <w:pPr>
              <w:pStyle w:val="11"/>
            </w:pPr>
            <w:r>
              <w:t>0.00</w:t>
            </w:r>
          </w:p>
        </w:tc>
        <w:tc>
          <w:tcPr>
            <w:tcW w:w="964" w:type="dxa"/>
            <w:vAlign w:val="center"/>
          </w:tcPr>
          <w:p>
            <w:pPr>
              <w:pStyle w:val="11"/>
            </w:pPr>
            <w:r>
              <w:t>2.55</w:t>
            </w:r>
          </w:p>
        </w:tc>
        <w:tc>
          <w:tcPr>
            <w:tcW w:w="964" w:type="dxa"/>
            <w:vAlign w:val="center"/>
          </w:tcPr>
          <w:p>
            <w:pPr>
              <w:pStyle w:val="11"/>
            </w:pPr>
            <w:r>
              <w:t>2.55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45.27</w:t>
            </w:r>
          </w:p>
        </w:tc>
        <w:tc>
          <w:tcPr>
            <w:tcW w:w="1134" w:type="dxa"/>
            <w:vAlign w:val="center"/>
          </w:tcPr>
          <w:p>
            <w:pPr>
              <w:pStyle w:val="12"/>
            </w:pPr>
            <w:r>
              <w:t>网络接入服务</w:t>
            </w:r>
          </w:p>
        </w:tc>
        <w:tc>
          <w:tcPr>
            <w:tcW w:w="1134" w:type="dxa"/>
            <w:vAlign w:val="center"/>
          </w:tcPr>
          <w:p>
            <w:pPr>
              <w:pStyle w:val="12"/>
            </w:pPr>
            <w:r>
              <w:t>C17010200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6.12</w:t>
            </w:r>
          </w:p>
        </w:tc>
        <w:tc>
          <w:tcPr>
            <w:tcW w:w="964" w:type="dxa"/>
            <w:vAlign w:val="center"/>
          </w:tcPr>
          <w:p>
            <w:pPr>
              <w:pStyle w:val="11"/>
            </w:pPr>
            <w:r>
              <w:t>6.12</w:t>
            </w:r>
          </w:p>
        </w:tc>
        <w:tc>
          <w:tcPr>
            <w:tcW w:w="964" w:type="dxa"/>
            <w:vAlign w:val="center"/>
          </w:tcPr>
          <w:p>
            <w:pPr>
              <w:pStyle w:val="11"/>
            </w:pPr>
            <w:r>
              <w:t>6.12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45.27</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45.27</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1.60</w:t>
            </w:r>
          </w:p>
        </w:tc>
        <w:tc>
          <w:tcPr>
            <w:tcW w:w="964" w:type="dxa"/>
            <w:vAlign w:val="center"/>
          </w:tcPr>
          <w:p>
            <w:pPr>
              <w:pStyle w:val="11"/>
            </w:pPr>
            <w:r>
              <w:t>1.60</w:t>
            </w:r>
          </w:p>
        </w:tc>
        <w:tc>
          <w:tcPr>
            <w:tcW w:w="964" w:type="dxa"/>
            <w:vAlign w:val="center"/>
          </w:tcPr>
          <w:p>
            <w:pPr>
              <w:pStyle w:val="11"/>
            </w:pPr>
            <w:r>
              <w:t>1.60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45.27</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9" w:name="_Toc_3_3_0000000018"/>
      <w:r>
        <w:rPr>
          <w:rFonts w:ascii="黑体" w:hAnsi="黑体" w:eastAsia="黑体" w:cs="黑体"/>
          <w:color w:val="000000"/>
          <w:sz w:val="32"/>
        </w:rPr>
        <w:t>九、国有资产信息</w:t>
      </w:r>
      <w:bookmarkEnd w:id="19"/>
    </w:p>
    <w:p>
      <w:pPr>
        <w:spacing w:line="500" w:lineRule="exact"/>
        <w:ind w:firstLine="560"/>
      </w:pPr>
      <w:r>
        <w:rPr>
          <w:rFonts w:eastAsia="方正仿宋_GBK"/>
          <w:color w:val="000000"/>
          <w:sz w:val="28"/>
        </w:rPr>
        <w:t>青龙满族自治县朱杖子乡人民政府（含所属单位）上年末固定资产金额为142.86万元（详见下表）。本年度拟购置固定资产总额为0.00万元，已按要求列入政府采购预算，详见政府采购预算表。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921青龙满族自治县朱杖子乡人民政府</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142.86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1160</w:t>
            </w:r>
          </w:p>
        </w:tc>
        <w:tc>
          <w:tcPr>
            <w:tcW w:w="2835" w:type="dxa"/>
            <w:vAlign w:val="center"/>
          </w:tcPr>
          <w:p>
            <w:pPr>
              <w:pStyle w:val="11"/>
            </w:pPr>
            <w:r>
              <w:t>86.69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26.86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72</w:t>
            </w:r>
          </w:p>
        </w:tc>
        <w:tc>
          <w:tcPr>
            <w:tcW w:w="2835" w:type="dxa"/>
            <w:vAlign w:val="center"/>
          </w:tcPr>
          <w:p>
            <w:pPr>
              <w:pStyle w:val="11"/>
            </w:pPr>
            <w:r>
              <w:t>29.31</w:t>
            </w:r>
          </w:p>
        </w:tc>
      </w:tr>
    </w:tbl>
    <w:p>
      <w:pPr>
        <w:ind w:firstLine="640"/>
      </w:pPr>
      <w:r>
        <w:rPr>
          <w:rFonts w:eastAsia="方正仿宋_GBK"/>
          <w:color w:val="000000"/>
          <w:sz w:val="32"/>
        </w:rPr>
        <w:t xml:space="preserve"> </w:t>
      </w:r>
    </w:p>
    <w:p>
      <w:pPr>
        <w:spacing w:before="10" w:after="10"/>
        <w:ind w:firstLine="640"/>
        <w:outlineLvl w:val="2"/>
      </w:pPr>
      <w:bookmarkStart w:id="20" w:name="_Toc_3_3_0000000019"/>
      <w:r>
        <w:rPr>
          <w:rFonts w:ascii="黑体" w:hAnsi="黑体" w:eastAsia="黑体" w:cs="黑体"/>
          <w:color w:val="000000"/>
          <w:sz w:val="32"/>
        </w:rPr>
        <w:t>十、名词解释</w:t>
      </w:r>
      <w:bookmarkEnd w:id="20"/>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21" w:name="_Toc_3_3_0000000020"/>
      <w:r>
        <w:rPr>
          <w:rFonts w:ascii="黑体" w:hAnsi="黑体" w:eastAsia="黑体" w:cs="黑体"/>
          <w:color w:val="000000"/>
          <w:sz w:val="32"/>
        </w:rPr>
        <w:t>十一、其他需要说明的事项</w:t>
      </w:r>
      <w:bookmarkEnd w:id="21"/>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10"/>
    <w:rsid w:val="007D3E88"/>
    <w:rsid w:val="00926892"/>
    <w:rsid w:val="00B27823"/>
    <w:rsid w:val="00D44710"/>
    <w:rsid w:val="02735BFB"/>
    <w:rsid w:val="202D3B9A"/>
    <w:rsid w:val="248F20A9"/>
    <w:rsid w:val="2A755335"/>
    <w:rsid w:val="3C6749A6"/>
    <w:rsid w:val="43C128CE"/>
    <w:rsid w:val="47F179E7"/>
    <w:rsid w:val="4DF30DF0"/>
    <w:rsid w:val="4F7E5E3D"/>
    <w:rsid w:val="52555B21"/>
    <w:rsid w:val="56A71D5E"/>
    <w:rsid w:val="599B388F"/>
    <w:rsid w:val="61805C84"/>
    <w:rsid w:val="768D3BBF"/>
    <w:rsid w:val="7FA42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4206</Words>
  <Characters>23977</Characters>
  <Lines>199</Lines>
  <Paragraphs>56</Paragraphs>
  <TotalTime>7</TotalTime>
  <ScaleCrop>false</ScaleCrop>
  <LinksUpToDate>false</LinksUpToDate>
  <CharactersWithSpaces>28127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2025-01-21T13:11:00Z</dcterms:created>
  <dc:creator>Administrator</dc:creator>
  <cp:lastModifiedBy>党政办</cp:lastModifiedBy>
  <dcterms:modified xsi:type="dcterms:W3CDTF">2025-12-15T02:20:44Z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9A24E9D04F7C4E298BF5BC29F888CEC8</vt:lpwstr>
  </property>
</Properties>
</file>