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5"/>
        <w:tabs>
          <w:tab w:val="right" w:leader="dot" w:pos="14562"/>
        </w:tabs>
      </w:pPr>
      <w:r>
        <w:fldChar w:fldCharType="begin"/>
      </w:r>
      <w:r>
        <w:instrText xml:space="preserve">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5"/>
        <w:tabs>
          <w:tab w:val="right" w:leader="dot" w:pos="14562"/>
        </w:tabs>
      </w:pPr>
      <w:r>
        <w:fldChar w:fldCharType="begin"/>
      </w:r>
      <w:r>
        <w:instrText xml:space="preserve">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5"/>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5"/>
        <w:tabs>
          <w:tab w:val="right" w:leader="dot" w:pos="14562"/>
        </w:tabs>
      </w:pPr>
      <w:r>
        <w:fldChar w:fldCharType="begin"/>
      </w:r>
      <w:r>
        <w:instrText xml:space="preserve">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5"/>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5"/>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5"/>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5"/>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5"/>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5"/>
        <w:tabs>
          <w:tab w:val="right" w:leader="dot" w:pos="14562"/>
        </w:tabs>
      </w:pPr>
      <w:r>
        <w:fldChar w:fldCharType="begin"/>
      </w:r>
      <w:r>
        <w:instrText xml:space="preserve">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25"/>
        <w:tabs>
          <w:tab w:val="right" w:leader="dot" w:pos="14562"/>
        </w:tabs>
      </w:pPr>
      <w:r>
        <w:fldChar w:fldCharType="begin"/>
      </w:r>
      <w:r>
        <w:instrText xml:space="preserve">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5"/>
        <w:tabs>
          <w:tab w:val="right" w:leader="dot" w:pos="14562"/>
        </w:tabs>
      </w:pPr>
      <w:r>
        <w:fldChar w:fldCharType="begin"/>
      </w:r>
      <w:r>
        <w:instrText xml:space="preserve">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5"/>
        <w:tabs>
          <w:tab w:val="right" w:leader="dot" w:pos="14562"/>
        </w:tabs>
      </w:pPr>
      <w:r>
        <w:fldChar w:fldCharType="begin"/>
      </w:r>
      <w:r>
        <w:instrText xml:space="preserve">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25"/>
        <w:tabs>
          <w:tab w:val="right" w:leader="dot" w:pos="14562"/>
        </w:tabs>
      </w:pPr>
      <w:r>
        <w:fldChar w:fldCharType="begin"/>
      </w:r>
      <w:r>
        <w:instrText xml:space="preserve">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25"/>
        <w:tabs>
          <w:tab w:val="right" w:leader="dot" w:pos="14562"/>
        </w:tabs>
      </w:pPr>
      <w:r>
        <w:fldChar w:fldCharType="begin"/>
      </w:r>
      <w:r>
        <w:instrText xml:space="preserve">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25"/>
        <w:tabs>
          <w:tab w:val="right" w:leader="dot" w:pos="14562"/>
        </w:tabs>
      </w:pPr>
      <w:r>
        <w:fldChar w:fldCharType="begin"/>
      </w:r>
      <w:r>
        <w:instrText xml:space="preserve">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1571.04</w:t>
            </w:r>
          </w:p>
        </w:tc>
        <w:tc>
          <w:tcPr>
            <w:tcW w:w="4535" w:type="dxa"/>
            <w:vAlign w:val="center"/>
          </w:tcPr>
          <w:p>
            <w:pPr>
              <w:pStyle w:val="10"/>
            </w:pPr>
            <w:r>
              <w:t>一、一般公共服务支出</w:t>
            </w:r>
          </w:p>
        </w:tc>
        <w:tc>
          <w:tcPr>
            <w:tcW w:w="2126" w:type="dxa"/>
            <w:vAlign w:val="center"/>
          </w:tcPr>
          <w:p>
            <w:pPr>
              <w:pStyle w:val="9"/>
            </w:pPr>
            <w:r>
              <w:t>1355.25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100.00</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154.84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67.61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1671.04</w:t>
            </w:r>
          </w:p>
        </w:tc>
        <w:tc>
          <w:tcPr>
            <w:tcW w:w="4535" w:type="dxa"/>
            <w:vAlign w:val="center"/>
          </w:tcPr>
          <w:p>
            <w:pPr>
              <w:pStyle w:val="12"/>
            </w:pPr>
            <w:r>
              <w:t>本年支出合计</w:t>
            </w:r>
          </w:p>
        </w:tc>
        <w:tc>
          <w:tcPr>
            <w:tcW w:w="2126" w:type="dxa"/>
            <w:vAlign w:val="center"/>
          </w:tcPr>
          <w:p>
            <w:pPr>
              <w:pStyle w:val="13"/>
            </w:pPr>
            <w:r>
              <w:t>1745.75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74.71</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1745.75</w:t>
            </w:r>
          </w:p>
        </w:tc>
        <w:tc>
          <w:tcPr>
            <w:tcW w:w="4535" w:type="dxa"/>
            <w:vAlign w:val="center"/>
          </w:tcPr>
          <w:p>
            <w:pPr>
              <w:pStyle w:val="12"/>
            </w:pPr>
            <w:r>
              <w:t>支出总计</w:t>
            </w:r>
          </w:p>
        </w:tc>
        <w:tc>
          <w:tcPr>
            <w:tcW w:w="2126" w:type="dxa"/>
            <w:vAlign w:val="center"/>
          </w:tcPr>
          <w:p>
            <w:pPr>
              <w:pStyle w:val="13"/>
            </w:pPr>
            <w:r>
              <w:t>1745.75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1745.75</w:t>
            </w:r>
          </w:p>
        </w:tc>
        <w:tc>
          <w:tcPr>
            <w:tcW w:w="1134" w:type="dxa"/>
            <w:vAlign w:val="center"/>
          </w:tcPr>
          <w:p>
            <w:pPr>
              <w:pStyle w:val="13"/>
            </w:pPr>
            <w:r>
              <w:t>1671.04</w:t>
            </w:r>
          </w:p>
        </w:tc>
        <w:tc>
          <w:tcPr>
            <w:tcW w:w="1134" w:type="dxa"/>
            <w:vAlign w:val="center"/>
          </w:tcPr>
          <w:p>
            <w:pPr>
              <w:pStyle w:val="13"/>
            </w:pPr>
            <w:r>
              <w:t>1671.04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1355.25</w:t>
            </w:r>
          </w:p>
        </w:tc>
        <w:tc>
          <w:tcPr>
            <w:tcW w:w="1134" w:type="dxa"/>
            <w:vAlign w:val="center"/>
          </w:tcPr>
          <w:p>
            <w:pPr>
              <w:pStyle w:val="9"/>
            </w:pPr>
            <w:r>
              <w:t>1280.54</w:t>
            </w:r>
          </w:p>
        </w:tc>
        <w:tc>
          <w:tcPr>
            <w:tcW w:w="1134" w:type="dxa"/>
            <w:vAlign w:val="center"/>
          </w:tcPr>
          <w:p>
            <w:pPr>
              <w:pStyle w:val="9"/>
            </w:pPr>
            <w:r>
              <w:t>1280.54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1355.25</w:t>
            </w:r>
          </w:p>
        </w:tc>
        <w:tc>
          <w:tcPr>
            <w:tcW w:w="1134" w:type="dxa"/>
            <w:vAlign w:val="center"/>
          </w:tcPr>
          <w:p>
            <w:pPr>
              <w:pStyle w:val="9"/>
            </w:pPr>
            <w:r>
              <w:t>1280.54</w:t>
            </w:r>
          </w:p>
        </w:tc>
        <w:tc>
          <w:tcPr>
            <w:tcW w:w="1134" w:type="dxa"/>
            <w:vAlign w:val="center"/>
          </w:tcPr>
          <w:p>
            <w:pPr>
              <w:pStyle w:val="9"/>
            </w:pPr>
            <w:r>
              <w:t>1280.54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2011101</w:t>
            </w:r>
          </w:p>
        </w:tc>
        <w:tc>
          <w:tcPr>
            <w:tcW w:w="1559" w:type="dxa"/>
            <w:vAlign w:val="center"/>
          </w:tcPr>
          <w:p>
            <w:pPr>
              <w:pStyle w:val="10"/>
            </w:pPr>
            <w:r>
              <w:t>行政运行</w:t>
            </w:r>
          </w:p>
        </w:tc>
        <w:tc>
          <w:tcPr>
            <w:tcW w:w="1134" w:type="dxa"/>
            <w:vAlign w:val="center"/>
          </w:tcPr>
          <w:p>
            <w:pPr>
              <w:pStyle w:val="9"/>
            </w:pPr>
            <w:r>
              <w:t>1080.54</w:t>
            </w:r>
          </w:p>
        </w:tc>
        <w:tc>
          <w:tcPr>
            <w:tcW w:w="1134" w:type="dxa"/>
            <w:vAlign w:val="center"/>
          </w:tcPr>
          <w:p>
            <w:pPr>
              <w:pStyle w:val="9"/>
            </w:pPr>
            <w:r>
              <w:t>1057.59</w:t>
            </w:r>
          </w:p>
        </w:tc>
        <w:tc>
          <w:tcPr>
            <w:tcW w:w="1134" w:type="dxa"/>
            <w:vAlign w:val="center"/>
          </w:tcPr>
          <w:p>
            <w:pPr>
              <w:pStyle w:val="9"/>
            </w:pPr>
            <w:r>
              <w:t>1057.59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2011102</w:t>
            </w:r>
          </w:p>
        </w:tc>
        <w:tc>
          <w:tcPr>
            <w:tcW w:w="1559" w:type="dxa"/>
            <w:vAlign w:val="center"/>
          </w:tcPr>
          <w:p>
            <w:pPr>
              <w:pStyle w:val="10"/>
            </w:pPr>
            <w:r>
              <w:t>一般行政管理事务</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2011104</w:t>
            </w:r>
          </w:p>
        </w:tc>
        <w:tc>
          <w:tcPr>
            <w:tcW w:w="1559" w:type="dxa"/>
            <w:vAlign w:val="center"/>
          </w:tcPr>
          <w:p>
            <w:pPr>
              <w:pStyle w:val="10"/>
            </w:pPr>
            <w:r>
              <w:t>大案要案查处</w:t>
            </w:r>
          </w:p>
        </w:tc>
        <w:tc>
          <w:tcPr>
            <w:tcW w:w="1134" w:type="dxa"/>
            <w:vAlign w:val="center"/>
          </w:tcPr>
          <w:p>
            <w:pPr>
              <w:pStyle w:val="9"/>
            </w:pPr>
            <w:r>
              <w:t>25.85</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2011106</w:t>
            </w:r>
          </w:p>
        </w:tc>
        <w:tc>
          <w:tcPr>
            <w:tcW w:w="1559" w:type="dxa"/>
            <w:vAlign w:val="center"/>
          </w:tcPr>
          <w:p>
            <w:pPr>
              <w:pStyle w:val="10"/>
            </w:pPr>
            <w:r>
              <w:t>巡视工作</w:t>
            </w:r>
          </w:p>
        </w:tc>
        <w:tc>
          <w:tcPr>
            <w:tcW w:w="1134" w:type="dxa"/>
            <w:vAlign w:val="center"/>
          </w:tcPr>
          <w:p>
            <w:pPr>
              <w:pStyle w:val="9"/>
            </w:pPr>
            <w:r>
              <w:t>16.17</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2011150</w:t>
            </w:r>
          </w:p>
        </w:tc>
        <w:tc>
          <w:tcPr>
            <w:tcW w:w="1559" w:type="dxa"/>
            <w:vAlign w:val="center"/>
          </w:tcPr>
          <w:p>
            <w:pPr>
              <w:pStyle w:val="10"/>
            </w:pPr>
            <w:r>
              <w:t>事业运行</w:t>
            </w:r>
          </w:p>
        </w:tc>
        <w:tc>
          <w:tcPr>
            <w:tcW w:w="1134" w:type="dxa"/>
            <w:vAlign w:val="center"/>
          </w:tcPr>
          <w:p>
            <w:pPr>
              <w:pStyle w:val="9"/>
            </w:pPr>
            <w:r>
              <w:t>45.95</w:t>
            </w:r>
          </w:p>
        </w:tc>
        <w:tc>
          <w:tcPr>
            <w:tcW w:w="1134" w:type="dxa"/>
            <w:vAlign w:val="center"/>
          </w:tcPr>
          <w:p>
            <w:pPr>
              <w:pStyle w:val="9"/>
            </w:pPr>
            <w:r>
              <w:t>45.95</w:t>
            </w:r>
          </w:p>
        </w:tc>
        <w:tc>
          <w:tcPr>
            <w:tcW w:w="1134" w:type="dxa"/>
            <w:vAlign w:val="center"/>
          </w:tcPr>
          <w:p>
            <w:pPr>
              <w:pStyle w:val="9"/>
            </w:pPr>
            <w:r>
              <w:t>45.95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2011199</w:t>
            </w:r>
          </w:p>
        </w:tc>
        <w:tc>
          <w:tcPr>
            <w:tcW w:w="1559" w:type="dxa"/>
            <w:vAlign w:val="center"/>
          </w:tcPr>
          <w:p>
            <w:pPr>
              <w:pStyle w:val="10"/>
            </w:pPr>
            <w:r>
              <w:t>其他纪检监察事务支出</w:t>
            </w:r>
          </w:p>
        </w:tc>
        <w:tc>
          <w:tcPr>
            <w:tcW w:w="1134" w:type="dxa"/>
            <w:vAlign w:val="center"/>
          </w:tcPr>
          <w:p>
            <w:pPr>
              <w:pStyle w:val="9"/>
            </w:pPr>
            <w:r>
              <w:t>174.74</w:t>
            </w:r>
          </w:p>
        </w:tc>
        <w:tc>
          <w:tcPr>
            <w:tcW w:w="1134" w:type="dxa"/>
            <w:vAlign w:val="center"/>
          </w:tcPr>
          <w:p>
            <w:pPr>
              <w:pStyle w:val="9"/>
            </w:pPr>
            <w:r>
              <w:t>133.00</w:t>
            </w:r>
          </w:p>
        </w:tc>
        <w:tc>
          <w:tcPr>
            <w:tcW w:w="1134" w:type="dxa"/>
            <w:vAlign w:val="center"/>
          </w:tcPr>
          <w:p>
            <w:pPr>
              <w:pStyle w:val="9"/>
            </w:pPr>
            <w:r>
              <w:t>133.00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154.84</w:t>
            </w:r>
          </w:p>
        </w:tc>
        <w:tc>
          <w:tcPr>
            <w:tcW w:w="1134" w:type="dxa"/>
            <w:vAlign w:val="center"/>
          </w:tcPr>
          <w:p>
            <w:pPr>
              <w:pStyle w:val="9"/>
            </w:pPr>
            <w:r>
              <w:t>154.84</w:t>
            </w:r>
          </w:p>
        </w:tc>
        <w:tc>
          <w:tcPr>
            <w:tcW w:w="1134" w:type="dxa"/>
            <w:vAlign w:val="center"/>
          </w:tcPr>
          <w:p>
            <w:pPr>
              <w:pStyle w:val="9"/>
            </w:pPr>
            <w:r>
              <w:t>154.84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153.88</w:t>
            </w:r>
          </w:p>
        </w:tc>
        <w:tc>
          <w:tcPr>
            <w:tcW w:w="1134" w:type="dxa"/>
            <w:vAlign w:val="center"/>
          </w:tcPr>
          <w:p>
            <w:pPr>
              <w:pStyle w:val="9"/>
            </w:pPr>
            <w:r>
              <w:t>153.88</w:t>
            </w:r>
          </w:p>
        </w:tc>
        <w:tc>
          <w:tcPr>
            <w:tcW w:w="1134" w:type="dxa"/>
            <w:vAlign w:val="center"/>
          </w:tcPr>
          <w:p>
            <w:pPr>
              <w:pStyle w:val="9"/>
            </w:pPr>
            <w:r>
              <w:t>153.88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22.20</w:t>
            </w:r>
          </w:p>
        </w:tc>
        <w:tc>
          <w:tcPr>
            <w:tcW w:w="1134" w:type="dxa"/>
            <w:vAlign w:val="center"/>
          </w:tcPr>
          <w:p>
            <w:pPr>
              <w:pStyle w:val="9"/>
            </w:pPr>
            <w:r>
              <w:t>22.20</w:t>
            </w:r>
          </w:p>
        </w:tc>
        <w:tc>
          <w:tcPr>
            <w:tcW w:w="1134" w:type="dxa"/>
            <w:vAlign w:val="center"/>
          </w:tcPr>
          <w:p>
            <w:pPr>
              <w:pStyle w:val="9"/>
            </w:pPr>
            <w:r>
              <w:t>22.20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131.67</w:t>
            </w:r>
          </w:p>
        </w:tc>
        <w:tc>
          <w:tcPr>
            <w:tcW w:w="1134" w:type="dxa"/>
            <w:vAlign w:val="center"/>
          </w:tcPr>
          <w:p>
            <w:pPr>
              <w:pStyle w:val="9"/>
            </w:pPr>
            <w:r>
              <w:t>131.67</w:t>
            </w:r>
          </w:p>
        </w:tc>
        <w:tc>
          <w:tcPr>
            <w:tcW w:w="1134" w:type="dxa"/>
            <w:vAlign w:val="center"/>
          </w:tcPr>
          <w:p>
            <w:pPr>
              <w:pStyle w:val="9"/>
            </w:pPr>
            <w:r>
              <w:t>131.67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64.26</w:t>
            </w:r>
          </w:p>
        </w:tc>
        <w:tc>
          <w:tcPr>
            <w:tcW w:w="1134" w:type="dxa"/>
            <w:vAlign w:val="center"/>
          </w:tcPr>
          <w:p>
            <w:pPr>
              <w:pStyle w:val="9"/>
            </w:pPr>
            <w:r>
              <w:t>64.26</w:t>
            </w:r>
          </w:p>
        </w:tc>
        <w:tc>
          <w:tcPr>
            <w:tcW w:w="1134" w:type="dxa"/>
            <w:vAlign w:val="center"/>
          </w:tcPr>
          <w:p>
            <w:pPr>
              <w:pStyle w:val="9"/>
            </w:pPr>
            <w:r>
              <w:t>64.26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3.78</w:t>
            </w:r>
          </w:p>
        </w:tc>
        <w:tc>
          <w:tcPr>
            <w:tcW w:w="1134" w:type="dxa"/>
            <w:vAlign w:val="center"/>
          </w:tcPr>
          <w:p>
            <w:pPr>
              <w:pStyle w:val="9"/>
            </w:pPr>
            <w:r>
              <w:t>3.78</w:t>
            </w:r>
          </w:p>
        </w:tc>
        <w:tc>
          <w:tcPr>
            <w:tcW w:w="1134" w:type="dxa"/>
            <w:vAlign w:val="center"/>
          </w:tcPr>
          <w:p>
            <w:pPr>
              <w:pStyle w:val="9"/>
            </w:pPr>
            <w:r>
              <w:t>3.78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1745.75</w:t>
            </w:r>
          </w:p>
        </w:tc>
        <w:tc>
          <w:tcPr>
            <w:tcW w:w="1361" w:type="dxa"/>
            <w:vAlign w:val="center"/>
          </w:tcPr>
          <w:p>
            <w:pPr>
              <w:pStyle w:val="13"/>
            </w:pPr>
            <w:r>
              <w:t>1417.00</w:t>
            </w:r>
          </w:p>
        </w:tc>
        <w:tc>
          <w:tcPr>
            <w:tcW w:w="1361" w:type="dxa"/>
            <w:vAlign w:val="center"/>
          </w:tcPr>
          <w:p>
            <w:pPr>
              <w:pStyle w:val="13"/>
            </w:pPr>
            <w:r>
              <w:t>328.76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1355.25</w:t>
            </w:r>
          </w:p>
        </w:tc>
        <w:tc>
          <w:tcPr>
            <w:tcW w:w="1361" w:type="dxa"/>
            <w:vAlign w:val="center"/>
          </w:tcPr>
          <w:p>
            <w:pPr>
              <w:pStyle w:val="9"/>
            </w:pPr>
            <w:r>
              <w:t>1126.49</w:t>
            </w:r>
          </w:p>
        </w:tc>
        <w:tc>
          <w:tcPr>
            <w:tcW w:w="1361" w:type="dxa"/>
            <w:vAlign w:val="center"/>
          </w:tcPr>
          <w:p>
            <w:pPr>
              <w:pStyle w:val="9"/>
            </w:pPr>
            <w:r>
              <w:t>228.76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5" w:type="dxa"/>
            <w:vAlign w:val="center"/>
          </w:tcPr>
          <w:p>
            <w:pPr>
              <w:pStyle w:val="10"/>
            </w:pPr>
            <w:r>
              <w:t>纪检监察事务</w:t>
            </w:r>
          </w:p>
        </w:tc>
        <w:tc>
          <w:tcPr>
            <w:tcW w:w="1361" w:type="dxa"/>
            <w:vAlign w:val="center"/>
          </w:tcPr>
          <w:p>
            <w:pPr>
              <w:pStyle w:val="9"/>
            </w:pPr>
            <w:r>
              <w:t>1355.25</w:t>
            </w:r>
          </w:p>
        </w:tc>
        <w:tc>
          <w:tcPr>
            <w:tcW w:w="1361" w:type="dxa"/>
            <w:vAlign w:val="center"/>
          </w:tcPr>
          <w:p>
            <w:pPr>
              <w:pStyle w:val="9"/>
            </w:pPr>
            <w:r>
              <w:t>1126.49</w:t>
            </w:r>
          </w:p>
        </w:tc>
        <w:tc>
          <w:tcPr>
            <w:tcW w:w="1361" w:type="dxa"/>
            <w:vAlign w:val="center"/>
          </w:tcPr>
          <w:p>
            <w:pPr>
              <w:pStyle w:val="9"/>
            </w:pPr>
            <w:r>
              <w:t>228.76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2011101</w:t>
            </w:r>
          </w:p>
        </w:tc>
        <w:tc>
          <w:tcPr>
            <w:tcW w:w="4535" w:type="dxa"/>
            <w:vAlign w:val="center"/>
          </w:tcPr>
          <w:p>
            <w:pPr>
              <w:pStyle w:val="10"/>
            </w:pPr>
            <w:r>
              <w:t>行政运行</w:t>
            </w:r>
          </w:p>
        </w:tc>
        <w:tc>
          <w:tcPr>
            <w:tcW w:w="1361" w:type="dxa"/>
            <w:vAlign w:val="center"/>
          </w:tcPr>
          <w:p>
            <w:pPr>
              <w:pStyle w:val="9"/>
            </w:pPr>
            <w:r>
              <w:t>1080.54</w:t>
            </w:r>
          </w:p>
        </w:tc>
        <w:tc>
          <w:tcPr>
            <w:tcW w:w="1361" w:type="dxa"/>
            <w:vAlign w:val="center"/>
          </w:tcPr>
          <w:p>
            <w:pPr>
              <w:pStyle w:val="9"/>
            </w:pPr>
            <w:r>
              <w:t>1080.54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2011102</w:t>
            </w:r>
          </w:p>
        </w:tc>
        <w:tc>
          <w:tcPr>
            <w:tcW w:w="4535" w:type="dxa"/>
            <w:vAlign w:val="center"/>
          </w:tcPr>
          <w:p>
            <w:pPr>
              <w:pStyle w:val="10"/>
            </w:pPr>
            <w:r>
              <w:t>一般行政管理事务</w:t>
            </w: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2011104</w:t>
            </w:r>
          </w:p>
        </w:tc>
        <w:tc>
          <w:tcPr>
            <w:tcW w:w="4535" w:type="dxa"/>
            <w:vAlign w:val="center"/>
          </w:tcPr>
          <w:p>
            <w:pPr>
              <w:pStyle w:val="10"/>
            </w:pPr>
            <w:r>
              <w:t>大案要案查处</w:t>
            </w:r>
          </w:p>
        </w:tc>
        <w:tc>
          <w:tcPr>
            <w:tcW w:w="1361" w:type="dxa"/>
            <w:vAlign w:val="center"/>
          </w:tcPr>
          <w:p>
            <w:pPr>
              <w:pStyle w:val="9"/>
            </w:pPr>
            <w:r>
              <w:t>25.85</w:t>
            </w:r>
          </w:p>
        </w:tc>
        <w:tc>
          <w:tcPr>
            <w:tcW w:w="1361" w:type="dxa"/>
            <w:vAlign w:val="center"/>
          </w:tcPr>
          <w:p>
            <w:pPr>
              <w:pStyle w:val="9"/>
            </w:pPr>
          </w:p>
        </w:tc>
        <w:tc>
          <w:tcPr>
            <w:tcW w:w="1361" w:type="dxa"/>
            <w:vAlign w:val="center"/>
          </w:tcPr>
          <w:p>
            <w:pPr>
              <w:pStyle w:val="9"/>
            </w:pPr>
            <w:r>
              <w:t>25.85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2011106</w:t>
            </w:r>
          </w:p>
        </w:tc>
        <w:tc>
          <w:tcPr>
            <w:tcW w:w="4535" w:type="dxa"/>
            <w:vAlign w:val="center"/>
          </w:tcPr>
          <w:p>
            <w:pPr>
              <w:pStyle w:val="10"/>
            </w:pPr>
            <w:r>
              <w:t>巡视工作</w:t>
            </w:r>
          </w:p>
        </w:tc>
        <w:tc>
          <w:tcPr>
            <w:tcW w:w="1361" w:type="dxa"/>
            <w:vAlign w:val="center"/>
          </w:tcPr>
          <w:p>
            <w:pPr>
              <w:pStyle w:val="9"/>
            </w:pPr>
            <w:r>
              <w:t>16.17</w:t>
            </w:r>
          </w:p>
        </w:tc>
        <w:tc>
          <w:tcPr>
            <w:tcW w:w="1361" w:type="dxa"/>
            <w:vAlign w:val="center"/>
          </w:tcPr>
          <w:p>
            <w:pPr>
              <w:pStyle w:val="9"/>
            </w:pPr>
          </w:p>
        </w:tc>
        <w:tc>
          <w:tcPr>
            <w:tcW w:w="1361" w:type="dxa"/>
            <w:vAlign w:val="center"/>
          </w:tcPr>
          <w:p>
            <w:pPr>
              <w:pStyle w:val="9"/>
            </w:pPr>
            <w:r>
              <w:t>16.17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2011150</w:t>
            </w:r>
          </w:p>
        </w:tc>
        <w:tc>
          <w:tcPr>
            <w:tcW w:w="4535" w:type="dxa"/>
            <w:vAlign w:val="center"/>
          </w:tcPr>
          <w:p>
            <w:pPr>
              <w:pStyle w:val="10"/>
            </w:pPr>
            <w:r>
              <w:t>事业运行</w:t>
            </w:r>
          </w:p>
        </w:tc>
        <w:tc>
          <w:tcPr>
            <w:tcW w:w="1361" w:type="dxa"/>
            <w:vAlign w:val="center"/>
          </w:tcPr>
          <w:p>
            <w:pPr>
              <w:pStyle w:val="9"/>
            </w:pPr>
            <w:r>
              <w:t>45.95</w:t>
            </w:r>
          </w:p>
        </w:tc>
        <w:tc>
          <w:tcPr>
            <w:tcW w:w="1361" w:type="dxa"/>
            <w:vAlign w:val="center"/>
          </w:tcPr>
          <w:p>
            <w:pPr>
              <w:pStyle w:val="9"/>
            </w:pPr>
            <w:r>
              <w:t>45.95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2011199</w:t>
            </w:r>
          </w:p>
        </w:tc>
        <w:tc>
          <w:tcPr>
            <w:tcW w:w="4535" w:type="dxa"/>
            <w:vAlign w:val="center"/>
          </w:tcPr>
          <w:p>
            <w:pPr>
              <w:pStyle w:val="10"/>
            </w:pPr>
            <w:r>
              <w:t>其他纪检监察事务支出</w:t>
            </w:r>
          </w:p>
        </w:tc>
        <w:tc>
          <w:tcPr>
            <w:tcW w:w="1361" w:type="dxa"/>
            <w:vAlign w:val="center"/>
          </w:tcPr>
          <w:p>
            <w:pPr>
              <w:pStyle w:val="9"/>
            </w:pPr>
            <w:r>
              <w:t>174.74</w:t>
            </w:r>
          </w:p>
        </w:tc>
        <w:tc>
          <w:tcPr>
            <w:tcW w:w="1361" w:type="dxa"/>
            <w:vAlign w:val="center"/>
          </w:tcPr>
          <w:p>
            <w:pPr>
              <w:pStyle w:val="9"/>
            </w:pPr>
          </w:p>
        </w:tc>
        <w:tc>
          <w:tcPr>
            <w:tcW w:w="1361" w:type="dxa"/>
            <w:vAlign w:val="center"/>
          </w:tcPr>
          <w:p>
            <w:pPr>
              <w:pStyle w:val="9"/>
            </w:pPr>
            <w:r>
              <w:t>174.74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154.84</w:t>
            </w:r>
          </w:p>
        </w:tc>
        <w:tc>
          <w:tcPr>
            <w:tcW w:w="1361" w:type="dxa"/>
            <w:vAlign w:val="center"/>
          </w:tcPr>
          <w:p>
            <w:pPr>
              <w:pStyle w:val="9"/>
            </w:pPr>
            <w:r>
              <w:t>154.84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153.88</w:t>
            </w:r>
          </w:p>
        </w:tc>
        <w:tc>
          <w:tcPr>
            <w:tcW w:w="1361" w:type="dxa"/>
            <w:vAlign w:val="center"/>
          </w:tcPr>
          <w:p>
            <w:pPr>
              <w:pStyle w:val="9"/>
            </w:pPr>
            <w:r>
              <w:t>153.88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22.20</w:t>
            </w:r>
          </w:p>
        </w:tc>
        <w:tc>
          <w:tcPr>
            <w:tcW w:w="1361" w:type="dxa"/>
            <w:vAlign w:val="center"/>
          </w:tcPr>
          <w:p>
            <w:pPr>
              <w:pStyle w:val="9"/>
            </w:pPr>
            <w:r>
              <w:t>22.20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131.67</w:t>
            </w:r>
          </w:p>
        </w:tc>
        <w:tc>
          <w:tcPr>
            <w:tcW w:w="1361" w:type="dxa"/>
            <w:vAlign w:val="center"/>
          </w:tcPr>
          <w:p>
            <w:pPr>
              <w:pStyle w:val="9"/>
            </w:pPr>
            <w:r>
              <w:t>131.67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0.97</w:t>
            </w:r>
          </w:p>
        </w:tc>
        <w:tc>
          <w:tcPr>
            <w:tcW w:w="1361" w:type="dxa"/>
            <w:vAlign w:val="center"/>
          </w:tcPr>
          <w:p>
            <w:pPr>
              <w:pStyle w:val="9"/>
            </w:pPr>
            <w:r>
              <w:t>0.97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0.97</w:t>
            </w:r>
          </w:p>
        </w:tc>
        <w:tc>
          <w:tcPr>
            <w:tcW w:w="1361" w:type="dxa"/>
            <w:vAlign w:val="center"/>
          </w:tcPr>
          <w:p>
            <w:pPr>
              <w:pStyle w:val="9"/>
            </w:pPr>
            <w:r>
              <w:t>0.97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68.05</w:t>
            </w:r>
          </w:p>
        </w:tc>
        <w:tc>
          <w:tcPr>
            <w:tcW w:w="1361" w:type="dxa"/>
            <w:vAlign w:val="center"/>
          </w:tcPr>
          <w:p>
            <w:pPr>
              <w:pStyle w:val="9"/>
            </w:pPr>
            <w:r>
              <w:t>68.05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68.05</w:t>
            </w:r>
          </w:p>
        </w:tc>
        <w:tc>
          <w:tcPr>
            <w:tcW w:w="1361" w:type="dxa"/>
            <w:vAlign w:val="center"/>
          </w:tcPr>
          <w:p>
            <w:pPr>
              <w:pStyle w:val="9"/>
            </w:pPr>
            <w:r>
              <w:t>68.05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64.26</w:t>
            </w:r>
          </w:p>
        </w:tc>
        <w:tc>
          <w:tcPr>
            <w:tcW w:w="1361" w:type="dxa"/>
            <w:vAlign w:val="center"/>
          </w:tcPr>
          <w:p>
            <w:pPr>
              <w:pStyle w:val="9"/>
            </w:pPr>
            <w:r>
              <w:t>64.26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3.78</w:t>
            </w:r>
          </w:p>
        </w:tc>
        <w:tc>
          <w:tcPr>
            <w:tcW w:w="1361" w:type="dxa"/>
            <w:vAlign w:val="center"/>
          </w:tcPr>
          <w:p>
            <w:pPr>
              <w:pStyle w:val="9"/>
            </w:pPr>
            <w:r>
              <w:t>3.78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67.61</w:t>
            </w:r>
          </w:p>
        </w:tc>
        <w:tc>
          <w:tcPr>
            <w:tcW w:w="1361" w:type="dxa"/>
            <w:vAlign w:val="center"/>
          </w:tcPr>
          <w:p>
            <w:pPr>
              <w:pStyle w:val="9"/>
            </w:pPr>
            <w:r>
              <w:t>67.61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67.61</w:t>
            </w:r>
          </w:p>
        </w:tc>
        <w:tc>
          <w:tcPr>
            <w:tcW w:w="1361" w:type="dxa"/>
            <w:vAlign w:val="center"/>
          </w:tcPr>
          <w:p>
            <w:pPr>
              <w:pStyle w:val="9"/>
            </w:pPr>
            <w:r>
              <w:t>67.61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67.61</w:t>
            </w:r>
          </w:p>
        </w:tc>
        <w:tc>
          <w:tcPr>
            <w:tcW w:w="1361" w:type="dxa"/>
            <w:vAlign w:val="center"/>
          </w:tcPr>
          <w:p>
            <w:pPr>
              <w:pStyle w:val="9"/>
            </w:pPr>
            <w:r>
              <w:t>67.61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1571.04</w:t>
            </w:r>
          </w:p>
        </w:tc>
        <w:tc>
          <w:tcPr>
            <w:tcW w:w="3402" w:type="dxa"/>
            <w:vAlign w:val="center"/>
          </w:tcPr>
          <w:p>
            <w:pPr>
              <w:pStyle w:val="10"/>
            </w:pPr>
            <w:r>
              <w:t>一、一般公共服务支出</w:t>
            </w:r>
          </w:p>
        </w:tc>
        <w:tc>
          <w:tcPr>
            <w:tcW w:w="1474" w:type="dxa"/>
            <w:vAlign w:val="center"/>
          </w:tcPr>
          <w:p>
            <w:pPr>
              <w:pStyle w:val="9"/>
            </w:pPr>
            <w:r>
              <w:t>1355.25</w:t>
            </w:r>
          </w:p>
        </w:tc>
        <w:tc>
          <w:tcPr>
            <w:tcW w:w="1474" w:type="dxa"/>
            <w:vAlign w:val="center"/>
          </w:tcPr>
          <w:p>
            <w:pPr>
              <w:pStyle w:val="9"/>
            </w:pPr>
            <w:r>
              <w:t>1355.25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100.00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154.84</w:t>
            </w:r>
          </w:p>
        </w:tc>
        <w:tc>
          <w:tcPr>
            <w:tcW w:w="1474" w:type="dxa"/>
            <w:vAlign w:val="center"/>
          </w:tcPr>
          <w:p>
            <w:pPr>
              <w:pStyle w:val="9"/>
            </w:pPr>
            <w:r>
              <w:t>154.84</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68.05</w:t>
            </w:r>
          </w:p>
        </w:tc>
        <w:tc>
          <w:tcPr>
            <w:tcW w:w="1474" w:type="dxa"/>
            <w:vAlign w:val="center"/>
          </w:tcPr>
          <w:p>
            <w:pPr>
              <w:pStyle w:val="9"/>
            </w:pPr>
            <w:r>
              <w:t>68.05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100.00</w:t>
            </w:r>
          </w:p>
        </w:tc>
        <w:tc>
          <w:tcPr>
            <w:tcW w:w="1474" w:type="dxa"/>
            <w:vAlign w:val="center"/>
          </w:tcPr>
          <w:p>
            <w:pPr>
              <w:pStyle w:val="9"/>
            </w:pPr>
          </w:p>
        </w:tc>
        <w:tc>
          <w:tcPr>
            <w:tcW w:w="1474" w:type="dxa"/>
            <w:vAlign w:val="center"/>
          </w:tcPr>
          <w:p>
            <w:pPr>
              <w:pStyle w:val="9"/>
            </w:pPr>
            <w:r>
              <w:t>100.00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67.61</w:t>
            </w:r>
          </w:p>
        </w:tc>
        <w:tc>
          <w:tcPr>
            <w:tcW w:w="1474" w:type="dxa"/>
            <w:vAlign w:val="center"/>
          </w:tcPr>
          <w:p>
            <w:pPr>
              <w:pStyle w:val="9"/>
            </w:pPr>
            <w:r>
              <w:t>67.61</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1671.04</w:t>
            </w:r>
          </w:p>
        </w:tc>
        <w:tc>
          <w:tcPr>
            <w:tcW w:w="3402" w:type="dxa"/>
            <w:vAlign w:val="center"/>
          </w:tcPr>
          <w:p>
            <w:pPr>
              <w:pStyle w:val="12"/>
            </w:pPr>
            <w:r>
              <w:t>本年支出合计</w:t>
            </w:r>
          </w:p>
        </w:tc>
        <w:tc>
          <w:tcPr>
            <w:tcW w:w="1474" w:type="dxa"/>
            <w:vAlign w:val="center"/>
          </w:tcPr>
          <w:p>
            <w:pPr>
              <w:pStyle w:val="13"/>
            </w:pPr>
            <w:r>
              <w:t>1745.75</w:t>
            </w:r>
          </w:p>
        </w:tc>
        <w:tc>
          <w:tcPr>
            <w:tcW w:w="1474" w:type="dxa"/>
            <w:vAlign w:val="center"/>
          </w:tcPr>
          <w:p>
            <w:pPr>
              <w:pStyle w:val="13"/>
            </w:pPr>
            <w:r>
              <w:t>1645.75</w:t>
            </w:r>
          </w:p>
        </w:tc>
        <w:tc>
          <w:tcPr>
            <w:tcW w:w="1474" w:type="dxa"/>
            <w:vAlign w:val="center"/>
          </w:tcPr>
          <w:p>
            <w:pPr>
              <w:pStyle w:val="13"/>
            </w:pPr>
            <w:r>
              <w:t>100.00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74.71</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74.71</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1745.75</w:t>
            </w:r>
          </w:p>
        </w:tc>
        <w:tc>
          <w:tcPr>
            <w:tcW w:w="3402" w:type="dxa"/>
            <w:vAlign w:val="center"/>
          </w:tcPr>
          <w:p>
            <w:pPr>
              <w:pStyle w:val="12"/>
            </w:pPr>
            <w:r>
              <w:t>支出总计</w:t>
            </w:r>
          </w:p>
        </w:tc>
        <w:tc>
          <w:tcPr>
            <w:tcW w:w="1474" w:type="dxa"/>
            <w:vAlign w:val="center"/>
          </w:tcPr>
          <w:p>
            <w:pPr>
              <w:pStyle w:val="13"/>
            </w:pPr>
            <w:r>
              <w:t>1745.75</w:t>
            </w:r>
          </w:p>
        </w:tc>
        <w:tc>
          <w:tcPr>
            <w:tcW w:w="1474" w:type="dxa"/>
            <w:vAlign w:val="center"/>
          </w:tcPr>
          <w:p>
            <w:pPr>
              <w:pStyle w:val="13"/>
            </w:pPr>
            <w:r>
              <w:t>1645.75</w:t>
            </w:r>
          </w:p>
        </w:tc>
        <w:tc>
          <w:tcPr>
            <w:tcW w:w="1474" w:type="dxa"/>
            <w:vAlign w:val="center"/>
          </w:tcPr>
          <w:p>
            <w:pPr>
              <w:pStyle w:val="13"/>
            </w:pPr>
            <w:r>
              <w:t>100.00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1645.75</w:t>
            </w:r>
          </w:p>
        </w:tc>
        <w:tc>
          <w:tcPr>
            <w:tcW w:w="2551" w:type="dxa"/>
            <w:vAlign w:val="center"/>
          </w:tcPr>
          <w:p>
            <w:pPr>
              <w:pStyle w:val="13"/>
            </w:pPr>
            <w:r>
              <w:t>1417.00</w:t>
            </w:r>
          </w:p>
        </w:tc>
        <w:tc>
          <w:tcPr>
            <w:tcW w:w="2551" w:type="dxa"/>
            <w:vAlign w:val="center"/>
          </w:tcPr>
          <w:p>
            <w:pPr>
              <w:pStyle w:val="13"/>
            </w:pPr>
            <w:r>
              <w:t>228.76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1355.25</w:t>
            </w:r>
          </w:p>
        </w:tc>
        <w:tc>
          <w:tcPr>
            <w:tcW w:w="2551" w:type="dxa"/>
            <w:vAlign w:val="center"/>
          </w:tcPr>
          <w:p>
            <w:pPr>
              <w:pStyle w:val="9"/>
            </w:pPr>
            <w:r>
              <w:t>1126.49</w:t>
            </w:r>
          </w:p>
        </w:tc>
        <w:tc>
          <w:tcPr>
            <w:tcW w:w="2551" w:type="dxa"/>
            <w:vAlign w:val="center"/>
          </w:tcPr>
          <w:p>
            <w:pPr>
              <w:pStyle w:val="9"/>
            </w:pPr>
            <w:r>
              <w:t>228.76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1355.25</w:t>
            </w:r>
          </w:p>
        </w:tc>
        <w:tc>
          <w:tcPr>
            <w:tcW w:w="2551" w:type="dxa"/>
            <w:vAlign w:val="center"/>
          </w:tcPr>
          <w:p>
            <w:pPr>
              <w:pStyle w:val="9"/>
            </w:pPr>
            <w:r>
              <w:t>1126.49</w:t>
            </w:r>
          </w:p>
        </w:tc>
        <w:tc>
          <w:tcPr>
            <w:tcW w:w="2551" w:type="dxa"/>
            <w:vAlign w:val="center"/>
          </w:tcPr>
          <w:p>
            <w:pPr>
              <w:pStyle w:val="9"/>
            </w:pPr>
            <w:r>
              <w:t>228.76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2011101</w:t>
            </w:r>
          </w:p>
        </w:tc>
        <w:tc>
          <w:tcPr>
            <w:tcW w:w="4535" w:type="dxa"/>
            <w:vAlign w:val="center"/>
          </w:tcPr>
          <w:p>
            <w:pPr>
              <w:pStyle w:val="10"/>
            </w:pPr>
            <w:r>
              <w:t>行政运行</w:t>
            </w:r>
          </w:p>
        </w:tc>
        <w:tc>
          <w:tcPr>
            <w:tcW w:w="2551" w:type="dxa"/>
            <w:vAlign w:val="center"/>
          </w:tcPr>
          <w:p>
            <w:pPr>
              <w:pStyle w:val="9"/>
            </w:pPr>
            <w:r>
              <w:t>1080.54</w:t>
            </w:r>
          </w:p>
        </w:tc>
        <w:tc>
          <w:tcPr>
            <w:tcW w:w="2551" w:type="dxa"/>
            <w:vAlign w:val="center"/>
          </w:tcPr>
          <w:p>
            <w:pPr>
              <w:pStyle w:val="9"/>
            </w:pPr>
            <w:r>
              <w:t>1080.54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2011102</w:t>
            </w:r>
          </w:p>
        </w:tc>
        <w:tc>
          <w:tcPr>
            <w:tcW w:w="4535" w:type="dxa"/>
            <w:vAlign w:val="center"/>
          </w:tcPr>
          <w:p>
            <w:pPr>
              <w:pStyle w:val="10"/>
            </w:pPr>
            <w:r>
              <w:t>一般行政管理事务</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2011104</w:t>
            </w:r>
          </w:p>
        </w:tc>
        <w:tc>
          <w:tcPr>
            <w:tcW w:w="4535" w:type="dxa"/>
            <w:vAlign w:val="center"/>
          </w:tcPr>
          <w:p>
            <w:pPr>
              <w:pStyle w:val="10"/>
            </w:pPr>
            <w:r>
              <w:t>大案要案查处</w:t>
            </w:r>
          </w:p>
        </w:tc>
        <w:tc>
          <w:tcPr>
            <w:tcW w:w="2551" w:type="dxa"/>
            <w:vAlign w:val="center"/>
          </w:tcPr>
          <w:p>
            <w:pPr>
              <w:pStyle w:val="9"/>
            </w:pPr>
            <w:r>
              <w:t>25.85</w:t>
            </w:r>
          </w:p>
        </w:tc>
        <w:tc>
          <w:tcPr>
            <w:tcW w:w="2551" w:type="dxa"/>
            <w:vAlign w:val="center"/>
          </w:tcPr>
          <w:p>
            <w:pPr>
              <w:pStyle w:val="9"/>
            </w:pPr>
          </w:p>
        </w:tc>
        <w:tc>
          <w:tcPr>
            <w:tcW w:w="2551" w:type="dxa"/>
            <w:vAlign w:val="center"/>
          </w:tcPr>
          <w:p>
            <w:pPr>
              <w:pStyle w:val="9"/>
            </w:pPr>
            <w:r>
              <w:t>25.85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2011106</w:t>
            </w:r>
          </w:p>
        </w:tc>
        <w:tc>
          <w:tcPr>
            <w:tcW w:w="4535" w:type="dxa"/>
            <w:vAlign w:val="center"/>
          </w:tcPr>
          <w:p>
            <w:pPr>
              <w:pStyle w:val="10"/>
            </w:pPr>
            <w:r>
              <w:t>巡视工作</w:t>
            </w:r>
          </w:p>
        </w:tc>
        <w:tc>
          <w:tcPr>
            <w:tcW w:w="2551" w:type="dxa"/>
            <w:vAlign w:val="center"/>
          </w:tcPr>
          <w:p>
            <w:pPr>
              <w:pStyle w:val="9"/>
            </w:pPr>
            <w:r>
              <w:t>16.17</w:t>
            </w:r>
          </w:p>
        </w:tc>
        <w:tc>
          <w:tcPr>
            <w:tcW w:w="2551" w:type="dxa"/>
            <w:vAlign w:val="center"/>
          </w:tcPr>
          <w:p>
            <w:pPr>
              <w:pStyle w:val="9"/>
            </w:pPr>
          </w:p>
        </w:tc>
        <w:tc>
          <w:tcPr>
            <w:tcW w:w="2551" w:type="dxa"/>
            <w:vAlign w:val="center"/>
          </w:tcPr>
          <w:p>
            <w:pPr>
              <w:pStyle w:val="9"/>
            </w:pPr>
            <w:r>
              <w:t>16.17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2011150</w:t>
            </w:r>
          </w:p>
        </w:tc>
        <w:tc>
          <w:tcPr>
            <w:tcW w:w="4535" w:type="dxa"/>
            <w:vAlign w:val="center"/>
          </w:tcPr>
          <w:p>
            <w:pPr>
              <w:pStyle w:val="10"/>
            </w:pPr>
            <w:r>
              <w:t>事业运行</w:t>
            </w:r>
          </w:p>
        </w:tc>
        <w:tc>
          <w:tcPr>
            <w:tcW w:w="2551" w:type="dxa"/>
            <w:vAlign w:val="center"/>
          </w:tcPr>
          <w:p>
            <w:pPr>
              <w:pStyle w:val="9"/>
            </w:pPr>
            <w:r>
              <w:t>45.95</w:t>
            </w:r>
          </w:p>
        </w:tc>
        <w:tc>
          <w:tcPr>
            <w:tcW w:w="2551" w:type="dxa"/>
            <w:vAlign w:val="center"/>
          </w:tcPr>
          <w:p>
            <w:pPr>
              <w:pStyle w:val="9"/>
            </w:pPr>
            <w:r>
              <w:t>45.95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2011199</w:t>
            </w:r>
          </w:p>
        </w:tc>
        <w:tc>
          <w:tcPr>
            <w:tcW w:w="4535" w:type="dxa"/>
            <w:vAlign w:val="center"/>
          </w:tcPr>
          <w:p>
            <w:pPr>
              <w:pStyle w:val="10"/>
            </w:pPr>
            <w:r>
              <w:t>其他纪检监察事务支出</w:t>
            </w:r>
          </w:p>
        </w:tc>
        <w:tc>
          <w:tcPr>
            <w:tcW w:w="2551" w:type="dxa"/>
            <w:vAlign w:val="center"/>
          </w:tcPr>
          <w:p>
            <w:pPr>
              <w:pStyle w:val="9"/>
            </w:pPr>
            <w:r>
              <w:t>174.74</w:t>
            </w:r>
          </w:p>
        </w:tc>
        <w:tc>
          <w:tcPr>
            <w:tcW w:w="2551" w:type="dxa"/>
            <w:vAlign w:val="center"/>
          </w:tcPr>
          <w:p>
            <w:pPr>
              <w:pStyle w:val="9"/>
            </w:pPr>
          </w:p>
        </w:tc>
        <w:tc>
          <w:tcPr>
            <w:tcW w:w="2551" w:type="dxa"/>
            <w:vAlign w:val="center"/>
          </w:tcPr>
          <w:p>
            <w:pPr>
              <w:pStyle w:val="9"/>
            </w:pPr>
            <w:r>
              <w:t>174.74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154.84</w:t>
            </w:r>
          </w:p>
        </w:tc>
        <w:tc>
          <w:tcPr>
            <w:tcW w:w="2551" w:type="dxa"/>
            <w:vAlign w:val="center"/>
          </w:tcPr>
          <w:p>
            <w:pPr>
              <w:pStyle w:val="9"/>
            </w:pPr>
            <w:r>
              <w:t>154.84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153.88</w:t>
            </w:r>
          </w:p>
        </w:tc>
        <w:tc>
          <w:tcPr>
            <w:tcW w:w="2551" w:type="dxa"/>
            <w:vAlign w:val="center"/>
          </w:tcPr>
          <w:p>
            <w:pPr>
              <w:pStyle w:val="9"/>
            </w:pPr>
            <w:r>
              <w:t>153.88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22.20</w:t>
            </w:r>
          </w:p>
        </w:tc>
        <w:tc>
          <w:tcPr>
            <w:tcW w:w="2551" w:type="dxa"/>
            <w:vAlign w:val="center"/>
          </w:tcPr>
          <w:p>
            <w:pPr>
              <w:pStyle w:val="9"/>
            </w:pPr>
            <w:r>
              <w:t>22.20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131.67</w:t>
            </w:r>
          </w:p>
        </w:tc>
        <w:tc>
          <w:tcPr>
            <w:tcW w:w="2551" w:type="dxa"/>
            <w:vAlign w:val="center"/>
          </w:tcPr>
          <w:p>
            <w:pPr>
              <w:pStyle w:val="9"/>
            </w:pPr>
            <w:r>
              <w:t>131.67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0.97</w:t>
            </w:r>
          </w:p>
        </w:tc>
        <w:tc>
          <w:tcPr>
            <w:tcW w:w="2551" w:type="dxa"/>
            <w:vAlign w:val="center"/>
          </w:tcPr>
          <w:p>
            <w:pPr>
              <w:pStyle w:val="9"/>
            </w:pPr>
            <w:r>
              <w:t>0.97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0.97</w:t>
            </w:r>
          </w:p>
        </w:tc>
        <w:tc>
          <w:tcPr>
            <w:tcW w:w="2551" w:type="dxa"/>
            <w:vAlign w:val="center"/>
          </w:tcPr>
          <w:p>
            <w:pPr>
              <w:pStyle w:val="9"/>
            </w:pPr>
            <w:r>
              <w:t>0.97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68.05</w:t>
            </w:r>
          </w:p>
        </w:tc>
        <w:tc>
          <w:tcPr>
            <w:tcW w:w="2551" w:type="dxa"/>
            <w:vAlign w:val="center"/>
          </w:tcPr>
          <w:p>
            <w:pPr>
              <w:pStyle w:val="9"/>
            </w:pPr>
            <w:r>
              <w:t>68.05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68.05</w:t>
            </w:r>
          </w:p>
        </w:tc>
        <w:tc>
          <w:tcPr>
            <w:tcW w:w="2551" w:type="dxa"/>
            <w:vAlign w:val="center"/>
          </w:tcPr>
          <w:p>
            <w:pPr>
              <w:pStyle w:val="9"/>
            </w:pPr>
            <w:r>
              <w:t>68.05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64.26</w:t>
            </w:r>
          </w:p>
        </w:tc>
        <w:tc>
          <w:tcPr>
            <w:tcW w:w="2551" w:type="dxa"/>
            <w:vAlign w:val="center"/>
          </w:tcPr>
          <w:p>
            <w:pPr>
              <w:pStyle w:val="9"/>
            </w:pPr>
            <w:r>
              <w:t>64.26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3.78</w:t>
            </w:r>
          </w:p>
        </w:tc>
        <w:tc>
          <w:tcPr>
            <w:tcW w:w="2551" w:type="dxa"/>
            <w:vAlign w:val="center"/>
          </w:tcPr>
          <w:p>
            <w:pPr>
              <w:pStyle w:val="9"/>
            </w:pPr>
            <w:r>
              <w:t>3.78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1417.00</w:t>
            </w:r>
          </w:p>
        </w:tc>
        <w:tc>
          <w:tcPr>
            <w:tcW w:w="2551" w:type="dxa"/>
            <w:vAlign w:val="center"/>
          </w:tcPr>
          <w:p>
            <w:pPr>
              <w:pStyle w:val="13"/>
            </w:pPr>
            <w:r>
              <w:t>1154.64</w:t>
            </w:r>
          </w:p>
        </w:tc>
        <w:tc>
          <w:tcPr>
            <w:tcW w:w="2551" w:type="dxa"/>
            <w:vAlign w:val="center"/>
          </w:tcPr>
          <w:p>
            <w:pPr>
              <w:pStyle w:val="13"/>
            </w:pPr>
            <w:r>
              <w:t>262.36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1131.47</w:t>
            </w:r>
          </w:p>
        </w:tc>
        <w:tc>
          <w:tcPr>
            <w:tcW w:w="2551" w:type="dxa"/>
            <w:vAlign w:val="center"/>
          </w:tcPr>
          <w:p>
            <w:pPr>
              <w:pStyle w:val="9"/>
            </w:pPr>
            <w:r>
              <w:t>1131.47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478.02</w:t>
            </w:r>
          </w:p>
        </w:tc>
        <w:tc>
          <w:tcPr>
            <w:tcW w:w="2551" w:type="dxa"/>
            <w:vAlign w:val="center"/>
          </w:tcPr>
          <w:p>
            <w:pPr>
              <w:pStyle w:val="9"/>
            </w:pPr>
            <w:r>
              <w:t>478.02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260.55</w:t>
            </w:r>
          </w:p>
        </w:tc>
        <w:tc>
          <w:tcPr>
            <w:tcW w:w="2551" w:type="dxa"/>
            <w:vAlign w:val="center"/>
          </w:tcPr>
          <w:p>
            <w:pPr>
              <w:pStyle w:val="9"/>
            </w:pPr>
            <w:r>
              <w:t>260.55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102.91</w:t>
            </w:r>
          </w:p>
        </w:tc>
        <w:tc>
          <w:tcPr>
            <w:tcW w:w="2551" w:type="dxa"/>
            <w:vAlign w:val="center"/>
          </w:tcPr>
          <w:p>
            <w:pPr>
              <w:pStyle w:val="9"/>
            </w:pPr>
            <w:r>
              <w:t>102.91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18.54</w:t>
            </w:r>
          </w:p>
        </w:tc>
        <w:tc>
          <w:tcPr>
            <w:tcW w:w="2551" w:type="dxa"/>
            <w:vAlign w:val="center"/>
          </w:tcPr>
          <w:p>
            <w:pPr>
              <w:pStyle w:val="9"/>
            </w:pPr>
            <w:r>
              <w:t>18.54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131.67</w:t>
            </w:r>
          </w:p>
        </w:tc>
        <w:tc>
          <w:tcPr>
            <w:tcW w:w="2551" w:type="dxa"/>
            <w:vAlign w:val="center"/>
          </w:tcPr>
          <w:p>
            <w:pPr>
              <w:pStyle w:val="9"/>
            </w:pPr>
            <w:r>
              <w:t>131.67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68.05</w:t>
            </w:r>
          </w:p>
        </w:tc>
        <w:tc>
          <w:tcPr>
            <w:tcW w:w="2551" w:type="dxa"/>
            <w:vAlign w:val="center"/>
          </w:tcPr>
          <w:p>
            <w:pPr>
              <w:pStyle w:val="9"/>
            </w:pPr>
            <w:r>
              <w:t>68.05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4.11</w:t>
            </w:r>
          </w:p>
        </w:tc>
        <w:tc>
          <w:tcPr>
            <w:tcW w:w="2551" w:type="dxa"/>
            <w:vAlign w:val="center"/>
          </w:tcPr>
          <w:p>
            <w:pPr>
              <w:pStyle w:val="9"/>
            </w:pPr>
            <w:r>
              <w:t>4.11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236.63</w:t>
            </w:r>
          </w:p>
        </w:tc>
        <w:tc>
          <w:tcPr>
            <w:tcW w:w="2551" w:type="dxa"/>
            <w:vAlign w:val="center"/>
          </w:tcPr>
          <w:p>
            <w:pPr>
              <w:pStyle w:val="9"/>
            </w:pPr>
          </w:p>
        </w:tc>
        <w:tc>
          <w:tcPr>
            <w:tcW w:w="2551" w:type="dxa"/>
            <w:vAlign w:val="center"/>
          </w:tcPr>
          <w:p>
            <w:pPr>
              <w:pStyle w:val="9"/>
            </w:pPr>
            <w:r>
              <w:t>236.63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57.77</w:t>
            </w:r>
          </w:p>
        </w:tc>
        <w:tc>
          <w:tcPr>
            <w:tcW w:w="2551" w:type="dxa"/>
            <w:vAlign w:val="center"/>
          </w:tcPr>
          <w:p>
            <w:pPr>
              <w:pStyle w:val="9"/>
            </w:pPr>
          </w:p>
        </w:tc>
        <w:tc>
          <w:tcPr>
            <w:tcW w:w="2551" w:type="dxa"/>
            <w:vAlign w:val="center"/>
          </w:tcPr>
          <w:p>
            <w:pPr>
              <w:pStyle w:val="9"/>
            </w:pPr>
            <w:r>
              <w:t>57.77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14.26</w:t>
            </w:r>
          </w:p>
        </w:tc>
        <w:tc>
          <w:tcPr>
            <w:tcW w:w="2551" w:type="dxa"/>
            <w:vAlign w:val="center"/>
          </w:tcPr>
          <w:p>
            <w:pPr>
              <w:pStyle w:val="9"/>
            </w:pPr>
          </w:p>
        </w:tc>
        <w:tc>
          <w:tcPr>
            <w:tcW w:w="2551" w:type="dxa"/>
            <w:vAlign w:val="center"/>
          </w:tcPr>
          <w:p>
            <w:pPr>
              <w:pStyle w:val="9"/>
            </w:pPr>
            <w:r>
              <w:t>14.26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5.60</w:t>
            </w:r>
          </w:p>
        </w:tc>
        <w:tc>
          <w:tcPr>
            <w:tcW w:w="2551" w:type="dxa"/>
            <w:vAlign w:val="center"/>
          </w:tcPr>
          <w:p>
            <w:pPr>
              <w:pStyle w:val="9"/>
            </w:pPr>
          </w:p>
        </w:tc>
        <w:tc>
          <w:tcPr>
            <w:tcW w:w="2551" w:type="dxa"/>
            <w:vAlign w:val="center"/>
          </w:tcPr>
          <w:p>
            <w:pPr>
              <w:pStyle w:val="9"/>
            </w:pPr>
            <w:r>
              <w:t>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23.00</w:t>
            </w:r>
          </w:p>
        </w:tc>
        <w:tc>
          <w:tcPr>
            <w:tcW w:w="2551" w:type="dxa"/>
            <w:vAlign w:val="center"/>
          </w:tcPr>
          <w:p>
            <w:pPr>
              <w:pStyle w:val="9"/>
            </w:pPr>
          </w:p>
        </w:tc>
        <w:tc>
          <w:tcPr>
            <w:tcW w:w="2551" w:type="dxa"/>
            <w:vAlign w:val="center"/>
          </w:tcPr>
          <w:p>
            <w:pPr>
              <w:pStyle w:val="9"/>
            </w:pPr>
            <w:r>
              <w:t>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11.86</w:t>
            </w:r>
          </w:p>
        </w:tc>
        <w:tc>
          <w:tcPr>
            <w:tcW w:w="2551" w:type="dxa"/>
            <w:vAlign w:val="center"/>
          </w:tcPr>
          <w:p>
            <w:pPr>
              <w:pStyle w:val="9"/>
            </w:pPr>
          </w:p>
        </w:tc>
        <w:tc>
          <w:tcPr>
            <w:tcW w:w="2551" w:type="dxa"/>
            <w:vAlign w:val="center"/>
          </w:tcPr>
          <w:p>
            <w:pPr>
              <w:pStyle w:val="9"/>
            </w:pPr>
            <w:r>
              <w:t>11.86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30214</w:t>
            </w:r>
          </w:p>
        </w:tc>
        <w:tc>
          <w:tcPr>
            <w:tcW w:w="4535" w:type="dxa"/>
            <w:vAlign w:val="center"/>
          </w:tcPr>
          <w:p>
            <w:pPr>
              <w:pStyle w:val="10"/>
            </w:pPr>
            <w:r>
              <w:t>租赁费</w:t>
            </w:r>
          </w:p>
        </w:tc>
        <w:tc>
          <w:tcPr>
            <w:tcW w:w="2551" w:type="dxa"/>
            <w:vAlign w:val="center"/>
          </w:tcPr>
          <w:p>
            <w:pPr>
              <w:pStyle w:val="9"/>
            </w:pPr>
            <w:r>
              <w:t>10.80</w:t>
            </w:r>
          </w:p>
        </w:tc>
        <w:tc>
          <w:tcPr>
            <w:tcW w:w="2551" w:type="dxa"/>
            <w:vAlign w:val="center"/>
          </w:tcPr>
          <w:p>
            <w:pPr>
              <w:pStyle w:val="9"/>
            </w:pPr>
          </w:p>
        </w:tc>
        <w:tc>
          <w:tcPr>
            <w:tcW w:w="2551" w:type="dxa"/>
            <w:vAlign w:val="center"/>
          </w:tcPr>
          <w:p>
            <w:pPr>
              <w:pStyle w:val="9"/>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3.04</w:t>
            </w:r>
          </w:p>
        </w:tc>
        <w:tc>
          <w:tcPr>
            <w:tcW w:w="2551" w:type="dxa"/>
            <w:vAlign w:val="center"/>
          </w:tcPr>
          <w:p>
            <w:pPr>
              <w:pStyle w:val="9"/>
            </w:pPr>
          </w:p>
        </w:tc>
        <w:tc>
          <w:tcPr>
            <w:tcW w:w="2551" w:type="dxa"/>
            <w:vAlign w:val="center"/>
          </w:tcPr>
          <w:p>
            <w:pPr>
              <w:pStyle w:val="9"/>
            </w:pPr>
            <w:r>
              <w:t>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8.00</w:t>
            </w:r>
          </w:p>
        </w:tc>
        <w:tc>
          <w:tcPr>
            <w:tcW w:w="2551" w:type="dxa"/>
            <w:vAlign w:val="center"/>
          </w:tcPr>
          <w:p>
            <w:pPr>
              <w:pStyle w:val="9"/>
            </w:pPr>
          </w:p>
        </w:tc>
        <w:tc>
          <w:tcPr>
            <w:tcW w:w="2551" w:type="dxa"/>
            <w:vAlign w:val="center"/>
          </w:tcPr>
          <w:p>
            <w:pPr>
              <w:pStyle w:val="9"/>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26.50</w:t>
            </w:r>
          </w:p>
        </w:tc>
        <w:tc>
          <w:tcPr>
            <w:tcW w:w="2551" w:type="dxa"/>
            <w:vAlign w:val="center"/>
          </w:tcPr>
          <w:p>
            <w:pPr>
              <w:pStyle w:val="9"/>
            </w:pPr>
          </w:p>
        </w:tc>
        <w:tc>
          <w:tcPr>
            <w:tcW w:w="2551" w:type="dxa"/>
            <w:vAlign w:val="center"/>
          </w:tcPr>
          <w:p>
            <w:pPr>
              <w:pStyle w:val="9"/>
            </w:pPr>
            <w:r>
              <w:t>26.50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69.80</w:t>
            </w:r>
          </w:p>
        </w:tc>
        <w:tc>
          <w:tcPr>
            <w:tcW w:w="2551" w:type="dxa"/>
            <w:vAlign w:val="center"/>
          </w:tcPr>
          <w:p>
            <w:pPr>
              <w:pStyle w:val="9"/>
            </w:pPr>
          </w:p>
        </w:tc>
        <w:tc>
          <w:tcPr>
            <w:tcW w:w="2551" w:type="dxa"/>
            <w:vAlign w:val="center"/>
          </w:tcPr>
          <w:p>
            <w:pPr>
              <w:pStyle w:val="9"/>
            </w:pPr>
            <w:r>
              <w:t>69.80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23.17</w:t>
            </w:r>
          </w:p>
        </w:tc>
        <w:tc>
          <w:tcPr>
            <w:tcW w:w="2551" w:type="dxa"/>
            <w:vAlign w:val="center"/>
          </w:tcPr>
          <w:p>
            <w:pPr>
              <w:pStyle w:val="9"/>
            </w:pPr>
            <w:r>
              <w:t>23.17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22.20</w:t>
            </w:r>
          </w:p>
        </w:tc>
        <w:tc>
          <w:tcPr>
            <w:tcW w:w="2551" w:type="dxa"/>
            <w:vAlign w:val="center"/>
          </w:tcPr>
          <w:p>
            <w:pPr>
              <w:pStyle w:val="9"/>
            </w:pPr>
            <w:r>
              <w:t>22.20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0.97</w:t>
            </w:r>
          </w:p>
        </w:tc>
        <w:tc>
          <w:tcPr>
            <w:tcW w:w="2551" w:type="dxa"/>
            <w:vAlign w:val="center"/>
          </w:tcPr>
          <w:p>
            <w:pPr>
              <w:pStyle w:val="9"/>
            </w:pPr>
            <w:r>
              <w:t>0.97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25.72</w:t>
            </w:r>
          </w:p>
        </w:tc>
        <w:tc>
          <w:tcPr>
            <w:tcW w:w="2551" w:type="dxa"/>
            <w:vAlign w:val="center"/>
          </w:tcPr>
          <w:p>
            <w:pPr>
              <w:pStyle w:val="9"/>
            </w:pPr>
          </w:p>
        </w:tc>
        <w:tc>
          <w:tcPr>
            <w:tcW w:w="2551" w:type="dxa"/>
            <w:vAlign w:val="center"/>
          </w:tcPr>
          <w:p>
            <w:pPr>
              <w:pStyle w:val="9"/>
            </w:pPr>
            <w:r>
              <w:t>25.72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25.72</w:t>
            </w:r>
          </w:p>
        </w:tc>
        <w:tc>
          <w:tcPr>
            <w:tcW w:w="2551" w:type="dxa"/>
            <w:vAlign w:val="center"/>
          </w:tcPr>
          <w:p>
            <w:pPr>
              <w:pStyle w:val="9"/>
            </w:pPr>
          </w:p>
        </w:tc>
        <w:tc>
          <w:tcPr>
            <w:tcW w:w="2551" w:type="dxa"/>
            <w:vAlign w:val="center"/>
          </w:tcPr>
          <w:p>
            <w:pPr>
              <w:pStyle w:val="9"/>
            </w:pPr>
            <w:r>
              <w:t>25.72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1</w:t>
            </w:r>
          </w:p>
        </w:tc>
        <w:tc>
          <w:tcPr>
            <w:tcW w:w="3798" w:type="dxa"/>
            <w:vAlign w:val="center"/>
          </w:tcPr>
          <w:p>
            <w:pPr>
              <w:pStyle w:val="12"/>
              <w:ind w:firstLine="0" w:firstLineChars="0"/>
            </w:pPr>
            <w:r>
              <w:t>“三公”经费小计</w:t>
            </w:r>
          </w:p>
        </w:tc>
        <w:tc>
          <w:tcPr>
            <w:tcW w:w="2381" w:type="dxa"/>
            <w:vAlign w:val="center"/>
          </w:tcPr>
          <w:p>
            <w:pPr>
              <w:pStyle w:val="13"/>
              <w:ind w:firstLine="0" w:firstLineChars="0"/>
            </w:pPr>
            <w:r>
              <w:t>34.50</w:t>
            </w:r>
          </w:p>
        </w:tc>
        <w:tc>
          <w:tcPr>
            <w:tcW w:w="2381" w:type="dxa"/>
            <w:vAlign w:val="center"/>
          </w:tcPr>
          <w:p>
            <w:pPr>
              <w:pStyle w:val="13"/>
              <w:ind w:firstLine="0" w:firstLineChars="0"/>
            </w:pPr>
            <w:r>
              <w:t>34.50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2</w:t>
            </w:r>
          </w:p>
        </w:tc>
        <w:tc>
          <w:tcPr>
            <w:tcW w:w="3798" w:type="dxa"/>
            <w:vAlign w:val="center"/>
          </w:tcPr>
          <w:p>
            <w:pPr>
              <w:pStyle w:val="10"/>
              <w:ind w:firstLine="0" w:firstLineChars="0"/>
            </w:pPr>
            <w:r>
              <w:t>一、因公出国（境）费</w:t>
            </w:r>
          </w:p>
        </w:tc>
        <w:tc>
          <w:tcPr>
            <w:tcW w:w="2381" w:type="dxa"/>
            <w:vAlign w:val="center"/>
          </w:tcPr>
          <w:p>
            <w:pPr>
              <w:pStyle w:val="9"/>
              <w:ind w:firstLine="0" w:firstLineChars="0"/>
            </w:pPr>
          </w:p>
        </w:tc>
        <w:tc>
          <w:tcPr>
            <w:tcW w:w="2381" w:type="dxa"/>
            <w:vAlign w:val="center"/>
          </w:tcPr>
          <w:p>
            <w:pPr>
              <w:pStyle w:val="9"/>
              <w:ind w:firstLine="0" w:firstLineChars="0"/>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3</w:t>
            </w:r>
          </w:p>
        </w:tc>
        <w:tc>
          <w:tcPr>
            <w:tcW w:w="3798" w:type="dxa"/>
            <w:vAlign w:val="center"/>
          </w:tcPr>
          <w:p>
            <w:pPr>
              <w:pStyle w:val="10"/>
              <w:ind w:firstLine="0" w:firstLineChars="0"/>
            </w:pPr>
            <w:r>
              <w:t xml:space="preserve">    其中：教学科研人员因公出国（境）费</w:t>
            </w:r>
          </w:p>
        </w:tc>
        <w:tc>
          <w:tcPr>
            <w:tcW w:w="2381" w:type="dxa"/>
            <w:vAlign w:val="center"/>
          </w:tcPr>
          <w:p>
            <w:pPr>
              <w:pStyle w:val="9"/>
              <w:ind w:firstLine="0" w:firstLineChars="0"/>
            </w:pPr>
          </w:p>
        </w:tc>
        <w:tc>
          <w:tcPr>
            <w:tcW w:w="2381" w:type="dxa"/>
            <w:vAlign w:val="center"/>
          </w:tcPr>
          <w:p>
            <w:pPr>
              <w:pStyle w:val="9"/>
              <w:ind w:firstLine="0" w:firstLineChars="0"/>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4</w:t>
            </w:r>
          </w:p>
        </w:tc>
        <w:tc>
          <w:tcPr>
            <w:tcW w:w="3798" w:type="dxa"/>
            <w:vAlign w:val="center"/>
          </w:tcPr>
          <w:p>
            <w:pPr>
              <w:pStyle w:val="10"/>
              <w:ind w:firstLine="0" w:firstLineChars="0"/>
            </w:pPr>
            <w:r>
              <w:t xml:space="preserve">          其他因公出国（境）费</w:t>
            </w:r>
          </w:p>
        </w:tc>
        <w:tc>
          <w:tcPr>
            <w:tcW w:w="2381" w:type="dxa"/>
            <w:vAlign w:val="center"/>
          </w:tcPr>
          <w:p>
            <w:pPr>
              <w:pStyle w:val="9"/>
              <w:ind w:firstLine="0" w:firstLineChars="0"/>
            </w:pPr>
          </w:p>
        </w:tc>
        <w:tc>
          <w:tcPr>
            <w:tcW w:w="2381" w:type="dxa"/>
            <w:vAlign w:val="center"/>
          </w:tcPr>
          <w:p>
            <w:pPr>
              <w:pStyle w:val="9"/>
              <w:ind w:firstLine="0" w:firstLineChars="0"/>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5</w:t>
            </w:r>
          </w:p>
        </w:tc>
        <w:tc>
          <w:tcPr>
            <w:tcW w:w="3798" w:type="dxa"/>
            <w:vAlign w:val="center"/>
          </w:tcPr>
          <w:p>
            <w:pPr>
              <w:pStyle w:val="10"/>
              <w:ind w:firstLine="0" w:firstLineChars="0"/>
            </w:pPr>
            <w:r>
              <w:t>二、公务用车购置及运维费</w:t>
            </w:r>
          </w:p>
        </w:tc>
        <w:tc>
          <w:tcPr>
            <w:tcW w:w="2381" w:type="dxa"/>
            <w:vAlign w:val="center"/>
          </w:tcPr>
          <w:p>
            <w:pPr>
              <w:pStyle w:val="9"/>
              <w:ind w:firstLine="0" w:firstLineChars="0"/>
            </w:pPr>
            <w:r>
              <w:t>26.50</w:t>
            </w:r>
          </w:p>
        </w:tc>
        <w:tc>
          <w:tcPr>
            <w:tcW w:w="2381" w:type="dxa"/>
            <w:vAlign w:val="center"/>
          </w:tcPr>
          <w:p>
            <w:pPr>
              <w:pStyle w:val="9"/>
              <w:ind w:firstLine="0" w:firstLineChars="0"/>
            </w:pPr>
            <w:r>
              <w:t>26.50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6</w:t>
            </w:r>
          </w:p>
        </w:tc>
        <w:tc>
          <w:tcPr>
            <w:tcW w:w="3798" w:type="dxa"/>
            <w:vAlign w:val="center"/>
          </w:tcPr>
          <w:p>
            <w:pPr>
              <w:pStyle w:val="10"/>
              <w:ind w:firstLine="0" w:firstLineChars="0"/>
            </w:pPr>
            <w:r>
              <w:t xml:space="preserve">    其中：公务用车购置费</w:t>
            </w:r>
          </w:p>
        </w:tc>
        <w:tc>
          <w:tcPr>
            <w:tcW w:w="2381" w:type="dxa"/>
            <w:vAlign w:val="center"/>
          </w:tcPr>
          <w:p>
            <w:pPr>
              <w:pStyle w:val="9"/>
              <w:ind w:firstLine="0" w:firstLineChars="0"/>
            </w:pPr>
          </w:p>
        </w:tc>
        <w:tc>
          <w:tcPr>
            <w:tcW w:w="2381" w:type="dxa"/>
            <w:vAlign w:val="center"/>
          </w:tcPr>
          <w:p>
            <w:pPr>
              <w:pStyle w:val="9"/>
              <w:ind w:firstLine="0" w:firstLineChars="0"/>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7</w:t>
            </w:r>
          </w:p>
        </w:tc>
        <w:tc>
          <w:tcPr>
            <w:tcW w:w="3798" w:type="dxa"/>
            <w:vAlign w:val="center"/>
          </w:tcPr>
          <w:p>
            <w:pPr>
              <w:pStyle w:val="10"/>
              <w:ind w:firstLine="0" w:firstLineChars="0"/>
            </w:pPr>
            <w:r>
              <w:t xml:space="preserve">          公务用车运行维护费</w:t>
            </w:r>
          </w:p>
        </w:tc>
        <w:tc>
          <w:tcPr>
            <w:tcW w:w="2381" w:type="dxa"/>
            <w:vAlign w:val="center"/>
          </w:tcPr>
          <w:p>
            <w:pPr>
              <w:pStyle w:val="9"/>
              <w:ind w:firstLine="0" w:firstLineChars="0"/>
            </w:pPr>
            <w:r>
              <w:t>26.50</w:t>
            </w:r>
          </w:p>
        </w:tc>
        <w:tc>
          <w:tcPr>
            <w:tcW w:w="2381" w:type="dxa"/>
            <w:vAlign w:val="center"/>
          </w:tcPr>
          <w:p>
            <w:pPr>
              <w:pStyle w:val="9"/>
              <w:ind w:firstLine="0" w:firstLineChars="0"/>
            </w:pPr>
            <w:r>
              <w:t>26.50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8</w:t>
            </w:r>
          </w:p>
        </w:tc>
        <w:tc>
          <w:tcPr>
            <w:tcW w:w="3798" w:type="dxa"/>
            <w:vAlign w:val="center"/>
          </w:tcPr>
          <w:p>
            <w:pPr>
              <w:pStyle w:val="10"/>
              <w:ind w:firstLine="0" w:firstLineChars="0"/>
            </w:pPr>
            <w:r>
              <w:t>三、公务接待费</w:t>
            </w:r>
          </w:p>
        </w:tc>
        <w:tc>
          <w:tcPr>
            <w:tcW w:w="2381" w:type="dxa"/>
            <w:vAlign w:val="center"/>
          </w:tcPr>
          <w:p>
            <w:pPr>
              <w:pStyle w:val="9"/>
              <w:ind w:firstLine="0" w:firstLineChars="0"/>
            </w:pPr>
            <w:r>
              <w:t>8.00</w:t>
            </w:r>
          </w:p>
        </w:tc>
        <w:tc>
          <w:tcPr>
            <w:tcW w:w="2381" w:type="dxa"/>
            <w:vAlign w:val="center"/>
          </w:tcPr>
          <w:p>
            <w:pPr>
              <w:pStyle w:val="9"/>
              <w:ind w:firstLine="0" w:firstLineChars="0"/>
            </w:pPr>
            <w:r>
              <w:t>8.00</w:t>
            </w:r>
          </w:p>
        </w:tc>
        <w:tc>
          <w:tcPr>
            <w:tcW w:w="2381" w:type="dxa"/>
            <w:vAlign w:val="center"/>
          </w:tcPr>
          <w:p>
            <w:pPr>
              <w:pStyle w:val="9"/>
            </w:pPr>
          </w:p>
        </w:tc>
        <w:tc>
          <w:tcPr>
            <w:tcW w:w="2381" w:type="dxa"/>
            <w:vAlign w:val="center"/>
          </w:tcPr>
          <w:p>
            <w:pPr>
              <w:pStyle w:val="9"/>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族自治县纪律检查委员会2025年部门预算信息公开情况说明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中共青龙满族自治县纪律检查委员会2025年部门预算信息公开情况说明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按照《中华人民共和国预算法》、《地方预决算公开操作规程》和《关于进一步推进预算公开工作的实施意见》规定，现将中共青龙满族自治县纪律检查委员会2025年部门预算公开如下：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5"/>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2"/>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中共青龙满族自治县纪律检查委员会本级</w:t>
            </w:r>
          </w:p>
        </w:tc>
        <w:tc>
          <w:tcPr>
            <w:tcW w:w="1843" w:type="dxa"/>
            <w:vAlign w:val="center"/>
          </w:tcPr>
          <w:p>
            <w:pPr>
              <w:pStyle w:val="11"/>
            </w:pPr>
            <w:r>
              <w:t>行政</w:t>
            </w:r>
          </w:p>
        </w:tc>
        <w:tc>
          <w:tcPr>
            <w:tcW w:w="2126" w:type="dxa"/>
            <w:vAlign w:val="center"/>
          </w:tcPr>
          <w:p>
            <w:pPr>
              <w:pStyle w:val="11"/>
            </w:pPr>
            <w:r>
              <w:t>副处（县）级</w:t>
            </w:r>
          </w:p>
        </w:tc>
        <w:tc>
          <w:tcPr>
            <w:tcW w:w="3827" w:type="dxa"/>
            <w:vAlign w:val="center"/>
          </w:tcPr>
          <w:p>
            <w:pPr>
              <w:pStyle w:val="11"/>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按照预算管理有关规定，目前部门预算的编制实行综合预算管理，即全部收入和支出都反映在预算中。中共青龙满族自治县纪律检查委员会机关及所属事业单位的收支包含在部门预算中。</w:t>
      </w:r>
    </w:p>
    <w:p>
      <w:pPr>
        <w:pStyle w:val="16"/>
      </w:pPr>
      <w:r>
        <w:t>1、收入说明</w:t>
      </w:r>
    </w:p>
    <w:p>
      <w:pPr>
        <w:pStyle w:val="16"/>
      </w:pPr>
      <w:r>
        <w:t>反映本部门当年全部收入。2025年预算收入1745.75万元，其中：一般公共预算收入1571.04万元，基金预算收入100.00万元，国有资本经营预算收入0.00万元，财政专户核拨收入0.00万元，单位资金收入0.00万元，上年结转结余74.71万元。</w:t>
      </w:r>
    </w:p>
    <w:p>
      <w:pPr>
        <w:pStyle w:val="16"/>
      </w:pPr>
      <w:r>
        <w:t>2、支出说明</w:t>
      </w:r>
    </w:p>
    <w:p>
      <w:pPr>
        <w:pStyle w:val="16"/>
      </w:pPr>
      <w:r>
        <w:t>收支预算总表支出栏、基本支出表、项目支出表按经济分类和支出功能分类科目编制，反映中共青龙满族自治县纪律检查委员会年度部门预算中支出预算的总体情况。2025年支出预算1745.75万元，其中基本支出1417.00万元，包括人员经费1154.64万元和日常公用经费262.36万元；项目支出328.76万元，主要为主要为行政运行1080.54万元，一般行政管理事务12万元，大案要案查处25.85万元，巡视工作经费16.17万元，事业运行经费45.95万元，其他纪检监察事务174.74万元，社会保障和就业支出154.84万元，卫生健康支出68.05万元，城乡社区支出100万元，住房保障支出67.61万元。</w:t>
      </w:r>
    </w:p>
    <w:p>
      <w:pPr>
        <w:pStyle w:val="16"/>
      </w:pPr>
      <w:r>
        <w:t>3、比上年增减情况</w:t>
      </w:r>
    </w:p>
    <w:p>
      <w:pPr>
        <w:pStyle w:val="16"/>
      </w:pPr>
      <w:r>
        <w:t>2025年预算收支安排1745.75万元，较2024年预算增加102.06万元，其中：基本支出增加7.69万元，主要为人员增加，工资及保险等预算增加，导致基本支出增加。项目支出增加94.37万元，主要为增加“走读式”谈话场所建设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7"/>
      </w:pPr>
      <w:r>
        <w:t>2025年，我部门机关运行经费共计安排262.36万元，主要用于日常维修、办公用房水电费、办公用房取暖费、办公用房物业管理费等日常运行支出。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w:t>
      </w:r>
      <w:r>
        <w:rPr>
          <w:rFonts w:hint="eastAsia"/>
          <w:lang w:val="en-US" w:eastAsia="zh-CN"/>
        </w:rPr>
        <w:t>5</w:t>
      </w:r>
      <w:r>
        <w:t>年，我</w:t>
      </w:r>
      <w:r>
        <w:rPr>
          <w:rFonts w:hint="eastAsia"/>
          <w:lang w:eastAsia="zh-CN"/>
        </w:rPr>
        <w:t>部门</w:t>
      </w:r>
      <w:r>
        <w:t>财政拨款“三公”经费预算安排34.50万元，其中因公出国（境）费0.00万元；公务用车购置及运维费26.50万元（其中：公务用车购置费为0.00万元，公务用车运维费26.50万元)；公务接待费8.00万元。与202</w:t>
      </w:r>
      <w:r>
        <w:rPr>
          <w:rFonts w:hint="eastAsia"/>
          <w:lang w:val="en-US" w:eastAsia="zh-CN"/>
        </w:rPr>
        <w:t>4</w:t>
      </w:r>
      <w:r>
        <w:t>年相比因公出国（境）费</w:t>
      </w:r>
      <w:r>
        <w:rPr>
          <w:rFonts w:hint="eastAsia"/>
          <w:lang w:eastAsia="zh-CN"/>
        </w:rPr>
        <w:t>、</w:t>
      </w:r>
      <w:r>
        <w:t>公务用车购置及运维费</w:t>
      </w:r>
      <w:r>
        <w:rPr>
          <w:rFonts w:hint="eastAsia"/>
          <w:lang w:eastAsia="zh-CN"/>
        </w:rPr>
        <w:t>、</w:t>
      </w:r>
      <w:r>
        <w:t>公务接待费</w:t>
      </w:r>
      <w:r>
        <w:rPr>
          <w:rFonts w:hint="eastAsia"/>
          <w:lang w:eastAsia="zh-CN"/>
        </w:rPr>
        <w:t>均持平。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19"/>
      </w:pPr>
      <w:r>
        <w:t>深入贯彻落实党的二十大对新时代新征程纪检监察工作提出的新任务新要求，准确把握中央纪委国家监委和省市纪委监委及县委部署要求，扛牢政治监督专责，充分发挥监督保障执行，促进完善发展作用，全面推进新时代纪检监察工作的高质量发展，为加快建设现代化“六个青龙”提供坚强政治保障。围绕落实党的二十大战略部署强化政治监督，推动完善党的自我革命制度规范体系；有利发挥政治巡察利剑作用；持续深化落实中央八项规定精神、纠治“四风”；全面加强党的纪律建设；坚决打赢反腐败斗争攻坚持久战；深入推进纪检监察体制改革；锻造堪当新时代新征程重任的高素质纪检监察干部队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0"/>
      </w:pPr>
      <w:r>
        <w:t>一、查办案件经费</w:t>
      </w:r>
      <w:r>
        <w:tab/>
      </w:r>
    </w:p>
    <w:p>
      <w:pPr>
        <w:pStyle w:val="20"/>
      </w:pPr>
      <w:r>
        <w:t>绩效目标：通过受理信访、举报，集中管理问题线索、组织协调案件查办，调查、审查违纪违法案件，实现正风肃纪的效果;通过对信访件应查尽查,做到有理有据,让信访人信服，提高纪检监察工作公信力。</w:t>
      </w:r>
    </w:p>
    <w:p>
      <w:pPr>
        <w:pStyle w:val="20"/>
      </w:pPr>
      <w:r>
        <w:t>绩效指标：对信访举报件中反映的问题核查立案数≥300件，对问题线索初步核实数≥180件；违纪人员处理率≥90%；执法办案行为投拆率≤3%</w:t>
      </w:r>
    </w:p>
    <w:p>
      <w:pPr>
        <w:pStyle w:val="20"/>
      </w:pPr>
      <w:r>
        <w:t>二、党风廉政建设经费</w:t>
      </w:r>
    </w:p>
    <w:p>
      <w:pPr>
        <w:pStyle w:val="20"/>
      </w:pPr>
      <w:r>
        <w:t>绩效目标：通过开展</w:t>
      </w:r>
      <w:r>
        <w:rPr>
          <w:rFonts w:hint="eastAsia"/>
          <w:lang w:eastAsia="zh-CN"/>
        </w:rPr>
        <w:t>中央</w:t>
      </w:r>
      <w:r>
        <w:t>八项规定精神问题、明察暗访工作，促进党员干部廉洁自律;通过对信访件应查尽查,做到有理有据,让信访人信服，提高纪检监察工作公信力。</w:t>
      </w:r>
    </w:p>
    <w:p>
      <w:pPr>
        <w:pStyle w:val="20"/>
      </w:pPr>
      <w:r>
        <w:t>绩效指标：对党政机关党风廉政建设督导检查次数≥160次。</w:t>
      </w:r>
    </w:p>
    <w:p>
      <w:pPr>
        <w:pStyle w:val="20"/>
      </w:pPr>
      <w:r>
        <w:t>三、巡察视经费</w:t>
      </w:r>
    </w:p>
    <w:p>
      <w:pPr>
        <w:pStyle w:val="20"/>
      </w:pPr>
      <w:r>
        <w:t>绩效目标：通过制定巡察方案，开展常规巡察、专项巡察、地区之间互查，使各种行业不正之风.问题得以纠正。通过县委巡察办对所管理的地方、部门、企事业单位党组织进行巡察监督，实现巡察全覆盖。</w:t>
      </w:r>
      <w:r>
        <w:tab/>
      </w:r>
      <w:r>
        <w:t xml:space="preserve">   </w:t>
      </w:r>
    </w:p>
    <w:p>
      <w:pPr>
        <w:pStyle w:val="20"/>
      </w:pPr>
      <w:r>
        <w:t>绩效指标：根据要求确定的巡察次数≥4次，反映巡察单位的数量≥16个。</w:t>
      </w:r>
    </w:p>
    <w:p>
      <w:pPr>
        <w:pStyle w:val="20"/>
      </w:pPr>
      <w:r>
        <w:t>四、“走读式”谈话场所建设资金</w:t>
      </w:r>
    </w:p>
    <w:p>
      <w:pPr>
        <w:pStyle w:val="20"/>
      </w:pPr>
      <w:r>
        <w:t>绩效目标：通过装修改造谈话室，实现“走读式”谈话场所标准化建设。通过建设“走读式”谈话场所，保证走读式谈话安全。</w:t>
      </w:r>
    </w:p>
    <w:p>
      <w:pPr>
        <w:pStyle w:val="20"/>
      </w:pPr>
      <w:r>
        <w:t>绩效指标：谈话室面积数=700平方米，谈话室个数=6个，配备医务室、案件分析室等办公场所=4个。</w:t>
      </w:r>
    </w:p>
    <w:p>
      <w:pPr>
        <w:pStyle w:val="20"/>
      </w:pPr>
      <w:r>
        <w:t>五、纪检监察内网信息化改造提升工作经费</w:t>
      </w:r>
    </w:p>
    <w:p>
      <w:pPr>
        <w:pStyle w:val="20"/>
      </w:pPr>
      <w:r>
        <w:t>绩效目标：涉密</w:t>
      </w:r>
    </w:p>
    <w:p>
      <w:pPr>
        <w:pStyle w:val="20"/>
      </w:pPr>
      <w:r>
        <w:t>绩效指标：涉密</w:t>
      </w:r>
    </w:p>
    <w:p>
      <w:pPr>
        <w:pStyle w:val="20"/>
      </w:pPr>
      <w:r>
        <w:t>六、办案一体化工作平台建设经费</w:t>
      </w:r>
    </w:p>
    <w:p>
      <w:pPr>
        <w:pStyle w:val="20"/>
      </w:pPr>
      <w:r>
        <w:t>绩效目标：通过建设一体化平台，使办案效率得到提高，办案程序得到简化。</w:t>
      </w:r>
    </w:p>
    <w:p>
      <w:pPr>
        <w:pStyle w:val="20"/>
      </w:pPr>
      <w:r>
        <w:t>绩效指标：购置扫描仪12台，购置打印机12台。</w:t>
      </w:r>
    </w:p>
    <w:p>
      <w:pPr>
        <w:pStyle w:val="20"/>
      </w:pPr>
      <w:r>
        <w:t>七、乡镇纪委工作经费</w:t>
      </w:r>
    </w:p>
    <w:p>
      <w:pPr>
        <w:pStyle w:val="20"/>
      </w:pPr>
      <w:r>
        <w:t>绩效目标：通过开展监督检查，促进村级依法依规开展工作。通过对信访件应查尽查，提高基层纪检监察公信力。</w:t>
      </w:r>
    </w:p>
    <w:p>
      <w:pPr>
        <w:pStyle w:val="20"/>
      </w:pPr>
      <w:r>
        <w:t>绩效指标：监督检查所辖村次数≥375村次。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1"/>
      </w:pPr>
      <w:r>
        <w:t>1、完善制度建设。包括制定完善预算绩效管理制度、资金管理办法、工作保障制度等，为全年预算绩效目标的实现奠定制度基础。</w:t>
      </w:r>
    </w:p>
    <w:p>
      <w:pPr>
        <w:pStyle w:val="21"/>
      </w:pPr>
      <w:r>
        <w:t>2、加强支出管理。通过优化支出结构、编细编实预算、加快履行政府采购手续、尽快启动项目、及时支付资金、按规定及时下达资金等多种措施，确保支出进度达标。</w:t>
      </w:r>
    </w:p>
    <w:p>
      <w:pPr>
        <w:pStyle w:val="21"/>
      </w:pPr>
      <w:r>
        <w:t>3、加强绩效运行监控。按要求开展绩效运行监控，发现问题及时采取措施，确保绩效目标如期保质实现。</w:t>
      </w:r>
    </w:p>
    <w:p>
      <w:pPr>
        <w:pStyle w:val="21"/>
      </w:pPr>
      <w:r>
        <w:t>4、做好绩效自评。按要求开展上年度部门预算绩效自评和重点评价工作，对评价中发现的问题及时整改，调整优化支出结构，提高财政资金使用效益。</w:t>
      </w:r>
    </w:p>
    <w:p>
      <w:pPr>
        <w:pStyle w:val="21"/>
      </w:pPr>
      <w:r>
        <w:t>5、规范财务资产管理。完善财务管理制度，严格审批程序，加强固定资产登记、使用和报废处置管理，做到支出合理，物尽其用。</w:t>
      </w:r>
    </w:p>
    <w:p>
      <w:pPr>
        <w:pStyle w:val="21"/>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1"/>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方正仿宋_GBK" w:hAnsi="方正仿宋_GBK" w:eastAsia="方正仿宋_GBK" w:cs="方正仿宋_GBK"/>
          <w:color w:val="000000"/>
          <w:sz w:val="32"/>
          <w:lang w:val="en-US" w:eastAsia="zh-CN"/>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1、乡镇纪委工作经费绩效目标表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13032124P00331410023D</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41.74</w:t>
            </w:r>
          </w:p>
        </w:tc>
        <w:tc>
          <w:tcPr>
            <w:tcW w:w="2835" w:type="dxa"/>
            <w:vAlign w:val="center"/>
          </w:tcPr>
          <w:p>
            <w:pPr>
              <w:pStyle w:val="8"/>
            </w:pPr>
            <w:r>
              <w:t>其中：财政    资金</w:t>
            </w:r>
          </w:p>
        </w:tc>
        <w:tc>
          <w:tcPr>
            <w:tcW w:w="2551" w:type="dxa"/>
            <w:vAlign w:val="center"/>
          </w:tcPr>
          <w:p>
            <w:pPr>
              <w:pStyle w:val="10"/>
            </w:pPr>
            <w:r>
              <w:t>41.74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项目资金41.735816万元，其中财政资金41.735816万元，主要用于25个乡镇开展监督检查、案件查办工作经费。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4"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1.通过对信访件应查尽查，提高纪检监察公信力。</w:t>
            </w:r>
          </w:p>
          <w:p>
            <w:pPr>
              <w:pStyle w:val="10"/>
            </w:pPr>
            <w:r>
              <w:t>2.通过开展监督检查，促进村级依法依规开展。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≥375次</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监督检查单位数</w:t>
            </w:r>
          </w:p>
        </w:tc>
        <w:tc>
          <w:tcPr>
            <w:tcW w:w="5386" w:type="dxa"/>
            <w:vAlign w:val="center"/>
          </w:tcPr>
          <w:p>
            <w:pPr>
              <w:pStyle w:val="10"/>
            </w:pPr>
            <w:r>
              <w:t>监督检查所辖村数</w:t>
            </w:r>
          </w:p>
        </w:tc>
        <w:tc>
          <w:tcPr>
            <w:tcW w:w="2268" w:type="dxa"/>
            <w:vAlign w:val="center"/>
          </w:tcPr>
          <w:p>
            <w:pPr>
              <w:pStyle w:val="10"/>
            </w:pPr>
            <w:r>
              <w:t>≥396个</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查办案件完成及时性</w:t>
            </w:r>
          </w:p>
        </w:tc>
        <w:tc>
          <w:tcPr>
            <w:tcW w:w="5386" w:type="dxa"/>
            <w:vAlign w:val="center"/>
          </w:tcPr>
          <w:p>
            <w:pPr>
              <w:pStyle w:val="10"/>
            </w:pPr>
            <w:r>
              <w:t>反映案件办理结束时间</w:t>
            </w:r>
          </w:p>
        </w:tc>
        <w:tc>
          <w:tcPr>
            <w:tcW w:w="2268" w:type="dxa"/>
            <w:vAlign w:val="center"/>
          </w:tcPr>
          <w:p>
            <w:pPr>
              <w:pStyle w:val="10"/>
            </w:pPr>
            <w:r>
              <w:t>100%</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≤41.74万元</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2024年工作计划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2、巡查巡视经费绩效目标表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13032123P00331710041G</w:t>
            </w:r>
          </w:p>
        </w:tc>
        <w:tc>
          <w:tcPr>
            <w:tcW w:w="2835" w:type="dxa"/>
            <w:vAlign w:val="center"/>
          </w:tcPr>
          <w:p>
            <w:pPr>
              <w:pStyle w:val="8"/>
            </w:pPr>
            <w:r>
              <w:t>项目名称</w:t>
            </w:r>
          </w:p>
        </w:tc>
        <w:tc>
          <w:tcPr>
            <w:tcW w:w="6095" w:type="dxa"/>
            <w:gridSpan w:val="3"/>
            <w:vAlign w:val="center"/>
          </w:tcPr>
          <w:p>
            <w:pPr>
              <w:pStyle w:val="10"/>
            </w:pPr>
            <w:r>
              <w:t>巡查巡视经费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4.17</w:t>
            </w:r>
          </w:p>
        </w:tc>
        <w:tc>
          <w:tcPr>
            <w:tcW w:w="2835" w:type="dxa"/>
            <w:vAlign w:val="center"/>
          </w:tcPr>
          <w:p>
            <w:pPr>
              <w:pStyle w:val="8"/>
            </w:pPr>
            <w:r>
              <w:t>其中：财政    资金</w:t>
            </w:r>
          </w:p>
        </w:tc>
        <w:tc>
          <w:tcPr>
            <w:tcW w:w="2551" w:type="dxa"/>
            <w:vAlign w:val="center"/>
          </w:tcPr>
          <w:p>
            <w:pPr>
              <w:pStyle w:val="10"/>
            </w:pPr>
            <w:r>
              <w:t>4.17</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项目预算4.173372万元，其中财政资金3.1532万元，主要用于开展常规巡察、专项巡察。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1.通过制定巡察方案，开展常规巡察、专项巡察、地区之间互查，使各种行业不正之风.问题得以纠正。</w:t>
            </w:r>
          </w:p>
          <w:p>
            <w:pPr>
              <w:pStyle w:val="10"/>
            </w:pPr>
            <w:r>
              <w:t>2.通过县委巡察办对所管理的地方、部门、企事业单位党组织进行巡察监督，实现巡察全覆盖。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全面巡察次数</w:t>
            </w:r>
          </w:p>
        </w:tc>
        <w:tc>
          <w:tcPr>
            <w:tcW w:w="5386" w:type="dxa"/>
            <w:vAlign w:val="center"/>
          </w:tcPr>
          <w:p>
            <w:pPr>
              <w:pStyle w:val="10"/>
            </w:pPr>
            <w:r>
              <w:t>根据要求确定的巡察次数</w:t>
            </w:r>
          </w:p>
        </w:tc>
        <w:tc>
          <w:tcPr>
            <w:tcW w:w="2268" w:type="dxa"/>
            <w:vAlign w:val="center"/>
          </w:tcPr>
          <w:p>
            <w:pPr>
              <w:pStyle w:val="10"/>
            </w:pPr>
            <w:r>
              <w:t>≥4次</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巡察单位数量</w:t>
            </w:r>
          </w:p>
        </w:tc>
        <w:tc>
          <w:tcPr>
            <w:tcW w:w="5386" w:type="dxa"/>
            <w:vAlign w:val="center"/>
          </w:tcPr>
          <w:p>
            <w:pPr>
              <w:pStyle w:val="10"/>
            </w:pPr>
            <w:r>
              <w:t>反映巡察单位的数量</w:t>
            </w:r>
          </w:p>
        </w:tc>
        <w:tc>
          <w:tcPr>
            <w:tcW w:w="2268" w:type="dxa"/>
            <w:vAlign w:val="center"/>
          </w:tcPr>
          <w:p>
            <w:pPr>
              <w:pStyle w:val="10"/>
            </w:pPr>
            <w:r>
              <w:t>≥16个</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巡察工作完成率</w:t>
            </w:r>
          </w:p>
        </w:tc>
        <w:tc>
          <w:tcPr>
            <w:tcW w:w="5386" w:type="dxa"/>
            <w:vAlign w:val="center"/>
          </w:tcPr>
          <w:p>
            <w:pPr>
              <w:pStyle w:val="10"/>
            </w:pPr>
            <w:r>
              <w:t>完成县委纪委安排的巡察任务</w:t>
            </w:r>
          </w:p>
        </w:tc>
        <w:tc>
          <w:tcPr>
            <w:tcW w:w="2268" w:type="dxa"/>
            <w:vAlign w:val="center"/>
          </w:tcPr>
          <w:p>
            <w:pPr>
              <w:pStyle w:val="10"/>
            </w:pPr>
            <w:r>
              <w:t>≥95%</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巡察覆盖率</w:t>
            </w:r>
          </w:p>
        </w:tc>
        <w:tc>
          <w:tcPr>
            <w:tcW w:w="5386" w:type="dxa"/>
            <w:vAlign w:val="center"/>
          </w:tcPr>
          <w:p>
            <w:pPr>
              <w:pStyle w:val="10"/>
            </w:pPr>
            <w:r>
              <w:t>巡察单位数占应巡察单位数比例</w:t>
            </w:r>
          </w:p>
        </w:tc>
        <w:tc>
          <w:tcPr>
            <w:tcW w:w="2268" w:type="dxa"/>
            <w:vAlign w:val="center"/>
          </w:tcPr>
          <w:p>
            <w:pPr>
              <w:pStyle w:val="10"/>
            </w:pPr>
            <w:r>
              <w:t>≥95%</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巡察完成及时性</w:t>
            </w:r>
          </w:p>
        </w:tc>
        <w:tc>
          <w:tcPr>
            <w:tcW w:w="5386" w:type="dxa"/>
            <w:vAlign w:val="center"/>
          </w:tcPr>
          <w:p>
            <w:pPr>
              <w:pStyle w:val="10"/>
            </w:pPr>
            <w:r>
              <w:t>反映巡察监督完成时间</w:t>
            </w:r>
          </w:p>
        </w:tc>
        <w:tc>
          <w:tcPr>
            <w:tcW w:w="2268" w:type="dxa"/>
            <w:vAlign w:val="center"/>
          </w:tcPr>
          <w:p>
            <w:pPr>
              <w:pStyle w:val="10"/>
            </w:pPr>
            <w:r>
              <w:t>100%</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交通费</w:t>
            </w:r>
          </w:p>
        </w:tc>
        <w:tc>
          <w:tcPr>
            <w:tcW w:w="5386" w:type="dxa"/>
            <w:vAlign w:val="center"/>
          </w:tcPr>
          <w:p>
            <w:pPr>
              <w:pStyle w:val="10"/>
            </w:pPr>
            <w:r>
              <w:t>反映市内每次每天交通费用支付金额</w:t>
            </w:r>
          </w:p>
        </w:tc>
        <w:tc>
          <w:tcPr>
            <w:tcW w:w="2268" w:type="dxa"/>
            <w:vAlign w:val="center"/>
          </w:tcPr>
          <w:p>
            <w:pPr>
              <w:pStyle w:val="10"/>
            </w:pPr>
            <w:r>
              <w:t>≤40元/天</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≤4.17万元</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巡察巡视监督对象满意度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3、“走读式”谈话场所建设资金绩效目标表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13032125P00334910074W</w:t>
            </w:r>
          </w:p>
        </w:tc>
        <w:tc>
          <w:tcPr>
            <w:tcW w:w="2835" w:type="dxa"/>
            <w:vAlign w:val="center"/>
          </w:tcPr>
          <w:p>
            <w:pPr>
              <w:pStyle w:val="8"/>
            </w:pPr>
            <w:r>
              <w:t>项目名称</w:t>
            </w:r>
          </w:p>
        </w:tc>
        <w:tc>
          <w:tcPr>
            <w:tcW w:w="6095" w:type="dxa"/>
            <w:gridSpan w:val="3"/>
            <w:vAlign w:val="center"/>
          </w:tcPr>
          <w:p>
            <w:pPr>
              <w:pStyle w:val="10"/>
            </w:pPr>
            <w:r>
              <w:t>“走读式”谈话场所建设资金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项目资金100万元，其中财政资金100万元，主要用于走读式谈话室装修改造产生的费用。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25.00</w:t>
            </w:r>
          </w:p>
        </w:tc>
        <w:tc>
          <w:tcPr>
            <w:tcW w:w="2835" w:type="dxa"/>
            <w:vAlign w:val="center"/>
          </w:tcPr>
          <w:p>
            <w:pPr>
              <w:pStyle w:val="11"/>
            </w:pPr>
            <w:r>
              <w:t>50.00</w:t>
            </w:r>
          </w:p>
        </w:tc>
        <w:tc>
          <w:tcPr>
            <w:tcW w:w="2551" w:type="dxa"/>
            <w:vAlign w:val="center"/>
          </w:tcPr>
          <w:p>
            <w:pPr>
              <w:pStyle w:val="11"/>
            </w:pPr>
            <w:r>
              <w:t>75.00</w:t>
            </w:r>
          </w:p>
        </w:tc>
        <w:tc>
          <w:tcPr>
            <w:tcW w:w="3544" w:type="dxa"/>
            <w:gridSpan w:val="2"/>
            <w:vAlign w:val="center"/>
          </w:tcPr>
          <w:p>
            <w:pPr>
              <w:pStyle w:val="11"/>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1.通过建设“走读式”谈话场所，保证走读式谈话安全。</w:t>
            </w:r>
          </w:p>
          <w:p>
            <w:pPr>
              <w:pStyle w:val="10"/>
            </w:pPr>
            <w:r>
              <w:t>2.通过装修改造谈话室，实现“走读式”谈话场所标准化建设。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谈话室面积数</w:t>
            </w:r>
          </w:p>
        </w:tc>
        <w:tc>
          <w:tcPr>
            <w:tcW w:w="5386" w:type="dxa"/>
            <w:vAlign w:val="center"/>
          </w:tcPr>
          <w:p>
            <w:pPr>
              <w:pStyle w:val="10"/>
            </w:pPr>
            <w:r>
              <w:t>谈话室面积数</w:t>
            </w:r>
          </w:p>
        </w:tc>
        <w:tc>
          <w:tcPr>
            <w:tcW w:w="2268" w:type="dxa"/>
            <w:vAlign w:val="center"/>
          </w:tcPr>
          <w:p>
            <w:pPr>
              <w:pStyle w:val="10"/>
            </w:pPr>
            <w:r>
              <w:t>700平方米</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谈话室数量</w:t>
            </w:r>
          </w:p>
        </w:tc>
        <w:tc>
          <w:tcPr>
            <w:tcW w:w="5386" w:type="dxa"/>
            <w:vAlign w:val="center"/>
          </w:tcPr>
          <w:p>
            <w:pPr>
              <w:pStyle w:val="10"/>
            </w:pPr>
            <w:r>
              <w:t>谈话室个数</w:t>
            </w:r>
          </w:p>
        </w:tc>
        <w:tc>
          <w:tcPr>
            <w:tcW w:w="2268" w:type="dxa"/>
            <w:vAlign w:val="center"/>
          </w:tcPr>
          <w:p>
            <w:pPr>
              <w:pStyle w:val="10"/>
            </w:pPr>
            <w:r>
              <w:t>6个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办公场所数量</w:t>
            </w:r>
          </w:p>
        </w:tc>
        <w:tc>
          <w:tcPr>
            <w:tcW w:w="5386" w:type="dxa"/>
            <w:vAlign w:val="center"/>
          </w:tcPr>
          <w:p>
            <w:pPr>
              <w:pStyle w:val="10"/>
            </w:pPr>
            <w:r>
              <w:t>配备医务室、案件分析室等办公场所</w:t>
            </w:r>
          </w:p>
        </w:tc>
        <w:tc>
          <w:tcPr>
            <w:tcW w:w="2268" w:type="dxa"/>
            <w:vAlign w:val="center"/>
          </w:tcPr>
          <w:p>
            <w:pPr>
              <w:pStyle w:val="10"/>
            </w:pPr>
            <w:r>
              <w:t>≥4个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谈话室建设标准达标率</w:t>
            </w:r>
          </w:p>
        </w:tc>
        <w:tc>
          <w:tcPr>
            <w:tcW w:w="5386" w:type="dxa"/>
            <w:vAlign w:val="center"/>
          </w:tcPr>
          <w:p>
            <w:pPr>
              <w:pStyle w:val="10"/>
            </w:pPr>
            <w:r>
              <w:t>按照标准化建设要求达标率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装修工程验收合格率</w:t>
            </w:r>
          </w:p>
        </w:tc>
        <w:tc>
          <w:tcPr>
            <w:tcW w:w="5386" w:type="dxa"/>
            <w:vAlign w:val="center"/>
          </w:tcPr>
          <w:p>
            <w:pPr>
              <w:pStyle w:val="10"/>
            </w:pPr>
            <w:r>
              <w:t>谈话室装修工程验收合格率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谈话室装修建设完成及时性</w:t>
            </w:r>
          </w:p>
        </w:tc>
        <w:tc>
          <w:tcPr>
            <w:tcW w:w="5386" w:type="dxa"/>
            <w:vAlign w:val="center"/>
          </w:tcPr>
          <w:p>
            <w:pPr>
              <w:pStyle w:val="10"/>
            </w:pPr>
            <w:r>
              <w:t>按计划要求时间完成谈话室装修建设</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预算成本书</w:t>
            </w:r>
          </w:p>
        </w:tc>
        <w:tc>
          <w:tcPr>
            <w:tcW w:w="5386" w:type="dxa"/>
            <w:vAlign w:val="center"/>
          </w:tcPr>
          <w:p>
            <w:pPr>
              <w:pStyle w:val="10"/>
            </w:pPr>
            <w:r>
              <w:t>预算成本数</w:t>
            </w:r>
          </w:p>
        </w:tc>
        <w:tc>
          <w:tcPr>
            <w:tcW w:w="2268" w:type="dxa"/>
            <w:vAlign w:val="center"/>
          </w:tcPr>
          <w:p>
            <w:pPr>
              <w:pStyle w:val="10"/>
            </w:pPr>
            <w:r>
              <w:t>≤100万元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安全事故减少</w:t>
            </w:r>
          </w:p>
        </w:tc>
        <w:tc>
          <w:tcPr>
            <w:tcW w:w="5386" w:type="dxa"/>
            <w:vAlign w:val="center"/>
          </w:tcPr>
          <w:p>
            <w:pPr>
              <w:pStyle w:val="10"/>
            </w:pPr>
            <w:r>
              <w:t>反应安全事故减少</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走读式谈话安全性</w:t>
            </w:r>
          </w:p>
        </w:tc>
        <w:tc>
          <w:tcPr>
            <w:tcW w:w="5386" w:type="dxa"/>
            <w:vAlign w:val="center"/>
          </w:tcPr>
          <w:p>
            <w:pPr>
              <w:pStyle w:val="10"/>
            </w:pPr>
            <w:r>
              <w:t>反映走读式谈话安全性得到保证</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4、案件查办经费绩效目标表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13032123P003319100214</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5.85</w:t>
            </w:r>
          </w:p>
        </w:tc>
        <w:tc>
          <w:tcPr>
            <w:tcW w:w="2835" w:type="dxa"/>
            <w:vAlign w:val="center"/>
          </w:tcPr>
          <w:p>
            <w:pPr>
              <w:pStyle w:val="8"/>
            </w:pPr>
            <w:r>
              <w:t>其中：财政    资金</w:t>
            </w:r>
          </w:p>
        </w:tc>
        <w:tc>
          <w:tcPr>
            <w:tcW w:w="2551" w:type="dxa"/>
            <w:vAlign w:val="center"/>
          </w:tcPr>
          <w:p>
            <w:pPr>
              <w:pStyle w:val="10"/>
            </w:pPr>
            <w:r>
              <w:t>5.85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项目预算资金共5.847万元，其中财政资金5.847万元，主要用于组织协调、调查违法违纪案件。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1.通过受理信访、举报，集中管理问题线索、组织协调案件查办，调查、审查违纪违法案件，实现正风肃纪的效果。</w:t>
            </w:r>
          </w:p>
          <w:p>
            <w:pPr>
              <w:pStyle w:val="10"/>
            </w:pPr>
            <w:r>
              <w:t>2.通过对信访件应查尽查,做到有理有据,让信访人信服，提高纪检监察工作公信力。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对信访件进行初步核实</w:t>
            </w:r>
          </w:p>
        </w:tc>
        <w:tc>
          <w:tcPr>
            <w:tcW w:w="5386" w:type="dxa"/>
            <w:vAlign w:val="center"/>
          </w:tcPr>
          <w:p>
            <w:pPr>
              <w:pStyle w:val="10"/>
            </w:pPr>
            <w:r>
              <w:t>反映对所有信访件问题初步查办次数</w:t>
            </w:r>
          </w:p>
        </w:tc>
        <w:tc>
          <w:tcPr>
            <w:tcW w:w="2268" w:type="dxa"/>
            <w:vAlign w:val="center"/>
          </w:tcPr>
          <w:p>
            <w:pPr>
              <w:pStyle w:val="10"/>
            </w:pPr>
            <w:r>
              <w:t>≥700件数</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信访件立案个数</w:t>
            </w:r>
          </w:p>
        </w:tc>
        <w:tc>
          <w:tcPr>
            <w:tcW w:w="5386" w:type="dxa"/>
            <w:vAlign w:val="center"/>
          </w:tcPr>
          <w:p>
            <w:pPr>
              <w:pStyle w:val="10"/>
            </w:pPr>
            <w:r>
              <w:t>反映对处置线索进一步核实立案数</w:t>
            </w:r>
          </w:p>
        </w:tc>
        <w:tc>
          <w:tcPr>
            <w:tcW w:w="2268" w:type="dxa"/>
            <w:vAlign w:val="center"/>
          </w:tcPr>
          <w:p>
            <w:pPr>
              <w:pStyle w:val="10"/>
            </w:pPr>
            <w:r>
              <w:t>≥100件数</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≥95%</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信访件处置时限</w:t>
            </w:r>
          </w:p>
        </w:tc>
        <w:tc>
          <w:tcPr>
            <w:tcW w:w="5386" w:type="dxa"/>
            <w:vAlign w:val="center"/>
          </w:tcPr>
          <w:p>
            <w:pPr>
              <w:pStyle w:val="10"/>
            </w:pPr>
            <w:r>
              <w:t>反映每个信访件处置时限</w:t>
            </w:r>
          </w:p>
        </w:tc>
        <w:tc>
          <w:tcPr>
            <w:tcW w:w="2268" w:type="dxa"/>
            <w:vAlign w:val="center"/>
          </w:tcPr>
          <w:p>
            <w:pPr>
              <w:pStyle w:val="10"/>
            </w:pPr>
            <w:r>
              <w:t>≤30天</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≤5.85万元</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违纪人员处理率</w:t>
            </w:r>
          </w:p>
        </w:tc>
        <w:tc>
          <w:tcPr>
            <w:tcW w:w="5386" w:type="dxa"/>
            <w:vAlign w:val="center"/>
          </w:tcPr>
          <w:p>
            <w:pPr>
              <w:pStyle w:val="10"/>
            </w:pPr>
            <w:r>
              <w:t>运用监督执纪“四种形态”处理人次占处理总人数</w:t>
            </w:r>
          </w:p>
        </w:tc>
        <w:tc>
          <w:tcPr>
            <w:tcW w:w="2268" w:type="dxa"/>
            <w:vAlign w:val="center"/>
          </w:tcPr>
          <w:p>
            <w:pPr>
              <w:pStyle w:val="10"/>
            </w:pPr>
            <w:r>
              <w:t>≥90%</w:t>
            </w:r>
          </w:p>
        </w:tc>
        <w:tc>
          <w:tcPr>
            <w:tcW w:w="1276" w:type="dxa"/>
            <w:vAlign w:val="center"/>
          </w:tcPr>
          <w:p>
            <w:pPr>
              <w:pStyle w:val="10"/>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5、案件查办经费绩效目标表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13032125P003349100693</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项目预算20万元，其中财政资金20万元，主要用于案件查办工作产生的差旅、交通费等。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1.通过对信访件应查尽查,做到有理有据,让信访人信服，提高纪检监察工作公信力。</w:t>
            </w:r>
          </w:p>
          <w:p>
            <w:pPr>
              <w:pStyle w:val="10"/>
            </w:pPr>
            <w:r>
              <w:t>2.通过受理信访、举报，集中管理问题线索、组织协调案件查办，调查、审查违纪违法案件，实现正风肃纪的效果。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问题线索立案数</w:t>
            </w:r>
          </w:p>
        </w:tc>
        <w:tc>
          <w:tcPr>
            <w:tcW w:w="5386" w:type="dxa"/>
            <w:vAlign w:val="center"/>
          </w:tcPr>
          <w:p>
            <w:pPr>
              <w:pStyle w:val="10"/>
            </w:pPr>
            <w:r>
              <w:t>反映对处置线索进一步核实立案数</w:t>
            </w:r>
          </w:p>
        </w:tc>
        <w:tc>
          <w:tcPr>
            <w:tcW w:w="2268" w:type="dxa"/>
            <w:vAlign w:val="center"/>
          </w:tcPr>
          <w:p>
            <w:pPr>
              <w:pStyle w:val="10"/>
            </w:pPr>
            <w:r>
              <w:t>≥300件</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问题线索初步核实数</w:t>
            </w:r>
          </w:p>
        </w:tc>
        <w:tc>
          <w:tcPr>
            <w:tcW w:w="5386" w:type="dxa"/>
            <w:vAlign w:val="center"/>
          </w:tcPr>
          <w:p>
            <w:pPr>
              <w:pStyle w:val="10"/>
            </w:pPr>
            <w:r>
              <w:t>反映对所有问题线索初步查办次数</w:t>
            </w:r>
          </w:p>
        </w:tc>
        <w:tc>
          <w:tcPr>
            <w:tcW w:w="2268" w:type="dxa"/>
            <w:vAlign w:val="center"/>
          </w:tcPr>
          <w:p>
            <w:pPr>
              <w:pStyle w:val="10"/>
            </w:pPr>
            <w:r>
              <w:t>≥180件</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≤20万</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执法办案行为投拆率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6、办案一体化工作平台建设经费绩效目标表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13032125P00334910067U</w:t>
            </w:r>
          </w:p>
        </w:tc>
        <w:tc>
          <w:tcPr>
            <w:tcW w:w="2835" w:type="dxa"/>
            <w:vAlign w:val="center"/>
          </w:tcPr>
          <w:p>
            <w:pPr>
              <w:pStyle w:val="8"/>
            </w:pPr>
            <w:r>
              <w:t>项目名称</w:t>
            </w:r>
          </w:p>
        </w:tc>
        <w:tc>
          <w:tcPr>
            <w:tcW w:w="6095" w:type="dxa"/>
            <w:gridSpan w:val="3"/>
            <w:vAlign w:val="center"/>
          </w:tcPr>
          <w:p>
            <w:pPr>
              <w:pStyle w:val="10"/>
            </w:pPr>
            <w:r>
              <w:t>办案一体化工作平台建设经费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w:t>
            </w:r>
          </w:p>
        </w:tc>
        <w:tc>
          <w:tcPr>
            <w:tcW w:w="2835" w:type="dxa"/>
            <w:vAlign w:val="center"/>
          </w:tcPr>
          <w:p>
            <w:pPr>
              <w:pStyle w:val="8"/>
            </w:pPr>
            <w:r>
              <w:t>其中：财政    资金</w:t>
            </w:r>
          </w:p>
        </w:tc>
        <w:tc>
          <w:tcPr>
            <w:tcW w:w="2551" w:type="dxa"/>
            <w:vAlign w:val="center"/>
          </w:tcPr>
          <w:p>
            <w:pPr>
              <w:pStyle w:val="10"/>
            </w:pPr>
            <w:r>
              <w:t>12.00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项目预算12万元，其中财政资金12万元，主要用于开展办案一体化工作。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1.通过建设一体化平台，使办案效率的到提高。</w:t>
            </w:r>
          </w:p>
          <w:p>
            <w:pPr>
              <w:pStyle w:val="10"/>
            </w:pPr>
            <w:r>
              <w:t>2.通过建设一体化平台，使办案程序得到简化。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购置扫描仪数量</w:t>
            </w:r>
          </w:p>
        </w:tc>
        <w:tc>
          <w:tcPr>
            <w:tcW w:w="5386" w:type="dxa"/>
            <w:vAlign w:val="center"/>
          </w:tcPr>
          <w:p>
            <w:pPr>
              <w:pStyle w:val="10"/>
            </w:pPr>
            <w:r>
              <w:t>购置扫描仪个数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购置打印机数量</w:t>
            </w:r>
          </w:p>
        </w:tc>
        <w:tc>
          <w:tcPr>
            <w:tcW w:w="5386" w:type="dxa"/>
            <w:vAlign w:val="center"/>
          </w:tcPr>
          <w:p>
            <w:pPr>
              <w:pStyle w:val="10"/>
            </w:pPr>
            <w:r>
              <w:t>购置打印机个数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设备达标率</w:t>
            </w:r>
          </w:p>
        </w:tc>
        <w:tc>
          <w:tcPr>
            <w:tcW w:w="5386" w:type="dxa"/>
            <w:vAlign w:val="center"/>
          </w:tcPr>
          <w:p>
            <w:pPr>
              <w:pStyle w:val="10"/>
            </w:pPr>
            <w:r>
              <w:t>购买设备达标率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购置及时性</w:t>
            </w:r>
          </w:p>
        </w:tc>
        <w:tc>
          <w:tcPr>
            <w:tcW w:w="5386" w:type="dxa"/>
            <w:vAlign w:val="center"/>
          </w:tcPr>
          <w:p>
            <w:pPr>
              <w:pStyle w:val="10"/>
            </w:pPr>
            <w:r>
              <w:t>购置及时性</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预算成本率</w:t>
            </w:r>
          </w:p>
        </w:tc>
        <w:tc>
          <w:tcPr>
            <w:tcW w:w="5386" w:type="dxa"/>
            <w:vAlign w:val="center"/>
          </w:tcPr>
          <w:p>
            <w:pPr>
              <w:pStyle w:val="10"/>
            </w:pPr>
            <w:r>
              <w:t>反映控制在预算成本范围内</w:t>
            </w:r>
          </w:p>
        </w:tc>
        <w:tc>
          <w:tcPr>
            <w:tcW w:w="2268" w:type="dxa"/>
            <w:vAlign w:val="center"/>
          </w:tcPr>
          <w:p>
            <w:pPr>
              <w:pStyle w:val="10"/>
            </w:pPr>
            <w:r>
              <w:t>≤12万元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办案效率提高</w:t>
            </w:r>
          </w:p>
        </w:tc>
        <w:tc>
          <w:tcPr>
            <w:tcW w:w="5386" w:type="dxa"/>
            <w:vAlign w:val="center"/>
          </w:tcPr>
          <w:p>
            <w:pPr>
              <w:pStyle w:val="10"/>
            </w:pPr>
            <w:r>
              <w:t>办案效率得到提高</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办案程序简化</w:t>
            </w:r>
          </w:p>
        </w:tc>
        <w:tc>
          <w:tcPr>
            <w:tcW w:w="5386" w:type="dxa"/>
            <w:vAlign w:val="center"/>
          </w:tcPr>
          <w:p>
            <w:pPr>
              <w:pStyle w:val="10"/>
            </w:pPr>
            <w:r>
              <w:t>办案程序得到简化</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使用者满意度</w:t>
            </w:r>
          </w:p>
        </w:tc>
        <w:tc>
          <w:tcPr>
            <w:tcW w:w="5386" w:type="dxa"/>
            <w:vAlign w:val="center"/>
          </w:tcPr>
          <w:p>
            <w:pPr>
              <w:pStyle w:val="10"/>
            </w:pPr>
            <w:r>
              <w:t>使用过程和结果满意度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7、党风廉政建设经费绩效目标表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13032125P003349100668</w:t>
            </w:r>
          </w:p>
        </w:tc>
        <w:tc>
          <w:tcPr>
            <w:tcW w:w="2835" w:type="dxa"/>
            <w:vAlign w:val="center"/>
          </w:tcPr>
          <w:p>
            <w:pPr>
              <w:pStyle w:val="8"/>
            </w:pPr>
            <w:r>
              <w:t>项目名称</w:t>
            </w:r>
          </w:p>
        </w:tc>
        <w:tc>
          <w:tcPr>
            <w:tcW w:w="6095" w:type="dxa"/>
            <w:gridSpan w:val="3"/>
            <w:vAlign w:val="center"/>
          </w:tcPr>
          <w:p>
            <w:pPr>
              <w:pStyle w:val="10"/>
            </w:pPr>
            <w:r>
              <w:t>党风廉政建设经费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项目预算5万元，其中财政资金5万元，主要用于</w:t>
            </w:r>
            <w:r>
              <w:rPr>
                <w:rFonts w:hint="eastAsia"/>
                <w:lang w:eastAsia="zh-CN"/>
              </w:rPr>
              <w:t>违反</w:t>
            </w:r>
            <w:r>
              <w:t>中央八项规定</w:t>
            </w:r>
            <w:r>
              <w:rPr>
                <w:rFonts w:hint="eastAsia"/>
                <w:lang w:eastAsia="zh-CN"/>
              </w:rPr>
              <w:t>精神的</w:t>
            </w:r>
            <w:r>
              <w:t>监督检查、党风廉政建设培训、考核等工作。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1.通过开展党风廉政建设宣传教育，促进全县党员干部遵纪守法。</w:t>
            </w:r>
          </w:p>
          <w:p>
            <w:pPr>
              <w:pStyle w:val="10"/>
            </w:pPr>
            <w:r>
              <w:t>2.通过开展</w:t>
            </w:r>
            <w:r>
              <w:rPr>
                <w:rFonts w:hint="eastAsia"/>
                <w:lang w:eastAsia="zh-CN"/>
              </w:rPr>
              <w:t>违反</w:t>
            </w:r>
            <w:bookmarkStart w:id="20" w:name="_GoBack"/>
            <w:bookmarkEnd w:id="20"/>
            <w:r>
              <w:rPr>
                <w:rFonts w:hint="eastAsia"/>
                <w:lang w:eastAsia="zh-CN"/>
              </w:rPr>
              <w:t>中央</w:t>
            </w:r>
            <w:r>
              <w:t>八项规定精神问题、明察暗访工作，促进党员干部廉洁自律。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督导、暗访检查次数</w:t>
            </w:r>
          </w:p>
        </w:tc>
        <w:tc>
          <w:tcPr>
            <w:tcW w:w="5386" w:type="dxa"/>
            <w:vAlign w:val="center"/>
          </w:tcPr>
          <w:p>
            <w:pPr>
              <w:pStyle w:val="10"/>
            </w:pPr>
            <w:r>
              <w:t>对党政机关党风廉政建设督导检查次数</w:t>
            </w:r>
          </w:p>
        </w:tc>
        <w:tc>
          <w:tcPr>
            <w:tcW w:w="2268" w:type="dxa"/>
            <w:vAlign w:val="center"/>
          </w:tcPr>
          <w:p>
            <w:pPr>
              <w:pStyle w:val="10"/>
            </w:pPr>
            <w:r>
              <w:t>≥160次</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廉政教育培训次数</w:t>
            </w:r>
          </w:p>
        </w:tc>
        <w:tc>
          <w:tcPr>
            <w:tcW w:w="5386" w:type="dxa"/>
            <w:vAlign w:val="center"/>
          </w:tcPr>
          <w:p>
            <w:pPr>
              <w:pStyle w:val="10"/>
            </w:pPr>
            <w:r>
              <w:t>反映对党员领导干部培训的次数、人数</w:t>
            </w:r>
          </w:p>
        </w:tc>
        <w:tc>
          <w:tcPr>
            <w:tcW w:w="2268" w:type="dxa"/>
            <w:vAlign w:val="center"/>
          </w:tcPr>
          <w:p>
            <w:pPr>
              <w:pStyle w:val="10"/>
            </w:pPr>
            <w:r>
              <w:t>≥10次</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明察暗访工作的完成率</w:t>
            </w:r>
          </w:p>
        </w:tc>
        <w:tc>
          <w:tcPr>
            <w:tcW w:w="5386" w:type="dxa"/>
            <w:vAlign w:val="center"/>
          </w:tcPr>
          <w:p>
            <w:pPr>
              <w:pStyle w:val="10"/>
            </w:pPr>
            <w:r>
              <w:t>明察暗访率和责任追究的完成率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廉政培训工作完成率</w:t>
            </w:r>
          </w:p>
        </w:tc>
        <w:tc>
          <w:tcPr>
            <w:tcW w:w="5386" w:type="dxa"/>
            <w:vAlign w:val="center"/>
          </w:tcPr>
          <w:p>
            <w:pPr>
              <w:pStyle w:val="10"/>
            </w:pPr>
            <w:r>
              <w:t>廉政培训工作的完成率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工作完成及时性</w:t>
            </w:r>
          </w:p>
        </w:tc>
        <w:tc>
          <w:tcPr>
            <w:tcW w:w="5386" w:type="dxa"/>
            <w:vAlign w:val="center"/>
          </w:tcPr>
          <w:p>
            <w:pPr>
              <w:pStyle w:val="10"/>
            </w:pPr>
            <w:r>
              <w:t>督导检查、明察暗访和追究责任工作按计划及时完成</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≤5万元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提高党风廉政建设水平</w:t>
            </w:r>
          </w:p>
        </w:tc>
        <w:tc>
          <w:tcPr>
            <w:tcW w:w="5386" w:type="dxa"/>
            <w:vAlign w:val="center"/>
          </w:tcPr>
          <w:p>
            <w:pPr>
              <w:pStyle w:val="10"/>
            </w:pPr>
            <w:r>
              <w:t>反映通过廉政教育培训，监督检查，提高了党风廉政建设水平</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提高廉洁自律意识</w:t>
            </w:r>
          </w:p>
        </w:tc>
        <w:tc>
          <w:tcPr>
            <w:tcW w:w="5386" w:type="dxa"/>
            <w:vAlign w:val="center"/>
          </w:tcPr>
          <w:p>
            <w:pPr>
              <w:pStyle w:val="10"/>
            </w:pPr>
            <w:r>
              <w:t>反映廉洁自律意识提高率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党员、干部及群众满意度</w:t>
            </w:r>
          </w:p>
        </w:tc>
        <w:tc>
          <w:tcPr>
            <w:tcW w:w="5386" w:type="dxa"/>
            <w:vAlign w:val="center"/>
          </w:tcPr>
          <w:p>
            <w:pPr>
              <w:pStyle w:val="10"/>
            </w:pPr>
            <w:r>
              <w:t>党员、干部及群众对党风廉政建设工作的满意度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8、纪检监察内网信息化改造提升工作经费绩效目标表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13032125P00334910070E</w:t>
            </w:r>
          </w:p>
        </w:tc>
        <w:tc>
          <w:tcPr>
            <w:tcW w:w="2835" w:type="dxa"/>
            <w:vAlign w:val="center"/>
          </w:tcPr>
          <w:p>
            <w:pPr>
              <w:pStyle w:val="8"/>
            </w:pPr>
            <w:r>
              <w:t>项目名称</w:t>
            </w:r>
          </w:p>
        </w:tc>
        <w:tc>
          <w:tcPr>
            <w:tcW w:w="6095" w:type="dxa"/>
            <w:gridSpan w:val="3"/>
            <w:vAlign w:val="center"/>
          </w:tcPr>
          <w:p>
            <w:pPr>
              <w:pStyle w:val="10"/>
            </w:pPr>
            <w:r>
              <w:t>纪检监察内网信息化改造提升工作经费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w:t>
            </w:r>
          </w:p>
        </w:tc>
        <w:tc>
          <w:tcPr>
            <w:tcW w:w="2835" w:type="dxa"/>
            <w:vAlign w:val="center"/>
          </w:tcPr>
          <w:p>
            <w:pPr>
              <w:pStyle w:val="8"/>
            </w:pPr>
            <w:r>
              <w:t>其中：财政    资金</w:t>
            </w:r>
          </w:p>
        </w:tc>
        <w:tc>
          <w:tcPr>
            <w:tcW w:w="2551" w:type="dxa"/>
            <w:vAlign w:val="center"/>
          </w:tcPr>
          <w:p>
            <w:pPr>
              <w:pStyle w:val="10"/>
            </w:pPr>
            <w:r>
              <w:t>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1.根据文件要求，此项内容涉密</w:t>
            </w:r>
          </w:p>
          <w:p>
            <w:pPr>
              <w:pStyle w:val="10"/>
            </w:pPr>
            <w:r>
              <w:t>2.根据文件要求，此项内容涉密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9、乡镇纪委工作经费绩效目标表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13032125P00334910068F</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120.00</w:t>
            </w:r>
          </w:p>
        </w:tc>
        <w:tc>
          <w:tcPr>
            <w:tcW w:w="2835" w:type="dxa"/>
            <w:vAlign w:val="center"/>
          </w:tcPr>
          <w:p>
            <w:pPr>
              <w:pStyle w:val="8"/>
            </w:pPr>
            <w:r>
              <w:t>其中：财政    资金</w:t>
            </w:r>
          </w:p>
        </w:tc>
        <w:tc>
          <w:tcPr>
            <w:tcW w:w="2551" w:type="dxa"/>
            <w:vAlign w:val="center"/>
          </w:tcPr>
          <w:p>
            <w:pPr>
              <w:pStyle w:val="10"/>
            </w:pPr>
            <w:r>
              <w:t>120.00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项目预算120万元，其中财政资金120万元，主要用于乡镇纪委开展办案、监督检查等工作支出。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1.通过开展监督检查，促进村级依法依规开展。</w:t>
            </w:r>
          </w:p>
          <w:p>
            <w:pPr>
              <w:pStyle w:val="10"/>
            </w:pPr>
            <w:r>
              <w:t>2.通过对信访件应查尽查，提高基层纪检监察公信力。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≥375个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监督检查单位数</w:t>
            </w:r>
          </w:p>
        </w:tc>
        <w:tc>
          <w:tcPr>
            <w:tcW w:w="5386" w:type="dxa"/>
            <w:vAlign w:val="center"/>
          </w:tcPr>
          <w:p>
            <w:pPr>
              <w:pStyle w:val="10"/>
            </w:pPr>
            <w:r>
              <w:t>监督检查所辖村数</w:t>
            </w:r>
          </w:p>
        </w:tc>
        <w:tc>
          <w:tcPr>
            <w:tcW w:w="2268" w:type="dxa"/>
            <w:vAlign w:val="center"/>
          </w:tcPr>
          <w:p>
            <w:pPr>
              <w:pStyle w:val="10"/>
            </w:pPr>
            <w:r>
              <w:t>≥396个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查办案件完成及时性</w:t>
            </w:r>
          </w:p>
        </w:tc>
        <w:tc>
          <w:tcPr>
            <w:tcW w:w="5386" w:type="dxa"/>
            <w:vAlign w:val="center"/>
          </w:tcPr>
          <w:p>
            <w:pPr>
              <w:pStyle w:val="10"/>
            </w:pPr>
            <w:r>
              <w:t>反映案件办理结束时间</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120万元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10、巡察巡视经费绩效目标表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13032125P00334910072M</w:t>
            </w:r>
          </w:p>
        </w:tc>
        <w:tc>
          <w:tcPr>
            <w:tcW w:w="2835" w:type="dxa"/>
            <w:vAlign w:val="center"/>
          </w:tcPr>
          <w:p>
            <w:pPr>
              <w:pStyle w:val="8"/>
            </w:pPr>
            <w:r>
              <w:t>项目名称</w:t>
            </w:r>
          </w:p>
        </w:tc>
        <w:tc>
          <w:tcPr>
            <w:tcW w:w="6095" w:type="dxa"/>
            <w:gridSpan w:val="3"/>
            <w:vAlign w:val="center"/>
          </w:tcPr>
          <w:p>
            <w:pPr>
              <w:pStyle w:val="10"/>
            </w:pPr>
            <w:r>
              <w:t>巡察巡视经费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w:t>
            </w:r>
          </w:p>
        </w:tc>
        <w:tc>
          <w:tcPr>
            <w:tcW w:w="2835" w:type="dxa"/>
            <w:vAlign w:val="center"/>
          </w:tcPr>
          <w:p>
            <w:pPr>
              <w:pStyle w:val="8"/>
            </w:pPr>
            <w:r>
              <w:t>其中：财政    资金</w:t>
            </w:r>
          </w:p>
        </w:tc>
        <w:tc>
          <w:tcPr>
            <w:tcW w:w="2551" w:type="dxa"/>
            <w:vAlign w:val="center"/>
          </w:tcPr>
          <w:p>
            <w:pPr>
              <w:pStyle w:val="10"/>
            </w:pPr>
            <w:r>
              <w:t>12.00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项目预算12万元，其中财政资金12万元，主要用于开展巡察巡视工作。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1.通过县委巡察办对所管理的地方、部门、企事业单位党组织进行巡察监督，实现巡察全覆盖。</w:t>
            </w:r>
          </w:p>
          <w:p>
            <w:pPr>
              <w:pStyle w:val="10"/>
            </w:pPr>
            <w:r>
              <w:t>2.通过制定巡察方案，开展常规巡察、专项巡察、地区之间互查，使各种行业不正之风.问题得以纠正。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全面巡察次数</w:t>
            </w:r>
          </w:p>
        </w:tc>
        <w:tc>
          <w:tcPr>
            <w:tcW w:w="5386" w:type="dxa"/>
            <w:vAlign w:val="center"/>
          </w:tcPr>
          <w:p>
            <w:pPr>
              <w:pStyle w:val="10"/>
            </w:pPr>
            <w:r>
              <w:t>根据要求确定的巡察次数</w:t>
            </w:r>
          </w:p>
        </w:tc>
        <w:tc>
          <w:tcPr>
            <w:tcW w:w="2268" w:type="dxa"/>
            <w:vAlign w:val="center"/>
          </w:tcPr>
          <w:p>
            <w:pPr>
              <w:pStyle w:val="10"/>
            </w:pPr>
            <w:r>
              <w:t>4次</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巡察单位数量</w:t>
            </w:r>
          </w:p>
        </w:tc>
        <w:tc>
          <w:tcPr>
            <w:tcW w:w="5386" w:type="dxa"/>
            <w:vAlign w:val="center"/>
          </w:tcPr>
          <w:p>
            <w:pPr>
              <w:pStyle w:val="10"/>
            </w:pPr>
            <w:r>
              <w:t>反映巡察单位的数量</w:t>
            </w:r>
          </w:p>
        </w:tc>
        <w:tc>
          <w:tcPr>
            <w:tcW w:w="2268" w:type="dxa"/>
            <w:vAlign w:val="center"/>
          </w:tcPr>
          <w:p>
            <w:pPr>
              <w:pStyle w:val="10"/>
            </w:pPr>
            <w:r>
              <w:t>≥16个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巡察工作完成率</w:t>
            </w:r>
          </w:p>
        </w:tc>
        <w:tc>
          <w:tcPr>
            <w:tcW w:w="5386" w:type="dxa"/>
            <w:vAlign w:val="center"/>
          </w:tcPr>
          <w:p>
            <w:pPr>
              <w:pStyle w:val="10"/>
            </w:pPr>
            <w:r>
              <w:t>完成县委纪委安排的巡察任务</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巡察覆盖率</w:t>
            </w:r>
          </w:p>
        </w:tc>
        <w:tc>
          <w:tcPr>
            <w:tcW w:w="5386" w:type="dxa"/>
            <w:vAlign w:val="center"/>
          </w:tcPr>
          <w:p>
            <w:pPr>
              <w:pStyle w:val="10"/>
            </w:pPr>
            <w:r>
              <w:t>巡察单位数占应巡察单位数比例</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巡察完成及时性</w:t>
            </w:r>
          </w:p>
        </w:tc>
        <w:tc>
          <w:tcPr>
            <w:tcW w:w="5386" w:type="dxa"/>
            <w:vAlign w:val="center"/>
          </w:tcPr>
          <w:p>
            <w:pPr>
              <w:pStyle w:val="10"/>
            </w:pPr>
            <w:r>
              <w:t>反映巡察监督完成时间</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≤12万元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对巡察行为投诉率</w:t>
            </w:r>
          </w:p>
        </w:tc>
        <w:tc>
          <w:tcPr>
            <w:tcW w:w="5386" w:type="dxa"/>
            <w:vAlign w:val="center"/>
          </w:tcPr>
          <w:p>
            <w:pPr>
              <w:pStyle w:val="10"/>
            </w:pPr>
            <w:r>
              <w:t>被投诉的巡察违规行为投诉率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党的建设和党风廉政建设水平提高</w:t>
            </w:r>
          </w:p>
        </w:tc>
        <w:tc>
          <w:tcPr>
            <w:tcW w:w="5386" w:type="dxa"/>
            <w:vAlign w:val="center"/>
          </w:tcPr>
          <w:p>
            <w:pPr>
              <w:pStyle w:val="10"/>
            </w:pPr>
            <w:r>
              <w:t>党的建设和党风廉政建设水平提高</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巡察巡视监督对象满意度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2"/>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84.35</w:t>
            </w:r>
          </w:p>
        </w:tc>
        <w:tc>
          <w:tcPr>
            <w:tcW w:w="964" w:type="dxa"/>
            <w:vAlign w:val="center"/>
          </w:tcPr>
          <w:p>
            <w:pPr>
              <w:pStyle w:val="13"/>
            </w:pPr>
            <w:r>
              <w:t>84.35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中共青龙满族自治县纪律检查委员会本级小计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84.35</w:t>
            </w:r>
          </w:p>
        </w:tc>
        <w:tc>
          <w:tcPr>
            <w:tcW w:w="964" w:type="dxa"/>
            <w:vAlign w:val="center"/>
          </w:tcPr>
          <w:p>
            <w:pPr>
              <w:pStyle w:val="13"/>
            </w:pPr>
            <w:r>
              <w:t>84.35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0.50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复印机</w:t>
            </w:r>
          </w:p>
        </w:tc>
        <w:tc>
          <w:tcPr>
            <w:tcW w:w="1134" w:type="dxa"/>
            <w:vAlign w:val="center"/>
          </w:tcPr>
          <w:p>
            <w:pPr>
              <w:pStyle w:val="10"/>
            </w:pPr>
            <w:r>
              <w:t>A02020100</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0.20</w:t>
            </w:r>
          </w:p>
        </w:tc>
        <w:tc>
          <w:tcPr>
            <w:tcW w:w="964" w:type="dxa"/>
            <w:vAlign w:val="center"/>
          </w:tcPr>
          <w:p>
            <w:pPr>
              <w:pStyle w:val="9"/>
            </w:pPr>
            <w:r>
              <w:t>2.40</w:t>
            </w:r>
          </w:p>
        </w:tc>
        <w:tc>
          <w:tcPr>
            <w:tcW w:w="964" w:type="dxa"/>
            <w:vAlign w:val="center"/>
          </w:tcPr>
          <w:p>
            <w:pPr>
              <w:pStyle w:val="9"/>
            </w:pPr>
            <w:r>
              <w:t>2.40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0.40</w:t>
            </w:r>
          </w:p>
        </w:tc>
        <w:tc>
          <w:tcPr>
            <w:tcW w:w="964" w:type="dxa"/>
            <w:vAlign w:val="center"/>
          </w:tcPr>
          <w:p>
            <w:pPr>
              <w:pStyle w:val="9"/>
            </w:pPr>
            <w:r>
              <w:t>4.80</w:t>
            </w:r>
          </w:p>
        </w:tc>
        <w:tc>
          <w:tcPr>
            <w:tcW w:w="964" w:type="dxa"/>
            <w:vAlign w:val="center"/>
          </w:tcPr>
          <w:p>
            <w:pPr>
              <w:pStyle w:val="9"/>
            </w:pPr>
            <w:r>
              <w:t>4.80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保密柜</w:t>
            </w:r>
          </w:p>
        </w:tc>
        <w:tc>
          <w:tcPr>
            <w:tcW w:w="1134" w:type="dxa"/>
            <w:vAlign w:val="center"/>
          </w:tcPr>
          <w:p>
            <w:pPr>
              <w:pStyle w:val="10"/>
            </w:pPr>
            <w:r>
              <w:t>A05010504</w:t>
            </w:r>
          </w:p>
        </w:tc>
        <w:tc>
          <w:tcPr>
            <w:tcW w:w="709" w:type="dxa"/>
            <w:vAlign w:val="center"/>
          </w:tcPr>
          <w:p>
            <w:pPr>
              <w:pStyle w:val="11"/>
            </w:pPr>
            <w:r>
              <w:t>件</w:t>
            </w:r>
          </w:p>
        </w:tc>
        <w:tc>
          <w:tcPr>
            <w:tcW w:w="850" w:type="dxa"/>
            <w:vAlign w:val="center"/>
          </w:tcPr>
          <w:p>
            <w:pPr>
              <w:pStyle w:val="9"/>
            </w:pPr>
            <w:r>
              <w:t>8</w:t>
            </w:r>
          </w:p>
        </w:tc>
        <w:tc>
          <w:tcPr>
            <w:tcW w:w="850" w:type="dxa"/>
            <w:vAlign w:val="center"/>
          </w:tcPr>
          <w:p>
            <w:pPr>
              <w:pStyle w:val="9"/>
            </w:pPr>
            <w:r>
              <w:t>0.10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6500</w:t>
            </w:r>
          </w:p>
        </w:tc>
        <w:tc>
          <w:tcPr>
            <w:tcW w:w="850" w:type="dxa"/>
            <w:vAlign w:val="center"/>
          </w:tcPr>
          <w:p>
            <w:pPr>
              <w:pStyle w:val="9"/>
            </w:pPr>
            <w:r>
              <w:t>0.00</w:t>
            </w:r>
          </w:p>
        </w:tc>
        <w:tc>
          <w:tcPr>
            <w:tcW w:w="964" w:type="dxa"/>
            <w:vAlign w:val="center"/>
          </w:tcPr>
          <w:p>
            <w:pPr>
              <w:pStyle w:val="9"/>
            </w:pPr>
            <w:r>
              <w:t>11.05</w:t>
            </w:r>
          </w:p>
        </w:tc>
        <w:tc>
          <w:tcPr>
            <w:tcW w:w="964" w:type="dxa"/>
            <w:vAlign w:val="center"/>
          </w:tcPr>
          <w:p>
            <w:pPr>
              <w:pStyle w:val="9"/>
            </w:pPr>
            <w:r>
              <w:t>11.05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财产保险服务</w:t>
            </w:r>
          </w:p>
        </w:tc>
        <w:tc>
          <w:tcPr>
            <w:tcW w:w="1134" w:type="dxa"/>
            <w:vAlign w:val="center"/>
          </w:tcPr>
          <w:p>
            <w:pPr>
              <w:pStyle w:val="10"/>
            </w:pPr>
            <w:r>
              <w:t>C18040102</w:t>
            </w:r>
          </w:p>
        </w:tc>
        <w:tc>
          <w:tcPr>
            <w:tcW w:w="709" w:type="dxa"/>
            <w:vAlign w:val="center"/>
          </w:tcPr>
          <w:p>
            <w:pPr>
              <w:pStyle w:val="11"/>
            </w:pPr>
            <w:r>
              <w:t>辆</w:t>
            </w:r>
          </w:p>
        </w:tc>
        <w:tc>
          <w:tcPr>
            <w:tcW w:w="850" w:type="dxa"/>
            <w:vAlign w:val="center"/>
          </w:tcPr>
          <w:p>
            <w:pPr>
              <w:pStyle w:val="9"/>
            </w:pPr>
            <w:r>
              <w:t>8</w:t>
            </w:r>
          </w:p>
        </w:tc>
        <w:tc>
          <w:tcPr>
            <w:tcW w:w="850" w:type="dxa"/>
            <w:vAlign w:val="center"/>
          </w:tcPr>
          <w:p>
            <w:pPr>
              <w:pStyle w:val="9"/>
            </w:pPr>
            <w:r>
              <w:t>0.34</w:t>
            </w:r>
          </w:p>
        </w:tc>
        <w:tc>
          <w:tcPr>
            <w:tcW w:w="964" w:type="dxa"/>
            <w:vAlign w:val="center"/>
          </w:tcPr>
          <w:p>
            <w:pPr>
              <w:pStyle w:val="9"/>
            </w:pPr>
            <w:r>
              <w:t>2.70</w:t>
            </w:r>
          </w:p>
        </w:tc>
        <w:tc>
          <w:tcPr>
            <w:tcW w:w="964" w:type="dxa"/>
            <w:vAlign w:val="center"/>
          </w:tcPr>
          <w:p>
            <w:pPr>
              <w:pStyle w:val="9"/>
            </w:pPr>
            <w:r>
              <w:t>2.70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11"/>
            </w:pPr>
            <w:r>
              <w:t>辆</w:t>
            </w:r>
          </w:p>
        </w:tc>
        <w:tc>
          <w:tcPr>
            <w:tcW w:w="850" w:type="dxa"/>
            <w:vAlign w:val="center"/>
          </w:tcPr>
          <w:p>
            <w:pPr>
              <w:pStyle w:val="9"/>
            </w:pPr>
            <w:r>
              <w:t>8</w:t>
            </w:r>
          </w:p>
        </w:tc>
        <w:tc>
          <w:tcPr>
            <w:tcW w:w="850" w:type="dxa"/>
            <w:vAlign w:val="center"/>
          </w:tcPr>
          <w:p>
            <w:pPr>
              <w:pStyle w:val="9"/>
            </w:pPr>
            <w:r>
              <w:t>1.25</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车辆加油、添加燃料服务</w:t>
            </w:r>
          </w:p>
        </w:tc>
        <w:tc>
          <w:tcPr>
            <w:tcW w:w="1134" w:type="dxa"/>
            <w:vAlign w:val="center"/>
          </w:tcPr>
          <w:p>
            <w:pPr>
              <w:pStyle w:val="10"/>
            </w:pPr>
            <w:r>
              <w:t>C23120302</w:t>
            </w:r>
          </w:p>
        </w:tc>
        <w:tc>
          <w:tcPr>
            <w:tcW w:w="709" w:type="dxa"/>
            <w:vAlign w:val="center"/>
          </w:tcPr>
          <w:p>
            <w:pPr>
              <w:pStyle w:val="11"/>
            </w:pPr>
            <w:r>
              <w:t>辆</w:t>
            </w:r>
          </w:p>
        </w:tc>
        <w:tc>
          <w:tcPr>
            <w:tcW w:w="850" w:type="dxa"/>
            <w:vAlign w:val="center"/>
          </w:tcPr>
          <w:p>
            <w:pPr>
              <w:pStyle w:val="9"/>
            </w:pPr>
            <w:r>
              <w:t>8</w:t>
            </w:r>
          </w:p>
        </w:tc>
        <w:tc>
          <w:tcPr>
            <w:tcW w:w="850" w:type="dxa"/>
            <w:vAlign w:val="center"/>
          </w:tcPr>
          <w:p>
            <w:pPr>
              <w:pStyle w:val="9"/>
            </w:pPr>
            <w:r>
              <w:t>1.73</w:t>
            </w:r>
          </w:p>
        </w:tc>
        <w:tc>
          <w:tcPr>
            <w:tcW w:w="964" w:type="dxa"/>
            <w:vAlign w:val="center"/>
          </w:tcPr>
          <w:p>
            <w:pPr>
              <w:pStyle w:val="9"/>
            </w:pPr>
            <w:r>
              <w:t>13.80</w:t>
            </w:r>
          </w:p>
        </w:tc>
        <w:tc>
          <w:tcPr>
            <w:tcW w:w="964" w:type="dxa"/>
            <w:vAlign w:val="center"/>
          </w:tcPr>
          <w:p>
            <w:pPr>
              <w:pStyle w:val="9"/>
            </w:pPr>
            <w:r>
              <w:t>13.80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办案一体化工作平台建设经费</w:t>
            </w:r>
          </w:p>
        </w:tc>
        <w:tc>
          <w:tcPr>
            <w:tcW w:w="964" w:type="dxa"/>
            <w:vAlign w:val="center"/>
          </w:tcPr>
          <w:p>
            <w:pPr>
              <w:pStyle w:val="9"/>
            </w:pPr>
            <w:r>
              <w:t>12.00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0.50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办案一体化工作平台建设经费</w:t>
            </w:r>
          </w:p>
        </w:tc>
        <w:tc>
          <w:tcPr>
            <w:tcW w:w="964" w:type="dxa"/>
            <w:vAlign w:val="center"/>
          </w:tcPr>
          <w:p>
            <w:pPr>
              <w:pStyle w:val="9"/>
            </w:pPr>
            <w:r>
              <w:t>12.00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0.60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办案一体化工作平台建设经费</w:t>
            </w:r>
          </w:p>
        </w:tc>
        <w:tc>
          <w:tcPr>
            <w:tcW w:w="964" w:type="dxa"/>
            <w:vAlign w:val="center"/>
          </w:tcPr>
          <w:p>
            <w:pPr>
              <w:pStyle w:val="9"/>
            </w:pPr>
            <w:r>
              <w:t>12.00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0.40</w:t>
            </w:r>
          </w:p>
        </w:tc>
        <w:tc>
          <w:tcPr>
            <w:tcW w:w="964" w:type="dxa"/>
            <w:vAlign w:val="center"/>
          </w:tcPr>
          <w:p>
            <w:pPr>
              <w:pStyle w:val="9"/>
            </w:pPr>
            <w:r>
              <w:t>4.80</w:t>
            </w:r>
          </w:p>
        </w:tc>
        <w:tc>
          <w:tcPr>
            <w:tcW w:w="964" w:type="dxa"/>
            <w:vAlign w:val="center"/>
          </w:tcPr>
          <w:p>
            <w:pPr>
              <w:pStyle w:val="9"/>
            </w:pPr>
            <w:r>
              <w:t>4.80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纪检监察内网信息化改造提升工作经费</w:t>
            </w:r>
          </w:p>
        </w:tc>
        <w:tc>
          <w:tcPr>
            <w:tcW w:w="964" w:type="dxa"/>
            <w:vAlign w:val="center"/>
          </w:tcPr>
          <w:p>
            <w:pPr>
              <w:pStyle w:val="9"/>
            </w:pPr>
            <w:r>
              <w:t>8.00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0.50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纪检监察内网信息化改造提升工作经费</w:t>
            </w:r>
          </w:p>
        </w:tc>
        <w:tc>
          <w:tcPr>
            <w:tcW w:w="964" w:type="dxa"/>
            <w:vAlign w:val="center"/>
          </w:tcPr>
          <w:p>
            <w:pPr>
              <w:pStyle w:val="9"/>
            </w:pPr>
            <w:r>
              <w:t>8.00</w:t>
            </w:r>
          </w:p>
        </w:tc>
        <w:tc>
          <w:tcPr>
            <w:tcW w:w="1134" w:type="dxa"/>
            <w:vAlign w:val="center"/>
          </w:tcPr>
          <w:p>
            <w:pPr>
              <w:pStyle w:val="10"/>
            </w:pPr>
            <w:r>
              <w:t>复印机</w:t>
            </w:r>
          </w:p>
        </w:tc>
        <w:tc>
          <w:tcPr>
            <w:tcW w:w="1134" w:type="dxa"/>
            <w:vAlign w:val="center"/>
          </w:tcPr>
          <w:p>
            <w:pPr>
              <w:pStyle w:val="10"/>
            </w:pPr>
            <w:r>
              <w:t>A02020100</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纪检监察内网信息化改造提升工作经费</w:t>
            </w:r>
          </w:p>
        </w:tc>
        <w:tc>
          <w:tcPr>
            <w:tcW w:w="964" w:type="dxa"/>
            <w:vAlign w:val="center"/>
          </w:tcPr>
          <w:p>
            <w:pPr>
              <w:pStyle w:val="9"/>
            </w:pPr>
            <w:r>
              <w:t>8.00</w:t>
            </w:r>
          </w:p>
        </w:tc>
        <w:tc>
          <w:tcPr>
            <w:tcW w:w="1134" w:type="dxa"/>
            <w:vAlign w:val="center"/>
          </w:tcPr>
          <w:p>
            <w:pPr>
              <w:pStyle w:val="10"/>
            </w:pPr>
            <w:r>
              <w:t>A4 彩色打印机</w:t>
            </w:r>
          </w:p>
        </w:tc>
        <w:tc>
          <w:tcPr>
            <w:tcW w:w="1134" w:type="dxa"/>
            <w:vAlign w:val="center"/>
          </w:tcPr>
          <w:p>
            <w:pPr>
              <w:pStyle w:val="10"/>
            </w:pPr>
            <w:r>
              <w:t>A02021004</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0.25</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乡镇纪委工作经费</w:t>
            </w:r>
          </w:p>
        </w:tc>
        <w:tc>
          <w:tcPr>
            <w:tcW w:w="964" w:type="dxa"/>
            <w:vAlign w:val="center"/>
          </w:tcPr>
          <w:p>
            <w:pPr>
              <w:pStyle w:val="9"/>
            </w:pPr>
            <w:r>
              <w:t>120.00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500</w:t>
            </w:r>
          </w:p>
        </w:tc>
        <w:tc>
          <w:tcPr>
            <w:tcW w:w="850" w:type="dxa"/>
            <w:vAlign w:val="center"/>
          </w:tcPr>
          <w:p>
            <w:pPr>
              <w:pStyle w:val="9"/>
            </w:pPr>
            <w:r>
              <w:t>0.01</w:t>
            </w:r>
          </w:p>
        </w:tc>
        <w:tc>
          <w:tcPr>
            <w:tcW w:w="964" w:type="dxa"/>
            <w:vAlign w:val="center"/>
          </w:tcPr>
          <w:p>
            <w:pPr>
              <w:pStyle w:val="9"/>
            </w:pPr>
            <w:r>
              <w:t>4.25</w:t>
            </w:r>
          </w:p>
        </w:tc>
        <w:tc>
          <w:tcPr>
            <w:tcW w:w="964" w:type="dxa"/>
            <w:vAlign w:val="center"/>
          </w:tcPr>
          <w:p>
            <w:pPr>
              <w:pStyle w:val="9"/>
            </w:pPr>
            <w:r>
              <w:t>4.25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巡察巡视经费</w:t>
            </w:r>
          </w:p>
        </w:tc>
        <w:tc>
          <w:tcPr>
            <w:tcW w:w="964" w:type="dxa"/>
            <w:vAlign w:val="center"/>
          </w:tcPr>
          <w:p>
            <w:pPr>
              <w:pStyle w:val="9"/>
            </w:pPr>
            <w:r>
              <w:t>12.00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300</w:t>
            </w:r>
          </w:p>
        </w:tc>
        <w:tc>
          <w:tcPr>
            <w:tcW w:w="850" w:type="dxa"/>
            <w:vAlign w:val="center"/>
          </w:tcPr>
          <w:p>
            <w:pPr>
              <w:pStyle w:val="9"/>
            </w:pPr>
            <w:r>
              <w:t>0.01</w:t>
            </w:r>
          </w:p>
        </w:tc>
        <w:tc>
          <w:tcPr>
            <w:tcW w:w="964" w:type="dxa"/>
            <w:vAlign w:val="center"/>
          </w:tcPr>
          <w:p>
            <w:pPr>
              <w:pStyle w:val="9"/>
            </w:pPr>
            <w:r>
              <w:t>2.55</w:t>
            </w:r>
          </w:p>
        </w:tc>
        <w:tc>
          <w:tcPr>
            <w:tcW w:w="964" w:type="dxa"/>
            <w:vAlign w:val="center"/>
          </w:tcPr>
          <w:p>
            <w:pPr>
              <w:pStyle w:val="9"/>
            </w:pPr>
            <w:r>
              <w:t>2.55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中共青龙满族自治县纪律检查委员会（含所属单位）上年末固定资产金额为552.02万元（详见下表）。本年度拟购置固定资产总额为20.00万元，已按要求列入政府采购预算，详见政府采购预算表。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2"/>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552.02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8</w:t>
            </w:r>
          </w:p>
        </w:tc>
        <w:tc>
          <w:tcPr>
            <w:tcW w:w="2835" w:type="dxa"/>
            <w:vAlign w:val="center"/>
          </w:tcPr>
          <w:p>
            <w:pPr>
              <w:pStyle w:val="9"/>
            </w:pPr>
            <w:r>
              <w:t>107.54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3</w:t>
            </w:r>
          </w:p>
        </w:tc>
        <w:tc>
          <w:tcPr>
            <w:tcW w:w="2835" w:type="dxa"/>
            <w:vAlign w:val="center"/>
          </w:tcPr>
          <w:p>
            <w:pPr>
              <w:pStyle w:val="9"/>
            </w:pPr>
            <w:r>
              <w:t>99.41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4、其他固定资产</w:t>
            </w:r>
          </w:p>
        </w:tc>
        <w:tc>
          <w:tcPr>
            <w:tcW w:w="2835" w:type="dxa"/>
            <w:vAlign w:val="center"/>
          </w:tcPr>
          <w:p>
            <w:pPr>
              <w:pStyle w:val="11"/>
            </w:pPr>
            <w:r>
              <w:t>626</w:t>
            </w:r>
          </w:p>
        </w:tc>
        <w:tc>
          <w:tcPr>
            <w:tcW w:w="2835" w:type="dxa"/>
            <w:vAlign w:val="center"/>
          </w:tcPr>
          <w:p>
            <w:pPr>
              <w:pStyle w:val="9"/>
            </w:pPr>
            <w:r>
              <w:t>345.07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22144DA5"/>
    <w:rsid w:val="225D6821"/>
    <w:rsid w:val="243B67FF"/>
    <w:rsid w:val="25F1264D"/>
    <w:rsid w:val="332F4289"/>
    <w:rsid w:val="37165076"/>
    <w:rsid w:val="384176AF"/>
    <w:rsid w:val="4A3161C6"/>
    <w:rsid w:val="5A517B3B"/>
    <w:rsid w:val="5C1B042B"/>
    <w:rsid w:val="702D55A1"/>
    <w:rsid w:val="7A3C00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0</Words>
  <Characters>0</Characters>
  <Lines>0</Lines>
  <Paragraphs>0</Paragraphs>
  <TotalTime>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2025-01-21T10:08:00Z</dcterms:created>
  <dc:creator>Administrator</dc:creator>
  <cp:lastModifiedBy>Administrator</cp:lastModifiedBy>
  <dcterms:modified xsi:type="dcterms:W3CDTF">2025-12-14T02:39:59Z</dcterms:modified>
  <dc:title>2025年部门预算信息公开目录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94EE895673AA4E3DA45A6A85587C9A2B</vt:lpwstr>
  </property>
</Properties>
</file>