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default" w:ascii="Arial Narrow" w:hAnsi="Arial Narrow" w:eastAsia="仿宋_GB2312" w:cs="Arial Narrow"/>
        </w:rPr>
      </w:pPr>
      <w:r>
        <w:rPr>
          <w:rFonts w:hint="default" w:ascii="Arial Narrow" w:hAnsi="Arial Narrow" w:eastAsia="仿宋_GB2312" w:cs="Arial Narrow"/>
          <w:b/>
          <w:color w:val="000000"/>
          <w:sz w:val="44"/>
        </w:rPr>
        <w:t>2024年部门预算信息公开目录</w:t>
      </w:r>
    </w:p>
    <w:p>
      <w:pPr>
        <w:spacing w:before="0" w:after="0" w:line="240" w:lineRule="auto"/>
        <w:ind w:firstLine="0"/>
        <w:jc w:val="center"/>
        <w:outlineLvl w:val="9"/>
        <w:rPr>
          <w:rFonts w:hint="default" w:ascii="Arial Narrow" w:hAnsi="Arial Narrow" w:eastAsia="仿宋_GB2312" w:cs="Arial Narrow"/>
        </w:rPr>
      </w:pPr>
      <w:r>
        <w:rPr>
          <w:rFonts w:hint="default" w:ascii="Arial Narrow" w:hAnsi="Arial Narrow" w:eastAsia="仿宋_GB2312" w:cs="Arial Narrow"/>
          <w:b/>
          <w:color w:val="000000"/>
          <w:sz w:val="30"/>
        </w:rPr>
        <w:t xml:space="preserve"> </w:t>
      </w:r>
    </w:p>
    <w:p>
      <w:pPr>
        <w:spacing w:before="0" w:after="0" w:line="240" w:lineRule="auto"/>
        <w:ind w:firstLine="0"/>
        <w:jc w:val="left"/>
        <w:outlineLvl w:val="9"/>
        <w:rPr>
          <w:rFonts w:hint="default" w:ascii="Arial Narrow" w:hAnsi="Arial Narrow" w:eastAsia="仿宋_GB2312" w:cs="Arial Narrow"/>
        </w:rPr>
      </w:pPr>
      <w:r>
        <w:rPr>
          <w:rFonts w:hint="default" w:ascii="Arial Narrow" w:hAnsi="Arial Narrow" w:eastAsia="仿宋_GB2312" w:cs="Arial Narrow"/>
          <w:b/>
          <w:color w:val="000000"/>
          <w:sz w:val="28"/>
        </w:rPr>
        <w:t>部门预算公开表</w:t>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TOC \o "2-2" \h \z \u</w:instrText>
      </w:r>
      <w:r>
        <w:rPr>
          <w:rFonts w:hint="default" w:ascii="Arial Narrow" w:hAnsi="Arial Narrow" w:eastAsia="仿宋_GB2312" w:cs="Arial Narrow"/>
        </w:rPr>
        <w:fldChar w:fldCharType="separate"/>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"_Toc_2_2_0000000001"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部门预算收支总表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_Toc_2_2_0000000001 \h</w:instrText>
      </w:r>
      <w:r>
        <w:rPr>
          <w:rFonts w:hint="default" w:ascii="Arial Narrow" w:hAnsi="Arial Narrow" w:eastAsia="仿宋_GB2312" w:cs="Arial Narrow"/>
        </w:rPr>
        <w:fldChar w:fldCharType="separate"/>
      </w:r>
      <w:r>
        <w:rPr>
          <w:rFonts w:hint="default" w:ascii="Arial Narrow" w:hAnsi="Arial Narrow" w:eastAsia="仿宋_GB2312" w:cs="Arial Narrow"/>
        </w:rPr>
        <w:t>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"_Toc_2_2_0000000002"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部门预算收入总表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_Toc_2_2_0000000002 \h</w:instrText>
      </w:r>
      <w:r>
        <w:rPr>
          <w:rFonts w:hint="default" w:ascii="Arial Narrow" w:hAnsi="Arial Narrow" w:eastAsia="仿宋_GB2312" w:cs="Arial Narrow"/>
        </w:rPr>
        <w:fldChar w:fldCharType="separate"/>
      </w:r>
      <w:r>
        <w:rPr>
          <w:rFonts w:hint="default" w:ascii="Arial Narrow" w:hAnsi="Arial Narrow" w:eastAsia="仿宋_GB2312" w:cs="Arial Narrow"/>
        </w:rPr>
        <w:t>3</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"_Toc_2_2_0000000003"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部门预算支出总表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_Toc_2_2_0000000003 \h</w:instrText>
      </w:r>
      <w:r>
        <w:rPr>
          <w:rFonts w:hint="default" w:ascii="Arial Narrow" w:hAnsi="Arial Narrow" w:eastAsia="仿宋_GB2312" w:cs="Arial Narrow"/>
        </w:rPr>
        <w:fldChar w:fldCharType="separate"/>
      </w:r>
      <w:r>
        <w:rPr>
          <w:rFonts w:hint="default" w:ascii="Arial Narrow" w:hAnsi="Arial Narrow" w:eastAsia="仿宋_GB2312" w:cs="Arial Narrow"/>
        </w:rPr>
        <w:t>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"_Toc_2_2_0000000004"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部门预算财政拨款收支总表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_Toc_2_2_0000000004 \h</w:instrText>
      </w:r>
      <w:r>
        <w:rPr>
          <w:rFonts w:hint="default" w:ascii="Arial Narrow" w:hAnsi="Arial Narrow" w:eastAsia="仿宋_GB2312" w:cs="Arial Narrow"/>
        </w:rPr>
        <w:fldChar w:fldCharType="separate"/>
      </w:r>
      <w:r>
        <w:rPr>
          <w:rFonts w:hint="default" w:ascii="Arial Narrow" w:hAnsi="Arial Narrow" w:eastAsia="仿宋_GB2312" w:cs="Arial Narrow"/>
        </w:rPr>
        <w:t>9</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"_Toc_2_2_0000000005"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部门预算一般公共预算财政拨款支出表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_Toc_2_2_0000000005 \h</w:instrText>
      </w:r>
      <w:r>
        <w:rPr>
          <w:rFonts w:hint="default" w:ascii="Arial Narrow" w:hAnsi="Arial Narrow" w:eastAsia="仿宋_GB2312" w:cs="Arial Narrow"/>
        </w:rPr>
        <w:fldChar w:fldCharType="separate"/>
      </w:r>
      <w:r>
        <w:rPr>
          <w:rFonts w:hint="default" w:ascii="Arial Narrow" w:hAnsi="Arial Narrow" w:eastAsia="仿宋_GB2312" w:cs="Arial Narrow"/>
        </w:rPr>
        <w:t>11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"_Toc_2_2_0000000006"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部门预算一般公共预算财政拨款基本支出表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_Toc_2_2_0000000006 \h</w:instrText>
      </w:r>
      <w:r>
        <w:rPr>
          <w:rFonts w:hint="default" w:ascii="Arial Narrow" w:hAnsi="Arial Narrow" w:eastAsia="仿宋_GB2312" w:cs="Arial Narrow"/>
        </w:rPr>
        <w:fldChar w:fldCharType="separate"/>
      </w:r>
      <w:r>
        <w:rPr>
          <w:rFonts w:hint="default" w:ascii="Arial Narrow" w:hAnsi="Arial Narrow" w:eastAsia="仿宋_GB2312" w:cs="Arial Narrow"/>
        </w:rPr>
        <w:t>14</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"_Toc_2_2_0000000007"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部门预算政府性基金预算财政拨款支出表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_Toc_2_2_0000000007 \h</w:instrText>
      </w:r>
      <w:r>
        <w:rPr>
          <w:rFonts w:hint="default" w:ascii="Arial Narrow" w:hAnsi="Arial Narrow" w:eastAsia="仿宋_GB2312" w:cs="Arial Narrow"/>
        </w:rPr>
        <w:fldChar w:fldCharType="separate"/>
      </w:r>
      <w:r>
        <w:rPr>
          <w:rFonts w:hint="default" w:ascii="Arial Narrow" w:hAnsi="Arial Narrow" w:eastAsia="仿宋_GB2312" w:cs="Arial Narrow"/>
        </w:rPr>
        <w:t>16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"_Toc_2_2_0000000008"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部门预算国有资本经营预算财政拨款支出表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_Toc_2_2_0000000008 \h</w:instrText>
      </w:r>
      <w:r>
        <w:rPr>
          <w:rFonts w:hint="default" w:ascii="Arial Narrow" w:hAnsi="Arial Narrow" w:eastAsia="仿宋_GB2312" w:cs="Arial Narrow"/>
        </w:rPr>
        <w:fldChar w:fldCharType="separate"/>
      </w:r>
      <w:r>
        <w:rPr>
          <w:rFonts w:hint="default" w:ascii="Arial Narrow" w:hAnsi="Arial Narrow" w:eastAsia="仿宋_GB2312" w:cs="Arial Narrow"/>
        </w:rPr>
        <w:t>17</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"_Toc_2_2_0000000009" </w:instrText>
      </w:r>
      <w:r>
        <w:rPr>
          <w:rFonts w:hint="default" w:ascii="Arial Narrow" w:hAnsi="Arial Narrow" w:eastAsia="仿宋_GB2312" w:cs="Arial Narrow"/>
        </w:rPr>
        <w:fldChar w:fldCharType="separate"/>
      </w:r>
      <w:r>
        <w:rPr>
          <w:rFonts w:hint="default" w:ascii="Arial Narrow" w:hAnsi="Arial Narrow" w:eastAsia="仿宋_GB2312" w:cs="Arial Narrow"/>
        </w:rPr>
        <w:t>部门预算财政拨款“三公”经费支出表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_Toc_2_2_0000000009 \h</w:instrText>
      </w:r>
      <w:r>
        <w:rPr>
          <w:rFonts w:hint="default" w:ascii="Arial Narrow" w:hAnsi="Arial Narrow" w:eastAsia="仿宋_GB2312" w:cs="Arial Narrow"/>
        </w:rPr>
        <w:fldChar w:fldCharType="separate"/>
      </w:r>
      <w:r>
        <w:rPr>
          <w:rFonts w:hint="default" w:ascii="Arial Narrow" w:hAnsi="Arial Narrow" w:eastAsia="仿宋_GB2312" w:cs="Arial Narrow"/>
        </w:rPr>
        <w:t>18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rPr>
          <w:rFonts w:hint="default" w:ascii="Arial Narrow" w:hAnsi="Arial Narrow" w:eastAsia="仿宋_GB2312" w:cs="Arial Narrow"/>
        </w:rPr>
      </w:pPr>
      <w:r>
        <w:rPr>
          <w:rFonts w:hint="default" w:ascii="Arial Narrow" w:hAnsi="Arial Narrow" w:eastAsia="仿宋_GB2312" w:cs="Arial Narrow"/>
        </w:rPr>
        <w:fldChar w:fldCharType="end"/>
      </w:r>
    </w:p>
    <w:p>
      <w:pPr>
        <w:spacing w:before="0" w:after="0" w:line="240" w:lineRule="auto"/>
        <w:ind w:firstLine="0"/>
        <w:jc w:val="left"/>
        <w:outlineLvl w:val="9"/>
        <w:rPr>
          <w:rFonts w:hint="default" w:ascii="Arial Narrow" w:hAnsi="Arial Narrow" w:eastAsia="仿宋_GB2312" w:cs="Arial Narrow"/>
        </w:rPr>
      </w:pPr>
      <w:r>
        <w:rPr>
          <w:rFonts w:hint="default" w:ascii="Arial Narrow" w:hAnsi="Arial Narrow" w:eastAsia="仿宋_GB2312" w:cs="Arial Narrow"/>
          <w:b/>
          <w:color w:val="000000"/>
          <w:sz w:val="28"/>
        </w:rPr>
        <w:t>部门预算信息公开情况说明</w:t>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TOC \o "3-3" \h \z \u</w:instrText>
      </w:r>
      <w:r>
        <w:rPr>
          <w:rFonts w:hint="default" w:ascii="Arial Narrow" w:hAnsi="Arial Narrow" w:eastAsia="仿宋_GB2312" w:cs="Arial Narrow"/>
        </w:rPr>
        <w:fldChar w:fldCharType="separate"/>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"_Toc_3_3_0000000010" </w:instrText>
      </w:r>
      <w:r>
        <w:rPr>
          <w:rFonts w:hint="default" w:ascii="Arial Narrow" w:hAnsi="Arial Narrow" w:eastAsia="仿宋_GB2312" w:cs="Arial Narrow"/>
        </w:rPr>
        <w:fldChar w:fldCharType="separate"/>
      </w:r>
      <w:r>
        <w:rPr>
          <w:rFonts w:hint="default" w:ascii="Arial Narrow" w:hAnsi="Arial Narrow" w:eastAsia="仿宋_GB2312" w:cs="Arial Narrow"/>
        </w:rPr>
        <w:t>一、部门职责及机构设置情况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_Toc_3_3_0000000010 \h</w:instrText>
      </w:r>
      <w:r>
        <w:rPr>
          <w:rFonts w:hint="default" w:ascii="Arial Narrow" w:hAnsi="Arial Narrow" w:eastAsia="仿宋_GB2312" w:cs="Arial Narrow"/>
        </w:rPr>
        <w:fldChar w:fldCharType="separate"/>
      </w:r>
      <w:r>
        <w:rPr>
          <w:rFonts w:hint="default" w:ascii="Arial Narrow" w:hAnsi="Arial Narrow" w:eastAsia="仿宋_GB2312" w:cs="Arial Narrow"/>
        </w:rPr>
        <w:t>19</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"_Toc_3_3_0000000011" </w:instrText>
      </w:r>
      <w:r>
        <w:rPr>
          <w:rFonts w:hint="default" w:ascii="Arial Narrow" w:hAnsi="Arial Narrow" w:eastAsia="仿宋_GB2312" w:cs="Arial Narrow"/>
        </w:rPr>
        <w:fldChar w:fldCharType="separate"/>
      </w:r>
      <w:r>
        <w:rPr>
          <w:rFonts w:hint="default" w:ascii="Arial Narrow" w:hAnsi="Arial Narrow" w:eastAsia="仿宋_GB2312" w:cs="Arial Narrow"/>
        </w:rPr>
        <w:t>二、部门预算安排的总体情况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_Toc_3_3_0000000011 \h</w:instrText>
      </w:r>
      <w:r>
        <w:rPr>
          <w:rFonts w:hint="default" w:ascii="Arial Narrow" w:hAnsi="Arial Narrow" w:eastAsia="仿宋_GB2312" w:cs="Arial Narrow"/>
        </w:rPr>
        <w:fldChar w:fldCharType="separate"/>
      </w:r>
      <w:r>
        <w:rPr>
          <w:rFonts w:hint="default" w:ascii="Arial Narrow" w:hAnsi="Arial Narrow" w:eastAsia="仿宋_GB2312" w:cs="Arial Narrow"/>
        </w:rPr>
        <w:t>20</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"_Toc_3_3_0000000012" </w:instrText>
      </w:r>
      <w:r>
        <w:rPr>
          <w:rFonts w:hint="default" w:ascii="Arial Narrow" w:hAnsi="Arial Narrow" w:eastAsia="仿宋_GB2312" w:cs="Arial Narrow"/>
        </w:rPr>
        <w:fldChar w:fldCharType="separate"/>
      </w:r>
      <w:r>
        <w:rPr>
          <w:rFonts w:hint="default" w:ascii="Arial Narrow" w:hAnsi="Arial Narrow" w:eastAsia="仿宋_GB2312" w:cs="Arial Narrow"/>
        </w:rPr>
        <w:t>三、机关运行经费安排情况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_Toc_3_3_0000000012 \h</w:instrText>
      </w:r>
      <w:r>
        <w:rPr>
          <w:rFonts w:hint="default" w:ascii="Arial Narrow" w:hAnsi="Arial Narrow" w:eastAsia="仿宋_GB2312" w:cs="Arial Narrow"/>
        </w:rPr>
        <w:fldChar w:fldCharType="separate"/>
      </w:r>
      <w:r>
        <w:rPr>
          <w:rFonts w:hint="default" w:ascii="Arial Narrow" w:hAnsi="Arial Narrow" w:eastAsia="仿宋_GB2312" w:cs="Arial Narrow"/>
        </w:rPr>
        <w:t>21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"_Toc_3_3_0000000013" </w:instrText>
      </w:r>
      <w:r>
        <w:rPr>
          <w:rFonts w:hint="default" w:ascii="Arial Narrow" w:hAnsi="Arial Narrow" w:eastAsia="仿宋_GB2312" w:cs="Arial Narrow"/>
        </w:rPr>
        <w:fldChar w:fldCharType="separate"/>
      </w:r>
      <w:r>
        <w:rPr>
          <w:rFonts w:hint="default" w:ascii="Arial Narrow" w:hAnsi="Arial Narrow" w:eastAsia="仿宋_GB2312" w:cs="Arial Narrow"/>
        </w:rPr>
        <w:t>四、财政拨款“三公”经费预算情况及增减变化原因</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_Toc_3_3_0000000013 \h</w:instrText>
      </w:r>
      <w:r>
        <w:rPr>
          <w:rFonts w:hint="default" w:ascii="Arial Narrow" w:hAnsi="Arial Narrow" w:eastAsia="仿宋_GB2312" w:cs="Arial Narrow"/>
        </w:rPr>
        <w:fldChar w:fldCharType="separate"/>
      </w:r>
      <w:r>
        <w:rPr>
          <w:rFonts w:hint="default" w:ascii="Arial Narrow" w:hAnsi="Arial Narrow" w:eastAsia="仿宋_GB2312" w:cs="Arial Narrow"/>
        </w:rPr>
        <w:t>21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"_Toc_3_3_0000000014" </w:instrText>
      </w:r>
      <w:r>
        <w:rPr>
          <w:rFonts w:hint="default" w:ascii="Arial Narrow" w:hAnsi="Arial Narrow" w:eastAsia="仿宋_GB2312" w:cs="Arial Narrow"/>
        </w:rPr>
        <w:fldChar w:fldCharType="separate"/>
      </w:r>
      <w:r>
        <w:rPr>
          <w:rFonts w:hint="default" w:ascii="Arial Narrow" w:hAnsi="Arial Narrow" w:eastAsia="仿宋_GB2312" w:cs="Arial Narrow"/>
        </w:rPr>
        <w:t>五、部门整体绩效目标</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_Toc_3_3_0000000014 \h</w:instrText>
      </w:r>
      <w:r>
        <w:rPr>
          <w:rFonts w:hint="default" w:ascii="Arial Narrow" w:hAnsi="Arial Narrow" w:eastAsia="仿宋_GB2312" w:cs="Arial Narrow"/>
        </w:rPr>
        <w:fldChar w:fldCharType="separate"/>
      </w:r>
      <w:r>
        <w:rPr>
          <w:rFonts w:hint="default" w:ascii="Arial Narrow" w:hAnsi="Arial Narrow" w:eastAsia="仿宋_GB2312" w:cs="Arial Narrow"/>
        </w:rPr>
        <w:t>21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"_Toc_3_3_0000000015" </w:instrText>
      </w:r>
      <w:r>
        <w:rPr>
          <w:rFonts w:hint="default" w:ascii="Arial Narrow" w:hAnsi="Arial Narrow" w:eastAsia="仿宋_GB2312" w:cs="Arial Narrow"/>
        </w:rPr>
        <w:fldChar w:fldCharType="separate"/>
      </w:r>
      <w:r>
        <w:rPr>
          <w:rFonts w:hint="default" w:ascii="Arial Narrow" w:hAnsi="Arial Narrow" w:eastAsia="仿宋_GB2312" w:cs="Arial Narrow"/>
        </w:rPr>
        <w:t>六、部门主管专项资金预算安排情况及绩效目标</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_Toc_3_3_0000000015 \h</w:instrText>
      </w:r>
      <w:r>
        <w:rPr>
          <w:rFonts w:hint="default" w:ascii="Arial Narrow" w:hAnsi="Arial Narrow" w:eastAsia="仿宋_GB2312" w:cs="Arial Narrow"/>
        </w:rPr>
        <w:fldChar w:fldCharType="separate"/>
      </w:r>
      <w:r>
        <w:rPr>
          <w:rFonts w:hint="default" w:ascii="Arial Narrow" w:hAnsi="Arial Narrow" w:eastAsia="仿宋_GB2312" w:cs="Arial Narrow"/>
        </w:rPr>
        <w:t>26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"_Toc_3_3_0000000016" </w:instrText>
      </w:r>
      <w:r>
        <w:rPr>
          <w:rFonts w:hint="default" w:ascii="Arial Narrow" w:hAnsi="Arial Narrow" w:eastAsia="仿宋_GB2312" w:cs="Arial Narrow"/>
        </w:rPr>
        <w:fldChar w:fldCharType="separate"/>
      </w:r>
      <w:r>
        <w:rPr>
          <w:rFonts w:hint="default" w:ascii="Arial Narrow" w:hAnsi="Arial Narrow" w:eastAsia="仿宋_GB2312" w:cs="Arial Narrow"/>
        </w:rPr>
        <w:t>七、部门项目预算安排情况及绩效目标</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_Toc_3_3_0000000016 \h</w:instrText>
      </w:r>
      <w:r>
        <w:rPr>
          <w:rFonts w:hint="default" w:ascii="Arial Narrow" w:hAnsi="Arial Narrow" w:eastAsia="仿宋_GB2312" w:cs="Arial Narrow"/>
        </w:rPr>
        <w:fldChar w:fldCharType="separate"/>
      </w:r>
      <w:r>
        <w:rPr>
          <w:rFonts w:hint="default" w:ascii="Arial Narrow" w:hAnsi="Arial Narrow" w:eastAsia="仿宋_GB2312" w:cs="Arial Narrow"/>
        </w:rPr>
        <w:t>26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"_Toc_3_3_0000000017" </w:instrText>
      </w:r>
      <w:r>
        <w:rPr>
          <w:rFonts w:hint="default" w:ascii="Arial Narrow" w:hAnsi="Arial Narrow" w:eastAsia="仿宋_GB2312" w:cs="Arial Narrow"/>
        </w:rPr>
        <w:fldChar w:fldCharType="separate"/>
      </w:r>
      <w:r>
        <w:rPr>
          <w:rFonts w:hint="default" w:ascii="Arial Narrow" w:hAnsi="Arial Narrow" w:eastAsia="仿宋_GB2312" w:cs="Arial Narrow"/>
        </w:rPr>
        <w:t>八、政府采购预算情况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_Toc_3_3_0000000017 \h</w:instrText>
      </w:r>
      <w:r>
        <w:rPr>
          <w:rFonts w:hint="default" w:ascii="Arial Narrow" w:hAnsi="Arial Narrow" w:eastAsia="仿宋_GB2312" w:cs="Arial Narrow"/>
        </w:rPr>
        <w:fldChar w:fldCharType="separate"/>
      </w:r>
      <w:r>
        <w:rPr>
          <w:rFonts w:hint="default" w:ascii="Arial Narrow" w:hAnsi="Arial Narrow" w:eastAsia="仿宋_GB2312" w:cs="Arial Narrow"/>
        </w:rPr>
        <w:t>48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"_Toc_3_3_0000000018" </w:instrText>
      </w:r>
      <w:r>
        <w:rPr>
          <w:rFonts w:hint="default" w:ascii="Arial Narrow" w:hAnsi="Arial Narrow" w:eastAsia="仿宋_GB2312" w:cs="Arial Narrow"/>
        </w:rPr>
        <w:fldChar w:fldCharType="separate"/>
      </w:r>
      <w:r>
        <w:rPr>
          <w:rFonts w:hint="default" w:ascii="Arial Narrow" w:hAnsi="Arial Narrow" w:eastAsia="仿宋_GB2312" w:cs="Arial Narrow"/>
        </w:rPr>
        <w:t>九、国有资产信息</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_Toc_3_3_0000000018 \h</w:instrText>
      </w:r>
      <w:r>
        <w:rPr>
          <w:rFonts w:hint="default" w:ascii="Arial Narrow" w:hAnsi="Arial Narrow" w:eastAsia="仿宋_GB2312" w:cs="Arial Narrow"/>
        </w:rPr>
        <w:fldChar w:fldCharType="separate"/>
      </w:r>
      <w:r>
        <w:rPr>
          <w:rFonts w:hint="default" w:ascii="Arial Narrow" w:hAnsi="Arial Narrow" w:eastAsia="仿宋_GB2312" w:cs="Arial Narrow"/>
        </w:rPr>
        <w:t>48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"_Toc_3_3_0000000019" </w:instrText>
      </w:r>
      <w:r>
        <w:rPr>
          <w:rFonts w:hint="default" w:ascii="Arial Narrow" w:hAnsi="Arial Narrow" w:eastAsia="仿宋_GB2312" w:cs="Arial Narrow"/>
        </w:rPr>
        <w:fldChar w:fldCharType="separate"/>
      </w:r>
      <w:r>
        <w:rPr>
          <w:rFonts w:hint="default" w:ascii="Arial Narrow" w:hAnsi="Arial Narrow" w:eastAsia="仿宋_GB2312" w:cs="Arial Narrow"/>
        </w:rPr>
        <w:t>十、名词解释</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_Toc_3_3_0000000019 \h</w:instrText>
      </w:r>
      <w:r>
        <w:rPr>
          <w:rFonts w:hint="default" w:ascii="Arial Narrow" w:hAnsi="Arial Narrow" w:eastAsia="仿宋_GB2312" w:cs="Arial Narrow"/>
        </w:rPr>
        <w:fldChar w:fldCharType="separate"/>
      </w:r>
      <w:r>
        <w:rPr>
          <w:rFonts w:hint="default" w:ascii="Arial Narrow" w:hAnsi="Arial Narrow" w:eastAsia="仿宋_GB2312" w:cs="Arial Narrow"/>
        </w:rPr>
        <w:t>48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"_Toc_3_3_0000000020" </w:instrText>
      </w:r>
      <w:r>
        <w:rPr>
          <w:rFonts w:hint="default" w:ascii="Arial Narrow" w:hAnsi="Arial Narrow" w:eastAsia="仿宋_GB2312" w:cs="Arial Narrow"/>
        </w:rPr>
        <w:fldChar w:fldCharType="separate"/>
      </w:r>
      <w:r>
        <w:rPr>
          <w:rFonts w:hint="default" w:ascii="Arial Narrow" w:hAnsi="Arial Narrow" w:eastAsia="仿宋_GB2312" w:cs="Arial Narrow"/>
        </w:rPr>
        <w:t>十一、其他需要说明的事项</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_Toc_3_3_0000000020 \h</w:instrText>
      </w:r>
      <w:r>
        <w:rPr>
          <w:rFonts w:hint="default" w:ascii="Arial Narrow" w:hAnsi="Arial Narrow" w:eastAsia="仿宋_GB2312" w:cs="Arial Narrow"/>
        </w:rPr>
        <w:fldChar w:fldCharType="separate"/>
      </w:r>
      <w:r>
        <w:rPr>
          <w:rFonts w:hint="default" w:ascii="Arial Narrow" w:hAnsi="Arial Narrow" w:eastAsia="仿宋_GB2312" w:cs="Arial Narrow"/>
        </w:rPr>
        <w:t>50</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rPr>
          <w:rFonts w:hint="default" w:ascii="Arial Narrow" w:hAnsi="Arial Narrow" w:eastAsia="仿宋_GB2312" w:cs="Arial Narrow"/>
        </w:rPr>
        <w:sectPr>
          <w:pgSz w:w="16840" w:h="11900" w:orient="landscape"/>
          <w:pgMar w:top="1587" w:right="1134" w:bottom="1361" w:left="1134" w:header="720" w:footer="720" w:gutter="0"/>
          <w:pgNumType w:start="1"/>
          <w:cols w:space="720" w:num="1"/>
        </w:sectPr>
      </w:pPr>
      <w:r>
        <w:rPr>
          <w:rFonts w:hint="default" w:ascii="Arial Narrow" w:hAnsi="Arial Narrow" w:eastAsia="仿宋_GB2312" w:cs="Arial Narrow"/>
        </w:rPr>
        <w:fldChar w:fldCharType="end"/>
      </w:r>
    </w:p>
    <w:p>
      <w:pPr>
        <w:spacing w:before="0" w:after="0" w:line="240" w:lineRule="auto"/>
        <w:ind w:firstLine="0"/>
        <w:jc w:val="center"/>
        <w:outlineLvl w:val="1"/>
        <w:rPr>
          <w:rFonts w:hint="default" w:ascii="Arial Narrow" w:hAnsi="Arial Narrow" w:eastAsia="仿宋_GB2312" w:cs="Arial Narrow"/>
        </w:rPr>
      </w:pPr>
      <w:bookmarkStart w:id="0" w:name="_Toc_2_2_0000000001"/>
      <w:r>
        <w:rPr>
          <w:rFonts w:hint="default" w:ascii="Arial Narrow" w:hAnsi="Arial Narrow" w:eastAsia="仿宋_GB2312" w:cs="Arial Narrow"/>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1"/>
        <w:gridCol w:w="3178"/>
        <w:gridCol w:w="1875"/>
        <w:gridCol w:w="6389"/>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29" w:type="dxa"/>
            <w:gridSpan w:val="2"/>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1875"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8360"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1"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505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收入</w:t>
            </w:r>
          </w:p>
        </w:tc>
        <w:tc>
          <w:tcPr>
            <w:tcW w:w="8360"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1" w:type="dxa"/>
            <w:vMerge w:val="continue"/>
          </w:tcPr>
          <w:p>
            <w:pPr>
              <w:rPr>
                <w:rFonts w:hint="default" w:ascii="Arial Narrow" w:hAnsi="Arial Narrow" w:eastAsia="仿宋_GB2312" w:cs="Arial Narrow"/>
              </w:rPr>
            </w:pPr>
          </w:p>
        </w:tc>
        <w:tc>
          <w:tcPr>
            <w:tcW w:w="317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8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638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97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317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18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638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97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一、一般公共预算拨款收入</w:t>
            </w:r>
          </w:p>
        </w:tc>
        <w:tc>
          <w:tcPr>
            <w:tcW w:w="187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1656.49</w:t>
            </w: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一、一般公共服务支出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二、政府性基金预算拨款收入</w:t>
            </w:r>
          </w:p>
        </w:tc>
        <w:tc>
          <w:tcPr>
            <w:tcW w:w="187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二、外交支出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三、国有资本经营预算拨款收入</w:t>
            </w: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三、国防支出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四、财政专户管理资金收入</w:t>
            </w: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四、公共安全支出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五、单位资金</w:t>
            </w: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五、教育支出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六、科学技术支出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七、文化旅游体育与传媒支出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八、社会保障和就业支出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九、社会保险基金支出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十、卫生健康支出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十一、节能环保支出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十二、城乡社区支出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十三、农林水支出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十四、交通运输支出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十五、资源勘探工业信息等支出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十六、商业服务业等支出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十七、金融支出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十八、援助其他地区支出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十九、自然资源海洋气象等支出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二十、住房保障支出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二十一、粮油物资储备支出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二十二、国有资本经营预算支出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二十三、灾害防治及应急管理支出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二十四、预备费</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二十五、其他支出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二十六、转移性支出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二十七、债务还本支出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二十八、债务付息支出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二十九、债务发行费用支出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三十、抗疫特别国债安排的支出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三十一、人行科目</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3178"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本年收入合计</w:t>
            </w:r>
          </w:p>
        </w:tc>
        <w:tc>
          <w:tcPr>
            <w:tcW w:w="1875"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638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本年支出合计</w:t>
            </w:r>
          </w:p>
        </w:tc>
        <w:tc>
          <w:tcPr>
            <w:tcW w:w="197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上年结转结余</w:t>
            </w:r>
          </w:p>
        </w:tc>
        <w:tc>
          <w:tcPr>
            <w:tcW w:w="187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391.10</w:t>
            </w: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年终结转结余</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3178"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收入总计</w:t>
            </w:r>
          </w:p>
        </w:tc>
        <w:tc>
          <w:tcPr>
            <w:tcW w:w="1875"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638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支出总计</w:t>
            </w:r>
          </w:p>
        </w:tc>
        <w:tc>
          <w:tcPr>
            <w:tcW w:w="197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r>
    </w:tbl>
    <w:p>
      <w:pPr>
        <w:rPr>
          <w:rFonts w:hint="default" w:ascii="Arial Narrow" w:hAnsi="Arial Narrow" w:eastAsia="仿宋_GB2312" w:cs="Arial Narrow"/>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rPr>
          <w:rFonts w:hint="default" w:ascii="Arial Narrow" w:hAnsi="Arial Narrow" w:eastAsia="仿宋_GB2312" w:cs="Arial Narrow"/>
        </w:rPr>
      </w:pPr>
      <w:bookmarkStart w:id="1" w:name="_Toc_2_2_0000000002"/>
      <w:r>
        <w:rPr>
          <w:rFonts w:hint="default" w:ascii="Arial Narrow" w:hAnsi="Arial Narrow" w:eastAsia="仿宋_GB2312" w:cs="Arial Narrow"/>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9"/>
        <w:gridCol w:w="1217"/>
        <w:gridCol w:w="3637"/>
        <w:gridCol w:w="1549"/>
        <w:gridCol w:w="1313"/>
        <w:gridCol w:w="1261"/>
        <w:gridCol w:w="928"/>
        <w:gridCol w:w="612"/>
        <w:gridCol w:w="496"/>
        <w:gridCol w:w="683"/>
        <w:gridCol w:w="675"/>
        <w:gridCol w:w="459"/>
        <w:gridCol w:w="1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5" w:type="dxa"/>
            <w:gridSpan w:val="5"/>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2801" w:type="dxa"/>
            <w:gridSpan w:val="3"/>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476" w:type="dxa"/>
            <w:gridSpan w:val="5"/>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4854"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154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6427" w:type="dxa"/>
            <w:gridSpan w:val="8"/>
            <w:vAlign w:val="center"/>
          </w:tcPr>
          <w:p>
            <w:pPr>
              <w:pStyle w:val="13"/>
              <w:rPr>
                <w:rFonts w:hint="default" w:ascii="Arial Narrow" w:hAnsi="Arial Narrow" w:eastAsia="仿宋_GB2312" w:cs="Arial Narrow"/>
              </w:rPr>
            </w:pPr>
            <w:r>
              <w:rPr>
                <w:rFonts w:hint="default" w:ascii="Arial Narrow" w:hAnsi="Arial Narrow" w:eastAsia="仿宋_GB2312" w:cs="Arial Narrow"/>
              </w:rPr>
              <w:t>本年收入</w:t>
            </w:r>
          </w:p>
        </w:tc>
        <w:tc>
          <w:tcPr>
            <w:tcW w:w="116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dxa"/>
            <w:vMerge w:val="continue"/>
          </w:tcPr>
          <w:p>
            <w:pPr>
              <w:rPr>
                <w:rFonts w:hint="default" w:ascii="Arial Narrow" w:hAnsi="Arial Narrow" w:eastAsia="仿宋_GB2312" w:cs="Arial Narrow"/>
              </w:rPr>
            </w:pPr>
          </w:p>
        </w:tc>
        <w:tc>
          <w:tcPr>
            <w:tcW w:w="121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    编码</w:t>
            </w:r>
          </w:p>
        </w:tc>
        <w:tc>
          <w:tcPr>
            <w:tcW w:w="363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549" w:type="dxa"/>
            <w:vMerge w:val="continue"/>
          </w:tcPr>
          <w:p>
            <w:pPr>
              <w:rPr>
                <w:rFonts w:hint="default" w:ascii="Arial Narrow" w:hAnsi="Arial Narrow" w:eastAsia="仿宋_GB2312" w:cs="Arial Narrow"/>
              </w:rPr>
            </w:pPr>
          </w:p>
        </w:tc>
        <w:tc>
          <w:tcPr>
            <w:tcW w:w="131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小计</w:t>
            </w:r>
          </w:p>
        </w:tc>
        <w:tc>
          <w:tcPr>
            <w:tcW w:w="126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财政拨款 收入</w:t>
            </w:r>
          </w:p>
        </w:tc>
        <w:tc>
          <w:tcPr>
            <w:tcW w:w="92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财政专户 收入</w:t>
            </w:r>
          </w:p>
        </w:tc>
        <w:tc>
          <w:tcPr>
            <w:tcW w:w="61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事业收入</w:t>
            </w:r>
          </w:p>
        </w:tc>
        <w:tc>
          <w:tcPr>
            <w:tcW w:w="49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经营收入</w:t>
            </w:r>
          </w:p>
        </w:tc>
        <w:tc>
          <w:tcPr>
            <w:tcW w:w="68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上级补助收入</w:t>
            </w:r>
          </w:p>
        </w:tc>
        <w:tc>
          <w:tcPr>
            <w:tcW w:w="6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附属单位上缴收入</w:t>
            </w:r>
          </w:p>
        </w:tc>
        <w:tc>
          <w:tcPr>
            <w:tcW w:w="4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其他收入</w:t>
            </w:r>
          </w:p>
        </w:tc>
        <w:tc>
          <w:tcPr>
            <w:tcW w:w="1163"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21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363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54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31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26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c>
          <w:tcPr>
            <w:tcW w:w="92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w:t>
            </w:r>
          </w:p>
        </w:tc>
        <w:tc>
          <w:tcPr>
            <w:tcW w:w="61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7</w:t>
            </w:r>
          </w:p>
        </w:tc>
        <w:tc>
          <w:tcPr>
            <w:tcW w:w="49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8</w:t>
            </w:r>
          </w:p>
        </w:tc>
        <w:tc>
          <w:tcPr>
            <w:tcW w:w="68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9</w:t>
            </w:r>
          </w:p>
        </w:tc>
        <w:tc>
          <w:tcPr>
            <w:tcW w:w="6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w:t>
            </w:r>
          </w:p>
        </w:tc>
        <w:tc>
          <w:tcPr>
            <w:tcW w:w="4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11</w:t>
            </w:r>
          </w:p>
        </w:tc>
        <w:tc>
          <w:tcPr>
            <w:tcW w:w="116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217" w:type="dxa"/>
            <w:vAlign w:val="center"/>
          </w:tcPr>
          <w:p>
            <w:pPr>
              <w:pStyle w:val="19"/>
              <w:rPr>
                <w:rFonts w:hint="default" w:ascii="Arial Narrow" w:hAnsi="Arial Narrow" w:eastAsia="仿宋_GB2312" w:cs="Arial Narrow"/>
              </w:rPr>
            </w:pPr>
          </w:p>
        </w:tc>
        <w:tc>
          <w:tcPr>
            <w:tcW w:w="3637"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549"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31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126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928" w:type="dxa"/>
            <w:vAlign w:val="center"/>
          </w:tcPr>
          <w:p>
            <w:pPr>
              <w:pStyle w:val="18"/>
              <w:rPr>
                <w:rFonts w:hint="default" w:ascii="Arial Narrow" w:hAnsi="Arial Narrow" w:eastAsia="仿宋_GB2312" w:cs="Arial Narrow"/>
              </w:rPr>
            </w:pPr>
          </w:p>
        </w:tc>
        <w:tc>
          <w:tcPr>
            <w:tcW w:w="612" w:type="dxa"/>
            <w:vAlign w:val="center"/>
          </w:tcPr>
          <w:p>
            <w:pPr>
              <w:pStyle w:val="18"/>
              <w:rPr>
                <w:rFonts w:hint="default" w:ascii="Arial Narrow" w:hAnsi="Arial Narrow" w:eastAsia="仿宋_GB2312" w:cs="Arial Narrow"/>
              </w:rPr>
            </w:pPr>
          </w:p>
        </w:tc>
        <w:tc>
          <w:tcPr>
            <w:tcW w:w="496" w:type="dxa"/>
            <w:vAlign w:val="center"/>
          </w:tcPr>
          <w:p>
            <w:pPr>
              <w:pStyle w:val="18"/>
              <w:rPr>
                <w:rFonts w:hint="default" w:ascii="Arial Narrow" w:hAnsi="Arial Narrow" w:eastAsia="仿宋_GB2312" w:cs="Arial Narrow"/>
              </w:rPr>
            </w:pPr>
          </w:p>
        </w:tc>
        <w:tc>
          <w:tcPr>
            <w:tcW w:w="683" w:type="dxa"/>
            <w:vAlign w:val="center"/>
          </w:tcPr>
          <w:p>
            <w:pPr>
              <w:pStyle w:val="18"/>
              <w:rPr>
                <w:rFonts w:hint="default" w:ascii="Arial Narrow" w:hAnsi="Arial Narrow" w:eastAsia="仿宋_GB2312" w:cs="Arial Narrow"/>
              </w:rPr>
            </w:pPr>
          </w:p>
        </w:tc>
        <w:tc>
          <w:tcPr>
            <w:tcW w:w="675" w:type="dxa"/>
            <w:vAlign w:val="center"/>
          </w:tcPr>
          <w:p>
            <w:pPr>
              <w:pStyle w:val="18"/>
              <w:rPr>
                <w:rFonts w:hint="default" w:ascii="Arial Narrow" w:hAnsi="Arial Narrow" w:eastAsia="仿宋_GB2312" w:cs="Arial Narrow"/>
              </w:rPr>
            </w:pPr>
          </w:p>
        </w:tc>
        <w:tc>
          <w:tcPr>
            <w:tcW w:w="459" w:type="dxa"/>
            <w:vAlign w:val="center"/>
          </w:tcPr>
          <w:p>
            <w:pPr>
              <w:pStyle w:val="18"/>
              <w:rPr>
                <w:rFonts w:hint="default" w:ascii="Arial Narrow" w:hAnsi="Arial Narrow" w:eastAsia="仿宋_GB2312" w:cs="Arial Narrow"/>
              </w:rPr>
            </w:pPr>
          </w:p>
        </w:tc>
        <w:tc>
          <w:tcPr>
            <w:tcW w:w="116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391.10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一般公共服务支出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1212.33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1212.33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政府办公厅（室）及相关机构事务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1227.24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1198.33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1198.33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行政运行</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430.94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430.94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2010350</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事业运行</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665.39</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665.39</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sz w:val="18"/>
                <w:szCs w:val="18"/>
              </w:rPr>
              <w:t>其他政府办公厅（室）及相关机构事务支出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群众团体事务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党委办公厅（室）及相关机构事务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信访业务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社会保障和就业支出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235.16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235.16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行政事业单位养老支出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213.41</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213.41</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行政单位离退休</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46.31</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46.31</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事业单位离退休</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2080505</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2080506</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机关事业单位职业年金缴费支出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死亡抚恤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其他优抚支出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卫生健康支出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86.98</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86.98</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公共卫生</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基本公共卫生服务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重大公共卫生服务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行政事业单位医疗</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行政单位医疗</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事业单位医疗</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医疗救助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城乡医疗救助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节能环保支出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污染防治</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自然生态保护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农村环境保护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其他自然生态保护支出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城乡社区支出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国有土地使用权出让收入安排的支出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sz w:val="18"/>
                <w:szCs w:val="18"/>
              </w:rPr>
              <w:t>其他国有土地使用权出让收入安排的支出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农林水支出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w:t>
            </w:r>
          </w:p>
        </w:tc>
        <w:tc>
          <w:tcPr>
            <w:tcW w:w="3637"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巩固拓展脱贫攻坚成果</w:t>
            </w:r>
            <w:r>
              <w:rPr>
                <w:rFonts w:hint="default" w:ascii="Arial Narrow" w:hAnsi="Arial Narrow" w:eastAsia="仿宋_GB2312" w:cs="Arial Narrow"/>
              </w:rPr>
              <w:t>衔接乡村振兴</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农村综合改革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2130705</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对村民委员会和村党支部的补助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住房保障支出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住房改革支出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灾害防治及应急管理支出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应急管理事务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灾害风险防治</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2" w:name="_Toc_2_2_0000000003"/>
      <w:r>
        <w:rPr>
          <w:rFonts w:hint="default" w:ascii="Arial Narrow" w:hAnsi="Arial Narrow" w:eastAsia="仿宋_GB2312" w:cs="Arial Narrow"/>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603"/>
        <w:gridCol w:w="4387"/>
        <w:gridCol w:w="1379"/>
        <w:gridCol w:w="1303"/>
        <w:gridCol w:w="1252"/>
        <w:gridCol w:w="1095"/>
        <w:gridCol w:w="1095"/>
        <w:gridCol w:w="13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3"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2682" w:type="dxa"/>
            <w:gridSpan w:val="2"/>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4772" w:type="dxa"/>
            <w:gridSpan w:val="4"/>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5990"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137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30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252"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c>
          <w:tcPr>
            <w:tcW w:w="109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经营支出</w:t>
            </w:r>
          </w:p>
        </w:tc>
        <w:tc>
          <w:tcPr>
            <w:tcW w:w="109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上解上级     支出</w:t>
            </w:r>
          </w:p>
        </w:tc>
        <w:tc>
          <w:tcPr>
            <w:tcW w:w="1330"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continue"/>
          </w:tcPr>
          <w:p>
            <w:pPr>
              <w:rPr>
                <w:rFonts w:hint="default" w:ascii="Arial Narrow" w:hAnsi="Arial Narrow" w:eastAsia="仿宋_GB2312" w:cs="Arial Narrow"/>
              </w:rPr>
            </w:pPr>
          </w:p>
        </w:tc>
        <w:tc>
          <w:tcPr>
            <w:tcW w:w="160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    编码</w:t>
            </w:r>
          </w:p>
        </w:tc>
        <w:tc>
          <w:tcPr>
            <w:tcW w:w="438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379" w:type="dxa"/>
            <w:vMerge w:val="continue"/>
          </w:tcPr>
          <w:p>
            <w:pPr>
              <w:rPr>
                <w:rFonts w:hint="default" w:ascii="Arial Narrow" w:hAnsi="Arial Narrow" w:eastAsia="仿宋_GB2312" w:cs="Arial Narrow"/>
              </w:rPr>
            </w:pPr>
          </w:p>
        </w:tc>
        <w:tc>
          <w:tcPr>
            <w:tcW w:w="1303" w:type="dxa"/>
            <w:vMerge w:val="continue"/>
          </w:tcPr>
          <w:p>
            <w:pPr>
              <w:rPr>
                <w:rFonts w:hint="default" w:ascii="Arial Narrow" w:hAnsi="Arial Narrow" w:eastAsia="仿宋_GB2312" w:cs="Arial Narrow"/>
              </w:rPr>
            </w:pPr>
          </w:p>
        </w:tc>
        <w:tc>
          <w:tcPr>
            <w:tcW w:w="1252" w:type="dxa"/>
            <w:vMerge w:val="continue"/>
          </w:tcPr>
          <w:p>
            <w:pPr>
              <w:rPr>
                <w:rFonts w:hint="default" w:ascii="Arial Narrow" w:hAnsi="Arial Narrow" w:eastAsia="仿宋_GB2312" w:cs="Arial Narrow"/>
              </w:rPr>
            </w:pPr>
          </w:p>
        </w:tc>
        <w:tc>
          <w:tcPr>
            <w:tcW w:w="1095" w:type="dxa"/>
            <w:vMerge w:val="continue"/>
          </w:tcPr>
          <w:p>
            <w:pPr>
              <w:rPr>
                <w:rFonts w:hint="default" w:ascii="Arial Narrow" w:hAnsi="Arial Narrow" w:eastAsia="仿宋_GB2312" w:cs="Arial Narrow"/>
              </w:rPr>
            </w:pPr>
          </w:p>
        </w:tc>
        <w:tc>
          <w:tcPr>
            <w:tcW w:w="1095" w:type="dxa"/>
            <w:vMerge w:val="continue"/>
          </w:tcPr>
          <w:p>
            <w:pPr>
              <w:rPr>
                <w:rFonts w:hint="default" w:ascii="Arial Narrow" w:hAnsi="Arial Narrow" w:eastAsia="仿宋_GB2312" w:cs="Arial Narrow"/>
              </w:rPr>
            </w:pPr>
          </w:p>
        </w:tc>
        <w:tc>
          <w:tcPr>
            <w:tcW w:w="1330"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60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438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37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30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25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c>
          <w:tcPr>
            <w:tcW w:w="109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w:t>
            </w:r>
          </w:p>
        </w:tc>
        <w:tc>
          <w:tcPr>
            <w:tcW w:w="109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7</w:t>
            </w:r>
          </w:p>
        </w:tc>
        <w:tc>
          <w:tcPr>
            <w:tcW w:w="133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603" w:type="dxa"/>
            <w:vAlign w:val="center"/>
          </w:tcPr>
          <w:p>
            <w:pPr>
              <w:pStyle w:val="19"/>
              <w:rPr>
                <w:rFonts w:hint="default" w:ascii="Arial Narrow" w:hAnsi="Arial Narrow" w:eastAsia="仿宋_GB2312" w:cs="Arial Narrow"/>
              </w:rPr>
            </w:pPr>
          </w:p>
        </w:tc>
        <w:tc>
          <w:tcPr>
            <w:tcW w:w="4387"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379"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30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1537.36</w:t>
            </w:r>
          </w:p>
        </w:tc>
        <w:tc>
          <w:tcPr>
            <w:tcW w:w="125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626.24</w:t>
            </w:r>
          </w:p>
        </w:tc>
        <w:tc>
          <w:tcPr>
            <w:tcW w:w="1095" w:type="dxa"/>
            <w:vAlign w:val="center"/>
          </w:tcPr>
          <w:p>
            <w:pPr>
              <w:pStyle w:val="18"/>
              <w:rPr>
                <w:rFonts w:hint="default" w:ascii="Arial Narrow" w:hAnsi="Arial Narrow" w:eastAsia="仿宋_GB2312" w:cs="Arial Narrow"/>
              </w:rPr>
            </w:pPr>
          </w:p>
        </w:tc>
        <w:tc>
          <w:tcPr>
            <w:tcW w:w="1095" w:type="dxa"/>
            <w:vAlign w:val="center"/>
          </w:tcPr>
          <w:p>
            <w:pPr>
              <w:pStyle w:val="18"/>
              <w:rPr>
                <w:rFonts w:hint="default" w:ascii="Arial Narrow" w:hAnsi="Arial Narrow" w:eastAsia="仿宋_GB2312" w:cs="Arial Narrow"/>
              </w:rPr>
            </w:pPr>
          </w:p>
        </w:tc>
        <w:tc>
          <w:tcPr>
            <w:tcW w:w="1330" w:type="dxa"/>
            <w:vAlign w:val="center"/>
          </w:tcPr>
          <w:p>
            <w:pPr>
              <w:pStyle w:val="18"/>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一般公共服务支出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133.71</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政府办公厅（室）及相关机构事务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1227.24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115.71</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行政运行</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2010350</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事业运行</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其他政府办公厅（室）及相关机构事务支出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群众团体事务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党委办公厅（室）及相关机构事务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信访业务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社会保障和就业支出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行政事业单位养老支出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行政单位离退休</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事业单位离退休</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2080505</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2080506</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机关事业单位职业年金缴费支出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死亡抚恤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其他优抚支出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卫生健康支出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公共卫生</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基本公共卫生服务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重大公共卫生服务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行政事业单位医疗</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行政单位医疗</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事业单位医疗</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医疗救助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城乡医疗救助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节能环保支出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污染防治</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自然生态保护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农村环境保护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其他自然生态保护支出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城乡社区支出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国有土地使用权出让收入安排的支出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其他国有土地使用权出让收入安排的支出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农林水支出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w:t>
            </w:r>
          </w:p>
        </w:tc>
        <w:tc>
          <w:tcPr>
            <w:tcW w:w="4387"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巩固拓展脱贫攻坚成果</w:t>
            </w:r>
            <w:r>
              <w:rPr>
                <w:rFonts w:hint="default" w:ascii="Arial Narrow" w:hAnsi="Arial Narrow" w:eastAsia="仿宋_GB2312" w:cs="Arial Narrow"/>
              </w:rPr>
              <w:t>衔接乡村振兴</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农村综合改革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2130705</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对村民委员会和村党支部的补助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住房保障支出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住房改革支出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灾害防治及应急管理支出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应急管理事务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灾害风险防治</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3" w:name="_Toc_2_2_0000000004"/>
      <w:r>
        <w:rPr>
          <w:rFonts w:hint="default" w:ascii="Arial Narrow" w:hAnsi="Arial Narrow" w:eastAsia="仿宋_GB2312" w:cs="Arial Narrow"/>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2859"/>
        <w:gridCol w:w="1631"/>
        <w:gridCol w:w="3516"/>
        <w:gridCol w:w="1408"/>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5"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3516"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5104" w:type="dxa"/>
            <w:gridSpan w:val="4"/>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4490"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收入</w:t>
            </w:r>
          </w:p>
        </w:tc>
        <w:tc>
          <w:tcPr>
            <w:tcW w:w="8620" w:type="dxa"/>
            <w:gridSpan w:val="5"/>
            <w:vAlign w:val="center"/>
          </w:tcPr>
          <w:p>
            <w:pPr>
              <w:pStyle w:val="13"/>
              <w:rPr>
                <w:rFonts w:hint="default" w:ascii="Arial Narrow" w:hAnsi="Arial Narrow" w:eastAsia="仿宋_GB2312" w:cs="Arial Narrow"/>
              </w:rPr>
            </w:pPr>
            <w:r>
              <w:rPr>
                <w:rFonts w:hint="default" w:ascii="Arial Narrow" w:hAnsi="Arial Narrow" w:eastAsia="仿宋_GB2312" w:cs="Arial Narrow"/>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continue"/>
          </w:tcPr>
          <w:p>
            <w:pPr>
              <w:rPr>
                <w:rFonts w:hint="default" w:ascii="Arial Narrow" w:hAnsi="Arial Narrow" w:eastAsia="仿宋_GB2312" w:cs="Arial Narrow"/>
              </w:rPr>
            </w:pPr>
          </w:p>
        </w:tc>
        <w:tc>
          <w:tcPr>
            <w:tcW w:w="28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6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金额</w:t>
            </w:r>
          </w:p>
        </w:tc>
        <w:tc>
          <w:tcPr>
            <w:tcW w:w="35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40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一般公共预算财政拨款</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政府性基金预算财政    拨款</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28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16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35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40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一、一般公共预算拨款</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1656.49</w:t>
            </w: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一、一般公共服务支出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二、政府性基金预算拨款</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二、外交支出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三、国有资本经营预算拨款</w:t>
            </w: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三、国防支出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四、公共安全支出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五、教育支出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六、科学技术支出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七、文化旅游体育与传媒支出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八、社会保障和就业支出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九、社会保险基金支出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十、卫生健康支出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十一、节能环保支出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十二、城乡社区支出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十三、农林水支出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十四、交通运输支出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十五、资源勘探工业信息等支出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十六、商业服务业等支出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十七、金融支出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十八、援助其他地区支出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十九、自然资源海洋气象等支出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二十、住房保障支出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二十一、粮油物资储备支出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二十二、国有资本经营预算支出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二十三、灾害防治及应急管理支出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二十四、预备费</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二十五、其他支出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二十六、转移性支出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二十七、债务还本支出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二十八、债务付息支出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二十九、债务发行费用支出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三十、抗疫特别国债安排的支出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三十一、人行科目</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285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本年收入合计</w:t>
            </w:r>
          </w:p>
        </w:tc>
        <w:tc>
          <w:tcPr>
            <w:tcW w:w="163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3516"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本年支出合计</w:t>
            </w:r>
          </w:p>
        </w:tc>
        <w:tc>
          <w:tcPr>
            <w:tcW w:w="1408"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2047.60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8"/>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年初财政拨款结转和结余</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391.10</w:t>
            </w: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年末财政拨款结转和结余</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一、一般公共预算拨款</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391.10</w:t>
            </w:r>
          </w:p>
        </w:tc>
        <w:tc>
          <w:tcPr>
            <w:tcW w:w="3516" w:type="dxa"/>
            <w:vAlign w:val="center"/>
          </w:tcPr>
          <w:p>
            <w:pPr>
              <w:pStyle w:val="15"/>
              <w:rPr>
                <w:rFonts w:hint="default" w:ascii="Arial Narrow" w:hAnsi="Arial Narrow" w:eastAsia="仿宋_GB2312" w:cs="Arial Narrow"/>
              </w:rPr>
            </w:pP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二、政府性基金预算拨款</w:t>
            </w: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三、国有资本经营预算拨款</w:t>
            </w: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285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收入总计</w:t>
            </w:r>
          </w:p>
        </w:tc>
        <w:tc>
          <w:tcPr>
            <w:tcW w:w="163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3516"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支出总计</w:t>
            </w:r>
          </w:p>
        </w:tc>
        <w:tc>
          <w:tcPr>
            <w:tcW w:w="1408"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2047.60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8"/>
              <w:rPr>
                <w:rFonts w:hint="default" w:ascii="Arial Narrow" w:hAnsi="Arial Narrow" w:eastAsia="仿宋_GB2312" w:cs="Arial Narrow"/>
              </w:rPr>
            </w:pP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4" w:name="_Toc_2_2_0000000005"/>
      <w:r>
        <w:rPr>
          <w:rFonts w:hint="default" w:ascii="Arial Narrow" w:hAnsi="Arial Narrow" w:eastAsia="仿宋_GB2312" w:cs="Arial Narrow"/>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8"/>
        <w:gridCol w:w="1847"/>
        <w:gridCol w:w="4500"/>
        <w:gridCol w:w="2662"/>
        <w:gridCol w:w="2241"/>
        <w:gridCol w:w="19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25"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2662"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4175"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8"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6347"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2662"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2241"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9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8" w:type="dxa"/>
            <w:vMerge w:val="continue"/>
          </w:tcPr>
          <w:p>
            <w:pPr>
              <w:rPr>
                <w:rFonts w:hint="default" w:ascii="Arial Narrow" w:hAnsi="Arial Narrow" w:eastAsia="仿宋_GB2312" w:cs="Arial Narrow"/>
              </w:rPr>
            </w:pPr>
          </w:p>
        </w:tc>
        <w:tc>
          <w:tcPr>
            <w:tcW w:w="184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450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2662" w:type="dxa"/>
            <w:vMerge w:val="continue"/>
          </w:tcPr>
          <w:p>
            <w:pPr>
              <w:rPr>
                <w:rFonts w:hint="default" w:ascii="Arial Narrow" w:hAnsi="Arial Narrow" w:eastAsia="仿宋_GB2312" w:cs="Arial Narrow"/>
              </w:rPr>
            </w:pPr>
          </w:p>
        </w:tc>
        <w:tc>
          <w:tcPr>
            <w:tcW w:w="2241" w:type="dxa"/>
            <w:vMerge w:val="continue"/>
          </w:tcPr>
          <w:p>
            <w:pPr>
              <w:rPr>
                <w:rFonts w:hint="default" w:ascii="Arial Narrow" w:hAnsi="Arial Narrow" w:eastAsia="仿宋_GB2312" w:cs="Arial Narrow"/>
              </w:rPr>
            </w:pPr>
          </w:p>
        </w:tc>
        <w:tc>
          <w:tcPr>
            <w:tcW w:w="1934"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84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450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266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224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93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847" w:type="dxa"/>
            <w:vAlign w:val="center"/>
          </w:tcPr>
          <w:p>
            <w:pPr>
              <w:pStyle w:val="19"/>
              <w:rPr>
                <w:rFonts w:hint="default" w:ascii="Arial Narrow" w:hAnsi="Arial Narrow" w:eastAsia="仿宋_GB2312" w:cs="Arial Narrow"/>
              </w:rPr>
            </w:pPr>
          </w:p>
        </w:tc>
        <w:tc>
          <w:tcPr>
            <w:tcW w:w="4500"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266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2047.60</w:t>
            </w:r>
          </w:p>
        </w:tc>
        <w:tc>
          <w:tcPr>
            <w:tcW w:w="224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1537.36</w:t>
            </w:r>
          </w:p>
        </w:tc>
        <w:tc>
          <w:tcPr>
            <w:tcW w:w="1934"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510.24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一般公共服务支出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政府办公厅（室）及相关机构事务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1227.24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行政运行</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2010350</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事业运行</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2010399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其他政府办公厅（室）及相关机构事务支出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群众团体事务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党委办公厅（室）及相关机构事务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信访业务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社会保障和就业支出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行政事业单位养老支出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行政单位离退休</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事业单位离退休</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2080505</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2080506</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机关事业单位职业年金缴费支出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死亡抚恤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2080899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其他优抚支出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卫生健康支出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公共卫生</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2100408</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基本公共卫生服务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重大公共卫生服务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行政事业单位医疗</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行政单位医疗</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事业单位医疗</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医疗救助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城乡医疗救助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节能环保支出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污染防治</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自然生态保护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农村环境保护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2110499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其他自然生态保护支出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农林水支出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w:t>
            </w:r>
          </w:p>
        </w:tc>
        <w:tc>
          <w:tcPr>
            <w:tcW w:w="4500" w:type="dxa"/>
            <w:vAlign w:val="center"/>
          </w:tcPr>
          <w:p>
            <w:pPr>
              <w:pStyle w:val="15"/>
              <w:rPr>
                <w:rFonts w:hint="default" w:ascii="Arial Narrow" w:hAnsi="Arial Narrow" w:eastAsia="仿宋_GB2312" w:cs="Arial Narrow"/>
              </w:rPr>
            </w:pPr>
            <w:bookmarkStart w:id="20" w:name="_GoBack"/>
            <w:bookmarkEnd w:id="20"/>
            <w:r>
              <w:rPr>
                <w:rFonts w:hint="eastAsia" w:ascii="Arial Narrow" w:hAnsi="Arial Narrow" w:eastAsia="仿宋_GB2312" w:cs="Arial Narrow"/>
                <w:lang w:eastAsia="zh-CN"/>
              </w:rPr>
              <w:t>巩固拓展脱贫攻坚成果</w:t>
            </w:r>
            <w:r>
              <w:rPr>
                <w:rFonts w:hint="default" w:ascii="Arial Narrow" w:hAnsi="Arial Narrow" w:eastAsia="仿宋_GB2312" w:cs="Arial Narrow"/>
              </w:rPr>
              <w:t>衔接乡村振兴</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农村综合改革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2130705</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对村民委员会和村党支部的补助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住房保障支出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住房改革支出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灾害防治及应急管理支出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应急管理事务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灾害风险防治</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5" w:name="_Toc_2_2_0000000006"/>
      <w:r>
        <w:rPr>
          <w:rFonts w:hint="default" w:ascii="Arial Narrow" w:hAnsi="Arial Narrow" w:eastAsia="仿宋_GB2312" w:cs="Arial Narrow"/>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28"/>
        <w:gridCol w:w="2270"/>
        <w:gridCol w:w="548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82"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1643"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8"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7754"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支出部门经济分类科目</w:t>
            </w:r>
          </w:p>
        </w:tc>
        <w:tc>
          <w:tcPr>
            <w:tcW w:w="4929" w:type="dxa"/>
            <w:gridSpan w:val="3"/>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8" w:type="dxa"/>
            <w:vMerge w:val="continue"/>
          </w:tcPr>
          <w:p>
            <w:pPr>
              <w:rPr>
                <w:rFonts w:hint="default" w:ascii="Arial Narrow" w:hAnsi="Arial Narrow" w:eastAsia="仿宋_GB2312" w:cs="Arial Narrow"/>
              </w:rPr>
            </w:pPr>
          </w:p>
        </w:tc>
        <w:tc>
          <w:tcPr>
            <w:tcW w:w="227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548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人员经费</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227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548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2270" w:type="dxa"/>
            <w:vAlign w:val="center"/>
          </w:tcPr>
          <w:p>
            <w:pPr>
              <w:pStyle w:val="19"/>
              <w:rPr>
                <w:rFonts w:hint="default" w:ascii="Arial Narrow" w:hAnsi="Arial Narrow" w:eastAsia="仿宋_GB2312" w:cs="Arial Narrow"/>
              </w:rPr>
            </w:pPr>
          </w:p>
        </w:tc>
        <w:tc>
          <w:tcPr>
            <w:tcW w:w="5484"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1537.36</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1405.16</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132.19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工资福利支出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1298.47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1298.47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基本工资</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489.43</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489.43</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津贴补贴</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208.16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208.16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奖金</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64.16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64.16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绩效工资</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212.06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212.06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30108</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30109</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职业年金缴费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30110</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职工基本医疗保险缴费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75.87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75.87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30112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其他社会保障缴费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7.36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7.36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30113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30199</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其他工资福利支出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0.87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0.87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商品和服务支出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127.93</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32.11</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印刷费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30206</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电费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8.20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邮电费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0.30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30211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差旅费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12.63</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30213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维修(护)费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25.81</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30217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公务接待费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30226</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劳务费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30227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委托业务费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30231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公务用车运行维护费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30239</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其他交通费用</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28.78</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对个人和家庭的补助</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106.69</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106.69</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离休费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10.70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10.70</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退休费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39.90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39.90</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30304</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抚恤金</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30305</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生活补助</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310</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资本性支出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31002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办公设备购置</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6" w:name="_Toc_2_2_0000000007"/>
      <w:r>
        <w:rPr>
          <w:rFonts w:hint="default" w:ascii="Arial Narrow" w:hAnsi="Arial Narrow" w:eastAsia="仿宋_GB2312" w:cs="Arial Narrow"/>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4"/>
        <w:gridCol w:w="1931"/>
        <w:gridCol w:w="547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2"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1643"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7408"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164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64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64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continue"/>
          </w:tcPr>
          <w:p>
            <w:pPr>
              <w:rPr>
                <w:rFonts w:hint="default" w:ascii="Arial Narrow" w:hAnsi="Arial Narrow" w:eastAsia="仿宋_GB2312" w:cs="Arial Narrow"/>
              </w:rPr>
            </w:pPr>
          </w:p>
        </w:tc>
        <w:tc>
          <w:tcPr>
            <w:tcW w:w="19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547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643" w:type="dxa"/>
            <w:vMerge w:val="continue"/>
          </w:tcPr>
          <w:p>
            <w:pPr>
              <w:rPr>
                <w:rFonts w:hint="default" w:ascii="Arial Narrow" w:hAnsi="Arial Narrow" w:eastAsia="仿宋_GB2312" w:cs="Arial Narrow"/>
              </w:rPr>
            </w:pPr>
          </w:p>
        </w:tc>
        <w:tc>
          <w:tcPr>
            <w:tcW w:w="1643" w:type="dxa"/>
            <w:vMerge w:val="continue"/>
          </w:tcPr>
          <w:p>
            <w:pPr>
              <w:rPr>
                <w:rFonts w:hint="default" w:ascii="Arial Narrow" w:hAnsi="Arial Narrow" w:eastAsia="仿宋_GB2312" w:cs="Arial Narrow"/>
              </w:rPr>
            </w:pPr>
          </w:p>
        </w:tc>
        <w:tc>
          <w:tcPr>
            <w:tcW w:w="1643"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9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547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931" w:type="dxa"/>
            <w:vAlign w:val="center"/>
          </w:tcPr>
          <w:p>
            <w:pPr>
              <w:pStyle w:val="19"/>
              <w:rPr>
                <w:rFonts w:hint="default" w:ascii="Arial Narrow" w:hAnsi="Arial Narrow" w:eastAsia="仿宋_GB2312" w:cs="Arial Narrow"/>
              </w:rPr>
            </w:pPr>
          </w:p>
        </w:tc>
        <w:tc>
          <w:tcPr>
            <w:tcW w:w="5477"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8"/>
              <w:rPr>
                <w:rFonts w:hint="default" w:ascii="Arial Narrow" w:hAnsi="Arial Narrow" w:eastAsia="仿宋_GB2312" w:cs="Arial Narrow"/>
              </w:rPr>
            </w:pP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93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w:t>
            </w:r>
          </w:p>
        </w:tc>
        <w:tc>
          <w:tcPr>
            <w:tcW w:w="547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城乡社区支出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93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w:t>
            </w:r>
          </w:p>
        </w:tc>
        <w:tc>
          <w:tcPr>
            <w:tcW w:w="547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国有土地使用权出让收入安排的支出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93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2120899</w:t>
            </w:r>
          </w:p>
        </w:tc>
        <w:tc>
          <w:tcPr>
            <w:tcW w:w="547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其他国有土地使用权出让收入安排的支出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7" w:name="_Toc_2_2_0000000008"/>
      <w:r>
        <w:rPr>
          <w:rFonts w:hint="default" w:ascii="Arial Narrow" w:hAnsi="Arial Narrow" w:eastAsia="仿宋_GB2312" w:cs="Arial Narrow"/>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7"/>
        <w:gridCol w:w="1810"/>
        <w:gridCol w:w="4331"/>
        <w:gridCol w:w="2794"/>
        <w:gridCol w:w="1837"/>
        <w:gridCol w:w="17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48"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2794"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559"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7"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6141"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279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837"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722"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7" w:type="dxa"/>
            <w:vMerge w:val="continue"/>
          </w:tcPr>
          <w:p>
            <w:pPr>
              <w:rPr>
                <w:rFonts w:hint="default" w:ascii="Arial Narrow" w:hAnsi="Arial Narrow" w:eastAsia="仿宋_GB2312" w:cs="Arial Narrow"/>
              </w:rPr>
            </w:pPr>
          </w:p>
        </w:tc>
        <w:tc>
          <w:tcPr>
            <w:tcW w:w="181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43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2794" w:type="dxa"/>
            <w:vMerge w:val="continue"/>
          </w:tcPr>
          <w:p>
            <w:pPr>
              <w:rPr>
                <w:rFonts w:hint="default" w:ascii="Arial Narrow" w:hAnsi="Arial Narrow" w:eastAsia="仿宋_GB2312" w:cs="Arial Narrow"/>
              </w:rPr>
            </w:pPr>
          </w:p>
        </w:tc>
        <w:tc>
          <w:tcPr>
            <w:tcW w:w="1837" w:type="dxa"/>
            <w:vMerge w:val="continue"/>
          </w:tcPr>
          <w:p>
            <w:pPr>
              <w:rPr>
                <w:rFonts w:hint="default" w:ascii="Arial Narrow" w:hAnsi="Arial Narrow" w:eastAsia="仿宋_GB2312" w:cs="Arial Narrow"/>
              </w:rPr>
            </w:pPr>
          </w:p>
        </w:tc>
        <w:tc>
          <w:tcPr>
            <w:tcW w:w="1722"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81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43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279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83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72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7" w:type="dxa"/>
            <w:vAlign w:val="center"/>
          </w:tcPr>
          <w:p>
            <w:pPr>
              <w:pStyle w:val="16"/>
              <w:rPr>
                <w:rFonts w:hint="default" w:ascii="Arial Narrow" w:hAnsi="Arial Narrow" w:eastAsia="仿宋_GB2312" w:cs="Arial Narrow"/>
              </w:rPr>
            </w:pPr>
          </w:p>
        </w:tc>
        <w:tc>
          <w:tcPr>
            <w:tcW w:w="1810" w:type="dxa"/>
            <w:vAlign w:val="center"/>
          </w:tcPr>
          <w:p>
            <w:pPr>
              <w:pStyle w:val="15"/>
              <w:rPr>
                <w:rFonts w:hint="default" w:ascii="Arial Narrow" w:hAnsi="Arial Narrow" w:eastAsia="仿宋_GB2312" w:cs="Arial Narrow"/>
              </w:rPr>
            </w:pPr>
          </w:p>
        </w:tc>
        <w:tc>
          <w:tcPr>
            <w:tcW w:w="4331" w:type="dxa"/>
            <w:vAlign w:val="center"/>
          </w:tcPr>
          <w:p>
            <w:pPr>
              <w:pStyle w:val="15"/>
              <w:rPr>
                <w:rFonts w:hint="default" w:ascii="Arial Narrow" w:hAnsi="Arial Narrow" w:eastAsia="仿宋_GB2312" w:cs="Arial Narrow"/>
              </w:rPr>
            </w:pPr>
          </w:p>
        </w:tc>
        <w:tc>
          <w:tcPr>
            <w:tcW w:w="2794" w:type="dxa"/>
            <w:vAlign w:val="center"/>
          </w:tcPr>
          <w:p>
            <w:pPr>
              <w:pStyle w:val="14"/>
              <w:rPr>
                <w:rFonts w:hint="default" w:ascii="Arial Narrow" w:hAnsi="Arial Narrow" w:eastAsia="仿宋_GB2312" w:cs="Arial Narrow"/>
              </w:rPr>
            </w:pPr>
          </w:p>
        </w:tc>
        <w:tc>
          <w:tcPr>
            <w:tcW w:w="1837" w:type="dxa"/>
            <w:vAlign w:val="center"/>
          </w:tcPr>
          <w:p>
            <w:pPr>
              <w:pStyle w:val="14"/>
              <w:rPr>
                <w:rFonts w:hint="default" w:ascii="Arial Narrow" w:hAnsi="Arial Narrow" w:eastAsia="仿宋_GB2312" w:cs="Arial Narrow"/>
              </w:rPr>
            </w:pPr>
          </w:p>
        </w:tc>
        <w:tc>
          <w:tcPr>
            <w:tcW w:w="1722" w:type="dxa"/>
            <w:vAlign w:val="center"/>
          </w:tcPr>
          <w:p>
            <w:pPr>
              <w:pStyle w:val="14"/>
              <w:rPr>
                <w:rFonts w:hint="default" w:ascii="Arial Narrow" w:hAnsi="Arial Narrow" w:eastAsia="仿宋_GB2312" w:cs="Arial Narrow"/>
              </w:rPr>
            </w:pPr>
          </w:p>
        </w:tc>
      </w:tr>
    </w:tbl>
    <w:p>
      <w:pPr>
        <w:spacing w:before="0" w:after="0" w:line="240" w:lineRule="auto"/>
        <w:ind w:firstLine="420"/>
        <w:jc w:val="left"/>
        <w:outlineLvl w:val="9"/>
        <w:rPr>
          <w:rFonts w:hint="default" w:ascii="Arial Narrow" w:hAnsi="Arial Narrow" w:eastAsia="仿宋_GB2312" w:cs="Arial Narrow"/>
          <w:color w:val="000000"/>
          <w:sz w:val="21"/>
        </w:rPr>
      </w:pPr>
      <w:r>
        <w:rPr>
          <w:rFonts w:hint="default" w:ascii="Arial Narrow" w:hAnsi="Arial Narrow" w:eastAsia="仿宋_GB2312" w:cs="Arial Narrow"/>
          <w:color w:val="000000"/>
          <w:sz w:val="21"/>
        </w:rPr>
        <w:t>注：无国有资本经营预算财政拨款预算，空表列示。</w:t>
      </w:r>
      <w:bookmarkStart w:id="8" w:name="_Toc_2_2_0000000009"/>
    </w:p>
    <w:p>
      <w:pPr>
        <w:spacing w:before="0" w:after="0" w:line="240" w:lineRule="auto"/>
        <w:ind w:firstLine="2047" w:firstLineChars="975"/>
        <w:jc w:val="left"/>
        <w:outlineLvl w:val="9"/>
        <w:rPr>
          <w:rFonts w:hint="default" w:ascii="Arial Narrow" w:hAnsi="Arial Narrow" w:eastAsia="仿宋_GB2312" w:cs="Arial Narrow"/>
          <w:color w:val="000000"/>
          <w:sz w:val="21"/>
        </w:rPr>
      </w:pPr>
    </w:p>
    <w:p>
      <w:pPr>
        <w:spacing w:before="0" w:after="0" w:line="240" w:lineRule="auto"/>
        <w:ind w:firstLine="2467" w:firstLineChars="1175"/>
        <w:jc w:val="left"/>
        <w:outlineLvl w:val="9"/>
        <w:rPr>
          <w:rFonts w:hint="default" w:ascii="Arial Narrow" w:hAnsi="Arial Narrow" w:eastAsia="仿宋_GB2312" w:cs="Arial Narrow"/>
          <w:color w:val="000000"/>
          <w:sz w:val="21"/>
        </w:rPr>
      </w:pPr>
    </w:p>
    <w:p>
      <w:pPr>
        <w:spacing w:before="0" w:after="0" w:line="240" w:lineRule="auto"/>
        <w:ind w:firstLine="4230" w:firstLineChars="1175"/>
        <w:jc w:val="left"/>
        <w:outlineLvl w:val="9"/>
        <w:rPr>
          <w:rFonts w:hint="default" w:ascii="Arial Narrow" w:hAnsi="Arial Narrow" w:eastAsia="仿宋_GB2312" w:cs="Arial Narrow"/>
        </w:rPr>
      </w:pPr>
      <w:r>
        <w:rPr>
          <w:rFonts w:hint="default" w:ascii="Arial Narrow" w:hAnsi="Arial Narrow" w:eastAsia="仿宋_GB2312" w:cs="Arial Narrow"/>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5"/>
        <w:gridCol w:w="6834"/>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blHeader/>
          <w:jc w:val="center"/>
        </w:trPr>
        <w:tc>
          <w:tcPr>
            <w:tcW w:w="11095" w:type="dxa"/>
            <w:gridSpan w:val="4"/>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r>
              <w:rPr>
                <w:rFonts w:hint="eastAsia" w:ascii="Arial Narrow" w:hAnsi="Arial Narrow" w:eastAsia="仿宋_GB2312" w:cs="Arial Narrow"/>
                <w:lang w:val="en-US" w:eastAsia="zh-CN"/>
              </w:rPr>
              <w:t xml:space="preserve">                                                                                                                                 </w:t>
            </w:r>
            <w:r>
              <w:rPr>
                <w:rFonts w:hint="default" w:ascii="Arial Narrow" w:hAnsi="Arial Narrow" w:eastAsia="仿宋_GB2312" w:cs="Arial Narrow"/>
              </w:rPr>
              <w:t>预算年度</w:t>
            </w:r>
            <w:r>
              <w:rPr>
                <w:rFonts w:hint="eastAsia" w:ascii="Arial Narrow" w:hAnsi="Arial Narrow" w:eastAsia="仿宋_GB2312" w:cs="Arial Narrow"/>
                <w:lang w:eastAsia="zh-CN"/>
              </w:rPr>
              <w:t>：</w:t>
            </w:r>
            <w:r>
              <w:rPr>
                <w:rFonts w:hint="default" w:ascii="Arial Narrow" w:hAnsi="Arial Narrow" w:eastAsia="仿宋_GB2312" w:cs="Arial Narrow"/>
              </w:rPr>
              <w:t>2024</w:t>
            </w:r>
          </w:p>
        </w:tc>
        <w:tc>
          <w:tcPr>
            <w:tcW w:w="3286"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blHeader/>
          <w:jc w:val="center"/>
        </w:trPr>
        <w:tc>
          <w:tcPr>
            <w:tcW w:w="97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68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6572" w:type="dxa"/>
            <w:gridSpan w:val="4"/>
            <w:vAlign w:val="center"/>
          </w:tcPr>
          <w:p>
            <w:pPr>
              <w:pStyle w:val="13"/>
              <w:rPr>
                <w:rFonts w:hint="default" w:ascii="Arial Narrow" w:hAnsi="Arial Narrow" w:eastAsia="仿宋_GB2312" w:cs="Arial Narrow"/>
              </w:rPr>
            </w:pPr>
            <w:r>
              <w:rPr>
                <w:rFonts w:hint="default" w:ascii="Arial Narrow" w:hAnsi="Arial Narrow" w:eastAsia="仿宋_GB2312" w:cs="Arial Narrow"/>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blHeader/>
          <w:jc w:val="center"/>
        </w:trPr>
        <w:tc>
          <w:tcPr>
            <w:tcW w:w="975" w:type="dxa"/>
            <w:vMerge w:val="continue"/>
          </w:tcPr>
          <w:p>
            <w:pPr>
              <w:rPr>
                <w:rFonts w:hint="default" w:ascii="Arial Narrow" w:hAnsi="Arial Narrow" w:eastAsia="仿宋_GB2312" w:cs="Arial Narrow"/>
              </w:rPr>
            </w:pPr>
          </w:p>
        </w:tc>
        <w:tc>
          <w:tcPr>
            <w:tcW w:w="6834" w:type="dxa"/>
            <w:vMerge w:val="continue"/>
          </w:tcPr>
          <w:p>
            <w:pPr>
              <w:rPr>
                <w:rFonts w:hint="default" w:ascii="Arial Narrow" w:hAnsi="Arial Narrow" w:eastAsia="仿宋_GB2312" w:cs="Arial Narrow"/>
              </w:rPr>
            </w:pP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              财政拨款</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政府性基金                  预算拨款</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9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683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6834"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“三公”经费小计</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6.60</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6.60</w:t>
            </w:r>
          </w:p>
        </w:tc>
        <w:tc>
          <w:tcPr>
            <w:tcW w:w="1643" w:type="dxa"/>
            <w:vAlign w:val="center"/>
          </w:tcPr>
          <w:p>
            <w:pPr>
              <w:pStyle w:val="18"/>
              <w:rPr>
                <w:rFonts w:hint="default" w:ascii="Arial Narrow" w:hAnsi="Arial Narrow" w:eastAsia="仿宋_GB2312" w:cs="Arial Narrow"/>
              </w:rPr>
            </w:pPr>
          </w:p>
        </w:tc>
        <w:tc>
          <w:tcPr>
            <w:tcW w:w="1643" w:type="dxa"/>
            <w:vAlign w:val="center"/>
          </w:tcPr>
          <w:p>
            <w:pPr>
              <w:pStyle w:val="18"/>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一、因公出国（境）费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其中：教学科研人员因公出国（境）费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其他因公出国（境）费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二、公务用车购置及运维费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其中：公务用车购置费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公务用车运行维护费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三、公务接待费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bl>
    <w:p>
      <w:pPr>
        <w:spacing w:before="0" w:after="0" w:line="240" w:lineRule="auto"/>
        <w:ind w:firstLine="0"/>
        <w:jc w:val="center"/>
        <w:outlineLvl w:val="0"/>
        <w:rPr>
          <w:rFonts w:hint="default" w:ascii="Arial Narrow" w:hAnsi="Arial Narrow" w:eastAsia="仿宋_GB2312" w:cs="Arial Narrow"/>
        </w:rPr>
        <w:sectPr>
          <w:pgSz w:w="16840" w:h="11900" w:orient="landscape"/>
          <w:pgMar w:top="1361" w:right="1020" w:bottom="1361" w:left="1020" w:header="720" w:footer="720" w:gutter="0"/>
          <w:cols w:space="720" w:num="1"/>
        </w:sectPr>
      </w:pPr>
      <w:r>
        <w:rPr>
          <w:rFonts w:hint="default" w:ascii="Arial Narrow" w:hAnsi="Arial Narrow" w:eastAsia="仿宋_GB2312" w:cs="Arial Narrow"/>
          <w:color w:val="FFFFFF"/>
          <w:sz w:val="21"/>
        </w:rPr>
        <w:t>第一部分  肖营子镇2024年部门预算信息公开情况说明</w:t>
      </w:r>
    </w:p>
    <w:p>
      <w:pPr>
        <w:spacing w:before="0" w:after="0" w:line="240" w:lineRule="auto"/>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44"/>
        </w:rPr>
        <w:t>肖营子镇2024年部门预算信息公开情况说明</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按照《中华人民共和国预算法》、《地方预决算公开操作规程》和《关于进一步推进预算公开工作的实施意见》规定，现将肖营子镇2024年部门预算公开如下：</w:t>
      </w:r>
    </w:p>
    <w:p>
      <w:pPr>
        <w:spacing w:before="10" w:after="10" w:line="360" w:lineRule="auto"/>
        <w:ind w:firstLine="640"/>
        <w:jc w:val="left"/>
        <w:outlineLvl w:val="2"/>
        <w:rPr>
          <w:rFonts w:hint="default" w:ascii="Arial Narrow" w:hAnsi="Arial Narrow" w:eastAsia="仿宋_GB2312" w:cs="Arial Narrow"/>
        </w:rPr>
      </w:pPr>
      <w:bookmarkStart w:id="9" w:name="_Toc_3_3_0000000010"/>
      <w:r>
        <w:rPr>
          <w:rFonts w:hint="default" w:ascii="Arial Narrow" w:hAnsi="Arial Narrow" w:eastAsia="仿宋_GB2312" w:cs="Arial Narrow"/>
          <w:color w:val="000000"/>
          <w:sz w:val="32"/>
        </w:rPr>
        <w:t>一、部门职责及机构设置情况</w:t>
      </w:r>
      <w:bookmarkEnd w:id="9"/>
    </w:p>
    <w:p>
      <w:pPr>
        <w:spacing w:before="0" w:after="0" w:line="240" w:lineRule="auto"/>
        <w:ind w:firstLine="640"/>
        <w:jc w:val="left"/>
        <w:outlineLvl w:val="9"/>
        <w:rPr>
          <w:rFonts w:hint="default" w:ascii="Arial Narrow" w:hAnsi="Arial Narrow" w:eastAsia="仿宋_GB2312" w:cs="Arial Narrow"/>
        </w:rPr>
      </w:pPr>
      <w:r>
        <w:rPr>
          <w:rFonts w:hint="default" w:ascii="Arial Narrow" w:hAnsi="Arial Narrow" w:eastAsia="仿宋_GB2312" w:cs="Arial Narrow"/>
          <w:b/>
          <w:color w:val="000000"/>
          <w:sz w:val="32"/>
        </w:rPr>
        <w:t>部门职责：</w:t>
      </w:r>
    </w:p>
    <w:p>
      <w:pPr>
        <w:pStyle w:val="20"/>
        <w:rPr>
          <w:rFonts w:hint="default" w:ascii="Arial Narrow" w:hAnsi="Arial Narrow" w:eastAsia="仿宋_GB2312" w:cs="Arial Narrow"/>
        </w:rPr>
      </w:pPr>
      <w:r>
        <w:rPr>
          <w:rFonts w:hint="default" w:ascii="Arial Narrow" w:hAnsi="Arial Narrow" w:eastAsia="仿宋_GB2312" w:cs="Arial Narrow"/>
        </w:rPr>
        <w:t>宣传、贯彻执行党的路线、方针、政策和国家的法律法规，执行本级人民代表大会决议和上级国家行政机关的决定和命令，其主要职责是：</w:t>
      </w:r>
    </w:p>
    <w:p>
      <w:pPr>
        <w:pStyle w:val="20"/>
        <w:rPr>
          <w:rFonts w:hint="default" w:ascii="Arial Narrow" w:hAnsi="Arial Narrow" w:eastAsia="仿宋_GB2312" w:cs="Arial Narrow"/>
        </w:rPr>
      </w:pPr>
      <w:r>
        <w:rPr>
          <w:rFonts w:hint="default" w:ascii="Arial Narrow" w:hAnsi="Arial Narrow" w:eastAsia="仿宋_GB2312" w:cs="Arial Narrow"/>
        </w:rPr>
        <w:t>（一）促进经济发展。围绕“工业强县、钢铁立县、开放活县、和谐兴县”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pPr>
        <w:pStyle w:val="20"/>
        <w:rPr>
          <w:rFonts w:hint="default" w:ascii="Arial Narrow" w:hAnsi="Arial Narrow" w:eastAsia="仿宋_GB2312" w:cs="Arial Narrow"/>
        </w:rPr>
      </w:pPr>
      <w:r>
        <w:rPr>
          <w:rFonts w:hint="default" w:ascii="Arial Narrow" w:hAnsi="Arial Narrow" w:eastAsia="仿宋_GB2312" w:cs="Arial Narrow"/>
        </w:rPr>
        <w:t>（二）加强社会管理。组织、监督国家基本公共政策的实施，加强镇村财政资金监管，加强义务教育、公共卫生、镇村建设等社会事务的行政管理，促进各项社会事业的发展；协助县直有关部门做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pPr>
        <w:pStyle w:val="20"/>
        <w:rPr>
          <w:rFonts w:hint="default" w:ascii="Arial Narrow" w:hAnsi="Arial Narrow" w:eastAsia="仿宋_GB2312" w:cs="Arial Narrow"/>
        </w:rPr>
      </w:pPr>
      <w:r>
        <w:rPr>
          <w:rFonts w:hint="default" w:ascii="Arial Narrow" w:hAnsi="Arial Narrow" w:eastAsia="仿宋_GB2312" w:cs="Arial Narrow"/>
        </w:rPr>
        <w:t>（三）提供公共服务。1、生产保障。提供水利灌溉、道路运输、电力供应、农技推广、病虫害防治等生产性公共产品；2、教育保障。协助教育部门普及九年义务制教育，加强对农村劳动力的职业培训，提高农民的科学文化素质和就业本领；3、医疗保障。农村医疗设施、医疗手段的完善和提高，农村医疗保险制度的建立和落实；4、养老保障。福利院、敬老院的建设，农村养老保险制度的推行；5、生活保障。建设乡村社会各种生活基础设施。建立农村特困户的救助制度和救助体系；6、生育保障。为提高人口素质和生殖健康提供各种优质服务。</w:t>
      </w:r>
    </w:p>
    <w:p>
      <w:pPr>
        <w:pStyle w:val="20"/>
        <w:rPr>
          <w:rFonts w:hint="default" w:ascii="Arial Narrow" w:hAnsi="Arial Narrow" w:eastAsia="仿宋_GB2312" w:cs="Arial Narrow"/>
        </w:rPr>
      </w:pPr>
      <w:r>
        <w:rPr>
          <w:rFonts w:hint="default" w:ascii="Arial Narrow" w:hAnsi="Arial Narrow" w:eastAsia="仿宋_GB2312" w:cs="Arial Narrow"/>
        </w:rP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机关打击各类刑事犯罪活动；保护社会公正，维护社会秩序和社会稳定。</w:t>
      </w:r>
    </w:p>
    <w:p>
      <w:pPr>
        <w:spacing w:before="0" w:after="0" w:line="240" w:lineRule="auto"/>
        <w:ind w:firstLine="640"/>
        <w:jc w:val="left"/>
        <w:outlineLvl w:val="9"/>
        <w:rPr>
          <w:rFonts w:hint="default" w:ascii="Arial Narrow" w:hAnsi="Arial Narrow" w:eastAsia="仿宋_GB2312" w:cs="Arial Narrow"/>
        </w:rPr>
      </w:pPr>
      <w:r>
        <w:rPr>
          <w:rFonts w:hint="default" w:ascii="Arial Narrow" w:hAnsi="Arial Narrow" w:eastAsia="仿宋_GB2312" w:cs="Arial Narrow"/>
          <w:b/>
          <w:color w:val="000000"/>
          <w:sz w:val="32"/>
        </w:rPr>
        <w:t>机构设置：</w:t>
      </w:r>
    </w:p>
    <w:p>
      <w:pPr>
        <w:spacing w:before="0" w:after="0" w:line="240" w:lineRule="auto"/>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716"/>
        <w:gridCol w:w="3516"/>
        <w:gridCol w:w="3468"/>
        <w:gridCol w:w="29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7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单位名称</w:t>
            </w:r>
          </w:p>
        </w:tc>
        <w:tc>
          <w:tcPr>
            <w:tcW w:w="35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单位性质</w:t>
            </w:r>
          </w:p>
        </w:tc>
        <w:tc>
          <w:tcPr>
            <w:tcW w:w="34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单位规格</w:t>
            </w:r>
          </w:p>
        </w:tc>
        <w:tc>
          <w:tcPr>
            <w:tcW w:w="290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7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肖营子镇人民政府本级</w:t>
            </w:r>
          </w:p>
        </w:tc>
        <w:tc>
          <w:tcPr>
            <w:tcW w:w="351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行政</w:t>
            </w:r>
          </w:p>
        </w:tc>
        <w:tc>
          <w:tcPr>
            <w:tcW w:w="346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正科级</w:t>
            </w:r>
          </w:p>
        </w:tc>
        <w:tc>
          <w:tcPr>
            <w:tcW w:w="290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财政拨款</w:t>
            </w:r>
          </w:p>
        </w:tc>
      </w:tr>
    </w:tbl>
    <w:p>
      <w:pPr>
        <w:spacing w:before="10" w:after="10" w:line="360" w:lineRule="auto"/>
        <w:ind w:firstLine="640"/>
        <w:jc w:val="left"/>
        <w:outlineLvl w:val="2"/>
        <w:rPr>
          <w:rFonts w:hint="default" w:ascii="Arial Narrow" w:hAnsi="Arial Narrow" w:eastAsia="仿宋_GB2312" w:cs="Arial Narrow"/>
        </w:rPr>
      </w:pPr>
      <w:bookmarkStart w:id="10" w:name="_Toc_3_3_0000000011"/>
      <w:r>
        <w:rPr>
          <w:rFonts w:hint="default" w:ascii="Arial Narrow" w:hAnsi="Arial Narrow" w:eastAsia="仿宋_GB2312" w:cs="Arial Narrow"/>
          <w:color w:val="000000"/>
          <w:sz w:val="32"/>
        </w:rPr>
        <w:t>二、部门预算安排的总体情况</w:t>
      </w:r>
      <w:bookmarkEnd w:id="10"/>
    </w:p>
    <w:p>
      <w:pPr>
        <w:pStyle w:val="21"/>
        <w:rPr>
          <w:rFonts w:hint="default" w:ascii="Arial Narrow" w:hAnsi="Arial Narrow" w:eastAsia="仿宋_GB2312" w:cs="Arial Narrow"/>
        </w:rPr>
      </w:pPr>
      <w:r>
        <w:rPr>
          <w:rFonts w:hint="default" w:ascii="Arial Narrow" w:hAnsi="Arial Narrow" w:eastAsia="仿宋_GB2312" w:cs="Arial Narrow"/>
        </w:rPr>
        <w:t>按照预算管理有关规定，目前部门预算的编制实行综合预算管理，即全部收入和支出都反映在预算中。肖营子镇机关及所属事业单位的收支包含在部门预算中。</w:t>
      </w:r>
    </w:p>
    <w:p>
      <w:pPr>
        <w:pStyle w:val="21"/>
        <w:rPr>
          <w:rFonts w:hint="default" w:ascii="Arial Narrow" w:hAnsi="Arial Narrow" w:eastAsia="仿宋_GB2312" w:cs="Arial Narrow"/>
        </w:rPr>
      </w:pPr>
      <w:r>
        <w:rPr>
          <w:rFonts w:hint="default" w:ascii="Arial Narrow" w:hAnsi="Arial Narrow" w:eastAsia="仿宋_GB2312" w:cs="Arial Narrow"/>
        </w:rPr>
        <w:t>1、收入说明</w:t>
      </w:r>
    </w:p>
    <w:p>
      <w:pPr>
        <w:pStyle w:val="21"/>
        <w:rPr>
          <w:rFonts w:hint="default" w:ascii="Arial Narrow" w:hAnsi="Arial Narrow" w:eastAsia="仿宋_GB2312" w:cs="Arial Narrow"/>
        </w:rPr>
      </w:pPr>
      <w:r>
        <w:rPr>
          <w:rFonts w:hint="default" w:ascii="Arial Narrow" w:hAnsi="Arial Narrow" w:eastAsia="仿宋_GB2312" w:cs="Arial Narrow"/>
        </w:rPr>
        <w:t>反映本部门当年全部收入。2024年预算收入2163.60万元，其中：一般公共预算收入1656.49万元，基金预算收入116.00万元，国有资本经营预算收入0.00万元，财政专户核拨收入0.00万元，单位资金收入0.00万元，上年结转结余391.10万元。</w:t>
      </w:r>
    </w:p>
    <w:p>
      <w:pPr>
        <w:pStyle w:val="21"/>
        <w:rPr>
          <w:rFonts w:hint="default" w:ascii="Arial Narrow" w:hAnsi="Arial Narrow" w:eastAsia="仿宋_GB2312" w:cs="Arial Narrow"/>
        </w:rPr>
      </w:pPr>
      <w:r>
        <w:rPr>
          <w:rFonts w:hint="default" w:ascii="Arial Narrow" w:hAnsi="Arial Narrow" w:eastAsia="仿宋_GB2312" w:cs="Arial Narrow"/>
        </w:rPr>
        <w:t>2、支出说明</w:t>
      </w:r>
    </w:p>
    <w:p>
      <w:pPr>
        <w:pStyle w:val="21"/>
        <w:rPr>
          <w:rFonts w:hint="default" w:ascii="Arial Narrow" w:hAnsi="Arial Narrow" w:eastAsia="仿宋_GB2312" w:cs="Arial Narrow"/>
        </w:rPr>
      </w:pPr>
      <w:r>
        <w:rPr>
          <w:rFonts w:hint="default" w:ascii="Arial Narrow" w:hAnsi="Arial Narrow" w:eastAsia="仿宋_GB2312" w:cs="Arial Narrow"/>
        </w:rPr>
        <w:t>收支预算总表支出栏、基本支出表、项目支出表按经济分类和支出功能分类科目编制，反映肖营子镇年度部门预算中支出预算的总体情况。2024年支出预算2163.60万元，其中基本支出1537.36万元，包括人员经费1405.16万元和日常公用经费132.19万元；项目支出626.24万元，主要为1、党建工作经费2万元；2、人大之家工作经费1万元；3、专项武装经费2万元；4、团委工作经费1万元；5、防贫监测工作经费1万元；6、综治工作经费10万元；7、防火防汛工作经费10万元；8、全国自然灾害综合风险普查经费1万元；9、燃煤锅炉改造项目33万元；10、矽肺病生活补助6.328万元；11、重症精神病患者监护人责任险2.06万元；12、荒山沟地租项目201万元；13、解决旺达智能农业家产品仓储冷链物流项目征地遗留问题15万元；14、对村民委员会和村党支部的补助259.39万元；15、上年结转项目81.462万元。</w:t>
      </w:r>
    </w:p>
    <w:p>
      <w:pPr>
        <w:pStyle w:val="21"/>
        <w:rPr>
          <w:rFonts w:hint="default" w:ascii="Arial Narrow" w:hAnsi="Arial Narrow" w:eastAsia="仿宋_GB2312" w:cs="Arial Narrow"/>
        </w:rPr>
      </w:pPr>
      <w:r>
        <w:rPr>
          <w:rFonts w:hint="default" w:ascii="Arial Narrow" w:hAnsi="Arial Narrow" w:eastAsia="仿宋_GB2312" w:cs="Arial Narrow"/>
        </w:rPr>
        <w:t>3、比上年增减情况</w:t>
      </w:r>
    </w:p>
    <w:p>
      <w:pPr>
        <w:pStyle w:val="21"/>
        <w:rPr>
          <w:rFonts w:hint="default" w:ascii="Arial Narrow" w:hAnsi="Arial Narrow" w:eastAsia="仿宋_GB2312" w:cs="Arial Narrow"/>
        </w:rPr>
      </w:pPr>
      <w:r>
        <w:rPr>
          <w:rFonts w:hint="default" w:ascii="Arial Narrow" w:hAnsi="Arial Narrow" w:eastAsia="仿宋_GB2312" w:cs="Arial Narrow"/>
        </w:rPr>
        <w:t>2024年预算收支安排2163.60万元，较2023年预算减少214.32万元，其中：基本支出减少24.52万元，主要为人员调出减少</w:t>
      </w:r>
      <w:r>
        <w:rPr>
          <w:rFonts w:hint="eastAsia" w:ascii="Arial Narrow" w:hAnsi="Arial Narrow" w:eastAsia="仿宋_GB2312" w:cs="Arial Narrow"/>
          <w:lang w:eastAsia="zh-CN"/>
        </w:rPr>
        <w:t>；</w:t>
      </w:r>
      <w:r>
        <w:rPr>
          <w:rFonts w:hint="default" w:ascii="Arial Narrow" w:hAnsi="Arial Narrow" w:eastAsia="仿宋_GB2312" w:cs="Arial Narrow"/>
        </w:rPr>
        <w:t>项目支出减少189.80万元，主要为项目减少</w:t>
      </w:r>
    </w:p>
    <w:p>
      <w:pPr>
        <w:spacing w:before="10" w:after="10" w:line="360" w:lineRule="auto"/>
        <w:ind w:firstLine="640"/>
        <w:jc w:val="left"/>
        <w:outlineLvl w:val="2"/>
        <w:rPr>
          <w:rFonts w:hint="default" w:ascii="Arial Narrow" w:hAnsi="Arial Narrow" w:eastAsia="仿宋_GB2312" w:cs="Arial Narrow"/>
        </w:rPr>
      </w:pPr>
      <w:bookmarkStart w:id="11" w:name="_Toc_3_3_0000000012"/>
      <w:r>
        <w:rPr>
          <w:rFonts w:hint="default" w:ascii="Arial Narrow" w:hAnsi="Arial Narrow" w:eastAsia="仿宋_GB2312" w:cs="Arial Narrow"/>
          <w:color w:val="000000"/>
          <w:sz w:val="32"/>
        </w:rPr>
        <w:t>三、机关运行经费安排情况</w:t>
      </w:r>
      <w:bookmarkEnd w:id="11"/>
    </w:p>
    <w:p>
      <w:pPr>
        <w:pStyle w:val="22"/>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2024年机关运行经费预算132.19万元。其中：办公费32.11万元；印刷费3.5万元；电费8.2万元；，邮电费0.3万元；差旅费12.63万元；维修（护）费25.81万元；劳务费8万元；委托业务费2万元；其他交通费28.78万元；办公设备购置费4.26万元。</w:t>
      </w:r>
    </w:p>
    <w:p>
      <w:pPr>
        <w:spacing w:before="10" w:after="10" w:line="360" w:lineRule="auto"/>
        <w:ind w:firstLine="640"/>
        <w:jc w:val="left"/>
        <w:outlineLvl w:val="2"/>
        <w:rPr>
          <w:rFonts w:hint="default" w:ascii="Arial Narrow" w:hAnsi="Arial Narrow" w:eastAsia="仿宋_GB2312" w:cs="Arial Narrow"/>
        </w:rPr>
      </w:pPr>
      <w:bookmarkStart w:id="12" w:name="_Toc_3_3_0000000013"/>
      <w:r>
        <w:rPr>
          <w:rFonts w:hint="default" w:ascii="Arial Narrow" w:hAnsi="Arial Narrow" w:eastAsia="仿宋_GB2312" w:cs="Arial Narrow"/>
          <w:color w:val="000000"/>
          <w:sz w:val="32"/>
        </w:rPr>
        <w:t>四、财政拨款“三公”经费预算情况及增减变化原因</w:t>
      </w:r>
      <w:bookmarkEnd w:id="12"/>
    </w:p>
    <w:p>
      <w:pPr>
        <w:pStyle w:val="23"/>
        <w:rPr>
          <w:rFonts w:hint="default" w:ascii="Arial Narrow" w:hAnsi="Arial Narrow" w:eastAsia="仿宋_GB2312" w:cs="Arial Narrow"/>
          <w:lang w:val="en-US" w:eastAsia="zh-CN"/>
        </w:rPr>
      </w:pPr>
      <w:bookmarkStart w:id="13" w:name="_Toc_3_3_0000000014"/>
      <w:r>
        <w:rPr>
          <w:rFonts w:hint="eastAsia" w:ascii="Arial Narrow" w:hAnsi="Arial Narrow" w:eastAsia="仿宋_GB2312" w:cs="Arial Narrow"/>
          <w:lang w:val="en-US" w:eastAsia="zh-CN"/>
        </w:rPr>
        <w:t>2024 年，我部门财政拨款“三公”经费预算安排 6.60 万元，其中因公出国（境）费 0.00 万元；公务用车购置及运维费3.6万元（其中：公务用车购置费为 0.00 万元，公务用车运维费 3.60 万元)；公务接待费3.00 万元。与 2023 年相比持平。</w:t>
      </w:r>
    </w:p>
    <w:p>
      <w:pPr>
        <w:spacing w:before="10" w:after="10" w:line="360" w:lineRule="auto"/>
        <w:ind w:firstLine="640"/>
        <w:jc w:val="left"/>
        <w:outlineLvl w:val="2"/>
        <w:rPr>
          <w:rFonts w:hint="default" w:ascii="Arial Narrow" w:hAnsi="Arial Narrow" w:eastAsia="仿宋_GB2312" w:cs="Arial Narrow"/>
        </w:rPr>
      </w:pPr>
      <w:r>
        <w:rPr>
          <w:rFonts w:hint="default" w:ascii="Arial Narrow" w:hAnsi="Arial Narrow" w:eastAsia="仿宋_GB2312" w:cs="Arial Narrow"/>
          <w:color w:val="000000"/>
          <w:sz w:val="32"/>
        </w:rPr>
        <w:t>五、部门整体绩效目标</w:t>
      </w:r>
      <w:bookmarkEnd w:id="13"/>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（一）总体绩效目标</w:t>
      </w:r>
    </w:p>
    <w:p>
      <w:pPr>
        <w:pStyle w:val="24"/>
        <w:rPr>
          <w:rFonts w:hint="default" w:ascii="Arial Narrow" w:hAnsi="Arial Narrow" w:eastAsia="仿宋_GB2312" w:cs="Arial Narrow"/>
        </w:rPr>
      </w:pPr>
      <w:r>
        <w:rPr>
          <w:rFonts w:hint="default" w:ascii="Arial Narrow" w:hAnsi="Arial Narrow" w:eastAsia="仿宋_GB2312" w:cs="Arial Narrow"/>
        </w:rPr>
        <w:t>总体绩效目标</w:t>
      </w:r>
    </w:p>
    <w:p>
      <w:pPr>
        <w:pStyle w:val="24"/>
        <w:rPr>
          <w:rFonts w:hint="default" w:ascii="Arial Narrow" w:hAnsi="Arial Narrow" w:eastAsia="仿宋_GB2312" w:cs="Arial Narrow"/>
        </w:rPr>
      </w:pPr>
      <w:r>
        <w:rPr>
          <w:rFonts w:hint="default" w:ascii="Arial Narrow" w:hAnsi="Arial Narrow" w:eastAsia="仿宋_GB2312" w:cs="Arial Narrow"/>
        </w:rPr>
        <w:t>2024年,我镇将认真贯彻落实</w:t>
      </w:r>
      <w:r>
        <w:rPr>
          <w:rFonts w:hint="eastAsia" w:ascii="Arial Narrow" w:hAnsi="Arial Narrow" w:eastAsia="仿宋_GB2312" w:cs="Arial Narrow"/>
          <w:lang w:eastAsia="zh-CN"/>
        </w:rPr>
        <w:t>党的</w:t>
      </w:r>
      <w:r>
        <w:rPr>
          <w:rFonts w:hint="default" w:ascii="Arial Narrow" w:hAnsi="Arial Narrow" w:eastAsia="仿宋_GB2312" w:cs="Arial Narrow"/>
        </w:rPr>
        <w:t>二十大精神及国家、省市县各项部署，坚持改革开放，坚持稳中求进，在全面做好精准扶贫工作、确保实现脱贫目标的基础上，坚持协同发展、转型升级、又好又快主基调，以提高发展质量和效益为中心，落实去产能、去库存、去杠杆、降成本、补短板五大任务，加强供给侧结构性改革，力促镇域经济社会健康发展。主要预期目标是：镇本级财政收入同比增长5%以上；固定资产投资同比增长10%；项目建设投资同比增长8%；引进市外资金、引进省外资金均同比增长8%以上，脱贫攻坚、节能减排、环境整治、改善民生等任务完成县定标准。</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（二）分项绩效目标</w:t>
      </w:r>
    </w:p>
    <w:p>
      <w:pPr>
        <w:pStyle w:val="25"/>
        <w:rPr>
          <w:rFonts w:hint="default" w:ascii="Arial Narrow" w:hAnsi="Arial Narrow" w:eastAsia="仿宋_GB2312" w:cs="Arial Narrow"/>
        </w:rPr>
      </w:pPr>
      <w:r>
        <w:rPr>
          <w:rFonts w:hint="default" w:ascii="Arial Narrow" w:hAnsi="Arial Narrow" w:eastAsia="仿宋_GB2312" w:cs="Arial Narrow"/>
        </w:rPr>
        <w:t>分项绩效目标</w:t>
      </w:r>
    </w:p>
    <w:p>
      <w:pPr>
        <w:pStyle w:val="25"/>
        <w:rPr>
          <w:rFonts w:hint="default" w:ascii="Arial Narrow" w:hAnsi="Arial Narrow" w:eastAsia="仿宋_GB2312" w:cs="Arial Narrow"/>
        </w:rPr>
      </w:pPr>
      <w:r>
        <w:rPr>
          <w:rFonts w:hint="default" w:ascii="Arial Narrow" w:hAnsi="Arial Narrow" w:eastAsia="仿宋_GB2312" w:cs="Arial Narrow"/>
        </w:rPr>
        <w:t>（一）抓三农建设，巩固农业的基础地位。进一步加大农业支持保护力度。加强农业基础设施建设，优化产业结构，合理规划布局。坚持转变农业发展方式。推动农业发展向主要依靠科技进步、劳动者素质提高、农业物质装备条件改善和社会化服务能力提升转变，大力培育现代农业经营主体，促进农业生产经营的专业化、标准化、规模化和集约化。坚持完善和创新乡村振兴发展体制机制。创新农业经营机制，推进农村土地管理制度改革，加快土地流转，深化农村综合改革，改善农村金融服务，充分发挥市场在资源配置中的决定性作用。实行最严格的耕地保护制度。提高农业资源利用效率，推广农业低碳技术，大力发展生态农业、循环农业，加强生态建设，推进农村节能减排，保护农村环境。在乡村振兴建设上取得新亮点，为保持经济社会持续健康发展提供有力支撑。</w:t>
      </w:r>
    </w:p>
    <w:p>
      <w:pPr>
        <w:pStyle w:val="25"/>
        <w:rPr>
          <w:rFonts w:hint="default" w:ascii="Arial Narrow" w:hAnsi="Arial Narrow" w:eastAsia="仿宋_GB2312" w:cs="Arial Narrow"/>
        </w:rPr>
      </w:pPr>
      <w:r>
        <w:rPr>
          <w:rFonts w:hint="default" w:ascii="Arial Narrow" w:hAnsi="Arial Narrow" w:eastAsia="仿宋_GB2312" w:cs="Arial Narrow"/>
        </w:rPr>
        <w:t>（二）抓项目建设，全力提升经济实力。全力抓好招商引资，继续按照县委、县政府的工作要求，完善基础设施建设，加强投资软环境建设，做好招商引资基础工作。坚持“三不原则”大力开展领导招商、驻点招商、以商招商，创新推动产业招商、全民招商、精准招商，特别是在外出务工人员中做好招商工作，吸引他们中的优秀者返乡创业，力争在招大引强上取得新突破。加大金融招商力度，推动村镇银行和网点建设工作。全力抓好项目建设，充分发挥生态、区位、资源优势，谋划特色产业项目。</w:t>
      </w:r>
    </w:p>
    <w:p>
      <w:pPr>
        <w:pStyle w:val="25"/>
        <w:rPr>
          <w:rFonts w:hint="default" w:ascii="Arial Narrow" w:hAnsi="Arial Narrow" w:eastAsia="仿宋_GB2312" w:cs="Arial Narrow"/>
        </w:rPr>
      </w:pPr>
      <w:r>
        <w:rPr>
          <w:rFonts w:hint="default" w:ascii="Arial Narrow" w:hAnsi="Arial Narrow" w:eastAsia="仿宋_GB2312" w:cs="Arial Narrow"/>
        </w:rPr>
        <w:t>（三）抓实防返贫工作，全力巩固脱贫扶贫成果。“十四五”期间，脱贫攻坚工作基本结束，我镇脱贫攻坚工作紧紧围绕中央和省、市、县脱贫攻坚的决策部署，坚持精准扶贫精准脱贫基本方略，坚持脱贫攻坚目标和现行扶贫标准，突出问题导向，下足绣花功夫，持续巩固我镇脱贫成果，为实施乡村振兴战略奠定坚实基础。</w:t>
      </w:r>
    </w:p>
    <w:p>
      <w:pPr>
        <w:pStyle w:val="25"/>
        <w:rPr>
          <w:rFonts w:hint="default" w:ascii="Arial Narrow" w:hAnsi="Arial Narrow" w:eastAsia="仿宋_GB2312" w:cs="Arial Narrow"/>
        </w:rPr>
      </w:pPr>
      <w:r>
        <w:rPr>
          <w:rFonts w:hint="default" w:ascii="Arial Narrow" w:hAnsi="Arial Narrow" w:eastAsia="仿宋_GB2312" w:cs="Arial Narrow"/>
        </w:rPr>
        <w:t>（四）抓环境保护，全面改善空气质量。继续加强洁净型煤、“双代”推广和散煤管控力度；继续对辖区内小散乱污企业进行排查整治，对企业排放污水行为进行严厉查处；加强环境保护和农村环境卫生整治提升力度，继续抓实秸秆禁烧工作，加大对野外用火的打击力度，切实减少野外冒烟行为，继续做好“河长制”工作，不断加大巡河频次，加强河道垃圾整治力度，确保空气、水、土壤质量全面改善。</w:t>
      </w:r>
    </w:p>
    <w:p>
      <w:pPr>
        <w:pStyle w:val="25"/>
        <w:rPr>
          <w:rFonts w:hint="default" w:ascii="Arial Narrow" w:hAnsi="Arial Narrow" w:eastAsia="仿宋_GB2312" w:cs="Arial Narrow"/>
        </w:rPr>
      </w:pPr>
      <w:r>
        <w:rPr>
          <w:rFonts w:hint="default" w:ascii="Arial Narrow" w:hAnsi="Arial Narrow" w:eastAsia="仿宋_GB2312" w:cs="Arial Narrow"/>
        </w:rPr>
        <w:t>（五）抓综合治理，全力实现社会稳定。对重点信访人实时掌握动态，同时进行谈话训诫，向其传递党委、政府打击非法上访的决心，积极营造高压态势，确保敏感时期无出走、挂账行为；充分发挥村组织维护稳定的第一道防线作用，提高村组织解决矛盾纠纷的能力，努力把问题解决在基层，化解在萌芽状态。做好“一委三中心”建设工作；做好信访维稳的同时，继续做好安全生产工作，定期开展安全生产大检查活动，督促企业不断加强安全生产“双控”体系建设，提高防范和化解风险的能力。</w:t>
      </w:r>
    </w:p>
    <w:p>
      <w:pPr>
        <w:pStyle w:val="25"/>
        <w:rPr>
          <w:rFonts w:hint="default" w:ascii="Arial Narrow" w:hAnsi="Arial Narrow" w:eastAsia="仿宋_GB2312" w:cs="Arial Narrow"/>
        </w:rPr>
      </w:pPr>
      <w:r>
        <w:rPr>
          <w:rFonts w:hint="default" w:ascii="Arial Narrow" w:hAnsi="Arial Narrow" w:eastAsia="仿宋_GB2312" w:cs="Arial Narrow"/>
        </w:rPr>
        <w:t>（六）抓民生建设，全力提升幸福指数。充分立足镇情实际，认真谋划民生工程。不断加强基础设施建设，完善各村农田水利建设工程、农田作业路建设等工程；深入推进美丽乡村建设，不断加大农村厕所改造力度，积极改善人居环境；加大农村卫生保健工作，提高医疗服务质量，彻底解决群众就医问题；认真做好新型农村合作医疗，提高参保率。加快发展二、三产业、劳动密集型产业和劳务输出，拓宽就业领域。加强就业技能培训，通过就业指导、技能培训、考核发证、推荐上岗等方式，不断提高劳动者的综合素质，转移农村剩余劳动力。繁荣发展文化事业，以文化活动示范村为载体，加快文化活动广场、百姓文艺舞台、健身路径、图书室等文体设施建设。继续加大对教育的投入，整合教育资源，优化学校布局。坚持计划生育基本国策，加强计生工作管理，全面推进计划生育优质服务，提高出生人口素质。</w:t>
      </w:r>
    </w:p>
    <w:p>
      <w:pPr>
        <w:pStyle w:val="25"/>
        <w:rPr>
          <w:rFonts w:hint="default" w:ascii="Arial Narrow" w:hAnsi="Arial Narrow" w:eastAsia="仿宋_GB2312" w:cs="Arial Narrow"/>
        </w:rPr>
      </w:pPr>
      <w:r>
        <w:rPr>
          <w:rFonts w:hint="default" w:ascii="Arial Narrow" w:hAnsi="Arial Narrow" w:eastAsia="仿宋_GB2312" w:cs="Arial Narrow"/>
        </w:rPr>
        <w:t>（七）加强党建引领，充分发挥组织保障。围绕实施乡村振兴战略，加强农村基层党组织建设。努力建设一支懂农业、爱农村、爱农民的“三农”工作队伍，以深化农村集体产权制度改革为契机，发展壮大村级集体经济。在村党支部设置完善的基础上，进一步加强对无职党员的管理，充分发挥无职党员先锋模范作用，促进“三会一课”、无职党员设岗定责等制度落实。完善镇村三级量化管理考核机制，加强镇村干部量化考核管理。严格镇、村干部行为规范，按照镇、村干部量化管理方案做好日常管理工作。进一步落实“村为主”管理工作机制，加大工作督查力度，促进各项工作有序有效开展。</w:t>
      </w:r>
    </w:p>
    <w:p>
      <w:pPr>
        <w:pStyle w:val="25"/>
        <w:rPr>
          <w:rFonts w:hint="default" w:ascii="Arial Narrow" w:hAnsi="Arial Narrow" w:eastAsia="仿宋_GB2312" w:cs="Arial Narrow"/>
        </w:rPr>
      </w:pPr>
      <w:r>
        <w:rPr>
          <w:rFonts w:hint="default" w:ascii="Arial Narrow" w:hAnsi="Arial Narrow" w:eastAsia="仿宋_GB2312" w:cs="Arial Narrow"/>
        </w:rPr>
        <w:t>（八）强化服务职能，加大政府自身建设。建立和完善各种制度，强化服务职能，进一步转变工作作风，科学管理，提高决策水平，用制度管人，规范行为。积极做好政务信息公开工作，接受社会和人民群众的监督，让公共权力在阳光下运行，实现肖营子镇经济社会发展迈上新台阶。</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（三）工作保障措施</w:t>
      </w:r>
    </w:p>
    <w:p>
      <w:pPr>
        <w:pStyle w:val="26"/>
        <w:rPr>
          <w:rFonts w:hint="default" w:ascii="Arial Narrow" w:hAnsi="Arial Narrow" w:eastAsia="仿宋_GB2312" w:cs="Arial Narrow"/>
        </w:rPr>
      </w:pPr>
      <w:r>
        <w:rPr>
          <w:rFonts w:hint="default" w:ascii="Arial Narrow" w:hAnsi="Arial Narrow" w:eastAsia="仿宋_GB2312" w:cs="Arial Narrow"/>
        </w:rPr>
        <w:t>工作保障措施</w:t>
      </w:r>
    </w:p>
    <w:p>
      <w:pPr>
        <w:pStyle w:val="26"/>
        <w:rPr>
          <w:rFonts w:hint="default" w:ascii="Arial Narrow" w:hAnsi="Arial Narrow" w:eastAsia="仿宋_GB2312" w:cs="Arial Narrow"/>
        </w:rPr>
      </w:pPr>
      <w:r>
        <w:rPr>
          <w:rFonts w:hint="default" w:ascii="Arial Narrow" w:hAnsi="Arial Narrow" w:eastAsia="仿宋_GB2312" w:cs="Arial Narrow"/>
        </w:rPr>
        <w:t>实现年度发展规划目标的保障措施</w:t>
      </w:r>
    </w:p>
    <w:p>
      <w:pPr>
        <w:pStyle w:val="26"/>
        <w:rPr>
          <w:rFonts w:hint="default" w:ascii="Arial Narrow" w:hAnsi="Arial Narrow" w:eastAsia="仿宋_GB2312" w:cs="Arial Narrow"/>
        </w:rPr>
      </w:pPr>
      <w:r>
        <w:rPr>
          <w:rFonts w:hint="default" w:ascii="Arial Narrow" w:hAnsi="Arial Narrow" w:eastAsia="仿宋_GB2312" w:cs="Arial Narrow"/>
        </w:rPr>
        <w:t>1、2024年发展规划目标在镇人民代表大会通过后实施，每年镇人大会须向代表报告规划实施情况。</w:t>
      </w:r>
    </w:p>
    <w:p>
      <w:pPr>
        <w:pStyle w:val="26"/>
        <w:rPr>
          <w:rFonts w:hint="default" w:ascii="Arial Narrow" w:hAnsi="Arial Narrow" w:eastAsia="仿宋_GB2312" w:cs="Arial Narrow"/>
        </w:rPr>
      </w:pPr>
      <w:r>
        <w:rPr>
          <w:rFonts w:hint="default" w:ascii="Arial Narrow" w:hAnsi="Arial Narrow" w:eastAsia="仿宋_GB2312" w:cs="Arial Narrow"/>
        </w:rPr>
        <w:t>2、每项规划目标确定一名镇领导专抓，建立专门工作机构，确保规划落到实处。</w:t>
      </w:r>
    </w:p>
    <w:p>
      <w:pPr>
        <w:pStyle w:val="26"/>
        <w:rPr>
          <w:rFonts w:hint="default" w:ascii="Arial Narrow" w:hAnsi="Arial Narrow" w:eastAsia="仿宋_GB2312" w:cs="Arial Narrow"/>
        </w:rPr>
      </w:pPr>
      <w:r>
        <w:rPr>
          <w:rFonts w:hint="default" w:ascii="Arial Narrow" w:hAnsi="Arial Narrow" w:eastAsia="仿宋_GB2312" w:cs="Arial Narrow"/>
        </w:rPr>
        <w:t>3、规划目标进展情况要列入镇党政工作议事日程，列入年终目标管理考核内容。定期检查，公布进展情况。</w:t>
      </w:r>
    </w:p>
    <w:p>
      <w:pPr>
        <w:pStyle w:val="26"/>
        <w:rPr>
          <w:rFonts w:hint="default" w:ascii="Arial Narrow" w:hAnsi="Arial Narrow" w:eastAsia="仿宋_GB2312" w:cs="Arial Narrow"/>
        </w:rPr>
      </w:pPr>
      <w:r>
        <w:rPr>
          <w:rFonts w:hint="default" w:ascii="Arial Narrow" w:hAnsi="Arial Narrow" w:eastAsia="仿宋_GB2312" w:cs="Arial Narrow"/>
        </w:rPr>
        <w:t>重点抓好以下几个方面：</w:t>
      </w:r>
    </w:p>
    <w:p>
      <w:pPr>
        <w:pStyle w:val="26"/>
        <w:rPr>
          <w:rFonts w:hint="default" w:ascii="Arial Narrow" w:hAnsi="Arial Narrow" w:eastAsia="仿宋_GB2312" w:cs="Arial Narrow"/>
        </w:rPr>
      </w:pPr>
      <w:r>
        <w:rPr>
          <w:rFonts w:hint="default" w:ascii="Arial Narrow" w:hAnsi="Arial Narrow" w:eastAsia="仿宋_GB2312" w:cs="Arial Narrow"/>
        </w:rPr>
        <w:t>（一）优化营商环境</w:t>
      </w:r>
    </w:p>
    <w:p>
      <w:pPr>
        <w:pStyle w:val="26"/>
        <w:rPr>
          <w:rFonts w:hint="default" w:ascii="Arial Narrow" w:hAnsi="Arial Narrow" w:eastAsia="仿宋_GB2312" w:cs="Arial Narrow"/>
        </w:rPr>
      </w:pPr>
      <w:r>
        <w:rPr>
          <w:rFonts w:hint="default" w:ascii="Arial Narrow" w:hAnsi="Arial Narrow" w:eastAsia="仿宋_GB2312" w:cs="Arial Narrow"/>
        </w:rPr>
        <w:t>1、努力抓好生态环境发展。在谋划项目上，全镇上下将坚持破坏生态环境的项目不能上，零散乱的以牺牲和污染环境为代价的项目不能上。</w:t>
      </w:r>
    </w:p>
    <w:p>
      <w:pPr>
        <w:pStyle w:val="26"/>
        <w:rPr>
          <w:rFonts w:hint="default" w:ascii="Arial Narrow" w:hAnsi="Arial Narrow" w:eastAsia="仿宋_GB2312" w:cs="Arial Narrow"/>
        </w:rPr>
      </w:pPr>
      <w:r>
        <w:rPr>
          <w:rFonts w:hint="default" w:ascii="Arial Narrow" w:hAnsi="Arial Narrow" w:eastAsia="仿宋_GB2312" w:cs="Arial Narrow"/>
        </w:rPr>
        <w:t>2、大力开展发展环境建设。2024年要继续加大党员干部思想教育和作风整顿力度。对责任心不强、作风浮漂、战斗力弱、工作严重失职、影响较坏的党员干部，坚决硬起手腕，予以组织处理，使党员干部进一步转变作风，强化服务意识，在经济发展中能真正起到模范带头作用。</w:t>
      </w:r>
    </w:p>
    <w:p>
      <w:pPr>
        <w:pStyle w:val="26"/>
        <w:rPr>
          <w:rFonts w:hint="default" w:ascii="Arial Narrow" w:hAnsi="Arial Narrow" w:eastAsia="仿宋_GB2312" w:cs="Arial Narrow"/>
        </w:rPr>
      </w:pPr>
      <w:r>
        <w:rPr>
          <w:rFonts w:hint="default" w:ascii="Arial Narrow" w:hAnsi="Arial Narrow" w:eastAsia="仿宋_GB2312" w:cs="Arial Narrow"/>
        </w:rPr>
        <w:t>（二）项目建设富民工程</w:t>
      </w:r>
    </w:p>
    <w:p>
      <w:pPr>
        <w:pStyle w:val="26"/>
        <w:rPr>
          <w:rFonts w:hint="default" w:ascii="Arial Narrow" w:hAnsi="Arial Narrow" w:eastAsia="仿宋_GB2312" w:cs="Arial Narrow"/>
        </w:rPr>
      </w:pPr>
      <w:r>
        <w:rPr>
          <w:rFonts w:hint="default" w:ascii="Arial Narrow" w:hAnsi="Arial Narrow" w:eastAsia="仿宋_GB2312" w:cs="Arial Narrow"/>
        </w:rPr>
        <w:t>1、抓项目策划，在积极储备上下功夫。围绕县委、县政府“生态、和谐、民族特色”新青龙的发展战略，盘活本地经济，转变传统经营模式。谋划包装一批具有市场优势的农业产业化项目，具有合作前景的农家休闲度假旅游项目，具有有利于经济发展和民生的基础设施项目，具有比较优势的支柱产业项目和配套加工项目。努力形成主产突出、多业并举的新格局。</w:t>
      </w:r>
    </w:p>
    <w:p>
      <w:pPr>
        <w:pStyle w:val="26"/>
        <w:rPr>
          <w:rFonts w:hint="default" w:ascii="Arial Narrow" w:hAnsi="Arial Narrow" w:eastAsia="仿宋_GB2312" w:cs="Arial Narrow"/>
        </w:rPr>
      </w:pPr>
      <w:r>
        <w:rPr>
          <w:rFonts w:hint="default" w:ascii="Arial Narrow" w:hAnsi="Arial Narrow" w:eastAsia="仿宋_GB2312" w:cs="Arial Narrow"/>
        </w:rPr>
        <w:t>2、抓项目报批，在争取政策上下功夫。抓住国家农业产业化扶持机遇，把已经形成规模的种植和养殖项目积极向上申报，尽量争取上级有关部门的扶持；实行“包村领导包项目，包项目领导包进度”机制，全程负责项目实施，全程负责项目跑办，及时解决企业在项目建设中遇到的难题，直到项目真正达产达效为止。</w:t>
      </w:r>
    </w:p>
    <w:p>
      <w:pPr>
        <w:pStyle w:val="26"/>
        <w:rPr>
          <w:rFonts w:hint="default" w:ascii="Arial Narrow" w:hAnsi="Arial Narrow" w:eastAsia="仿宋_GB2312" w:cs="Arial Narrow"/>
        </w:rPr>
      </w:pPr>
      <w:r>
        <w:rPr>
          <w:rFonts w:hint="default" w:ascii="Arial Narrow" w:hAnsi="Arial Narrow" w:eastAsia="仿宋_GB2312" w:cs="Arial Narrow"/>
        </w:rPr>
        <w:t>3、抓招商引资，在做大做强上下功夫。要牢牢抓住“以商招商、以商会商、以商聚商”这条主线，创新招商举措，拓展引资门路，实现草碾镇以农业产业化为主导，农业转型为突破，工业企业为纽带，镇村旅游开发为依托的多种产业并进的经济发展方式，努力打造新的经济增长点，促进我镇经济又好又快发展。</w:t>
      </w:r>
      <w:bookmarkStart w:id="14" w:name="_Toc_3_3_0000000015"/>
    </w:p>
    <w:bookmarkEnd w:id="14"/>
    <w:p>
      <w:pPr>
        <w:pStyle w:val="26"/>
        <w:rPr>
          <w:rFonts w:hint="default" w:ascii="Arial Narrow" w:hAnsi="Arial Narrow" w:eastAsia="仿宋_GB2312" w:cs="Arial Narrow"/>
        </w:rPr>
        <w:sectPr>
          <w:pgSz w:w="16840" w:h="11900" w:orient="landscape"/>
          <w:pgMar w:top="1361" w:right="1020" w:bottom="1134" w:left="1020" w:header="720" w:footer="720" w:gutter="0"/>
          <w:cols w:space="720" w:num="1"/>
        </w:sectPr>
      </w:pPr>
      <w:bookmarkStart w:id="15" w:name="_Toc_3_3_0000000016"/>
      <w:r>
        <w:rPr>
          <w:rFonts w:hint="eastAsia" w:ascii="Arial Narrow" w:hAnsi="Arial Narrow" w:eastAsia="仿宋_GB2312" w:cs="Arial Narrow"/>
          <w:color w:val="000000"/>
          <w:sz w:val="32"/>
          <w:lang w:eastAsia="zh-CN"/>
        </w:rPr>
        <w:t>六</w:t>
      </w:r>
      <w:r>
        <w:rPr>
          <w:rFonts w:hint="default" w:ascii="Arial Narrow" w:hAnsi="Arial Narrow" w:eastAsia="仿宋_GB2312" w:cs="Arial Narrow"/>
          <w:color w:val="000000"/>
          <w:sz w:val="32"/>
        </w:rPr>
        <w:t>、部门项目预算安排情况及绩效目标</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1、党建工作经费绩效目标表</w:t>
            </w:r>
            <w:r>
              <w:rPr>
                <w:rFonts w:hint="eastAsia" w:ascii="Arial Narrow" w:hAnsi="Arial Narrow" w:eastAsia="仿宋_GB2312" w:cs="Arial Narrow"/>
                <w:color w:val="000000"/>
                <w:sz w:val="28"/>
                <w:lang w:val="en-US" w:eastAsia="zh-CN"/>
              </w:rPr>
              <w:t xml:space="preserve">                                                                                                                                               </w:t>
            </w: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13032123P003293100195</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预算资金2万元，其中财政资金2万元。主要用于开展组织、宣传等党建工作办公支出。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25</w:t>
            </w:r>
          </w:p>
        </w:tc>
        <w:tc>
          <w:tcPr>
            <w:tcW w:w="2835" w:type="dxa"/>
            <w:vAlign w:val="center"/>
          </w:tcPr>
          <w:p>
            <w:pPr>
              <w:pStyle w:val="16"/>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50</w:t>
            </w:r>
          </w:p>
        </w:tc>
        <w:tc>
          <w:tcPr>
            <w:tcW w:w="2551" w:type="dxa"/>
            <w:vAlign w:val="center"/>
          </w:tcPr>
          <w:p>
            <w:pPr>
              <w:pStyle w:val="16"/>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75</w:t>
            </w:r>
          </w:p>
        </w:tc>
        <w:tc>
          <w:tcPr>
            <w:tcW w:w="3543" w:type="dxa"/>
            <w:gridSpan w:val="2"/>
            <w:vAlign w:val="center"/>
          </w:tcPr>
          <w:p>
            <w:pPr>
              <w:pStyle w:val="16"/>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1.通过开展组织、宣传等党建工作，加强干部队伍建设，发挥基层党组织的作用。</w:t>
            </w:r>
          </w:p>
          <w:p>
            <w:pPr>
              <w:pStyle w:val="15"/>
              <w:rPr>
                <w:rFonts w:hint="default" w:ascii="Arial Narrow" w:hAnsi="Arial Narrow" w:eastAsia="仿宋_GB2312" w:cs="Arial Narrow"/>
              </w:rPr>
            </w:pPr>
            <w:r>
              <w:rPr>
                <w:rFonts w:hint="default" w:ascii="Arial Narrow" w:hAnsi="Arial Narrow" w:eastAsia="仿宋_GB2312" w:cs="Arial Narrow"/>
              </w:rPr>
              <w:t>2.践行“不忘初心、牢记使命”宗旨，充分发挥党的思想政治优势、组织优势和密切联系群众的优势。</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602"/>
        <w:gridCol w:w="2700"/>
        <w:gridCol w:w="4154"/>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160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70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415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11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211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组织宣传活动次数</w:t>
            </w:r>
            <w:r>
              <w:rPr>
                <w:rFonts w:hint="eastAsia" w:ascii="Arial Narrow" w:hAnsi="Arial Narrow" w:eastAsia="仿宋_GB2312" w:cs="Arial Narrow"/>
                <w:lang w:eastAsia="zh-CN"/>
              </w:rPr>
              <w:t>（</w:t>
            </w:r>
            <w:r>
              <w:rPr>
                <w:rFonts w:hint="default" w:ascii="Arial Narrow" w:hAnsi="Arial Narrow" w:eastAsia="仿宋_GB2312" w:cs="Arial Narrow"/>
              </w:rPr>
              <w:t>次）</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组织宣传活动次数</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≥10次</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舆情信息数量（条）</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收集、分析、上报舆情信息的数量</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≥100条</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党员培训覆盖率（%）</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培训对象数量占应覆盖对象数量的比率</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≥80%</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党建工作达标率</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党建工作达到上级相关规范及要求</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党建工作完成时效性</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全年按计划完成各项工作</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12月31日前</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党建费用支出控制情况</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党建费用支出情况控制在年度预算额度内</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基层党组织带动示范作用</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通过党建工作促进党员队伍能力提升，在经济建设中发挥带动示范作用</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≥80%</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党员带头发展经济</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通过党员带动发展经济，增加村民收入</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≥2000元</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群众对全镇党建满意度</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全镇群众对党建工作的满意度</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type w:val="continuous"/>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2、防火防汛工作经费绩效目标表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13032123P00329310025J</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7</w:t>
            </w:r>
            <w:r>
              <w:rPr>
                <w:rFonts w:hint="default" w:ascii="Arial Narrow" w:hAnsi="Arial Narrow" w:eastAsia="仿宋_GB2312" w:cs="Arial Narrow"/>
              </w:rPr>
              <w:t>.27</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7.27</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预算资金7.266万元，其中财政资金7.266万元。主要用于日常防火、防汛宣传和巡查整治支出。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1.通过扎实开展日常防火工作，广泛宣传，全天候巡查，加强防火扑救物资的储备，有效防范和遏制森林火灾的发生。</w:t>
            </w:r>
          </w:p>
          <w:p>
            <w:pPr>
              <w:pStyle w:val="15"/>
              <w:rPr>
                <w:rFonts w:hint="default" w:ascii="Arial Narrow" w:hAnsi="Arial Narrow" w:eastAsia="仿宋_GB2312" w:cs="Arial Narrow"/>
              </w:rPr>
            </w:pPr>
            <w:r>
              <w:rPr>
                <w:rFonts w:hint="default" w:ascii="Arial Narrow" w:hAnsi="Arial Narrow" w:eastAsia="仿宋_GB2312" w:cs="Arial Narrow"/>
              </w:rPr>
              <w:t>2.通过开展巡视巡查整治工作，及时消除防汛安全隐患，确保辖区内河道行洪通畅。</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日常巡查次数(次)</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当年实际日常巡查次数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≥200次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日常巡查覆盖率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反应巡查范围为整个镇区。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确保河道畅通</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反映汛期河道通畅率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巡查完成时间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反应防火防汛完成时间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全年持续</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抢险物资支出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反应防火防汛储备的抢险物资</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反应用于防火防汛的宣传单等办公费</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≤3.27万元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降低火灾对环境的破坏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反映降低火灾对环境破坏的比率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生态效益指标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森林火灾受害率(％)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全镇森林火灾发生面积占森林总面积的比例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≤0.01%</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群众对防火防汛工作满意度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3、防贫工作专项经费绩效目标表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13032123P00329310023B</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防贫工作专项经费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预算资金2万元，其中财政资金2万元。主要用于扶贫工作办公支出。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1.通过项目实施，保障扶贫工作的正常进行。</w:t>
            </w:r>
          </w:p>
          <w:p>
            <w:pPr>
              <w:pStyle w:val="15"/>
              <w:rPr>
                <w:rFonts w:hint="default" w:ascii="Arial Narrow" w:hAnsi="Arial Narrow" w:eastAsia="仿宋_GB2312" w:cs="Arial Narrow"/>
              </w:rPr>
            </w:pPr>
            <w:r>
              <w:rPr>
                <w:rFonts w:hint="default" w:ascii="Arial Narrow" w:hAnsi="Arial Narrow" w:eastAsia="仿宋_GB2312" w:cs="Arial Narrow"/>
              </w:rPr>
              <w:t>2.完成脱贫攻坚任务，提供有力保障。</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贫困村脱贫出列数（个）</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建档立卡贫困村脱贫出列数量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农村脱贫人口比率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年度计划脱贫人口数量占贫困人口总数的比率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各项工作按年度计划完成</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扶贫工作交通费支出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下乡扶贫的租车等交通费用支出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扶贫工作办公费支出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用于下乡扶贫工作办公经费支出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扶贫慰问支出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用于下乡扶贫慰问支出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扶贫保障工作完成</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反应保障脱贫工作的正常运行，解决下乡扶贫的后勤问题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贫困村农民人均纯收入增长率（%）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贫困村农民人均纯收入的同比增长比率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被帮扶贫困人员满意度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被帮扶贫困人员对扶贫工作的满意度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4、防疫工作经费绩效目标表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13032123P003293100266</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预算资金5万元，其中：财政资金5万元。主要用于疫苗接种、疫情防控所需物资采购、核酸检测、人员流调等办公支出。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1.通过采购防疫物资，做好新冠肺炎疫情防控工作。</w:t>
            </w:r>
          </w:p>
          <w:p>
            <w:pPr>
              <w:pStyle w:val="15"/>
              <w:rPr>
                <w:rFonts w:hint="default" w:ascii="Arial Narrow" w:hAnsi="Arial Narrow" w:eastAsia="仿宋_GB2312" w:cs="Arial Narrow"/>
              </w:rPr>
            </w:pPr>
            <w:r>
              <w:rPr>
                <w:rFonts w:hint="default" w:ascii="Arial Narrow" w:hAnsi="Arial Narrow" w:eastAsia="仿宋_GB2312" w:cs="Arial Narrow"/>
              </w:rPr>
              <w:t>2.保障辖区内居民生命财产安全，确保维护好社会稳定。</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口罩数量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反映购买口罩数量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≥20000个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涉及的村数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反映防疫包括的村数量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疫苗接种率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反映辖区内居民疫苗接种率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验收合格率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采购防疫物资按疫情要求验收合格</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防控物资发放及时率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防疫物资及时发放占比情况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≥96%</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防控物资成本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防疫物资购置支出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防疫办公成本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反映防疫办公支出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疫情防控率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通过购置防疫物资，确保防疫工作有序开展</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对防疫工作满意的人数査调查总人数的比率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5、全国自然灾害综合风险普查工作经费绩效目标表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13032123P00329310027R</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预算资金1万元，其中财政资金1万元。主要用于自然灾害普查办公经费支出。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1.通过开展全镇自然灾害普查工作，确保全面掌握我镇自然灾害风险防范情况。</w:t>
            </w:r>
          </w:p>
          <w:p>
            <w:pPr>
              <w:pStyle w:val="15"/>
              <w:rPr>
                <w:rFonts w:hint="eastAsia" w:ascii="Arial Narrow" w:hAnsi="Arial Narrow" w:eastAsia="仿宋_GB2312" w:cs="Arial Narrow"/>
                <w:lang w:eastAsia="zh-CN"/>
              </w:rPr>
            </w:pPr>
            <w:r>
              <w:rPr>
                <w:rFonts w:hint="default" w:ascii="Arial Narrow" w:hAnsi="Arial Narrow" w:eastAsia="仿宋_GB2312" w:cs="Arial Narrow"/>
              </w:rPr>
              <w:t>2.通过设备购置和宣传培训工作，提升我镇抵御自然灾害综合能力</w:t>
            </w:r>
            <w:r>
              <w:rPr>
                <w:rFonts w:hint="eastAsia" w:ascii="Arial Narrow" w:hAnsi="Arial Narrow" w:eastAsia="仿宋_GB2312" w:cs="Arial Narrow"/>
                <w:lang w:eastAsia="zh-CN"/>
              </w:rPr>
              <w:t>。</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普查行政村个数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反映普查行政村个数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普查灾害类型个数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本次普查涉及的自然灾害类型个数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≥6项</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自然灾害普查受益人口数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≥45000人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普查工作完成率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普查工作完成率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普查工作完成时间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12月底前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宣传、办公费用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反映用于本次普查宣传费、办公费</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租车费用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反映用于本次普查租车费</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提升抵御自然灾害防范能力</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通过普查，提升抵御自然灾害防能力，提交高质量普查结果报告</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≥1份</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防灾减灾能力提成情况</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通过开展灾害普查，促进防灾减灾能力提升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6、人大代表之家工作经费绩效目标表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13032123P00329310020G</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预算资金1万元，其中财政资金1万元。主要人大代表开展活动办公经费。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1.通过学习宣传培训，开展代表活动，使得人大机关团体密切联系群众，能够定期开展人大代表接访、走访、约访、回访等工作，接受群众监督，提出议案建议。</w:t>
            </w:r>
            <w:r>
              <w:rPr>
                <w:rFonts w:hint="default" w:ascii="Arial Narrow" w:hAnsi="Arial Narrow" w:eastAsia="仿宋_GB2312" w:cs="Arial Narrow"/>
              </w:rPr>
              <w:tab/>
            </w:r>
            <w:r>
              <w:rPr>
                <w:rFonts w:hint="default" w:ascii="Arial Narrow" w:hAnsi="Arial Narrow" w:eastAsia="仿宋_GB2312" w:cs="Arial Narrow"/>
              </w:rPr>
              <w:tab/>
            </w:r>
            <w:r>
              <w:rPr>
                <w:rFonts w:hint="default" w:ascii="Arial Narrow" w:hAnsi="Arial Narrow" w:eastAsia="仿宋_GB2312" w:cs="Arial Narrow"/>
              </w:rPr>
              <w:tab/>
            </w:r>
          </w:p>
          <w:p>
            <w:pPr>
              <w:pStyle w:val="15"/>
              <w:rPr>
                <w:rFonts w:hint="default" w:ascii="Arial Narrow" w:hAnsi="Arial Narrow" w:eastAsia="仿宋_GB2312" w:cs="Arial Narrow"/>
              </w:rPr>
            </w:pPr>
            <w:r>
              <w:rPr>
                <w:rFonts w:hint="default" w:ascii="Arial Narrow" w:hAnsi="Arial Narrow" w:eastAsia="仿宋_GB2312" w:cs="Arial Narrow"/>
              </w:rPr>
              <w:t>2.通过开展人大代表之家工作，提供场地和经费，有利于学习宣传宪法法律和党的路线方针政策及各级党委政府重大决策部署，定期开展代表活动。</w:t>
            </w:r>
            <w:r>
              <w:rPr>
                <w:rFonts w:hint="default" w:ascii="Arial Narrow" w:hAnsi="Arial Narrow" w:eastAsia="仿宋_GB2312" w:cs="Arial Narrow"/>
              </w:rPr>
              <w:tab/>
            </w:r>
            <w:r>
              <w:rPr>
                <w:rFonts w:hint="default" w:ascii="Arial Narrow" w:hAnsi="Arial Narrow" w:eastAsia="仿宋_GB2312" w:cs="Arial Narrow"/>
              </w:rPr>
              <w:tab/>
            </w:r>
            <w:r>
              <w:rPr>
                <w:rFonts w:hint="default" w:ascii="Arial Narrow" w:hAnsi="Arial Narrow" w:eastAsia="仿宋_GB2312" w:cs="Arial Narrow"/>
              </w:rPr>
              <w:tab/>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组织代表参加活动次数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计划召开学习宣传培训活动次数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开展调研的次数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计划开展调研的次数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人大代表数量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反映乡级人大代表数量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完成调研报告数量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当年完成调研报告的数量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≥2篇</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做好协调组织工作，为代表依法履职提供服务</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学习宣传培训，开展代表活动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做好协调组织工作,为代表依法履责提供服务</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支出控制数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总体控制在年度预算额度内</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意见建议采纳率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人大代表提出建议,被采纳率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履职质量和水平</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加强对乡镇人大工作的联系和指导，规范化、制度化水平显著提升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会议服务工作满意率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乡人大代表和常委对代表工作的满意程度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按调查结果统计确定</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7、团委工作经费绩效目标表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13032123P00329310022P</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预算资金1万元，其中财政资金1万元。主要用于开展群团组织工作办公支出。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1.通过团委工作有序开展，积极发挥团委作用。</w:t>
            </w:r>
          </w:p>
          <w:p>
            <w:pPr>
              <w:pStyle w:val="15"/>
              <w:rPr>
                <w:rFonts w:hint="default" w:ascii="Arial Narrow" w:hAnsi="Arial Narrow" w:eastAsia="仿宋_GB2312" w:cs="Arial Narrow"/>
              </w:rPr>
            </w:pPr>
            <w:r>
              <w:rPr>
                <w:rFonts w:hint="default" w:ascii="Arial Narrow" w:hAnsi="Arial Narrow" w:eastAsia="仿宋_GB2312" w:cs="Arial Narrow"/>
              </w:rPr>
              <w:t>2.开展好群团组织工作，为党的建设储备好后备力量。</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组织活动的次数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组织镇青年慰问留守儿童活动的次数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“圆梦大学”走访的次数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反映“圆梦大学”走访的次数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宣传单数量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反映用于青少年法治宣传教育印刷的宣传单数量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≥3000张</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活动完成次数占预计次数的比例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反映各项活动完成时间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12月31日前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经费支出控制数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团委活动经费支出控制在预算额度内</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未成年思想道德建设宣传情况</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反映全乡未成年人思想道德建设宣传覆盖率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团费收缴完成率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反映全乡团费收缴和上缴工作完成比率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群众对全镇党建满意度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全镇群众对团工作的满意度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8、专项武装经费绩效目标表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13032123P003293100214</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预算资金2万元，其中财政资金2万元。主要用于兵役登记、征兵、民兵训练经费支出。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1.通过开展兵役登记、征兵工作，为国家提供高素质兵源。</w:t>
            </w:r>
          </w:p>
          <w:p>
            <w:pPr>
              <w:pStyle w:val="15"/>
              <w:rPr>
                <w:rFonts w:hint="default" w:ascii="Arial Narrow" w:hAnsi="Arial Narrow" w:eastAsia="仿宋_GB2312" w:cs="Arial Narrow"/>
              </w:rPr>
            </w:pPr>
            <w:r>
              <w:rPr>
                <w:rFonts w:hint="default" w:ascii="Arial Narrow" w:hAnsi="Arial Narrow" w:eastAsia="仿宋_GB2312" w:cs="Arial Narrow"/>
              </w:rPr>
              <w:t>2.通过开展民兵训练工作，确保人民武装力量得到保障。</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区域内服兵役人员数量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年度内依法服兵役数量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参加民兵训练人数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年度内参加民兵训练的人数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大学生兵数量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年度内新入伍大学生兵数量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民兵训练次数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年度内开展民兵训练次数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大学生兵比率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年度内新入伍大学生兵所占比率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开展兵源普查登记时限</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提前做好兵源普查登记工作的时间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≤6月</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武装工作支出费用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武装部在开展工作中发生的差旅、办公等支出的成本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兵源普查登记覆盖率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普查登记的兵源占实有兵源的比率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新入伍兵满意度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新入伍兵役及其家属对武装工作的满意度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9、综治工作经费绩效目标表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13032123P00329310024Y</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预算资金10万元，其中财政资金10万元。主要用于维护辖区稳定、深化平安建设经费支出。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1.通过加强法制宣传教育、提高公民的法律意识和素质，教育群众知法、懂法和守法。</w:t>
            </w:r>
          </w:p>
          <w:p>
            <w:pPr>
              <w:pStyle w:val="15"/>
              <w:rPr>
                <w:rFonts w:hint="default" w:ascii="Arial Narrow" w:hAnsi="Arial Narrow" w:eastAsia="仿宋_GB2312" w:cs="Arial Narrow"/>
              </w:rPr>
            </w:pPr>
            <w:r>
              <w:rPr>
                <w:rFonts w:hint="default" w:ascii="Arial Narrow" w:hAnsi="Arial Narrow" w:eastAsia="仿宋_GB2312" w:cs="Arial Narrow"/>
              </w:rPr>
              <w:t>2.妥善处理突发性、群体性事件；搞好村级治安工作，深化农村平安创建工作。</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印刷宣传单</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反映印刷宣传单数量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≥2500份</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维稳次数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反映下乡维稳的次数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协调督导事项化解率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化解事项占督导事项总数的比率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各项工作按年度计划完成</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宣传费支出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印刷宣传单支出的费用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支付救济费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用于生活困难的信访人员支出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租车费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租车接信访人返青的费用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“民转刑”命案减少率(%)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“民转刑”命案发生数量的减少比率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立体化社会治安防控体系覆盖率(%)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立体化社会治安防控体系在镇村两级的覆盖情况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群众对综治工作满意率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10、村级组织运转经费-村干部基础职务补贴绩效目标表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13032123P00000210022R</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139.04</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139.04</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预算资金139.035万元，其中：财政资金139.035万元。主要用于村干部正常履职职务补贴。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1.通过及时发放村干部基础职务补贴，为农村干部工作生活提供保障。</w:t>
            </w:r>
          </w:p>
          <w:p>
            <w:pPr>
              <w:pStyle w:val="15"/>
              <w:rPr>
                <w:rFonts w:hint="default" w:ascii="Arial Narrow" w:hAnsi="Arial Narrow" w:eastAsia="仿宋_GB2312" w:cs="Arial Narrow"/>
              </w:rPr>
            </w:pPr>
            <w:r>
              <w:rPr>
                <w:rFonts w:hint="default" w:ascii="Arial Narrow" w:hAnsi="Arial Narrow" w:eastAsia="仿宋_GB2312" w:cs="Arial Narrow"/>
              </w:rPr>
              <w:t xml:space="preserve">2.激发农村干部干事创业热情，确保村级工作正常运转及村干部队伍稳定。      </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涉及村数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反映发放村干部基础职务补贴的村数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考核次数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反映村干部考核次数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194人</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按村干部职务分工发放工资比率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反映村干部岗位分工情况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村干部考核合格率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合格村干部占总村干部比例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按月发放村干部工资比率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反映村干部工资发放情况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村书记主任补贴标准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反映村书记主任一肩挑人均补贴标准</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36000元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其他人员补贴标准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反映其他村两委干部人均补贴标准</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≥12000元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促进村干部队伍稳定</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为村干部生活工作提供保障，确保村干部队伍稳定</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调查中村干部满意和较满意的数量占调查总人数的比率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11、村级组织运转经费-村级组织办公经费绩效目标表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13032123P00000410009N</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50.35</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50.35</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预算资金50.35万元.其中：财政资金50.35万元。主要用于村级组织正常运转办公经费支出。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1.通过及时支付村级组织办公用品、水电暖等费用，保障日常工作有序开展。</w:t>
            </w:r>
          </w:p>
          <w:p>
            <w:pPr>
              <w:pStyle w:val="15"/>
              <w:rPr>
                <w:rFonts w:hint="default" w:ascii="Arial Narrow" w:hAnsi="Arial Narrow" w:eastAsia="仿宋_GB2312" w:cs="Arial Narrow"/>
              </w:rPr>
            </w:pPr>
            <w:r>
              <w:rPr>
                <w:rFonts w:hint="default" w:ascii="Arial Narrow" w:hAnsi="Arial Narrow" w:eastAsia="仿宋_GB2312" w:cs="Arial Narrow"/>
              </w:rPr>
              <w:t>2.保障村级干部工作积极性，确保村级组织正常、高效运转。</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拨付办公费涉及村级组织数量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反映拨付村级办公费的村数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村级组织办公经费拨付率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反映拨付村级组织办公费村数占总数比例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村级组织有效运转率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反映村级组织正常有效开展工作</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购置办公用品合格率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反映购买的办公用品合格数量占全部购买办公用品数量的比例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办公经费拨付时间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反映村级组织办公经费拨付时间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1次/半年</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办公经费补贴标准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反映每个村级组织办公经费补助标准</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确保村级组织正常运行</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通过及时拨付办公经费，确保村级组织正常运转，能够高效服务群众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保障村级干部工作积极性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通过及时拨付办公经费，提高村干部工作积极性，保障年度村级组织能够高效运转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≥1年</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反映村干部对上级工作安排的满意率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12、村级组织运转经费-服务群众专项经费绩效目标表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13032123P00000610010D</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70.00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70.00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预算资金70万元，其中：财政资金70万元。主要用于村级组织服务群众专项支出。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1.通过开展服务群众工作，为村综合服务站日常运转、公共设施维护等提供保障，为群众提供便捷优质生产生活条件。</w:t>
            </w:r>
          </w:p>
          <w:p>
            <w:pPr>
              <w:pStyle w:val="15"/>
              <w:rPr>
                <w:rFonts w:hint="default" w:ascii="Arial Narrow" w:hAnsi="Arial Narrow" w:eastAsia="仿宋_GB2312" w:cs="Arial Narrow"/>
              </w:rPr>
            </w:pPr>
            <w:r>
              <w:rPr>
                <w:rFonts w:hint="default" w:ascii="Arial Narrow" w:hAnsi="Arial Narrow" w:eastAsia="仿宋_GB2312" w:cs="Arial Narrow"/>
              </w:rPr>
              <w:t>2.通过项目实施为村级组织公共卫生防疫、村内治安等临时劳务用工提供费用保障，为群众提供安全稳定生活环境。</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村综合服务站数量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反映服务群众的村综合服务站的数量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村级组织工作完成率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反映村级组织工作建设及服务完成情况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拨付服务群众专项经费率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反映拨付服务群众专项经费村数占总数比例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服务群众经费使用率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反映服务群众经费使用得当，农村群众生产生活条件改善提高，社会环境安全稳定</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村级组织开展服务群众完成率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反映村级组织开展服务群众具体情况如：村内清运垃圾、公共卫生防疫等等</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村民服务提供及时率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反映为村民群众提供各项服务的及时性</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服务群众专项经费拨付标准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反映每个村服务群众专项经费支出成本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垃圾清运成本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反映每个村垃圾清运支出成本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村民生活环境改善率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反映各村垃圾清运改善生活环境</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农村群众对村级组织开展工作、服务群众满意率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13、环境整治工作经费绩效目标表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13032123P00329910003M</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31.49</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31.49</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预算资金31.48662万元，其中：财政资金31.48662万元。主要用于全镇35个村的人居环境整治费用支出。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1.通过开展生活垃圾清理工作，改善人居环境卫生，维护农村环境。</w:t>
            </w:r>
          </w:p>
          <w:p>
            <w:pPr>
              <w:pStyle w:val="15"/>
              <w:rPr>
                <w:rFonts w:hint="default" w:ascii="Arial Narrow" w:hAnsi="Arial Narrow" w:eastAsia="仿宋_GB2312" w:cs="Arial Narrow"/>
              </w:rPr>
            </w:pPr>
            <w:r>
              <w:rPr>
                <w:rFonts w:hint="default" w:ascii="Arial Narrow" w:hAnsi="Arial Narrow" w:eastAsia="仿宋_GB2312" w:cs="Arial Narrow"/>
              </w:rPr>
              <w:t>2.保持村容村貌整洁，提高居民生活居住幸福感、满意度。</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人居环境治理村个数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人居环境整治镇辖区范围内</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生活垃圾定点存放数量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镇域范围内生活垃圾定点存放数量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≥80处</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生活垃圾整治率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整治生活垃圾占发现的比率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项目实施覆盖率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实施该项目的面积占整体面积的比率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计划工作完成及时率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人工费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用于垃圾清理人工费用方面支出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机械费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用于生活垃圾清运机械方面支出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≤21.49万元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受益人口数量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通过项目实施改善人居环境卫生，清理民居环境卫生，维护农村环境。受益人数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≥45000人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问卷调查中，满意和较满意的救助对象数量占调研对象总数的比率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14、荒山沟地租项目绩效目标表</w:t>
            </w:r>
            <w:r>
              <w:rPr>
                <w:rFonts w:hint="eastAsia" w:ascii="Arial Narrow" w:hAnsi="Arial Narrow" w:eastAsia="仿宋_GB2312" w:cs="Arial Narrow"/>
                <w:color w:val="000000"/>
                <w:sz w:val="28"/>
                <w:lang w:val="en-US" w:eastAsia="zh-CN"/>
              </w:rPr>
              <w:t xml:space="preserve">                                                                                                                                 </w:t>
            </w: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13032123P00329710008C</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荒山沟地租项目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lang w:val="en-US" w:eastAsia="zh-CN"/>
              </w:rPr>
            </w:pPr>
            <w:r>
              <w:rPr>
                <w:rFonts w:hint="default" w:ascii="Arial Narrow" w:hAnsi="Arial Narrow" w:eastAsia="仿宋_GB2312" w:cs="Arial Narrow"/>
              </w:rPr>
              <w:t>11.71</w:t>
            </w:r>
            <w:r>
              <w:rPr>
                <w:rFonts w:hint="eastAsia" w:ascii="Arial Narrow" w:hAnsi="Arial Narrow" w:eastAsia="仿宋_GB2312" w:cs="Arial Narrow"/>
                <w:lang w:val="en-US" w:eastAsia="zh-CN"/>
              </w:rPr>
              <w:t>3756</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11.71</w:t>
            </w:r>
            <w:r>
              <w:rPr>
                <w:rFonts w:hint="eastAsia" w:ascii="Arial Narrow" w:hAnsi="Arial Narrow" w:eastAsia="仿宋_GB2312" w:cs="Arial Narrow"/>
                <w:lang w:val="en-US" w:eastAsia="zh-CN"/>
              </w:rPr>
              <w:t>3756</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预算资金11.713756万元，其中财政资金11.713756万元。主要用于土地租金支出。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1.通过支付地租，集中用地，改变农业生产经营方式。</w:t>
            </w:r>
          </w:p>
          <w:p>
            <w:pPr>
              <w:pStyle w:val="15"/>
              <w:rPr>
                <w:rFonts w:hint="default" w:ascii="Arial Narrow" w:hAnsi="Arial Narrow" w:eastAsia="仿宋_GB2312" w:cs="Arial Narrow"/>
              </w:rPr>
            </w:pPr>
            <w:r>
              <w:rPr>
                <w:rFonts w:hint="default" w:ascii="Arial Narrow" w:hAnsi="Arial Narrow" w:eastAsia="仿宋_GB2312" w:cs="Arial Narrow"/>
              </w:rPr>
              <w:t>2.推动农业发展，改善农村条件，增加农民收入。</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支付租金面积数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支出中宏三融及北部土地租金面积数量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租用土地有效利用率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中宏三融及北部租用土地利用有效性</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资金拨付及时性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土地租金按合同约定时间及时拨付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530斤大米当年市场价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460斤大米当年市场价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处理遗留问题办公费用支出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用于处理土地出租相关遗留问题及办公用车等费用支出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受益总人数（人）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项目建设后项目区内直接受益人口总数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农户收入增长率(％)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(项目实施后的项目区内农户收入－项目实施前的项目区内农户收入)÷项目实施前的项目区内农户收入×100％</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直接带动养殖产业农户</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通过项目实施，新增加直接受益农户数量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相关人员调查中，满意和较满意的人数占全部调查人数的比率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15、荒山沟地租项目绩效目标表</w:t>
            </w:r>
            <w:r>
              <w:rPr>
                <w:rFonts w:hint="eastAsia" w:ascii="Arial Narrow" w:hAnsi="Arial Narrow" w:eastAsia="仿宋_GB2312" w:cs="Arial Narrow"/>
                <w:color w:val="000000"/>
                <w:sz w:val="28"/>
                <w:lang w:val="en-US" w:eastAsia="zh-CN"/>
              </w:rPr>
              <w:t xml:space="preserve">                                                                                                                                         </w:t>
            </w: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13032124P00329510103N</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荒山沟地租项目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预算资金100万元，其中财政资金100万元。主要用于土地租金支出。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rPr>
                <w:rFonts w:hint="default" w:ascii="Arial Narrow" w:hAnsi="Arial Narrow" w:eastAsia="仿宋_GB2312" w:cs="Arial Narrow"/>
              </w:rPr>
            </w:pPr>
            <w:r>
              <w:rPr>
                <w:rFonts w:hint="default" w:ascii="Arial Narrow" w:hAnsi="Arial Narrow" w:eastAsia="仿宋_GB2312" w:cs="Arial Narrow"/>
              </w:rPr>
              <w:t>25.00</w:t>
            </w:r>
          </w:p>
        </w:tc>
        <w:tc>
          <w:tcPr>
            <w:tcW w:w="283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50.00</w:t>
            </w:r>
          </w:p>
        </w:tc>
        <w:tc>
          <w:tcPr>
            <w:tcW w:w="25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75.00</w:t>
            </w:r>
          </w:p>
        </w:tc>
        <w:tc>
          <w:tcPr>
            <w:tcW w:w="3543" w:type="dxa"/>
            <w:gridSpan w:val="2"/>
            <w:vAlign w:val="center"/>
          </w:tcPr>
          <w:p>
            <w:pPr>
              <w:pStyle w:val="16"/>
              <w:rPr>
                <w:rFonts w:hint="default" w:ascii="Arial Narrow" w:hAnsi="Arial Narrow" w:eastAsia="仿宋_GB2312" w:cs="Arial Narrow"/>
              </w:rPr>
            </w:pPr>
            <w:r>
              <w:rPr>
                <w:rFonts w:hint="default" w:ascii="Arial Narrow" w:hAnsi="Arial Narrow" w:eastAsia="仿宋_GB2312" w:cs="Arial Narrow"/>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1.通过支付地租，集中用地，改变农业生产经营方式。</w:t>
            </w:r>
          </w:p>
          <w:p>
            <w:pPr>
              <w:pStyle w:val="15"/>
              <w:rPr>
                <w:rFonts w:hint="default" w:ascii="Arial Narrow" w:hAnsi="Arial Narrow" w:eastAsia="仿宋_GB2312" w:cs="Arial Narrow"/>
              </w:rPr>
            </w:pPr>
            <w:r>
              <w:rPr>
                <w:rFonts w:hint="default" w:ascii="Arial Narrow" w:hAnsi="Arial Narrow" w:eastAsia="仿宋_GB2312" w:cs="Arial Narrow"/>
              </w:rPr>
              <w:t>2.推动农业发展，改善农村条件，增加农民收入。</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支付租金面积数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支出中宏三融及北部土地租金面积数量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租用土地有效利用率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中宏三融及北部租用土地利用有效性</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资金拨付及时性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土地租金按合同约定时间及时拨付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530斤大米当年市场价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460斤大米当年市场价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处理遗留问题办公费用支出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用于处理土地出租相关遗留问题及办公用车等费用支出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受益总人数（人）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项目建设后项目区内直接受益人口总数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农户收入增长率(％)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(项目实施后的项目区内农户收入－项目实施前的项目区内农户收入)÷项目实施前的项目区内农户收入×100％</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直接带动养殖产业农户</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通过项目实施，新增加直接受益农户数量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相关人员调查中，满意和较满意的人数占全部调查人数的比率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16、解决旺达智能农业农产品仓储冷链物流项目征地遗留问题资金绩效目标表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13032124P003297100367</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解决旺达智能农业农产品仓储冷链物流项目征地遗留问题资金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预算资金15万元，其中财政资金15万元。主要用于解决项目征地遗留问题支出。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1.通过解决项目征地遗留问题，保障项目顺利推进</w:t>
            </w:r>
          </w:p>
          <w:p>
            <w:pPr>
              <w:pStyle w:val="15"/>
              <w:rPr>
                <w:rFonts w:hint="default" w:ascii="Arial Narrow" w:hAnsi="Arial Narrow" w:eastAsia="仿宋_GB2312" w:cs="Arial Narrow"/>
              </w:rPr>
            </w:pPr>
            <w:r>
              <w:rPr>
                <w:rFonts w:hint="default" w:ascii="Arial Narrow" w:hAnsi="Arial Narrow" w:eastAsia="仿宋_GB2312" w:cs="Arial Narrow"/>
              </w:rPr>
              <w:t>2.通过农业产业结构调整，增加农民收入</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产生费用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施工产生费用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征地面积</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项目所需要的征地面积</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18.22亩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资金支付及时性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产生费用按时支付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5月1日前支付</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征地成本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支付征地成本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5.5元/亩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地上附着物清除率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所生土地地上附着物清除干净</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资金支付及时性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征地款按时支付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5月1日前支付</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受益人口</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项目成后受益总人口数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就业人数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通过项目实施增加就业人数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相关人员调查中，满意和较满意的人数占全部调查人数的比率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17、燃煤锅炉改造项目绩效目标表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13032123P003295100100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燃煤锅炉改造项目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17</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17</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预算资金17万元，其中财政资金17万元。主要用于机关冬季取暖支出。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1.通开展燃煤锅炉改造工作，确保机关正常办公，为机关工作人员和群众提供良好的工作办事环境。</w:t>
            </w:r>
          </w:p>
          <w:p>
            <w:pPr>
              <w:pStyle w:val="15"/>
              <w:rPr>
                <w:rFonts w:hint="default" w:ascii="Arial Narrow" w:hAnsi="Arial Narrow" w:eastAsia="仿宋_GB2312" w:cs="Arial Narrow"/>
              </w:rPr>
            </w:pPr>
            <w:r>
              <w:rPr>
                <w:rFonts w:hint="default" w:ascii="Arial Narrow" w:hAnsi="Arial Narrow" w:eastAsia="仿宋_GB2312" w:cs="Arial Narrow"/>
              </w:rPr>
              <w:t>2.通过改变取暖方式，加大大气治理力度，提升大气质量。</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冬季采暖保障面积</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用于冬季采暖的办公场所面积数量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3870㎡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二氧化硫削排放减率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当年实际二氧化硫排放削减率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细颗粒物排放削减率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当年实际细颗粒物排放削减率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资金支付时效性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燃煤锅炉改造及清洁能源补贴在采暖期内及时拨付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12月31日前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供暖设施维修支出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供暖管道设施维修费用支出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采暖费用支出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办公场所取暖费用支出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≤17万元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全年空气优良天数增长率（%）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全年空气优良天数同比增长率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生态效益指标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大气环境质量改善率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大气环境质量改善同比增长率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调查中满意和较满意的公众人数占全部调查人数的比率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18、矽肺病人员生活困难补助 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13032123P003295100127</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矽肺病人员生活困难补助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lang w:val="en-US" w:eastAsia="zh-CN"/>
              </w:rPr>
            </w:pPr>
            <w:r>
              <w:rPr>
                <w:rFonts w:hint="default" w:ascii="Arial Narrow" w:hAnsi="Arial Narrow" w:eastAsia="仿宋_GB2312" w:cs="Arial Narrow"/>
              </w:rPr>
              <w:t>6.3</w:t>
            </w:r>
            <w:r>
              <w:rPr>
                <w:rFonts w:hint="eastAsia" w:ascii="Arial Narrow" w:hAnsi="Arial Narrow" w:eastAsia="仿宋_GB2312" w:cs="Arial Narrow"/>
                <w:lang w:val="en-US" w:eastAsia="zh-CN"/>
              </w:rPr>
              <w:t>28</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6.3</w:t>
            </w:r>
            <w:r>
              <w:rPr>
                <w:rFonts w:hint="eastAsia" w:ascii="Arial Narrow" w:hAnsi="Arial Narrow" w:eastAsia="仿宋_GB2312" w:cs="Arial Narrow"/>
                <w:lang w:val="en-US" w:eastAsia="zh-CN"/>
              </w:rPr>
              <w:t>28</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预算资金6.328万元，其中财政资金6.328万元。主要用于矽肺病人生活补助支出。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1.通过对矽肺病人发放生活补助，保障病人基本生活。</w:t>
            </w:r>
          </w:p>
          <w:p>
            <w:pPr>
              <w:pStyle w:val="15"/>
              <w:rPr>
                <w:rFonts w:hint="default" w:ascii="Arial Narrow" w:hAnsi="Arial Narrow" w:eastAsia="仿宋_GB2312" w:cs="Arial Narrow"/>
              </w:rPr>
            </w:pPr>
            <w:r>
              <w:rPr>
                <w:rFonts w:hint="default" w:ascii="Arial Narrow" w:hAnsi="Arial Narrow" w:eastAsia="仿宋_GB2312" w:cs="Arial Narrow"/>
              </w:rPr>
              <w:t>2.稳控不稳定群体，确保基层社会稳定。</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补助人数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已认定伤残等级待遇矽肺病人数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核实次数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已认定伤残等级待遇矽肺病人数核实次数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≥1次/年</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资金发放到位率（%）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资金待遇按时足额发放人数占应发放人数的比率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认定准确率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认定伤残待遇矽肺病人员准确率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发放标准准确率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按照相关文件标准发放标准准确率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资金发放及时性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收到专项资金后拨付到救助对象手中的时效</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每人每年发放标准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支付已认定伤残等级待遇矽肺病的生活补助</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≤0.43万元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提升生活质量提升，维护社会稳定</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保障、提升矽肺病人家庭生活水平，维护社会稳定</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救助对象满意度（%）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问卷调查中，满意和较满意的救助对象数量占调研对象总数的比率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19、严重精神障碍患者监护人责任险绩效目标表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13032123P00329510013T</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预算资金2.06万元，其中财政资金2.06万元。主要用于严重精神障碍患者监护人办理相关保险支出。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1.通过为严重精神障碍患者监护人办理相关保险业，预防严重精神障碍患者伤及人身、损坏财物事件发生。</w:t>
            </w:r>
          </w:p>
          <w:p>
            <w:pPr>
              <w:pStyle w:val="15"/>
              <w:rPr>
                <w:rFonts w:hint="default" w:ascii="Arial Narrow" w:hAnsi="Arial Narrow" w:eastAsia="仿宋_GB2312" w:cs="Arial Narrow"/>
              </w:rPr>
            </w:pPr>
            <w:r>
              <w:rPr>
                <w:rFonts w:hint="default" w:ascii="Arial Narrow" w:hAnsi="Arial Narrow" w:eastAsia="仿宋_GB2312" w:cs="Arial Narrow"/>
              </w:rPr>
              <w:t>2.通过以政府出资投保的方式，减少监护人损失、增强监护人、当事人社会保障，从而化解事后风险。</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享受保险人数(人)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享受严重精神障碍患者监护人责任险的人数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严重精神障碍患者</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反映严重精神障碍患者人数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参保率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已参保人数占应参保人数的比率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审核准确率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责任险报销事项审核准确率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办结率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责任险报销事项实际在规定时间内及时办结的件数占应在规定时间内及时办结的件数的比率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缴纳保险及时率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反映及时足额缴纳保险时间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10月前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补助标准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给予严重精神障碍患者监护人每人每年支付保险的费用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提高监护人保障</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减少监护人损失、增强监护人、当事人社会保障，从而化解事后风险</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被保险人满意度（%）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被保险监护人对保险服务的满意程度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10" w:after="10" w:line="240" w:lineRule="auto"/>
        <w:ind w:firstLine="640"/>
        <w:jc w:val="left"/>
        <w:outlineLvl w:val="2"/>
        <w:rPr>
          <w:rFonts w:hint="default" w:ascii="Arial Narrow" w:hAnsi="Arial Narrow" w:eastAsia="仿宋_GB2312" w:cs="Arial Narrow"/>
        </w:rPr>
      </w:pPr>
      <w:bookmarkStart w:id="16" w:name="_Toc_3_3_0000000017"/>
      <w:r>
        <w:rPr>
          <w:rFonts w:hint="default" w:ascii="Arial Narrow" w:hAnsi="Arial Narrow" w:eastAsia="仿宋_GB2312" w:cs="Arial Narrow"/>
          <w:color w:val="000000"/>
          <w:sz w:val="32"/>
        </w:rPr>
        <w:t>八、政府采购预算情况</w:t>
      </w:r>
      <w:bookmarkEnd w:id="16"/>
    </w:p>
    <w:p>
      <w:pPr>
        <w:spacing w:before="0" w:after="0" w:line="240" w:lineRule="auto"/>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7710" w:type="dxa"/>
            <w:gridSpan w:val="8"/>
            <w:tcBorders>
              <w:top w:val="single" w:color="FFFFFF" w:sz="6" w:space="0"/>
              <w:left w:val="single" w:color="FFFFFF" w:sz="6" w:space="0"/>
              <w:right w:val="single" w:color="FFFFFF" w:sz="6" w:space="0"/>
            </w:tcBorders>
            <w:vAlign w:val="center"/>
          </w:tcPr>
          <w:p>
            <w:pPr>
              <w:pStyle w:val="27"/>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政府采购项目来源</w:t>
            </w:r>
          </w:p>
        </w:tc>
        <w:tc>
          <w:tcPr>
            <w:tcW w:w="11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采购物品名称</w:t>
            </w:r>
          </w:p>
        </w:tc>
        <w:tc>
          <w:tcPr>
            <w:tcW w:w="11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政府采购目录序号</w:t>
            </w:r>
          </w:p>
        </w:tc>
        <w:tc>
          <w:tcPr>
            <w:tcW w:w="70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计量  单位</w:t>
            </w:r>
          </w:p>
        </w:tc>
        <w:tc>
          <w:tcPr>
            <w:tcW w:w="850"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数量</w:t>
            </w:r>
          </w:p>
        </w:tc>
        <w:tc>
          <w:tcPr>
            <w:tcW w:w="850"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单价</w:t>
            </w:r>
          </w:p>
        </w:tc>
        <w:tc>
          <w:tcPr>
            <w:tcW w:w="6746" w:type="dxa"/>
            <w:gridSpan w:val="7"/>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政府采购金额（当年部门预算安排资金）</w:t>
            </w:r>
          </w:p>
        </w:tc>
        <w:tc>
          <w:tcPr>
            <w:tcW w:w="96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    资金</w:t>
            </w:r>
          </w:p>
        </w:tc>
        <w:tc>
          <w:tcPr>
            <w:tcW w:w="1134" w:type="dxa"/>
            <w:vMerge w:val="continue"/>
          </w:tcPr>
          <w:p>
            <w:pPr>
              <w:rPr>
                <w:rFonts w:hint="default" w:ascii="Arial Narrow" w:hAnsi="Arial Narrow" w:eastAsia="仿宋_GB2312" w:cs="Arial Narrow"/>
              </w:rPr>
            </w:pPr>
          </w:p>
        </w:tc>
        <w:tc>
          <w:tcPr>
            <w:tcW w:w="1134" w:type="dxa"/>
            <w:vMerge w:val="continue"/>
          </w:tcPr>
          <w:p>
            <w:pPr>
              <w:rPr>
                <w:rFonts w:hint="default" w:ascii="Arial Narrow" w:hAnsi="Arial Narrow" w:eastAsia="仿宋_GB2312" w:cs="Arial Narrow"/>
              </w:rPr>
            </w:pPr>
          </w:p>
        </w:tc>
        <w:tc>
          <w:tcPr>
            <w:tcW w:w="709" w:type="dxa"/>
            <w:vMerge w:val="continue"/>
          </w:tcPr>
          <w:p>
            <w:pPr>
              <w:rPr>
                <w:rFonts w:hint="default" w:ascii="Arial Narrow" w:hAnsi="Arial Narrow" w:eastAsia="仿宋_GB2312" w:cs="Arial Narrow"/>
              </w:rPr>
            </w:pPr>
          </w:p>
        </w:tc>
        <w:tc>
          <w:tcPr>
            <w:tcW w:w="850" w:type="dxa"/>
            <w:vMerge w:val="continue"/>
          </w:tcPr>
          <w:p>
            <w:pPr>
              <w:rPr>
                <w:rFonts w:hint="default" w:ascii="Arial Narrow" w:hAnsi="Arial Narrow" w:eastAsia="仿宋_GB2312" w:cs="Arial Narrow"/>
              </w:rPr>
            </w:pPr>
          </w:p>
        </w:tc>
        <w:tc>
          <w:tcPr>
            <w:tcW w:w="850" w:type="dxa"/>
            <w:vMerge w:val="continue"/>
          </w:tcPr>
          <w:p>
            <w:pPr>
              <w:rPr>
                <w:rFonts w:hint="default" w:ascii="Arial Narrow" w:hAnsi="Arial Narrow" w:eastAsia="仿宋_GB2312" w:cs="Arial Narrow"/>
              </w:rPr>
            </w:pP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一般公共预算拨款</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基金预算拨款</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国有资本经营预算拨款</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财政专户核拨</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    资金</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上年结转结余</w:t>
            </w:r>
          </w:p>
        </w:tc>
        <w:tc>
          <w:tcPr>
            <w:tcW w:w="964"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1134" w:type="dxa"/>
            <w:vAlign w:val="center"/>
          </w:tcPr>
          <w:p>
            <w:pPr>
              <w:pStyle w:val="15"/>
              <w:rPr>
                <w:rFonts w:hint="default" w:ascii="Arial Narrow" w:hAnsi="Arial Narrow" w:eastAsia="仿宋_GB2312" w:cs="Arial Narrow"/>
              </w:rPr>
            </w:pPr>
          </w:p>
        </w:tc>
        <w:tc>
          <w:tcPr>
            <w:tcW w:w="1134" w:type="dxa"/>
            <w:vAlign w:val="center"/>
          </w:tcPr>
          <w:p>
            <w:pPr>
              <w:pStyle w:val="15"/>
              <w:rPr>
                <w:rFonts w:hint="default" w:ascii="Arial Narrow" w:hAnsi="Arial Narrow" w:eastAsia="仿宋_GB2312" w:cs="Arial Narrow"/>
              </w:rPr>
            </w:pPr>
          </w:p>
        </w:tc>
        <w:tc>
          <w:tcPr>
            <w:tcW w:w="709" w:type="dxa"/>
            <w:vAlign w:val="center"/>
          </w:tcPr>
          <w:p>
            <w:pPr>
              <w:pStyle w:val="16"/>
              <w:rPr>
                <w:rFonts w:hint="default" w:ascii="Arial Narrow" w:hAnsi="Arial Narrow" w:eastAsia="仿宋_GB2312" w:cs="Arial Narrow"/>
              </w:rPr>
            </w:pPr>
          </w:p>
        </w:tc>
        <w:tc>
          <w:tcPr>
            <w:tcW w:w="850" w:type="dxa"/>
            <w:vAlign w:val="center"/>
          </w:tcPr>
          <w:p>
            <w:pPr>
              <w:pStyle w:val="14"/>
              <w:rPr>
                <w:rFonts w:hint="default" w:ascii="Arial Narrow" w:hAnsi="Arial Narrow" w:eastAsia="仿宋_GB2312" w:cs="Arial Narrow"/>
              </w:rPr>
            </w:pPr>
          </w:p>
        </w:tc>
        <w:tc>
          <w:tcPr>
            <w:tcW w:w="850"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r>
    </w:tbl>
    <w:p>
      <w:pPr>
        <w:spacing w:before="0" w:after="0" w:line="500" w:lineRule="exact"/>
        <w:ind w:firstLine="420"/>
        <w:jc w:val="left"/>
        <w:outlineLvl w:val="9"/>
        <w:rPr>
          <w:rFonts w:hint="default" w:ascii="Arial Narrow" w:hAnsi="Arial Narrow" w:eastAsia="仿宋_GB2312" w:cs="Arial Narrow"/>
        </w:rPr>
      </w:pPr>
      <w:r>
        <w:rPr>
          <w:rFonts w:hint="default" w:ascii="Arial Narrow" w:hAnsi="Arial Narrow" w:eastAsia="仿宋_GB2312" w:cs="Arial Narrow"/>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rPr>
          <w:rFonts w:hint="default" w:ascii="Arial Narrow" w:hAnsi="Arial Narrow" w:eastAsia="仿宋_GB2312" w:cs="Arial Narrow"/>
        </w:rPr>
      </w:pPr>
      <w:r>
        <w:rPr>
          <w:rFonts w:hint="default" w:ascii="Arial Narrow" w:hAnsi="Arial Narrow" w:eastAsia="仿宋_GB2312" w:cs="Arial Narrow"/>
          <w:color w:val="000000"/>
          <w:sz w:val="21"/>
        </w:rPr>
        <w:t>注：无政府采购预算，空表列示。</w:t>
      </w:r>
    </w:p>
    <w:p>
      <w:pPr>
        <w:spacing w:before="0" w:after="0"/>
        <w:ind w:firstLine="640"/>
        <w:jc w:val="left"/>
        <w:outlineLvl w:val="9"/>
        <w:rPr>
          <w:rFonts w:hint="default" w:ascii="Arial Narrow" w:hAnsi="Arial Narrow" w:eastAsia="仿宋_GB2312" w:cs="Arial Narrow"/>
        </w:rPr>
      </w:pPr>
      <w:r>
        <w:rPr>
          <w:rFonts w:hint="default" w:ascii="Arial Narrow" w:hAnsi="Arial Narrow" w:eastAsia="仿宋_GB2312" w:cs="Arial Narrow"/>
          <w:color w:val="000000"/>
          <w:sz w:val="32"/>
        </w:rPr>
        <w:t xml:space="preserve"> </w:t>
      </w:r>
    </w:p>
    <w:p>
      <w:pPr>
        <w:spacing w:before="10" w:after="10" w:line="240" w:lineRule="auto"/>
        <w:ind w:firstLine="640"/>
        <w:jc w:val="left"/>
        <w:outlineLvl w:val="2"/>
        <w:rPr>
          <w:rFonts w:hint="default" w:ascii="Arial Narrow" w:hAnsi="Arial Narrow" w:eastAsia="仿宋_GB2312" w:cs="Arial Narrow"/>
        </w:rPr>
      </w:pPr>
      <w:bookmarkStart w:id="17" w:name="_Toc_3_3_0000000018"/>
      <w:r>
        <w:rPr>
          <w:rFonts w:hint="default" w:ascii="Arial Narrow" w:hAnsi="Arial Narrow" w:eastAsia="仿宋_GB2312" w:cs="Arial Narrow"/>
          <w:color w:val="000000"/>
          <w:sz w:val="32"/>
        </w:rPr>
        <w:t>九、国有资产信息</w:t>
      </w:r>
      <w:bookmarkEnd w:id="17"/>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肖营子镇（含所属单位）上年末固定资产金额为</w:t>
      </w:r>
      <w:r>
        <w:rPr>
          <w:rFonts w:hint="eastAsia" w:ascii="Arial Narrow" w:hAnsi="Arial Narrow" w:eastAsia="仿宋_GB2312" w:cs="Arial Narrow"/>
          <w:b w:val="0"/>
          <w:color w:val="000000"/>
          <w:sz w:val="28"/>
          <w:lang w:val="en-US" w:eastAsia="zh-CN"/>
        </w:rPr>
        <w:t>458.75</w:t>
      </w:r>
      <w:r>
        <w:rPr>
          <w:rFonts w:hint="default" w:ascii="Arial Narrow" w:hAnsi="Arial Narrow" w:eastAsia="仿宋_GB2312" w:cs="Arial Narrow"/>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default" w:ascii="Arial Narrow" w:hAnsi="Arial Narrow" w:eastAsia="仿宋_GB2312" w:cs="Arial Narrow"/>
              </w:rPr>
              <w:t>916肖营子镇</w:t>
            </w:r>
          </w:p>
        </w:tc>
        <w:tc>
          <w:tcPr>
            <w:tcW w:w="5669"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数量</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资产总额</w:t>
            </w:r>
          </w:p>
        </w:tc>
        <w:tc>
          <w:tcPr>
            <w:tcW w:w="2835" w:type="dxa"/>
            <w:vAlign w:val="center"/>
          </w:tcPr>
          <w:p>
            <w:pPr>
              <w:pStyle w:val="16"/>
              <w:ind w:firstLine="0" w:firstLineChars="0"/>
              <w:rPr>
                <w:rFonts w:hint="default" w:ascii="Arial Narrow" w:hAnsi="Arial Narrow" w:eastAsia="仿宋_GB2312" w:cs="Arial Narrow"/>
              </w:rPr>
            </w:pPr>
          </w:p>
        </w:tc>
        <w:tc>
          <w:tcPr>
            <w:tcW w:w="2835" w:type="dxa"/>
            <w:vAlign w:val="center"/>
          </w:tcPr>
          <w:p>
            <w:pPr>
              <w:pStyle w:val="14"/>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458.75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1、房屋（平方米）</w:t>
            </w:r>
          </w:p>
        </w:tc>
        <w:tc>
          <w:tcPr>
            <w:tcW w:w="2835" w:type="dxa"/>
            <w:vAlign w:val="center"/>
          </w:tcPr>
          <w:p>
            <w:pPr>
              <w:pStyle w:val="16"/>
              <w:ind w:firstLine="0" w:firstLineChars="0"/>
              <w:rPr>
                <w:rFonts w:hint="default" w:ascii="Arial Narrow" w:hAnsi="Arial Narrow" w:eastAsia="仿宋_GB2312" w:cs="Arial Narrow"/>
              </w:rPr>
            </w:pPr>
            <w:r>
              <w:rPr>
                <w:rFonts w:hint="default" w:ascii="Arial Narrow" w:hAnsi="Arial Narrow" w:eastAsia="仿宋_GB2312" w:cs="Arial Narrow"/>
              </w:rPr>
              <w:t>17137.48</w:t>
            </w:r>
          </w:p>
        </w:tc>
        <w:tc>
          <w:tcPr>
            <w:tcW w:w="2835" w:type="dxa"/>
            <w:vAlign w:val="center"/>
          </w:tcPr>
          <w:p>
            <w:pPr>
              <w:pStyle w:val="14"/>
              <w:ind w:firstLine="0" w:firstLineChars="0"/>
              <w:rPr>
                <w:rFonts w:hint="default" w:ascii="Arial Narrow" w:hAnsi="Arial Narrow" w:eastAsia="仿宋_GB2312" w:cs="Arial Narrow"/>
              </w:rPr>
            </w:pPr>
            <w:r>
              <w:rPr>
                <w:rFonts w:hint="default" w:ascii="Arial Narrow" w:hAnsi="Arial Narrow" w:eastAsia="仿宋_GB2312" w:cs="Arial Narrow"/>
              </w:rPr>
              <w:t>383.26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其中：办公用房（平方米）</w:t>
            </w:r>
          </w:p>
        </w:tc>
        <w:tc>
          <w:tcPr>
            <w:tcW w:w="2835" w:type="dxa"/>
            <w:vAlign w:val="center"/>
          </w:tcPr>
          <w:p>
            <w:pPr>
              <w:pStyle w:val="16"/>
              <w:ind w:firstLine="0" w:firstLineChars="0"/>
              <w:rPr>
                <w:rFonts w:hint="default" w:ascii="Arial Narrow" w:hAnsi="Arial Narrow" w:eastAsia="仿宋_GB2312" w:cs="Arial Narrow"/>
              </w:rPr>
            </w:pPr>
            <w:r>
              <w:rPr>
                <w:rFonts w:hint="default" w:ascii="Arial Narrow" w:hAnsi="Arial Narrow" w:eastAsia="仿宋_GB2312" w:cs="Arial Narrow"/>
              </w:rPr>
              <w:t>2337.35</w:t>
            </w:r>
          </w:p>
        </w:tc>
        <w:tc>
          <w:tcPr>
            <w:tcW w:w="2835" w:type="dxa"/>
            <w:vAlign w:val="center"/>
          </w:tcPr>
          <w:p>
            <w:pPr>
              <w:pStyle w:val="14"/>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2、车辆（台、辆）</w:t>
            </w:r>
          </w:p>
        </w:tc>
        <w:tc>
          <w:tcPr>
            <w:tcW w:w="2835" w:type="dxa"/>
            <w:vAlign w:val="center"/>
          </w:tcPr>
          <w:p>
            <w:pPr>
              <w:pStyle w:val="16"/>
              <w:ind w:firstLine="0" w:firstLineChars="0"/>
              <w:rPr>
                <w:rFonts w:hint="default" w:ascii="Arial Narrow" w:hAnsi="Arial Narrow" w:eastAsia="仿宋_GB2312" w:cs="Arial Narrow"/>
              </w:rPr>
            </w:pPr>
            <w:r>
              <w:rPr>
                <w:rFonts w:hint="default" w:ascii="Arial Narrow" w:hAnsi="Arial Narrow" w:eastAsia="仿宋_GB2312" w:cs="Arial Narrow"/>
              </w:rPr>
              <w:t>1</w:t>
            </w:r>
          </w:p>
        </w:tc>
        <w:tc>
          <w:tcPr>
            <w:tcW w:w="2835" w:type="dxa"/>
            <w:vAlign w:val="center"/>
          </w:tcPr>
          <w:p>
            <w:pPr>
              <w:pStyle w:val="14"/>
              <w:ind w:firstLine="0" w:firstLineChars="0"/>
              <w:rPr>
                <w:rFonts w:hint="default" w:ascii="Arial Narrow" w:hAnsi="Arial Narrow" w:eastAsia="仿宋_GB2312" w:cs="Arial Narrow"/>
              </w:rPr>
            </w:pPr>
            <w:r>
              <w:rPr>
                <w:rFonts w:hint="default" w:ascii="Arial Narrow" w:hAnsi="Arial Narrow" w:eastAsia="仿宋_GB2312" w:cs="Arial Narrow"/>
              </w:rPr>
              <w:t>10.48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3、单价在20万元以上的设备</w:t>
            </w:r>
          </w:p>
        </w:tc>
        <w:tc>
          <w:tcPr>
            <w:tcW w:w="2835" w:type="dxa"/>
            <w:vAlign w:val="center"/>
          </w:tcPr>
          <w:p>
            <w:pPr>
              <w:pStyle w:val="16"/>
              <w:ind w:firstLine="0" w:firstLineChars="0"/>
              <w:rPr>
                <w:rFonts w:hint="default" w:ascii="Arial Narrow" w:hAnsi="Arial Narrow" w:eastAsia="仿宋_GB2312" w:cs="Arial Narrow"/>
              </w:rPr>
            </w:pPr>
          </w:p>
        </w:tc>
        <w:tc>
          <w:tcPr>
            <w:tcW w:w="2835" w:type="dxa"/>
            <w:vAlign w:val="center"/>
          </w:tcPr>
          <w:p>
            <w:pPr>
              <w:pStyle w:val="14"/>
              <w:ind w:firstLine="0" w:firstLineChars="0"/>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4、其他固定资产</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167</w:t>
            </w:r>
          </w:p>
        </w:tc>
        <w:tc>
          <w:tcPr>
            <w:tcW w:w="2835" w:type="dxa"/>
            <w:vAlign w:val="center"/>
          </w:tcPr>
          <w:p>
            <w:pPr>
              <w:pStyle w:val="14"/>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65.01</w:t>
            </w:r>
          </w:p>
        </w:tc>
      </w:tr>
    </w:tbl>
    <w:p>
      <w:pPr>
        <w:spacing w:before="0" w:after="0"/>
        <w:ind w:firstLine="640"/>
        <w:jc w:val="left"/>
        <w:outlineLvl w:val="9"/>
        <w:rPr>
          <w:rFonts w:hint="default" w:ascii="Arial Narrow" w:hAnsi="Arial Narrow" w:eastAsia="仿宋_GB2312" w:cs="Arial Narrow"/>
        </w:rPr>
      </w:pPr>
      <w:r>
        <w:rPr>
          <w:rFonts w:hint="default" w:ascii="Arial Narrow" w:hAnsi="Arial Narrow" w:eastAsia="仿宋_GB2312" w:cs="Arial Narrow"/>
          <w:color w:val="000000"/>
          <w:sz w:val="32"/>
        </w:rPr>
        <w:t xml:space="preserve"> </w:t>
      </w:r>
    </w:p>
    <w:p>
      <w:pPr>
        <w:spacing w:before="10" w:after="10" w:line="240" w:lineRule="auto"/>
        <w:ind w:firstLine="640"/>
        <w:jc w:val="left"/>
        <w:outlineLvl w:val="2"/>
        <w:rPr>
          <w:rFonts w:hint="default" w:ascii="Arial Narrow" w:hAnsi="Arial Narrow" w:eastAsia="仿宋_GB2312" w:cs="Arial Narrow"/>
        </w:rPr>
      </w:pPr>
      <w:bookmarkStart w:id="18" w:name="_Toc_3_3_0000000019"/>
      <w:r>
        <w:rPr>
          <w:rFonts w:hint="default" w:ascii="Arial Narrow" w:hAnsi="Arial Narrow" w:eastAsia="仿宋_GB2312" w:cs="Arial Narrow"/>
          <w:color w:val="000000"/>
          <w:sz w:val="32"/>
        </w:rPr>
        <w:t>十、名词解释</w:t>
      </w:r>
      <w:bookmarkEnd w:id="18"/>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1、</w:t>
      </w:r>
      <w:r>
        <w:rPr>
          <w:rFonts w:hint="default" w:ascii="Arial Narrow" w:hAnsi="Arial Narrow" w:eastAsia="仿宋_GB2312" w:cs="Arial Narrow"/>
          <w:b/>
          <w:color w:val="000000"/>
          <w:sz w:val="28"/>
        </w:rPr>
        <w:t>财政拨款收入：</w:t>
      </w:r>
      <w:r>
        <w:rPr>
          <w:rFonts w:hint="default" w:ascii="Arial Narrow" w:hAnsi="Arial Narrow" w:eastAsia="仿宋_GB2312" w:cs="Arial Narrow"/>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2、</w:t>
      </w:r>
      <w:r>
        <w:rPr>
          <w:rFonts w:hint="default" w:ascii="Arial Narrow" w:hAnsi="Arial Narrow" w:eastAsia="仿宋_GB2312" w:cs="Arial Narrow"/>
          <w:b/>
          <w:color w:val="000000"/>
          <w:sz w:val="28"/>
        </w:rPr>
        <w:t>财政专户管理资金收入：</w:t>
      </w:r>
      <w:r>
        <w:rPr>
          <w:rFonts w:hint="default" w:ascii="Arial Narrow" w:hAnsi="Arial Narrow" w:eastAsia="仿宋_GB2312" w:cs="Arial Narrow"/>
          <w:b w:val="0"/>
          <w:color w:val="000000"/>
          <w:sz w:val="28"/>
        </w:rPr>
        <w:t>缴入财政专户、实行专项管理的教育收费收入。</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3、</w:t>
      </w:r>
      <w:r>
        <w:rPr>
          <w:rFonts w:hint="default" w:ascii="Arial Narrow" w:hAnsi="Arial Narrow" w:eastAsia="仿宋_GB2312" w:cs="Arial Narrow"/>
          <w:b/>
          <w:color w:val="000000"/>
          <w:sz w:val="28"/>
        </w:rPr>
        <w:t>单位资金收入：</w:t>
      </w:r>
      <w:r>
        <w:rPr>
          <w:rFonts w:hint="default" w:ascii="Arial Narrow" w:hAnsi="Arial Narrow" w:eastAsia="仿宋_GB2312" w:cs="Arial Narrow"/>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4、</w:t>
      </w:r>
      <w:r>
        <w:rPr>
          <w:rFonts w:hint="default" w:ascii="Arial Narrow" w:hAnsi="Arial Narrow" w:eastAsia="仿宋_GB2312" w:cs="Arial Narrow"/>
          <w:b/>
          <w:color w:val="000000"/>
          <w:sz w:val="28"/>
        </w:rPr>
        <w:t>事业收入：</w:t>
      </w:r>
      <w:r>
        <w:rPr>
          <w:rFonts w:hint="default" w:ascii="Arial Narrow" w:hAnsi="Arial Narrow" w:eastAsia="仿宋_GB2312" w:cs="Arial Narrow"/>
          <w:b w:val="0"/>
          <w:color w:val="000000"/>
          <w:sz w:val="28"/>
        </w:rPr>
        <w:t>指事业单位开展专业业务活动及辅助活动所取得的收入。</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5、</w:t>
      </w:r>
      <w:r>
        <w:rPr>
          <w:rFonts w:hint="default" w:ascii="Arial Narrow" w:hAnsi="Arial Narrow" w:eastAsia="仿宋_GB2312" w:cs="Arial Narrow"/>
          <w:b/>
          <w:color w:val="000000"/>
          <w:sz w:val="28"/>
        </w:rPr>
        <w:t>事业单位经营收入：</w:t>
      </w:r>
      <w:r>
        <w:rPr>
          <w:rFonts w:hint="default" w:ascii="Arial Narrow" w:hAnsi="Arial Narrow" w:eastAsia="仿宋_GB2312" w:cs="Arial Narrow"/>
          <w:b w:val="0"/>
          <w:color w:val="000000"/>
          <w:sz w:val="28"/>
        </w:rPr>
        <w:t>指事业单位在专业业务活动及其辅助活动之外开展非独立核算经营活动取得的收入。</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6、</w:t>
      </w:r>
      <w:r>
        <w:rPr>
          <w:rFonts w:hint="default" w:ascii="Arial Narrow" w:hAnsi="Arial Narrow" w:eastAsia="仿宋_GB2312" w:cs="Arial Narrow"/>
          <w:b/>
          <w:color w:val="000000"/>
          <w:sz w:val="28"/>
        </w:rPr>
        <w:t>上年结转：</w:t>
      </w:r>
      <w:r>
        <w:rPr>
          <w:rFonts w:hint="default" w:ascii="Arial Narrow" w:hAnsi="Arial Narrow" w:eastAsia="仿宋_GB2312" w:cs="Arial Narrow"/>
          <w:b w:val="0"/>
          <w:color w:val="000000"/>
          <w:sz w:val="28"/>
        </w:rPr>
        <w:t>指以前年度安排、结转到本年仍按原规定用途继续使用的资金。</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7、</w:t>
      </w:r>
      <w:r>
        <w:rPr>
          <w:rFonts w:hint="default" w:ascii="Arial Narrow" w:hAnsi="Arial Narrow" w:eastAsia="仿宋_GB2312" w:cs="Arial Narrow"/>
          <w:b/>
          <w:color w:val="000000"/>
          <w:sz w:val="28"/>
        </w:rPr>
        <w:t>部门预算支出：</w:t>
      </w:r>
      <w:r>
        <w:rPr>
          <w:rFonts w:hint="default" w:ascii="Arial Narrow" w:hAnsi="Arial Narrow" w:eastAsia="仿宋_GB2312" w:cs="Arial Narrow"/>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8、</w:t>
      </w:r>
      <w:r>
        <w:rPr>
          <w:rFonts w:hint="default" w:ascii="Arial Narrow" w:hAnsi="Arial Narrow" w:eastAsia="仿宋_GB2312" w:cs="Arial Narrow"/>
          <w:b/>
          <w:color w:val="000000"/>
          <w:sz w:val="28"/>
        </w:rPr>
        <w:t>事业单位经营支出：</w:t>
      </w:r>
      <w:r>
        <w:rPr>
          <w:rFonts w:hint="default" w:ascii="Arial Narrow" w:hAnsi="Arial Narrow" w:eastAsia="仿宋_GB2312" w:cs="Arial Narrow"/>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9、</w:t>
      </w:r>
      <w:r>
        <w:rPr>
          <w:rFonts w:hint="default" w:ascii="Arial Narrow" w:hAnsi="Arial Narrow" w:eastAsia="仿宋_GB2312" w:cs="Arial Narrow"/>
          <w:b/>
          <w:color w:val="000000"/>
          <w:sz w:val="28"/>
        </w:rPr>
        <w:t>“三公”经费：</w:t>
      </w:r>
      <w:r>
        <w:rPr>
          <w:rFonts w:hint="default" w:ascii="Arial Narrow" w:hAnsi="Arial Narrow" w:eastAsia="仿宋_GB2312" w:cs="Arial Narrow"/>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10、</w:t>
      </w:r>
      <w:r>
        <w:rPr>
          <w:rFonts w:hint="default" w:ascii="Arial Narrow" w:hAnsi="Arial Narrow" w:eastAsia="仿宋_GB2312" w:cs="Arial Narrow"/>
          <w:b/>
          <w:color w:val="000000"/>
          <w:sz w:val="28"/>
        </w:rPr>
        <w:t>机关运行经费：</w:t>
      </w:r>
      <w:r>
        <w:rPr>
          <w:rFonts w:hint="default" w:ascii="Arial Narrow" w:hAnsi="Arial Narrow" w:eastAsia="仿宋_GB2312" w:cs="Arial Narrow"/>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rFonts w:hint="default" w:ascii="Arial Narrow" w:hAnsi="Arial Narrow" w:eastAsia="仿宋_GB2312" w:cs="Arial Narrow"/>
        </w:rPr>
      </w:pPr>
      <w:bookmarkStart w:id="19" w:name="_Toc_3_3_0000000020"/>
      <w:r>
        <w:rPr>
          <w:rFonts w:hint="default" w:ascii="Arial Narrow" w:hAnsi="Arial Narrow" w:eastAsia="仿宋_GB2312" w:cs="Arial Narrow"/>
          <w:color w:val="000000"/>
          <w:sz w:val="32"/>
        </w:rPr>
        <w:t>十一、其他需要说明的事项</w:t>
      </w:r>
      <w:bookmarkEnd w:id="19"/>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15509C8"/>
    <w:rsid w:val="038458CC"/>
    <w:rsid w:val="04EE232D"/>
    <w:rsid w:val="05521FC7"/>
    <w:rsid w:val="0570657B"/>
    <w:rsid w:val="07EE5F85"/>
    <w:rsid w:val="0F0D19B5"/>
    <w:rsid w:val="12EF784A"/>
    <w:rsid w:val="13C03E72"/>
    <w:rsid w:val="16BF21A1"/>
    <w:rsid w:val="1E384694"/>
    <w:rsid w:val="1EE6697C"/>
    <w:rsid w:val="21260D7B"/>
    <w:rsid w:val="271F29F3"/>
    <w:rsid w:val="2934650A"/>
    <w:rsid w:val="2961415C"/>
    <w:rsid w:val="31E032E3"/>
    <w:rsid w:val="33C14970"/>
    <w:rsid w:val="35D17F6A"/>
    <w:rsid w:val="364D442C"/>
    <w:rsid w:val="3CC974A4"/>
    <w:rsid w:val="3D0F13D5"/>
    <w:rsid w:val="3FE209A4"/>
    <w:rsid w:val="47637342"/>
    <w:rsid w:val="4A0C00A6"/>
    <w:rsid w:val="4AD8218B"/>
    <w:rsid w:val="4F5B0646"/>
    <w:rsid w:val="508C6A58"/>
    <w:rsid w:val="509D6294"/>
    <w:rsid w:val="518C3EDA"/>
    <w:rsid w:val="52194F4F"/>
    <w:rsid w:val="52C04C99"/>
    <w:rsid w:val="5C3B389F"/>
    <w:rsid w:val="5D505648"/>
    <w:rsid w:val="63417E63"/>
    <w:rsid w:val="712E6F82"/>
    <w:rsid w:val="758255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3" Type="http://schemas.openxmlformats.org/officeDocument/2006/relationships/fontTable" Target="fontTable.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2024-02-13T10:46:50Z</dcterms:created>
  <dcterms:modified xsi:type="dcterms:W3CDTF">2024-02-13T02:46:50Z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2024-02-13T10:46:53Z</dcterms:created>
  <dcterms:modified xsi:type="dcterms:W3CDTF">2024-02-13T02:46:53Z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2024-02-13T10:46:53Z</dcterms:created>
  <dcterms:modified xsi:type="dcterms:W3CDTF">2024-02-13T02:46:53Z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2024-02-13T10:46:53Z</dcterms:created>
  <dcterms:modified xsi:type="dcterms:W3CDTF">2024-02-13T02:46:53Z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2024-02-13T10:46:48Z</dcterms:created>
  <dcterms:modified xsi:type="dcterms:W3CDTF">2024-02-13T02:46:47Z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2024-02-13T10:46:50Z</dcterms:created>
  <dcterms:modified xsi:type="dcterms:W3CDTF">2024-02-13T02:46:50Z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2024-02-13T10:46:56Z</dcterms:created>
  <dcterms:modified xsi:type="dcterms:W3CDTF">2024-02-13T02:46:56Z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82b8eaf-7855-4a8c-adc2-5daa6a8c15a3}">
  <ds:schemaRefs/>
</ds:datastoreItem>
</file>

<file path=customXml/itemProps11.xml><?xml version="1.0" encoding="utf-8"?>
<ds:datastoreItem xmlns:ds="http://schemas.openxmlformats.org/officeDocument/2006/customXml" ds:itemID="{4d2e3ec0-2e69-497c-9659-2fd059d470c6}">
  <ds:schemaRefs/>
</ds:datastoreItem>
</file>

<file path=customXml/itemProps12.xml><?xml version="1.0" encoding="utf-8"?>
<ds:datastoreItem xmlns:ds="http://schemas.openxmlformats.org/officeDocument/2006/customXml" ds:itemID="{d1e0382e-bfd1-419f-942c-f429a452d179}">
  <ds:schemaRefs/>
</ds:datastoreItem>
</file>

<file path=customXml/itemProps13.xml><?xml version="1.0" encoding="utf-8"?>
<ds:datastoreItem xmlns:ds="http://schemas.openxmlformats.org/officeDocument/2006/customXml" ds:itemID="{b03dfbc3-14e7-4d39-8d03-459d3485418c}">
  <ds:schemaRefs/>
</ds:datastoreItem>
</file>

<file path=customXml/itemProps14.xml><?xml version="1.0" encoding="utf-8"?>
<ds:datastoreItem xmlns:ds="http://schemas.openxmlformats.org/officeDocument/2006/customXml" ds:itemID="{da5accfa-83cd-4965-9619-8263d5ca6fec}">
  <ds:schemaRefs/>
</ds:datastoreItem>
</file>

<file path=customXml/itemProps15.xml><?xml version="1.0" encoding="utf-8"?>
<ds:datastoreItem xmlns:ds="http://schemas.openxmlformats.org/officeDocument/2006/customXml" ds:itemID="{6f3d2d54-c16b-4e33-9c67-40e571d3121e}">
  <ds:schemaRefs/>
</ds:datastoreItem>
</file>

<file path=customXml/itemProps16.xml><?xml version="1.0" encoding="utf-8"?>
<ds:datastoreItem xmlns:ds="http://schemas.openxmlformats.org/officeDocument/2006/customXml" ds:itemID="{3785664f-0e96-4bc1-a1f6-6b0cab3ed1db}">
  <ds:schemaRefs/>
</ds:datastoreItem>
</file>

<file path=customXml/itemProps17.xml><?xml version="1.0" encoding="utf-8"?>
<ds:datastoreItem xmlns:ds="http://schemas.openxmlformats.org/officeDocument/2006/customXml" ds:itemID="{ae5be78c-83d6-4e5e-98db-7ac48b7b073d}">
  <ds:schemaRefs/>
</ds:datastoreItem>
</file>

<file path=customXml/itemProps18.xml><?xml version="1.0" encoding="utf-8"?>
<ds:datastoreItem xmlns:ds="http://schemas.openxmlformats.org/officeDocument/2006/customXml" ds:itemID="{6d5a9cb1-e867-4a42-9f2b-f02ab6453e0f}">
  <ds:schemaRefs/>
</ds:datastoreItem>
</file>

<file path=customXml/itemProps19.xml><?xml version="1.0" encoding="utf-8"?>
<ds:datastoreItem xmlns:ds="http://schemas.openxmlformats.org/officeDocument/2006/customXml" ds:itemID="{6d48e3a5-a7e6-427d-85db-3e8ed52678cd}">
  <ds:schemaRefs/>
</ds:datastoreItem>
</file>

<file path=customXml/itemProps2.xml><?xml version="1.0" encoding="utf-8"?>
<ds:datastoreItem xmlns:ds="http://schemas.openxmlformats.org/officeDocument/2006/customXml" ds:itemID="{0342d1c5-2237-4186-badc-36d7502cdc56}">
  <ds:schemaRefs/>
</ds:datastoreItem>
</file>

<file path=customXml/itemProps20.xml><?xml version="1.0" encoding="utf-8"?>
<ds:datastoreItem xmlns:ds="http://schemas.openxmlformats.org/officeDocument/2006/customXml" ds:itemID="{a6d97157-2d03-418a-ab41-a0bf8a613d3c}">
  <ds:schemaRefs/>
</ds:datastoreItem>
</file>

<file path=customXml/itemProps21.xml><?xml version="1.0" encoding="utf-8"?>
<ds:datastoreItem xmlns:ds="http://schemas.openxmlformats.org/officeDocument/2006/customXml" ds:itemID="{71771217-83c1-4a8a-ab08-2aa04facea98}">
  <ds:schemaRefs/>
</ds:datastoreItem>
</file>

<file path=customXml/itemProps22.xml><?xml version="1.0" encoding="utf-8"?>
<ds:datastoreItem xmlns:ds="http://schemas.openxmlformats.org/officeDocument/2006/customXml" ds:itemID="{5314c2bd-2a8e-43a1-b4c8-ae32fbadd5a1}">
  <ds:schemaRefs/>
</ds:datastoreItem>
</file>

<file path=customXml/itemProps23.xml><?xml version="1.0" encoding="utf-8"?>
<ds:datastoreItem xmlns:ds="http://schemas.openxmlformats.org/officeDocument/2006/customXml" ds:itemID="{66a7d54d-e8fb-4026-8a79-0e6ff13dfbad}">
  <ds:schemaRefs/>
</ds:datastoreItem>
</file>

<file path=customXml/itemProps24.xml><?xml version="1.0" encoding="utf-8"?>
<ds:datastoreItem xmlns:ds="http://schemas.openxmlformats.org/officeDocument/2006/customXml" ds:itemID="{4774f0bc-7153-48d6-8818-5240caa60d27}">
  <ds:schemaRefs/>
</ds:datastoreItem>
</file>

<file path=customXml/itemProps25.xml><?xml version="1.0" encoding="utf-8"?>
<ds:datastoreItem xmlns:ds="http://schemas.openxmlformats.org/officeDocument/2006/customXml" ds:itemID="{882a1d1e-6f57-4abc-bba5-57d7a672493a}">
  <ds:schemaRefs/>
</ds:datastoreItem>
</file>

<file path=customXml/itemProps26.xml><?xml version="1.0" encoding="utf-8"?>
<ds:datastoreItem xmlns:ds="http://schemas.openxmlformats.org/officeDocument/2006/customXml" ds:itemID="{e7c8d82f-b3a4-4f5d-b469-7411b6846d1d}">
  <ds:schemaRefs/>
</ds:datastoreItem>
</file>

<file path=customXml/itemProps27.xml><?xml version="1.0" encoding="utf-8"?>
<ds:datastoreItem xmlns:ds="http://schemas.openxmlformats.org/officeDocument/2006/customXml" ds:itemID="{47a99560-9197-4802-9f8b-e76081fd8bf6}">
  <ds:schemaRefs/>
</ds:datastoreItem>
</file>

<file path=customXml/itemProps28.xml><?xml version="1.0" encoding="utf-8"?>
<ds:datastoreItem xmlns:ds="http://schemas.openxmlformats.org/officeDocument/2006/customXml" ds:itemID="{a9354349-d868-4b5e-918b-c0dcc17de848}">
  <ds:schemaRefs/>
</ds:datastoreItem>
</file>

<file path=customXml/itemProps29.xml><?xml version="1.0" encoding="utf-8"?>
<ds:datastoreItem xmlns:ds="http://schemas.openxmlformats.org/officeDocument/2006/customXml" ds:itemID="{4d54e654-9ff8-4f2b-9f48-5d382680ca24}">
  <ds:schemaRefs/>
</ds:datastoreItem>
</file>

<file path=customXml/itemProps3.xml><?xml version="1.0" encoding="utf-8"?>
<ds:datastoreItem xmlns:ds="http://schemas.openxmlformats.org/officeDocument/2006/customXml" ds:itemID="{f0e9b40d-db70-4ec6-9301-4e4a8eb0b078}">
  <ds:schemaRefs/>
</ds:datastoreItem>
</file>

<file path=customXml/itemProps30.xml><?xml version="1.0" encoding="utf-8"?>
<ds:datastoreItem xmlns:ds="http://schemas.openxmlformats.org/officeDocument/2006/customXml" ds:itemID="{5fb44759-9209-466e-9905-3ae65825debc}">
  <ds:schemaRefs/>
</ds:datastoreItem>
</file>

<file path=customXml/itemProps31.xml><?xml version="1.0" encoding="utf-8"?>
<ds:datastoreItem xmlns:ds="http://schemas.openxmlformats.org/officeDocument/2006/customXml" ds:itemID="{8879d2d8-162c-4793-afc3-6dfac840c7ee}">
  <ds:schemaRefs/>
</ds:datastoreItem>
</file>

<file path=customXml/itemProps32.xml><?xml version="1.0" encoding="utf-8"?>
<ds:datastoreItem xmlns:ds="http://schemas.openxmlformats.org/officeDocument/2006/customXml" ds:itemID="{e1d99193-a0f6-4f1a-8eee-7b3483a67646}">
  <ds:schemaRefs/>
</ds:datastoreItem>
</file>

<file path=customXml/itemProps33.xml><?xml version="1.0" encoding="utf-8"?>
<ds:datastoreItem xmlns:ds="http://schemas.openxmlformats.org/officeDocument/2006/customXml" ds:itemID="{59632ac8-1adc-4574-9d71-8ac8df5cbccd}">
  <ds:schemaRefs/>
</ds:datastoreItem>
</file>

<file path=customXml/itemProps34.xml><?xml version="1.0" encoding="utf-8"?>
<ds:datastoreItem xmlns:ds="http://schemas.openxmlformats.org/officeDocument/2006/customXml" ds:itemID="{1c611b58-c226-4f03-90b8-097388dd73f0}">
  <ds:schemaRefs/>
</ds:datastoreItem>
</file>

<file path=customXml/itemProps35.xml><?xml version="1.0" encoding="utf-8"?>
<ds:datastoreItem xmlns:ds="http://schemas.openxmlformats.org/officeDocument/2006/customXml" ds:itemID="{2930e184-152f-4625-b28d-a02fa22efc94}">
  <ds:schemaRefs/>
</ds:datastoreItem>
</file>

<file path=customXml/itemProps36.xml><?xml version="1.0" encoding="utf-8"?>
<ds:datastoreItem xmlns:ds="http://schemas.openxmlformats.org/officeDocument/2006/customXml" ds:itemID="{bc4b9cc7-a975-42d0-b0d0-200c1d7a9066}">
  <ds:schemaRefs/>
</ds:datastoreItem>
</file>

<file path=customXml/itemProps37.xml><?xml version="1.0" encoding="utf-8"?>
<ds:datastoreItem xmlns:ds="http://schemas.openxmlformats.org/officeDocument/2006/customXml" ds:itemID="{f9f5300f-c951-4368-a09a-404b0d20aaf4}">
  <ds:schemaRefs/>
</ds:datastoreItem>
</file>

<file path=customXml/itemProps38.xml><?xml version="1.0" encoding="utf-8"?>
<ds:datastoreItem xmlns:ds="http://schemas.openxmlformats.org/officeDocument/2006/customXml" ds:itemID="{ea8a3480-d8d6-44fa-ad1f-b038419e6da4}">
  <ds:schemaRefs/>
</ds:datastoreItem>
</file>

<file path=customXml/itemProps39.xml><?xml version="1.0" encoding="utf-8"?>
<ds:datastoreItem xmlns:ds="http://schemas.openxmlformats.org/officeDocument/2006/customXml" ds:itemID="{6410e68f-60e4-42c3-908c-343c879d0cc3}">
  <ds:schemaRefs/>
</ds:datastoreItem>
</file>

<file path=customXml/itemProps4.xml><?xml version="1.0" encoding="utf-8"?>
<ds:datastoreItem xmlns:ds="http://schemas.openxmlformats.org/officeDocument/2006/customXml" ds:itemID="{14093c71-12b3-4442-b52b-d226e0fc5e7a}">
  <ds:schemaRefs/>
</ds:datastoreItem>
</file>

<file path=customXml/itemProps40.xml><?xml version="1.0" encoding="utf-8"?>
<ds:datastoreItem xmlns:ds="http://schemas.openxmlformats.org/officeDocument/2006/customXml" ds:itemID="{3d50c8fb-4b07-4c96-9347-a0da4710edc7}">
  <ds:schemaRefs/>
</ds:datastoreItem>
</file>

<file path=customXml/itemProps41.xml><?xml version="1.0" encoding="utf-8"?>
<ds:datastoreItem xmlns:ds="http://schemas.openxmlformats.org/officeDocument/2006/customXml" ds:itemID="{763a44e1-d8a5-4200-966e-45af1c67bed2}">
  <ds:schemaRefs/>
</ds:datastoreItem>
</file>

<file path=customXml/itemProps42.xml><?xml version="1.0" encoding="utf-8"?>
<ds:datastoreItem xmlns:ds="http://schemas.openxmlformats.org/officeDocument/2006/customXml" ds:itemID="{02a424a3-0e69-469c-a672-95e3244fdf79}">
  <ds:schemaRefs/>
</ds:datastoreItem>
</file>

<file path=customXml/itemProps43.xml><?xml version="1.0" encoding="utf-8"?>
<ds:datastoreItem xmlns:ds="http://schemas.openxmlformats.org/officeDocument/2006/customXml" ds:itemID="{26dc5ae7-b7b8-41ee-af10-f977297171d2}">
  <ds:schemaRefs/>
</ds:datastoreItem>
</file>

<file path=customXml/itemProps44.xml><?xml version="1.0" encoding="utf-8"?>
<ds:datastoreItem xmlns:ds="http://schemas.openxmlformats.org/officeDocument/2006/customXml" ds:itemID="{60c1491d-a3c3-42b1-99c6-fa0173ebfcb3}">
  <ds:schemaRefs/>
</ds:datastoreItem>
</file>

<file path=customXml/itemProps45.xml><?xml version="1.0" encoding="utf-8"?>
<ds:datastoreItem xmlns:ds="http://schemas.openxmlformats.org/officeDocument/2006/customXml" ds:itemID="{8faef2b7-1bc3-4998-a10f-1e90b99e469d}">
  <ds:schemaRefs/>
</ds:datastoreItem>
</file>

<file path=customXml/itemProps46.xml><?xml version="1.0" encoding="utf-8"?>
<ds:datastoreItem xmlns:ds="http://schemas.openxmlformats.org/officeDocument/2006/customXml" ds:itemID="{7db179da-ceab-4d3a-a88b-086eb8577047}">
  <ds:schemaRefs/>
</ds:datastoreItem>
</file>

<file path=customXml/itemProps47.xml><?xml version="1.0" encoding="utf-8"?>
<ds:datastoreItem xmlns:ds="http://schemas.openxmlformats.org/officeDocument/2006/customXml" ds:itemID="{92f07aa9-162e-4972-ad52-2191c86a8af3}">
  <ds:schemaRefs/>
</ds:datastoreItem>
</file>

<file path=customXml/itemProps5.xml><?xml version="1.0" encoding="utf-8"?>
<ds:datastoreItem xmlns:ds="http://schemas.openxmlformats.org/officeDocument/2006/customXml" ds:itemID="{7bc28982-5ce5-4250-b28b-69aea0af4e74}">
  <ds:schemaRefs/>
</ds:datastoreItem>
</file>

<file path=customXml/itemProps6.xml><?xml version="1.0" encoding="utf-8"?>
<ds:datastoreItem xmlns:ds="http://schemas.openxmlformats.org/officeDocument/2006/customXml" ds:itemID="{b028b08a-1ca0-4dba-b577-1844c9756ddc}">
  <ds:schemaRefs/>
</ds:datastoreItem>
</file>

<file path=customXml/itemProps7.xml><?xml version="1.0" encoding="utf-8"?>
<ds:datastoreItem xmlns:ds="http://schemas.openxmlformats.org/officeDocument/2006/customXml" ds:itemID="{aff7c04a-2cc0-42e6-9320-bdb1d5be0a2f}">
  <ds:schemaRefs/>
</ds:datastoreItem>
</file>

<file path=customXml/itemProps8.xml><?xml version="1.0" encoding="utf-8"?>
<ds:datastoreItem xmlns:ds="http://schemas.openxmlformats.org/officeDocument/2006/customXml" ds:itemID="{eb5a7f21-78d1-4210-8894-10168692879e}">
  <ds:schemaRefs/>
</ds:datastoreItem>
</file>

<file path=customXml/itemProps9.xml><?xml version="1.0" encoding="utf-8"?>
<ds:datastoreItem xmlns:ds="http://schemas.openxmlformats.org/officeDocument/2006/customXml" ds:itemID="{8a22a053-de5f-4731-84d4-bcaa95c07bcd}">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2024-02-13T10:46:00Z</dcterms:created>
  <dc:creator>Administrator</dc:creator>
  <cp:lastModifiedBy>Administrator</cp:lastModifiedBy>
  <cp:lastPrinted>2024-02-18T01:09:00Z</cp:lastPrinted>
  <dcterms:modified xsi:type="dcterms:W3CDTF">2025-12-12T09:51:36Z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E6303855A0E4474AA3F10D58F09D7FBF</vt:lpwstr>
  </property>
</Properties>
</file>