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8CD74">
      <w:pPr>
        <w:rPr>
          <w:rFonts w:hint="eastAsia"/>
        </w:rPr>
      </w:pPr>
    </w:p>
    <w:p w14:paraId="6148F06F">
      <w:pPr>
        <w:rPr>
          <w:rFonts w:hint="eastAsia"/>
        </w:rPr>
      </w:pPr>
    </w:p>
    <w:p w14:paraId="1D9F95B3">
      <w:pPr>
        <w:rPr>
          <w:rFonts w:hint="eastAsia"/>
        </w:rPr>
      </w:pPr>
    </w:p>
    <w:p w14:paraId="006A7EF1">
      <w:pPr>
        <w:rPr>
          <w:rFonts w:hint="eastAsia"/>
        </w:rPr>
      </w:pPr>
    </w:p>
    <w:p w14:paraId="1B10A49A">
      <w:pPr>
        <w:jc w:val="right"/>
        <w:rPr>
          <w:rFonts w:hint="eastAsia"/>
        </w:rPr>
      </w:pPr>
    </w:p>
    <w:p w14:paraId="0CF72DBF">
      <w:pPr>
        <w:jc w:val="right"/>
        <w:rPr>
          <w:rFonts w:hint="eastAsia" w:ascii="仿宋" w:hAnsi="仿宋" w:eastAsia="仿宋" w:cs="仿宋"/>
          <w:sz w:val="32"/>
          <w:szCs w:val="32"/>
        </w:rPr>
      </w:pPr>
      <w:r>
        <w:rPr>
          <w:rFonts w:hint="eastAsia"/>
        </w:rPr>
        <w:t xml:space="preserve"> </w:t>
      </w:r>
      <w:r>
        <w:rPr>
          <w:rFonts w:hint="eastAsia" w:ascii="仿宋" w:hAnsi="仿宋" w:eastAsia="仿宋" w:cs="仿宋"/>
          <w:sz w:val="32"/>
          <w:szCs w:val="32"/>
          <w:lang w:eastAsia="zh-CN"/>
        </w:rPr>
        <w:t>青</w:t>
      </w:r>
      <w:r>
        <w:rPr>
          <w:rFonts w:hint="eastAsia" w:ascii="仿宋" w:hAnsi="仿宋" w:eastAsia="仿宋" w:cs="仿宋"/>
          <w:sz w:val="32"/>
          <w:szCs w:val="32"/>
          <w:lang w:val="en-US" w:eastAsia="zh-CN"/>
        </w:rPr>
        <w:t>审批</w:t>
      </w:r>
      <w:r>
        <w:rPr>
          <w:rFonts w:hint="eastAsia" w:ascii="仿宋" w:hAnsi="仿宋" w:eastAsia="仿宋" w:cs="仿宋"/>
          <w:sz w:val="32"/>
          <w:szCs w:val="32"/>
          <w:lang w:eastAsia="zh-CN"/>
        </w:rPr>
        <w:t>环准许〔2025〕</w:t>
      </w:r>
      <w:r>
        <w:rPr>
          <w:rFonts w:hint="eastAsia" w:ascii="仿宋" w:hAnsi="仿宋" w:eastAsia="仿宋" w:cs="仿宋"/>
          <w:sz w:val="32"/>
          <w:szCs w:val="32"/>
          <w:lang w:val="en-US" w:eastAsia="zh-CN"/>
        </w:rPr>
        <w:t>14</w:t>
      </w:r>
      <w:r>
        <w:rPr>
          <w:rFonts w:hint="eastAsia" w:ascii="仿宋" w:hAnsi="仿宋" w:eastAsia="仿宋" w:cs="仿宋"/>
          <w:sz w:val="32"/>
          <w:szCs w:val="32"/>
          <w:lang w:eastAsia="zh-CN"/>
        </w:rPr>
        <w:t>号</w:t>
      </w:r>
      <w:r>
        <w:rPr>
          <w:rFonts w:hint="eastAsia" w:ascii="仿宋" w:hAnsi="仿宋" w:eastAsia="仿宋" w:cs="仿宋"/>
          <w:sz w:val="32"/>
          <w:szCs w:val="32"/>
        </w:rPr>
        <w:t xml:space="preserve"> </w:t>
      </w:r>
    </w:p>
    <w:p w14:paraId="0C58A9A8">
      <w:pPr>
        <w:rPr>
          <w:rFonts w:hint="eastAsia" w:ascii="仿宋" w:hAnsi="仿宋" w:eastAsia="仿宋" w:cs="仿宋"/>
          <w:sz w:val="32"/>
          <w:szCs w:val="32"/>
        </w:rPr>
      </w:pPr>
    </w:p>
    <w:p w14:paraId="1B5DA5EF">
      <w:pPr>
        <w:jc w:val="center"/>
        <w:rPr>
          <w:rFonts w:hint="eastAsia" w:ascii="黑体" w:hAnsi="黑体" w:eastAsia="黑体" w:cs="黑体"/>
          <w:spacing w:val="-17"/>
          <w:sz w:val="44"/>
          <w:szCs w:val="44"/>
        </w:rPr>
      </w:pPr>
      <w:r>
        <w:rPr>
          <w:rFonts w:hint="eastAsia" w:ascii="黑体" w:hAnsi="黑体" w:eastAsia="黑体" w:cs="黑体"/>
          <w:spacing w:val="-17"/>
          <w:sz w:val="44"/>
          <w:szCs w:val="44"/>
        </w:rPr>
        <w:t>青龙满族自治县</w:t>
      </w:r>
      <w:r>
        <w:rPr>
          <w:rFonts w:hint="eastAsia" w:ascii="黑体" w:hAnsi="黑体" w:eastAsia="黑体" w:cs="黑体"/>
          <w:spacing w:val="-17"/>
          <w:sz w:val="44"/>
          <w:szCs w:val="44"/>
          <w:lang w:val="en-US" w:eastAsia="zh-CN"/>
        </w:rPr>
        <w:t>行政审批</w:t>
      </w:r>
      <w:r>
        <w:rPr>
          <w:rFonts w:hint="eastAsia" w:ascii="黑体" w:hAnsi="黑体" w:eastAsia="黑体" w:cs="黑体"/>
          <w:spacing w:val="-17"/>
          <w:sz w:val="44"/>
          <w:szCs w:val="44"/>
        </w:rPr>
        <w:t>局</w:t>
      </w:r>
    </w:p>
    <w:p w14:paraId="4B0DD8D3">
      <w:pPr>
        <w:jc w:val="center"/>
        <w:rPr>
          <w:rFonts w:hint="eastAsia" w:ascii="仿宋" w:hAnsi="仿宋" w:eastAsia="仿宋" w:cs="仿宋"/>
          <w:sz w:val="32"/>
          <w:szCs w:val="32"/>
          <w:lang w:val="en-US" w:eastAsia="zh-CN"/>
        </w:rPr>
      </w:pPr>
      <w:r>
        <w:rPr>
          <w:rFonts w:hint="eastAsia" w:ascii="黑体" w:hAnsi="黑体" w:eastAsia="黑体" w:cs="黑体"/>
          <w:spacing w:val="-17"/>
          <w:sz w:val="44"/>
          <w:szCs w:val="44"/>
        </w:rPr>
        <w:t>关于《</w:t>
      </w:r>
      <w:r>
        <w:rPr>
          <w:rFonts w:hint="eastAsia" w:ascii="黑体" w:hAnsi="黑体" w:eastAsia="黑体" w:cs="黑体"/>
          <w:spacing w:val="-17"/>
          <w:sz w:val="44"/>
          <w:szCs w:val="44"/>
          <w:lang w:eastAsia="zh-CN"/>
        </w:rPr>
        <w:t>青龙满族自治县晟安环保科技有限公司新建混凝土生产线项目</w:t>
      </w:r>
      <w:r>
        <w:rPr>
          <w:rFonts w:hint="eastAsia" w:ascii="黑体" w:hAnsi="黑体" w:eastAsia="黑体" w:cs="黑体"/>
          <w:spacing w:val="-17"/>
          <w:sz w:val="44"/>
          <w:szCs w:val="44"/>
        </w:rPr>
        <w:t>》的批复</w:t>
      </w:r>
    </w:p>
    <w:p w14:paraId="08769CD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2"/>
          <w:szCs w:val="32"/>
          <w:lang w:eastAsia="zh-CN"/>
        </w:rPr>
      </w:pPr>
    </w:p>
    <w:p w14:paraId="76A1B851">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30"/>
          <w:szCs w:val="30"/>
        </w:rPr>
      </w:pPr>
      <w:r>
        <w:rPr>
          <w:rFonts w:hint="eastAsia" w:ascii="仿宋" w:hAnsi="仿宋" w:eastAsia="仿宋" w:cs="仿宋"/>
          <w:sz w:val="30"/>
          <w:szCs w:val="30"/>
          <w:lang w:eastAsia="zh-CN"/>
        </w:rPr>
        <w:t>青龙满族自治县晟安环保科技有限公司</w:t>
      </w:r>
      <w:r>
        <w:rPr>
          <w:rFonts w:hint="eastAsia" w:ascii="仿宋" w:hAnsi="仿宋" w:eastAsia="仿宋" w:cs="仿宋"/>
          <w:sz w:val="30"/>
          <w:szCs w:val="30"/>
        </w:rPr>
        <w:t>：</w:t>
      </w:r>
    </w:p>
    <w:p w14:paraId="651E73EC">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你单位所报《</w:t>
      </w:r>
      <w:r>
        <w:rPr>
          <w:rFonts w:hint="eastAsia" w:ascii="仿宋" w:hAnsi="仿宋" w:eastAsia="仿宋" w:cs="仿宋"/>
          <w:sz w:val="30"/>
          <w:szCs w:val="30"/>
          <w:lang w:eastAsia="zh-CN"/>
        </w:rPr>
        <w:t>青龙满族自治县晟安环保科技有限公司新建混凝土生产线项目</w:t>
      </w:r>
      <w:r>
        <w:rPr>
          <w:rFonts w:hint="eastAsia" w:ascii="仿宋" w:hAnsi="仿宋" w:eastAsia="仿宋" w:cs="仿宋"/>
          <w:sz w:val="30"/>
          <w:szCs w:val="30"/>
        </w:rPr>
        <w:t xml:space="preserve">环境影响报告表》(以下简称《报告表》)及相关申报材料已收悉。根据环境影响报告表结论、专家意见，结合项目环境影响特点和公示反馈等方面情况，经研究，现批复如下： </w:t>
      </w:r>
    </w:p>
    <w:p w14:paraId="24E536C6">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一、项目建设内容及总体要求</w:t>
      </w:r>
    </w:p>
    <w:p w14:paraId="301BBC4C">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本项目位于</w:t>
      </w:r>
      <w:r>
        <w:rPr>
          <w:rFonts w:hint="eastAsia" w:ascii="仿宋" w:hAnsi="仿宋" w:eastAsia="仿宋" w:cs="仿宋"/>
          <w:color w:val="auto"/>
          <w:sz w:val="30"/>
          <w:szCs w:val="30"/>
          <w:lang w:val="en-US" w:eastAsia="zh-CN"/>
        </w:rPr>
        <w:t>河北省</w:t>
      </w:r>
      <w:bookmarkStart w:id="0" w:name="_GoBack"/>
      <w:bookmarkEnd w:id="0"/>
      <w:r>
        <w:rPr>
          <w:rFonts w:hint="eastAsia" w:ascii="仿宋" w:hAnsi="仿宋" w:eastAsia="仿宋" w:cs="仿宋"/>
          <w:color w:val="auto"/>
          <w:sz w:val="30"/>
          <w:szCs w:val="30"/>
          <w:lang w:val="en-US" w:eastAsia="zh-CN"/>
        </w:rPr>
        <w:t>秦皇岛市青龙满族自治县双山子村村北800米，</w:t>
      </w:r>
      <w:r>
        <w:rPr>
          <w:rFonts w:hint="eastAsia" w:ascii="仿宋" w:hAnsi="仿宋" w:eastAsia="仿宋" w:cs="仿宋"/>
          <w:color w:val="auto"/>
          <w:sz w:val="30"/>
          <w:szCs w:val="30"/>
        </w:rPr>
        <w:t>中心地理位置坐标为</w:t>
      </w:r>
      <w:r>
        <w:rPr>
          <w:rFonts w:hint="eastAsia" w:ascii="仿宋" w:hAnsi="仿宋" w:eastAsia="仿宋" w:cs="仿宋"/>
          <w:color w:val="auto"/>
          <w:sz w:val="30"/>
          <w:szCs w:val="30"/>
          <w:lang w:val="en-US" w:eastAsia="zh-CN"/>
        </w:rPr>
        <w:t>北纬40°20′24.144″，东经119°9′58.100″</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该项目总占地面积17146.75平方米，总建筑面积4000平方米。项目分两期建设，一期建设混凝土搅拌楼及其配套设施、库房（内置砂石原料、上料斗、制砖设备等）、办公室等，拟建混凝土生产线一条及水泥砖生产线一条，购置混凝土搅拌机、配料机、称量系统、制砖机等生产设备，一期建设完成后年产混凝土12万立方米，水泥砖16万平方米。二期建设混凝土搅拌楼及其配套设施，砂石料存储及上料系统均置于一期库房内，拟建混凝土生产线一条，购置混凝土搅拌机、配料机、称量系统等生产设备，二期建设完成后年产混凝土12万立方米。项目总投资：400万元，其中项目资本金为400万元，项目资本金占项目总投资的比例为100%</w:t>
      </w:r>
      <w:r>
        <w:rPr>
          <w:rFonts w:hint="eastAsia" w:ascii="仿宋" w:hAnsi="仿宋" w:eastAsia="仿宋" w:cs="仿宋"/>
          <w:sz w:val="30"/>
          <w:szCs w:val="30"/>
          <w:lang w:eastAsia="zh-CN"/>
        </w:rPr>
        <w:t>。</w:t>
      </w:r>
      <w:r>
        <w:rPr>
          <w:rFonts w:hint="eastAsia" w:ascii="仿宋" w:hAnsi="仿宋" w:eastAsia="仿宋" w:cs="仿宋"/>
          <w:color w:val="auto"/>
          <w:sz w:val="30"/>
          <w:szCs w:val="30"/>
        </w:rPr>
        <w:t>本项目符合国家产业政策要求，</w:t>
      </w:r>
      <w:r>
        <w:rPr>
          <w:rFonts w:hint="eastAsia" w:ascii="仿宋" w:hAnsi="仿宋" w:eastAsia="仿宋" w:cs="仿宋"/>
          <w:color w:val="auto"/>
          <w:sz w:val="30"/>
          <w:szCs w:val="30"/>
          <w:lang w:val="en-US" w:eastAsia="zh-CN"/>
        </w:rPr>
        <w:t>批复</w:t>
      </w:r>
      <w:r>
        <w:rPr>
          <w:rFonts w:hint="eastAsia" w:ascii="仿宋" w:hAnsi="仿宋" w:eastAsia="仿宋" w:cs="仿宋"/>
          <w:color w:val="auto"/>
          <w:sz w:val="30"/>
          <w:szCs w:val="30"/>
        </w:rPr>
        <w:t>编号：</w:t>
      </w:r>
      <w:r>
        <w:rPr>
          <w:rFonts w:hint="eastAsia" w:ascii="仿宋" w:hAnsi="仿宋" w:eastAsia="仿宋" w:cs="仿宋"/>
          <w:color w:val="auto"/>
          <w:sz w:val="30"/>
          <w:szCs w:val="30"/>
          <w:lang w:val="en-US" w:eastAsia="zh-CN"/>
        </w:rPr>
        <w:t>青审批投资备〔2025〕604号</w:t>
      </w:r>
      <w:r>
        <w:rPr>
          <w:rFonts w:hint="eastAsia" w:ascii="仿宋" w:hAnsi="仿宋" w:eastAsia="仿宋" w:cs="仿宋"/>
          <w:color w:val="auto"/>
          <w:sz w:val="30"/>
          <w:szCs w:val="30"/>
        </w:rPr>
        <w:t>，项目建设符合“三线一单”要求。该项目在全面落实《报告表》提出的各项污染防治措施后，对环境的不利影响能够得到减缓和控制。我局原则同意《报告表》中所列建设项目的地点、性质、规模、工艺和拟采取的环境保护措施。</w:t>
      </w:r>
    </w:p>
    <w:p w14:paraId="11C6F3ED">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二、项目建设和运行过程中要认真落实《报告表》中提出的各项污染防治措施，确保各治污设施正常运行，各种污染物达标排放，确保满足相关要求，并重点做好以下工作：</w:t>
      </w:r>
    </w:p>
    <w:p w14:paraId="0A91033F">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（一）加强施工期环境管理，减少施工对环境的影响；</w:t>
      </w:r>
    </w:p>
    <w:p w14:paraId="58010524">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1、废气。施工期扬尘主要为建材堆置和运输产生的扬尘</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施工期</w:t>
      </w:r>
      <w:r>
        <w:rPr>
          <w:rFonts w:hint="eastAsia" w:ascii="仿宋" w:hAnsi="仿宋" w:eastAsia="仿宋" w:cs="仿宋"/>
          <w:color w:val="auto"/>
          <w:sz w:val="30"/>
          <w:szCs w:val="30"/>
          <w:lang w:val="en-US" w:eastAsia="zh-CN"/>
        </w:rPr>
        <w:t>场地</w:t>
      </w:r>
      <w:r>
        <w:rPr>
          <w:rFonts w:hint="eastAsia" w:ascii="仿宋" w:hAnsi="仿宋" w:eastAsia="仿宋" w:cs="仿宋"/>
          <w:color w:val="auto"/>
          <w:sz w:val="30"/>
          <w:szCs w:val="30"/>
        </w:rPr>
        <w:t>扬尘</w:t>
      </w:r>
      <w:r>
        <w:rPr>
          <w:rFonts w:hint="eastAsia" w:ascii="仿宋" w:hAnsi="仿宋" w:eastAsia="仿宋" w:cs="仿宋"/>
          <w:color w:val="auto"/>
          <w:sz w:val="30"/>
          <w:szCs w:val="30"/>
          <w:lang w:val="en-US" w:eastAsia="zh-CN"/>
        </w:rPr>
        <w:t>排放</w:t>
      </w:r>
      <w:r>
        <w:rPr>
          <w:rFonts w:hint="eastAsia" w:ascii="仿宋" w:hAnsi="仿宋" w:eastAsia="仿宋" w:cs="仿宋"/>
          <w:color w:val="auto"/>
          <w:sz w:val="30"/>
          <w:szCs w:val="30"/>
        </w:rPr>
        <w:t>执行</w:t>
      </w:r>
      <w:r>
        <w:rPr>
          <w:rFonts w:hint="eastAsia" w:ascii="仿宋" w:hAnsi="仿宋" w:eastAsia="仿宋" w:cs="仿宋"/>
          <w:color w:val="auto"/>
          <w:sz w:val="30"/>
          <w:szCs w:val="30"/>
          <w:lang w:val="en-US" w:eastAsia="zh-CN"/>
        </w:rPr>
        <w:t>河北省地方标准</w:t>
      </w:r>
      <w:r>
        <w:rPr>
          <w:rFonts w:hint="eastAsia" w:ascii="仿宋" w:hAnsi="仿宋" w:eastAsia="仿宋" w:cs="仿宋"/>
          <w:color w:val="auto"/>
          <w:sz w:val="30"/>
          <w:szCs w:val="30"/>
        </w:rPr>
        <w:t>《施工场地扬尘排放标准》（DB13/2934-2019）</w:t>
      </w:r>
      <w:r>
        <w:rPr>
          <w:rFonts w:hint="eastAsia" w:ascii="仿宋" w:hAnsi="仿宋" w:eastAsia="仿宋" w:cs="仿宋"/>
          <w:color w:val="auto"/>
          <w:sz w:val="30"/>
          <w:szCs w:val="30"/>
          <w:lang w:eastAsia="zh-CN"/>
        </w:rPr>
        <w:t>中</w:t>
      </w:r>
      <w:r>
        <w:rPr>
          <w:rFonts w:hint="eastAsia" w:ascii="仿宋" w:hAnsi="仿宋" w:eastAsia="仿宋" w:cs="仿宋"/>
          <w:color w:val="auto"/>
          <w:sz w:val="30"/>
          <w:szCs w:val="30"/>
          <w:lang w:val="en-US" w:eastAsia="zh-CN"/>
        </w:rPr>
        <w:t>相关要求</w:t>
      </w:r>
      <w:r>
        <w:rPr>
          <w:rFonts w:hint="eastAsia" w:ascii="仿宋" w:hAnsi="仿宋" w:eastAsia="仿宋" w:cs="仿宋"/>
          <w:color w:val="auto"/>
          <w:sz w:val="30"/>
          <w:szCs w:val="30"/>
        </w:rPr>
        <w:t>。</w:t>
      </w:r>
    </w:p>
    <w:p w14:paraId="4167625E">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2、废水。施工期废水主要产生于工程养护及车辆轮胎的冲洗。施工废水经沉淀后回用于工程养护、喷洒施工场地及道路抑尘等，不得外排；施工人员产生的</w:t>
      </w:r>
      <w:r>
        <w:rPr>
          <w:rFonts w:hint="eastAsia" w:ascii="仿宋" w:hAnsi="仿宋" w:eastAsia="仿宋" w:cs="仿宋"/>
          <w:color w:val="auto"/>
          <w:sz w:val="30"/>
          <w:szCs w:val="30"/>
          <w:lang w:val="en-US" w:eastAsia="zh-CN"/>
        </w:rPr>
        <w:t>洗手</w:t>
      </w:r>
      <w:r>
        <w:rPr>
          <w:rFonts w:hint="eastAsia" w:ascii="仿宋" w:hAnsi="仿宋" w:eastAsia="仿宋" w:cs="仿宋"/>
          <w:color w:val="auto"/>
          <w:sz w:val="30"/>
          <w:szCs w:val="30"/>
        </w:rPr>
        <w:t>废水直接泼洒抑尘。</w:t>
      </w:r>
    </w:p>
    <w:p w14:paraId="759E4E84">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hint="eastAsia" w:ascii="仿宋" w:hAnsi="仿宋" w:eastAsia="仿宋" w:cs="仿宋"/>
          <w:color w:val="FF0000"/>
          <w:sz w:val="30"/>
          <w:szCs w:val="30"/>
        </w:rPr>
      </w:pPr>
      <w:r>
        <w:rPr>
          <w:rFonts w:hint="eastAsia" w:ascii="仿宋" w:hAnsi="仿宋" w:eastAsia="仿宋" w:cs="仿宋"/>
          <w:color w:val="auto"/>
          <w:sz w:val="30"/>
          <w:szCs w:val="30"/>
        </w:rPr>
        <w:t>3、噪声。施工期噪声主要为装载机、挖掘机、运输车辆等机械噪声</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施工噪声</w:t>
      </w:r>
      <w:r>
        <w:rPr>
          <w:rFonts w:hint="eastAsia" w:ascii="仿宋" w:hAnsi="仿宋" w:eastAsia="仿宋" w:cs="仿宋"/>
          <w:color w:val="auto"/>
          <w:sz w:val="30"/>
          <w:szCs w:val="30"/>
          <w:lang w:val="en-US" w:eastAsia="zh-CN"/>
        </w:rPr>
        <w:t>执行《建筑施工场界环境噪声排放标准》（GB12523-2011）相关标准：昼间≤70dB(A)，夜间≤55dB(A)</w:t>
      </w:r>
      <w:r>
        <w:rPr>
          <w:rFonts w:hint="eastAsia" w:ascii="仿宋" w:hAnsi="仿宋" w:eastAsia="仿宋" w:cs="仿宋"/>
          <w:color w:val="auto"/>
          <w:sz w:val="30"/>
          <w:szCs w:val="30"/>
        </w:rPr>
        <w:t>。</w:t>
      </w:r>
    </w:p>
    <w:p w14:paraId="1BB52607">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4、固体废物。施工期固体废物主要为建筑施工产生的建筑垃圾、地基挖掘产生的弃土以及施工人员产生的生活垃圾等。生活垃圾收集后，交由环卫部门统一清运处理；建筑垃圾须依法依规进行处置。</w:t>
      </w:r>
    </w:p>
    <w:p w14:paraId="649BBAA7">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此外，应按照《报告表》要求加强施工机械、车辆保养及养护，采用低排放的设备减少尾气排放；采用苫盖等措施，并合理规划运输路线、运输时段，减少施工期对周边大气环境的影响。</w:t>
      </w:r>
    </w:p>
    <w:p w14:paraId="71F76617">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（二）加强运营期环境管理，认真落实各项污染防治措施，确保满足相关要求；</w:t>
      </w:r>
    </w:p>
    <w:p w14:paraId="56F049C2">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1、严格落实</w:t>
      </w:r>
      <w:r>
        <w:rPr>
          <w:rFonts w:hint="eastAsia" w:ascii="仿宋" w:hAnsi="仿宋" w:eastAsia="仿宋" w:cs="仿宋"/>
          <w:color w:val="auto"/>
          <w:sz w:val="30"/>
          <w:szCs w:val="30"/>
          <w:lang w:val="en-US" w:eastAsia="zh-CN"/>
        </w:rPr>
        <w:t>大气</w:t>
      </w:r>
      <w:r>
        <w:rPr>
          <w:rFonts w:hint="eastAsia" w:ascii="仿宋" w:hAnsi="仿宋" w:eastAsia="仿宋" w:cs="仿宋"/>
          <w:color w:val="auto"/>
          <w:sz w:val="30"/>
          <w:szCs w:val="30"/>
        </w:rPr>
        <w:t>污染防治措施。</w:t>
      </w:r>
      <w:r>
        <w:rPr>
          <w:rFonts w:hint="eastAsia" w:ascii="仿宋" w:hAnsi="仿宋" w:eastAsia="仿宋" w:cs="仿宋"/>
          <w:color w:val="auto"/>
          <w:sz w:val="30"/>
          <w:szCs w:val="30"/>
          <w:lang w:val="en-US" w:eastAsia="zh-CN"/>
        </w:rPr>
        <w:t>项目运营期产生有组织废气和无组织废气。有组织废气主要为粉料筒仓产生的含尘废气。主要为罐车在上料、卸料入筒仓过程呼吸孔产生的颗粒物；无组织废气主要来自骨料卸料、骨料储存、入料仓入料、皮带输送以及汽车道路运输产生的颗粒物。排气筒颗粒物排放需满足《水泥工业大气污染物超低排放标准》（DB13/2167-2020）表1大气污染物最高允许排放浓度及《秦皇岛市人民政府办公室关于执行钢铁等行业大气污染物排放特别要求的通知》（2021-10）中“秦皇岛市水泥行业大气污染物排放特别要求”：7mg/m³；厂界颗粒物排放需满足《水泥工业大气污染物超低排放标准》（DB13/2167-2020）表2大气污染物无组织排放限值以及《秦皇岛市人民政府办公室关于执行钢铁等行业大气污染物排放特别要求的通知》（2021-10）中“秦皇岛市水泥行业大气污染物排放特别要求”：0.3mg/m³。</w:t>
      </w:r>
    </w:p>
    <w:p w14:paraId="707B464B">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建设单位在正常生产时应合理安排环保设施的检修时间，同时应加强各环保设施的日常维护的保养。一旦环保设施出现报警或自动停机的情况，企业必须马上停止生产，待其正常运行后，方可开机生产。</w:t>
      </w:r>
    </w:p>
    <w:p w14:paraId="783B8304">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kern w:val="2"/>
          <w:sz w:val="30"/>
          <w:szCs w:val="30"/>
          <w:lang w:val="en-US" w:eastAsia="zh-CN" w:bidi="ar-SA"/>
        </w:rPr>
        <w:t>2、</w:t>
      </w:r>
      <w:r>
        <w:rPr>
          <w:rFonts w:hint="eastAsia" w:ascii="仿宋" w:hAnsi="仿宋" w:eastAsia="仿宋" w:cs="仿宋"/>
          <w:color w:val="auto"/>
          <w:sz w:val="30"/>
          <w:szCs w:val="30"/>
        </w:rPr>
        <w:t>严格落实水</w:t>
      </w:r>
      <w:r>
        <w:rPr>
          <w:rFonts w:hint="eastAsia" w:ascii="仿宋" w:hAnsi="仿宋" w:eastAsia="仿宋" w:cs="仿宋"/>
          <w:color w:val="auto"/>
          <w:sz w:val="30"/>
          <w:szCs w:val="30"/>
          <w:lang w:val="en-US" w:eastAsia="zh-CN"/>
        </w:rPr>
        <w:t>污染</w:t>
      </w:r>
      <w:r>
        <w:rPr>
          <w:rFonts w:hint="eastAsia" w:ascii="仿宋" w:hAnsi="仿宋" w:eastAsia="仿宋" w:cs="仿宋"/>
          <w:color w:val="auto"/>
          <w:sz w:val="30"/>
          <w:szCs w:val="30"/>
        </w:rPr>
        <w:t>防治措施。</w:t>
      </w:r>
      <w:r>
        <w:rPr>
          <w:rFonts w:hint="eastAsia" w:ascii="仿宋" w:hAnsi="仿宋" w:eastAsia="仿宋" w:cs="仿宋"/>
          <w:color w:val="auto"/>
          <w:sz w:val="30"/>
          <w:szCs w:val="30"/>
          <w:lang w:val="en-US" w:eastAsia="zh-CN"/>
        </w:rPr>
        <w:t>项目运营期生活废水主要为员工洗手废水，厂区内泼洒地面抑尘，不得外排；工程原料搅拌用水进入产品；搅拌设备及罐车罐内清洗用水沉淀池回收后循环使用；厂区内洒水抑尘用水全部蒸发；砂石料库喷雾抑尘用水蒸发；水泥砖养护用水沉淀池回收后循环使用；进出车辆冲洗用水沉淀池回收后循环使用，均不得外排。</w:t>
      </w:r>
    </w:p>
    <w:p w14:paraId="7AA7A067">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600" w:firstLineChars="200"/>
        <w:textAlignment w:val="auto"/>
        <w:rPr>
          <w:rFonts w:hint="eastAsia" w:ascii="仿宋" w:hAnsi="仿宋" w:eastAsia="仿宋" w:cs="仿宋"/>
          <w:color w:val="0000FF"/>
          <w:sz w:val="30"/>
          <w:szCs w:val="30"/>
        </w:rPr>
      </w:pP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、严格落实噪声污染防治措施。项目</w:t>
      </w:r>
      <w:r>
        <w:rPr>
          <w:rFonts w:hint="eastAsia" w:ascii="仿宋" w:hAnsi="仿宋" w:eastAsia="仿宋" w:cs="仿宋"/>
          <w:color w:val="auto"/>
          <w:sz w:val="30"/>
          <w:szCs w:val="30"/>
          <w:lang w:val="en-US" w:eastAsia="zh-CN"/>
        </w:rPr>
        <w:t>运营期噪声主要为生产设备运行时产生的噪声</w:t>
      </w:r>
      <w:r>
        <w:rPr>
          <w:rFonts w:hint="eastAsia" w:ascii="仿宋" w:hAnsi="仿宋" w:eastAsia="仿宋" w:cs="仿宋"/>
          <w:color w:val="auto"/>
          <w:sz w:val="30"/>
          <w:szCs w:val="30"/>
        </w:rPr>
        <w:t>。厂界噪声</w:t>
      </w:r>
      <w:r>
        <w:rPr>
          <w:rFonts w:hint="eastAsia" w:ascii="仿宋" w:hAnsi="仿宋" w:eastAsia="仿宋" w:cs="仿宋"/>
          <w:color w:val="auto"/>
          <w:sz w:val="30"/>
          <w:szCs w:val="30"/>
          <w:lang w:val="en-US" w:eastAsia="zh-CN"/>
        </w:rPr>
        <w:t>须</w:t>
      </w:r>
      <w:r>
        <w:rPr>
          <w:rFonts w:hint="eastAsia" w:ascii="仿宋" w:hAnsi="仿宋" w:eastAsia="仿宋" w:cs="仿宋"/>
          <w:color w:val="auto"/>
          <w:sz w:val="30"/>
          <w:szCs w:val="30"/>
        </w:rPr>
        <w:t>满足《工业企业厂界环境噪声排放标准》（GB12348-2008）</w:t>
      </w:r>
      <w:r>
        <w:rPr>
          <w:rFonts w:hint="eastAsia" w:ascii="仿宋" w:hAnsi="仿宋" w:eastAsia="仿宋" w:cs="仿宋"/>
          <w:color w:val="auto"/>
          <w:sz w:val="30"/>
          <w:szCs w:val="30"/>
          <w:lang w:val="en-US" w:eastAsia="zh-CN"/>
        </w:rPr>
        <w:t>相关</w:t>
      </w:r>
      <w:r>
        <w:rPr>
          <w:rFonts w:hint="eastAsia" w:ascii="仿宋" w:hAnsi="仿宋" w:eastAsia="仿宋" w:cs="仿宋"/>
          <w:color w:val="auto"/>
          <w:sz w:val="30"/>
          <w:szCs w:val="30"/>
        </w:rPr>
        <w:t>标准要求。</w:t>
      </w:r>
    </w:p>
    <w:p w14:paraId="5F7B20ED">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rPr>
        <w:t>、严格落实固体废物防治措施。项目</w:t>
      </w:r>
      <w:r>
        <w:rPr>
          <w:rFonts w:hint="eastAsia" w:ascii="仿宋" w:hAnsi="仿宋" w:eastAsia="仿宋" w:cs="仿宋"/>
          <w:color w:val="auto"/>
          <w:sz w:val="30"/>
          <w:szCs w:val="30"/>
          <w:lang w:val="en-US" w:eastAsia="zh-CN"/>
        </w:rPr>
        <w:t>运营期产生的</w:t>
      </w:r>
      <w:r>
        <w:rPr>
          <w:rFonts w:hint="eastAsia" w:ascii="仿宋" w:hAnsi="仿宋" w:eastAsia="仿宋" w:cs="仿宋"/>
          <w:color w:val="auto"/>
          <w:sz w:val="30"/>
          <w:szCs w:val="30"/>
        </w:rPr>
        <w:t>固体废物</w:t>
      </w:r>
      <w:r>
        <w:rPr>
          <w:rFonts w:hint="eastAsia" w:ascii="仿宋" w:hAnsi="仿宋" w:eastAsia="仿宋" w:cs="仿宋"/>
          <w:color w:val="auto"/>
          <w:sz w:val="30"/>
          <w:szCs w:val="30"/>
          <w:lang w:val="en-US" w:eastAsia="zh-CN"/>
        </w:rPr>
        <w:t>包括一般固体废物和危险废物。一般固体废物主要有除尘灰、搅拌设备及罐车罐内清洗废渣、洗车平台沉淀池底泥、除尘器废除尘滤袋、废包装袋、不合格产品。严格按照《中华人民共和国固体废物污染环境防治法》等相关法律法规要求，对工业固体废物采用防扬散、防流失、防渗漏或者其他防止污染环境的措施，不得擅自倾倒、堆放、丢弃、遗撒工业固体废物。</w:t>
      </w:r>
    </w:p>
    <w:p w14:paraId="2832D9FF">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本项目生产过程中产生的危险废物为设备维护产生的废润滑油、废液压油、废润滑油桶、废液压油桶，以及产品检验产生的检验废物（废试剂、废检验样品、废试剂瓶）。项目危险废物须暂存于危废间，定期委托有资质单位运输并处置。危废间建设污染防治措施需满足《危险废物贮存污染控制标准》（GB18597-2023）相关要求，危废间建设需根据《危险废物贮存污染控制标准》（GB18597-2023）相关要求执行。</w:t>
      </w:r>
    </w:p>
    <w:p w14:paraId="2B2D8ECB">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5、认真落实《报告表》中其他环境管理要求。</w:t>
      </w:r>
    </w:p>
    <w:p w14:paraId="1A739270">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三、强化环境风险防范和应急措施。制订完善的环境管理、风险管理措施、设施配备齐全，加强相关人员培训。加强风险源管控，严格落实《报告表》中环境风险防范措施，有效防范和应对环境风险。</w:t>
      </w:r>
    </w:p>
    <w:p w14:paraId="2EF5E796">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四、认真落实《报告表》中规定的污染防治措施及清洁生产措施，项目实施后，企业如需办理排污许可的，按照国家排污许可有关管理规定及时办理排污许可证。</w:t>
      </w:r>
    </w:p>
    <w:p w14:paraId="72D71662">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五、本项目建设必须严格执行配套建设的环境保护设施与主体工程同时设计、同时施工、同时投产使用的环境保护“三同时”制度。</w:t>
      </w:r>
      <w:r>
        <w:rPr>
          <w:rFonts w:hint="eastAsia" w:ascii="仿宋" w:hAnsi="仿宋" w:eastAsia="仿宋" w:cs="仿宋"/>
          <w:color w:val="auto"/>
          <w:sz w:val="30"/>
          <w:szCs w:val="30"/>
          <w:lang w:val="en-US" w:eastAsia="zh-CN"/>
        </w:rPr>
        <w:t>污染物排放量需遵照河北省建设项目主要污染物总量指标确认书批量执行，如有新增污染物排放量须经生态环境部门重新审批。</w:t>
      </w:r>
      <w:r>
        <w:rPr>
          <w:rFonts w:hint="eastAsia" w:ascii="仿宋" w:hAnsi="仿宋" w:eastAsia="仿宋" w:cs="仿宋"/>
          <w:color w:val="auto"/>
          <w:sz w:val="30"/>
          <w:szCs w:val="30"/>
        </w:rPr>
        <w:t>项目竣工后，按规定开展竣工环境保护验收。验收合格后，项目方可正式投入生产，未经验收或者验收不合格的，不得投入生产或者使用。本项目环境影响评价文件经批准后，如设计和施工变化造成工程性质、规模、工艺、防治污染的措施发生重大变动的，应当在调整前重新报批本项目环境影响评价文件。工程自批复之日起五年后方决定开工建设的，需将环评文件报我局重新审核。</w:t>
      </w:r>
    </w:p>
    <w:p w14:paraId="17D01853">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六、你单位在接到本批复后的10个工作日内，须将环评报告表及其批复送至秦皇岛市生态环境局青龙县分局等相关部门备案，日常监督管理由秦皇岛市生态环境局青龙县分局负责。建设单位须定期向秦皇岛市生态环境局青龙县分局报告“三同时”完成情况。并按规定接受各级生态环境行政主管部门的日常监督检查。 </w:t>
      </w:r>
    </w:p>
    <w:p w14:paraId="5BC92AE2">
      <w:pPr>
        <w:keepNext w:val="0"/>
        <w:keepLines w:val="0"/>
        <w:pageBreakBefore w:val="0"/>
        <w:widowControl w:val="0"/>
        <w:kinsoku/>
        <w:wordWrap/>
        <w:overflowPunct/>
        <w:topLinePunct w:val="0"/>
        <w:autoSpaceDE/>
        <w:autoSpaceDN/>
        <w:bidi w:val="0"/>
        <w:adjustRightInd/>
        <w:snapToGrid/>
        <w:spacing w:line="430" w:lineRule="exact"/>
        <w:jc w:val="both"/>
        <w:textAlignment w:val="auto"/>
        <w:rPr>
          <w:rFonts w:hint="eastAsia" w:ascii="仿宋" w:hAnsi="仿宋" w:eastAsia="仿宋" w:cs="仿宋"/>
          <w:color w:val="auto"/>
          <w:sz w:val="30"/>
          <w:szCs w:val="30"/>
        </w:rPr>
      </w:pPr>
    </w:p>
    <w:p w14:paraId="49AF13BD">
      <w:pPr>
        <w:keepNext w:val="0"/>
        <w:keepLines w:val="0"/>
        <w:pageBreakBefore w:val="0"/>
        <w:widowControl w:val="0"/>
        <w:kinsoku/>
        <w:wordWrap/>
        <w:overflowPunct/>
        <w:topLinePunct w:val="0"/>
        <w:autoSpaceDE/>
        <w:autoSpaceDN/>
        <w:bidi w:val="0"/>
        <w:adjustRightInd/>
        <w:snapToGrid/>
        <w:spacing w:line="430" w:lineRule="exact"/>
        <w:jc w:val="both"/>
        <w:textAlignment w:val="auto"/>
        <w:rPr>
          <w:rFonts w:hint="eastAsia" w:ascii="仿宋" w:hAnsi="仿宋" w:eastAsia="仿宋" w:cs="仿宋"/>
          <w:color w:val="auto"/>
          <w:sz w:val="30"/>
          <w:szCs w:val="30"/>
        </w:rPr>
      </w:pPr>
    </w:p>
    <w:p w14:paraId="5DCC16BE">
      <w:pPr>
        <w:keepNext w:val="0"/>
        <w:keepLines w:val="0"/>
        <w:pageBreakBefore w:val="0"/>
        <w:widowControl w:val="0"/>
        <w:kinsoku/>
        <w:wordWrap/>
        <w:overflowPunct/>
        <w:topLinePunct w:val="0"/>
        <w:autoSpaceDE/>
        <w:autoSpaceDN/>
        <w:bidi w:val="0"/>
        <w:adjustRightInd/>
        <w:snapToGrid/>
        <w:spacing w:line="430" w:lineRule="exact"/>
        <w:jc w:val="righ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青龙满族自治县</w:t>
      </w:r>
      <w:r>
        <w:rPr>
          <w:rFonts w:hint="eastAsia" w:ascii="仿宋" w:hAnsi="仿宋" w:eastAsia="仿宋" w:cs="仿宋"/>
          <w:color w:val="auto"/>
          <w:sz w:val="30"/>
          <w:szCs w:val="30"/>
          <w:lang w:val="en-US" w:eastAsia="zh-CN"/>
        </w:rPr>
        <w:t>行政审批局</w:t>
      </w:r>
    </w:p>
    <w:p w14:paraId="49551AA3">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rPr>
        <w:t xml:space="preserve">                                 </w:t>
      </w:r>
      <w:r>
        <w:rPr>
          <w:rFonts w:hint="eastAsia" w:ascii="仿宋" w:hAnsi="仿宋" w:eastAsia="仿宋" w:cs="仿宋"/>
          <w:color w:val="auto"/>
          <w:sz w:val="30"/>
          <w:szCs w:val="30"/>
          <w:lang w:eastAsia="zh-CN"/>
        </w:rPr>
        <w:t>2025年</w:t>
      </w:r>
      <w:r>
        <w:rPr>
          <w:rFonts w:hint="eastAsia" w:ascii="仿宋" w:hAnsi="仿宋" w:eastAsia="仿宋" w:cs="仿宋"/>
          <w:color w:val="auto"/>
          <w:sz w:val="30"/>
          <w:szCs w:val="30"/>
          <w:lang w:val="en-US" w:eastAsia="zh-CN"/>
        </w:rPr>
        <w:t>12</w:t>
      </w:r>
      <w:r>
        <w:rPr>
          <w:rFonts w:hint="eastAsia" w:ascii="仿宋" w:hAnsi="仿宋" w:eastAsia="仿宋" w:cs="仿宋"/>
          <w:color w:val="auto"/>
          <w:sz w:val="30"/>
          <w:szCs w:val="30"/>
          <w:lang w:eastAsia="zh-CN"/>
        </w:rPr>
        <w:t>月</w:t>
      </w: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M2I4Njc4ODBhMjlhYzhkYzkyNjIwZTg5NmU5NTEifQ=="/>
  </w:docVars>
  <w:rsids>
    <w:rsidRoot w:val="20C94973"/>
    <w:rsid w:val="04A750A3"/>
    <w:rsid w:val="08517143"/>
    <w:rsid w:val="0D12467A"/>
    <w:rsid w:val="0DE1702C"/>
    <w:rsid w:val="0E0F33E0"/>
    <w:rsid w:val="106F0342"/>
    <w:rsid w:val="152C1913"/>
    <w:rsid w:val="17BC246F"/>
    <w:rsid w:val="19EA5381"/>
    <w:rsid w:val="1BFD19F3"/>
    <w:rsid w:val="2018106E"/>
    <w:rsid w:val="2021761B"/>
    <w:rsid w:val="20C94973"/>
    <w:rsid w:val="21187937"/>
    <w:rsid w:val="240C0D22"/>
    <w:rsid w:val="24EE6249"/>
    <w:rsid w:val="28AB02C8"/>
    <w:rsid w:val="2A7C53D1"/>
    <w:rsid w:val="2A8F0CFD"/>
    <w:rsid w:val="2B01299A"/>
    <w:rsid w:val="3411487C"/>
    <w:rsid w:val="34376346"/>
    <w:rsid w:val="37FA1135"/>
    <w:rsid w:val="3CC265B0"/>
    <w:rsid w:val="401941E5"/>
    <w:rsid w:val="40642270"/>
    <w:rsid w:val="427A4891"/>
    <w:rsid w:val="42A02CAE"/>
    <w:rsid w:val="44985B95"/>
    <w:rsid w:val="44987D4F"/>
    <w:rsid w:val="45243BD9"/>
    <w:rsid w:val="45FE21CD"/>
    <w:rsid w:val="46117444"/>
    <w:rsid w:val="470F53EB"/>
    <w:rsid w:val="4B6D5496"/>
    <w:rsid w:val="4E684145"/>
    <w:rsid w:val="53872788"/>
    <w:rsid w:val="554904F0"/>
    <w:rsid w:val="55DE3365"/>
    <w:rsid w:val="564022AF"/>
    <w:rsid w:val="56DC166A"/>
    <w:rsid w:val="585D56B7"/>
    <w:rsid w:val="58C81F58"/>
    <w:rsid w:val="5C8B3F62"/>
    <w:rsid w:val="5D4C2069"/>
    <w:rsid w:val="5E246C2F"/>
    <w:rsid w:val="60C458D1"/>
    <w:rsid w:val="66713D46"/>
    <w:rsid w:val="6885723C"/>
    <w:rsid w:val="70A7060F"/>
    <w:rsid w:val="70D116E0"/>
    <w:rsid w:val="75C34BC5"/>
    <w:rsid w:val="76D53154"/>
    <w:rsid w:val="76E9313D"/>
    <w:rsid w:val="78B72966"/>
    <w:rsid w:val="78B75E9C"/>
    <w:rsid w:val="7BB174A1"/>
    <w:rsid w:val="7BED23E4"/>
    <w:rsid w:val="7C1A1559"/>
    <w:rsid w:val="7D401917"/>
    <w:rsid w:val="7EC06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2822</Words>
  <Characters>2991</Characters>
  <Lines>0</Lines>
  <Paragraphs>0</Paragraphs>
  <TotalTime>49</TotalTime>
  <ScaleCrop>false</ScaleCrop>
  <LinksUpToDate>false</LinksUpToDate>
  <CharactersWithSpaces>3032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2024-08-21T08:26:00Z</dcterms:created>
  <dc:creator>Administrator</dc:creator>
  <cp:lastModifiedBy>A青龙代办营业执照18630567977</cp:lastModifiedBy>
  <cp:lastPrinted>2025-11-13T06:13:00Z</cp:lastPrinted>
  <dcterms:modified xsi:type="dcterms:W3CDTF">2025-12-04T03:15:37Z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FDDD52AD20234B179DD4695642F3C98B_13</vt:lpwstr>
  </property>
  <property fmtid="{D5CDD505-2E9C-101B-9397-08002B2CF9AE}" pid="4" name="KSOTemplateDocerSaveRecord">
    <vt:lpwstr>eyJoZGlkIjoiMjk5M2I4Njc4ODBhMjlhYzhkYzkyNjIwZTg5NmU5NTEiLCJ1c2VySWQiOiIzNzg1MzE4NjgifQ==</vt:lpwstr>
  </property>
</Properties>
</file>