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982.14</w:t>
            </w:r>
          </w:p>
        </w:tc>
        <w:tc>
          <w:tcPr>
            <w:tcW w:w="4535" w:type="dxa"/>
            <w:vAlign w:val="center"/>
          </w:tcPr>
          <w:p>
            <w:pPr>
              <w:pStyle w:val="12"/>
            </w:pPr>
            <w:r>
              <w:t>一、一般公共服务支出</w:t>
            </w:r>
          </w:p>
        </w:tc>
        <w:tc>
          <w:tcPr>
            <w:tcW w:w="2126" w:type="dxa"/>
            <w:vAlign w:val="center"/>
          </w:tcPr>
          <w:p>
            <w:pPr>
              <w:pStyle w:val="11"/>
            </w:pPr>
            <w:r>
              <w:t>724.46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35.00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182.24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1017.14</w:t>
            </w:r>
          </w:p>
        </w:tc>
        <w:tc>
          <w:tcPr>
            <w:tcW w:w="4535" w:type="dxa"/>
            <w:vAlign w:val="center"/>
          </w:tcPr>
          <w:p>
            <w:pPr>
              <w:pStyle w:val="14"/>
            </w:pPr>
            <w:r>
              <w:t>本年支出合计</w:t>
            </w:r>
          </w:p>
        </w:tc>
        <w:tc>
          <w:tcPr>
            <w:tcW w:w="2126" w:type="dxa"/>
            <w:vAlign w:val="center"/>
          </w:tcPr>
          <w:p>
            <w:pPr>
              <w:pStyle w:val="15"/>
            </w:pPr>
            <w:r>
              <w:t>1226.73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209.60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1226.73</w:t>
            </w:r>
          </w:p>
        </w:tc>
        <w:tc>
          <w:tcPr>
            <w:tcW w:w="4535" w:type="dxa"/>
            <w:vAlign w:val="center"/>
          </w:tcPr>
          <w:p>
            <w:pPr>
              <w:pStyle w:val="14"/>
            </w:pPr>
            <w:r>
              <w:t>支出总计</w:t>
            </w:r>
          </w:p>
        </w:tc>
        <w:tc>
          <w:tcPr>
            <w:tcW w:w="2126" w:type="dxa"/>
            <w:vAlign w:val="center"/>
          </w:tcPr>
          <w:p>
            <w:pPr>
              <w:pStyle w:val="15"/>
            </w:pPr>
            <w:r>
              <w:t>1226.73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1226.73</w:t>
            </w:r>
          </w:p>
        </w:tc>
        <w:tc>
          <w:tcPr>
            <w:tcW w:w="1134" w:type="dxa"/>
            <w:vAlign w:val="center"/>
          </w:tcPr>
          <w:p>
            <w:pPr>
              <w:pStyle w:val="15"/>
            </w:pPr>
            <w:r>
              <w:t>1017.14</w:t>
            </w:r>
          </w:p>
        </w:tc>
        <w:tc>
          <w:tcPr>
            <w:tcW w:w="1134" w:type="dxa"/>
            <w:vAlign w:val="center"/>
          </w:tcPr>
          <w:p>
            <w:pPr>
              <w:pStyle w:val="15"/>
            </w:pPr>
            <w:r>
              <w:t>1017.14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724.46</w:t>
            </w:r>
          </w:p>
        </w:tc>
        <w:tc>
          <w:tcPr>
            <w:tcW w:w="1134" w:type="dxa"/>
            <w:vAlign w:val="center"/>
          </w:tcPr>
          <w:p>
            <w:pPr>
              <w:pStyle w:val="11"/>
            </w:pPr>
            <w:r>
              <w:t>698.85</w:t>
            </w:r>
          </w:p>
        </w:tc>
        <w:tc>
          <w:tcPr>
            <w:tcW w:w="1134" w:type="dxa"/>
            <w:vAlign w:val="center"/>
          </w:tcPr>
          <w:p>
            <w:pPr>
              <w:pStyle w:val="11"/>
            </w:pPr>
            <w:r>
              <w:t>698.85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717.46</w:t>
            </w:r>
          </w:p>
        </w:tc>
        <w:tc>
          <w:tcPr>
            <w:tcW w:w="1134" w:type="dxa"/>
            <w:vAlign w:val="center"/>
          </w:tcPr>
          <w:p>
            <w:pPr>
              <w:pStyle w:val="11"/>
            </w:pPr>
            <w:r>
              <w:t>691.85</w:t>
            </w:r>
          </w:p>
        </w:tc>
        <w:tc>
          <w:tcPr>
            <w:tcW w:w="1134" w:type="dxa"/>
            <w:vAlign w:val="center"/>
          </w:tcPr>
          <w:p>
            <w:pPr>
              <w:pStyle w:val="11"/>
            </w:pPr>
            <w:r>
              <w:t>691.85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319.06</w:t>
            </w:r>
          </w:p>
        </w:tc>
        <w:tc>
          <w:tcPr>
            <w:tcW w:w="1134" w:type="dxa"/>
            <w:vAlign w:val="center"/>
          </w:tcPr>
          <w:p>
            <w:pPr>
              <w:pStyle w:val="11"/>
            </w:pPr>
            <w:r>
              <w:t>309.44</w:t>
            </w:r>
          </w:p>
        </w:tc>
        <w:tc>
          <w:tcPr>
            <w:tcW w:w="1134" w:type="dxa"/>
            <w:vAlign w:val="center"/>
          </w:tcPr>
          <w:p>
            <w:pPr>
              <w:pStyle w:val="11"/>
            </w:pPr>
            <w:r>
              <w:t>309.44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381.40</w:t>
            </w:r>
          </w:p>
        </w:tc>
        <w:tc>
          <w:tcPr>
            <w:tcW w:w="1134" w:type="dxa"/>
            <w:vAlign w:val="center"/>
          </w:tcPr>
          <w:p>
            <w:pPr>
              <w:pStyle w:val="11"/>
            </w:pPr>
            <w:r>
              <w:t>380.42</w:t>
            </w:r>
          </w:p>
        </w:tc>
        <w:tc>
          <w:tcPr>
            <w:tcW w:w="1134" w:type="dxa"/>
            <w:vAlign w:val="center"/>
          </w:tcPr>
          <w:p>
            <w:pPr>
              <w:pStyle w:val="11"/>
            </w:pPr>
            <w:r>
              <w:t>380.42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17.00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136.71</w:t>
            </w:r>
          </w:p>
        </w:tc>
        <w:tc>
          <w:tcPr>
            <w:tcW w:w="1134" w:type="dxa"/>
            <w:vAlign w:val="center"/>
          </w:tcPr>
          <w:p>
            <w:pPr>
              <w:pStyle w:val="11"/>
            </w:pPr>
            <w:r>
              <w:t>132.78</w:t>
            </w:r>
          </w:p>
        </w:tc>
        <w:tc>
          <w:tcPr>
            <w:tcW w:w="1134" w:type="dxa"/>
            <w:vAlign w:val="center"/>
          </w:tcPr>
          <w:p>
            <w:pPr>
              <w:pStyle w:val="11"/>
            </w:pPr>
            <w:r>
              <w:t>132.78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118.77</w:t>
            </w:r>
          </w:p>
        </w:tc>
        <w:tc>
          <w:tcPr>
            <w:tcW w:w="1134" w:type="dxa"/>
            <w:vAlign w:val="center"/>
          </w:tcPr>
          <w:p>
            <w:pPr>
              <w:pStyle w:val="11"/>
            </w:pPr>
            <w:r>
              <w:t>118.06</w:t>
            </w:r>
          </w:p>
        </w:tc>
        <w:tc>
          <w:tcPr>
            <w:tcW w:w="1134" w:type="dxa"/>
            <w:vAlign w:val="center"/>
          </w:tcPr>
          <w:p>
            <w:pPr>
              <w:pStyle w:val="11"/>
            </w:pPr>
            <w:r>
              <w:t>118.06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22.50</w:t>
            </w:r>
          </w:p>
        </w:tc>
        <w:tc>
          <w:tcPr>
            <w:tcW w:w="1134" w:type="dxa"/>
            <w:vAlign w:val="center"/>
          </w:tcPr>
          <w:p>
            <w:pPr>
              <w:pStyle w:val="11"/>
            </w:pPr>
            <w:r>
              <w:t>21.79</w:t>
            </w:r>
          </w:p>
        </w:tc>
        <w:tc>
          <w:tcPr>
            <w:tcW w:w="1134" w:type="dxa"/>
            <w:vAlign w:val="center"/>
          </w:tcPr>
          <w:p>
            <w:pPr>
              <w:pStyle w:val="11"/>
            </w:pPr>
            <w:r>
              <w:t>21.79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90.76</w:t>
            </w:r>
          </w:p>
        </w:tc>
        <w:tc>
          <w:tcPr>
            <w:tcW w:w="1134" w:type="dxa"/>
            <w:vAlign w:val="center"/>
          </w:tcPr>
          <w:p>
            <w:pPr>
              <w:pStyle w:val="11"/>
            </w:pPr>
            <w:r>
              <w:t>90.76</w:t>
            </w:r>
          </w:p>
        </w:tc>
        <w:tc>
          <w:tcPr>
            <w:tcW w:w="1134" w:type="dxa"/>
            <w:vAlign w:val="center"/>
          </w:tcPr>
          <w:p>
            <w:pPr>
              <w:pStyle w:val="11"/>
            </w:pPr>
            <w:r>
              <w:t>90.76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17.94</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17.94</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53.46</w:t>
            </w:r>
          </w:p>
        </w:tc>
        <w:tc>
          <w:tcPr>
            <w:tcW w:w="1134" w:type="dxa"/>
            <w:vAlign w:val="center"/>
          </w:tcPr>
          <w:p>
            <w:pPr>
              <w:pStyle w:val="11"/>
            </w:pPr>
            <w:r>
              <w:t>51.64</w:t>
            </w:r>
          </w:p>
        </w:tc>
        <w:tc>
          <w:tcPr>
            <w:tcW w:w="1134" w:type="dxa"/>
            <w:vAlign w:val="center"/>
          </w:tcPr>
          <w:p>
            <w:pPr>
              <w:pStyle w:val="11"/>
            </w:pPr>
            <w:r>
              <w:t>51.64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3.00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3.00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17.16</w:t>
            </w:r>
          </w:p>
        </w:tc>
        <w:tc>
          <w:tcPr>
            <w:tcW w:w="1134" w:type="dxa"/>
            <w:vAlign w:val="center"/>
          </w:tcPr>
          <w:p>
            <w:pPr>
              <w:pStyle w:val="11"/>
            </w:pPr>
            <w:r>
              <w:t>17.16</w:t>
            </w:r>
          </w:p>
        </w:tc>
        <w:tc>
          <w:tcPr>
            <w:tcW w:w="1134" w:type="dxa"/>
            <w:vAlign w:val="center"/>
          </w:tcPr>
          <w:p>
            <w:pPr>
              <w:pStyle w:val="11"/>
            </w:pPr>
            <w:r>
              <w:t>17.16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30.45</w:t>
            </w:r>
          </w:p>
        </w:tc>
        <w:tc>
          <w:tcPr>
            <w:tcW w:w="1134" w:type="dxa"/>
            <w:vAlign w:val="center"/>
          </w:tcPr>
          <w:p>
            <w:pPr>
              <w:pStyle w:val="11"/>
            </w:pPr>
            <w:r>
              <w:t>30.45</w:t>
            </w:r>
          </w:p>
        </w:tc>
        <w:tc>
          <w:tcPr>
            <w:tcW w:w="1134" w:type="dxa"/>
            <w:vAlign w:val="center"/>
          </w:tcPr>
          <w:p>
            <w:pPr>
              <w:pStyle w:val="11"/>
            </w:pPr>
            <w:r>
              <w:t>30.45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2.86</w:t>
            </w:r>
          </w:p>
        </w:tc>
        <w:tc>
          <w:tcPr>
            <w:tcW w:w="1134" w:type="dxa"/>
            <w:vAlign w:val="center"/>
          </w:tcPr>
          <w:p>
            <w:pPr>
              <w:pStyle w:val="11"/>
            </w:pPr>
            <w:r>
              <w:t>2.53</w:t>
            </w:r>
          </w:p>
        </w:tc>
        <w:tc>
          <w:tcPr>
            <w:tcW w:w="1134" w:type="dxa"/>
            <w:vAlign w:val="center"/>
          </w:tcPr>
          <w:p>
            <w:pPr>
              <w:pStyle w:val="11"/>
            </w:pPr>
            <w:r>
              <w:t>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2.86</w:t>
            </w:r>
          </w:p>
        </w:tc>
        <w:tc>
          <w:tcPr>
            <w:tcW w:w="1134" w:type="dxa"/>
            <w:vAlign w:val="center"/>
          </w:tcPr>
          <w:p>
            <w:pPr>
              <w:pStyle w:val="11"/>
            </w:pPr>
            <w:r>
              <w:t>2.53</w:t>
            </w:r>
          </w:p>
        </w:tc>
        <w:tc>
          <w:tcPr>
            <w:tcW w:w="1134" w:type="dxa"/>
            <w:vAlign w:val="center"/>
          </w:tcPr>
          <w:p>
            <w:pPr>
              <w:pStyle w:val="11"/>
            </w:pPr>
            <w:r>
              <w:t>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2120804</w:t>
            </w:r>
          </w:p>
        </w:tc>
        <w:tc>
          <w:tcPr>
            <w:tcW w:w="1559" w:type="dxa"/>
            <w:vAlign w:val="center"/>
          </w:tcPr>
          <w:p>
            <w:pPr>
              <w:pStyle w:val="12"/>
            </w:pPr>
            <w:r>
              <w:t>农村基础设施建设支出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182.24</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21305</w:t>
            </w:r>
          </w:p>
        </w:tc>
        <w:tc>
          <w:tcPr>
            <w:tcW w:w="1559" w:type="dxa"/>
            <w:vAlign w:val="center"/>
          </w:tcPr>
          <w:p>
            <w:pPr>
              <w:pStyle w:val="12"/>
            </w:pPr>
            <w:r>
              <w:rPr>
                <w:rFonts w:hint="eastAsia"/>
                <w:lang w:eastAsia="zh-CN"/>
              </w:rPr>
              <w:t>巩固拓展脱贫攻坚成果</w:t>
            </w:r>
            <w:r>
              <w:t>衔接乡村振兴</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178.24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178.24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1226.73</w:t>
            </w:r>
          </w:p>
        </w:tc>
        <w:tc>
          <w:tcPr>
            <w:tcW w:w="1361" w:type="dxa"/>
            <w:vAlign w:val="center"/>
          </w:tcPr>
          <w:p>
            <w:pPr>
              <w:pStyle w:val="15"/>
            </w:pPr>
            <w:r>
              <w:t>931.64</w:t>
            </w:r>
          </w:p>
        </w:tc>
        <w:tc>
          <w:tcPr>
            <w:tcW w:w="1361" w:type="dxa"/>
            <w:vAlign w:val="center"/>
          </w:tcPr>
          <w:p>
            <w:pPr>
              <w:pStyle w:val="15"/>
            </w:pPr>
            <w:r>
              <w:t>295.10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724.46</w:t>
            </w:r>
          </w:p>
        </w:tc>
        <w:tc>
          <w:tcPr>
            <w:tcW w:w="1361" w:type="dxa"/>
            <w:vAlign w:val="center"/>
          </w:tcPr>
          <w:p>
            <w:pPr>
              <w:pStyle w:val="11"/>
            </w:pPr>
            <w:r>
              <w:t>700.46</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717.46</w:t>
            </w:r>
          </w:p>
        </w:tc>
        <w:tc>
          <w:tcPr>
            <w:tcW w:w="1361" w:type="dxa"/>
            <w:vAlign w:val="center"/>
          </w:tcPr>
          <w:p>
            <w:pPr>
              <w:pStyle w:val="11"/>
            </w:pPr>
            <w:r>
              <w:t>700.46</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319.06</w:t>
            </w:r>
          </w:p>
        </w:tc>
        <w:tc>
          <w:tcPr>
            <w:tcW w:w="1361" w:type="dxa"/>
            <w:vAlign w:val="center"/>
          </w:tcPr>
          <w:p>
            <w:pPr>
              <w:pStyle w:val="11"/>
            </w:pPr>
            <w:r>
              <w:t>319.06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381.40</w:t>
            </w:r>
          </w:p>
        </w:tc>
        <w:tc>
          <w:tcPr>
            <w:tcW w:w="1361" w:type="dxa"/>
            <w:vAlign w:val="center"/>
          </w:tcPr>
          <w:p>
            <w:pPr>
              <w:pStyle w:val="11"/>
            </w:pPr>
            <w:r>
              <w:t>381.40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136.71</w:t>
            </w:r>
          </w:p>
        </w:tc>
        <w:tc>
          <w:tcPr>
            <w:tcW w:w="1361" w:type="dxa"/>
            <w:vAlign w:val="center"/>
          </w:tcPr>
          <w:p>
            <w:pPr>
              <w:pStyle w:val="11"/>
            </w:pPr>
            <w:r>
              <w:t>136.71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118.77</w:t>
            </w:r>
          </w:p>
        </w:tc>
        <w:tc>
          <w:tcPr>
            <w:tcW w:w="1361" w:type="dxa"/>
            <w:vAlign w:val="center"/>
          </w:tcPr>
          <w:p>
            <w:pPr>
              <w:pStyle w:val="11"/>
            </w:pPr>
            <w:r>
              <w:t>118.77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22.50</w:t>
            </w:r>
          </w:p>
        </w:tc>
        <w:tc>
          <w:tcPr>
            <w:tcW w:w="1361" w:type="dxa"/>
            <w:vAlign w:val="center"/>
          </w:tcPr>
          <w:p>
            <w:pPr>
              <w:pStyle w:val="11"/>
            </w:pPr>
            <w:r>
              <w:t>22.50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90.76</w:t>
            </w:r>
          </w:p>
        </w:tc>
        <w:tc>
          <w:tcPr>
            <w:tcW w:w="1361" w:type="dxa"/>
            <w:vAlign w:val="center"/>
          </w:tcPr>
          <w:p>
            <w:pPr>
              <w:pStyle w:val="11"/>
            </w:pPr>
            <w:r>
              <w:t>90.76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3.57</w:t>
            </w:r>
          </w:p>
        </w:tc>
        <w:tc>
          <w:tcPr>
            <w:tcW w:w="1361" w:type="dxa"/>
            <w:vAlign w:val="center"/>
          </w:tcPr>
          <w:p>
            <w:pPr>
              <w:pStyle w:val="11"/>
            </w:pPr>
            <w:r>
              <w:t>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17.94</w:t>
            </w:r>
          </w:p>
        </w:tc>
        <w:tc>
          <w:tcPr>
            <w:tcW w:w="1361" w:type="dxa"/>
            <w:vAlign w:val="center"/>
          </w:tcPr>
          <w:p>
            <w:pPr>
              <w:pStyle w:val="11"/>
            </w:pPr>
            <w:r>
              <w:t>17.94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17.94</w:t>
            </w:r>
          </w:p>
        </w:tc>
        <w:tc>
          <w:tcPr>
            <w:tcW w:w="1361" w:type="dxa"/>
            <w:vAlign w:val="center"/>
          </w:tcPr>
          <w:p>
            <w:pPr>
              <w:pStyle w:val="11"/>
            </w:pPr>
            <w:r>
              <w:t>17.94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53.46</w:t>
            </w:r>
          </w:p>
        </w:tc>
        <w:tc>
          <w:tcPr>
            <w:tcW w:w="1361" w:type="dxa"/>
            <w:vAlign w:val="center"/>
          </w:tcPr>
          <w:p>
            <w:pPr>
              <w:pStyle w:val="11"/>
            </w:pPr>
            <w:r>
              <w:t>47.61</w:t>
            </w:r>
          </w:p>
        </w:tc>
        <w:tc>
          <w:tcPr>
            <w:tcW w:w="1361" w:type="dxa"/>
            <w:vAlign w:val="center"/>
          </w:tcPr>
          <w:p>
            <w:pPr>
              <w:pStyle w:val="11"/>
            </w:pPr>
            <w:r>
              <w:t>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47.61</w:t>
            </w:r>
          </w:p>
        </w:tc>
        <w:tc>
          <w:tcPr>
            <w:tcW w:w="1361" w:type="dxa"/>
            <w:vAlign w:val="center"/>
          </w:tcPr>
          <w:p>
            <w:pPr>
              <w:pStyle w:val="11"/>
            </w:pPr>
            <w:r>
              <w:t>47.61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17.16</w:t>
            </w:r>
          </w:p>
        </w:tc>
        <w:tc>
          <w:tcPr>
            <w:tcW w:w="1361" w:type="dxa"/>
            <w:vAlign w:val="center"/>
          </w:tcPr>
          <w:p>
            <w:pPr>
              <w:pStyle w:val="11"/>
            </w:pPr>
            <w:r>
              <w:t>17.16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30.45</w:t>
            </w:r>
          </w:p>
        </w:tc>
        <w:tc>
          <w:tcPr>
            <w:tcW w:w="1361" w:type="dxa"/>
            <w:vAlign w:val="center"/>
          </w:tcPr>
          <w:p>
            <w:pPr>
              <w:pStyle w:val="11"/>
            </w:pPr>
            <w:r>
              <w:t>30.45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2120804</w:t>
            </w:r>
          </w:p>
        </w:tc>
        <w:tc>
          <w:tcPr>
            <w:tcW w:w="4535" w:type="dxa"/>
            <w:vAlign w:val="center"/>
          </w:tcPr>
          <w:p>
            <w:pPr>
              <w:pStyle w:val="12"/>
            </w:pPr>
            <w:r>
              <w:t>农村基础设施建设支出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182.24</w:t>
            </w:r>
          </w:p>
        </w:tc>
        <w:tc>
          <w:tcPr>
            <w:tcW w:w="1361" w:type="dxa"/>
            <w:vAlign w:val="center"/>
          </w:tcPr>
          <w:p>
            <w:pPr>
              <w:pStyle w:val="11"/>
            </w:pPr>
          </w:p>
        </w:tc>
        <w:tc>
          <w:tcPr>
            <w:tcW w:w="1361" w:type="dxa"/>
            <w:vAlign w:val="center"/>
          </w:tcPr>
          <w:p>
            <w:pPr>
              <w:pStyle w:val="11"/>
            </w:pPr>
            <w:r>
              <w:t>182.24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982.14</w:t>
            </w:r>
          </w:p>
        </w:tc>
        <w:tc>
          <w:tcPr>
            <w:tcW w:w="3402" w:type="dxa"/>
            <w:vAlign w:val="center"/>
          </w:tcPr>
          <w:p>
            <w:pPr>
              <w:pStyle w:val="12"/>
            </w:pPr>
            <w:r>
              <w:t>一、一般公共服务支出</w:t>
            </w:r>
          </w:p>
        </w:tc>
        <w:tc>
          <w:tcPr>
            <w:tcW w:w="1474" w:type="dxa"/>
            <w:vAlign w:val="center"/>
          </w:tcPr>
          <w:p>
            <w:pPr>
              <w:pStyle w:val="11"/>
            </w:pPr>
            <w:r>
              <w:t>724.46</w:t>
            </w:r>
          </w:p>
        </w:tc>
        <w:tc>
          <w:tcPr>
            <w:tcW w:w="1474" w:type="dxa"/>
            <w:vAlign w:val="center"/>
          </w:tcPr>
          <w:p>
            <w:pPr>
              <w:pStyle w:val="11"/>
            </w:pPr>
            <w:r>
              <w:t>724.46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136.71</w:t>
            </w:r>
          </w:p>
        </w:tc>
        <w:tc>
          <w:tcPr>
            <w:tcW w:w="1474" w:type="dxa"/>
            <w:vAlign w:val="center"/>
          </w:tcPr>
          <w:p>
            <w:pPr>
              <w:pStyle w:val="11"/>
            </w:pPr>
            <w:r>
              <w:t>136.71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53.46</w:t>
            </w:r>
          </w:p>
        </w:tc>
        <w:tc>
          <w:tcPr>
            <w:tcW w:w="1474" w:type="dxa"/>
            <w:vAlign w:val="center"/>
          </w:tcPr>
          <w:p>
            <w:pPr>
              <w:pStyle w:val="11"/>
            </w:pPr>
            <w:r>
              <w:t>53.46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47.00</w:t>
            </w:r>
          </w:p>
        </w:tc>
        <w:tc>
          <w:tcPr>
            <w:tcW w:w="1474" w:type="dxa"/>
            <w:vAlign w:val="center"/>
          </w:tcPr>
          <w:p>
            <w:pPr>
              <w:pStyle w:val="11"/>
            </w:pPr>
            <w:r>
              <w:t>47.00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35.00</w:t>
            </w:r>
          </w:p>
        </w:tc>
        <w:tc>
          <w:tcPr>
            <w:tcW w:w="1474" w:type="dxa"/>
            <w:vAlign w:val="center"/>
          </w:tcPr>
          <w:p>
            <w:pPr>
              <w:pStyle w:val="11"/>
            </w:pPr>
          </w:p>
        </w:tc>
        <w:tc>
          <w:tcPr>
            <w:tcW w:w="1474" w:type="dxa"/>
            <w:vAlign w:val="center"/>
          </w:tcPr>
          <w:p>
            <w:pPr>
              <w:pStyle w:val="11"/>
            </w:pPr>
            <w:r>
              <w:t>35.00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182.24</w:t>
            </w:r>
          </w:p>
        </w:tc>
        <w:tc>
          <w:tcPr>
            <w:tcW w:w="1474" w:type="dxa"/>
            <w:vAlign w:val="center"/>
          </w:tcPr>
          <w:p>
            <w:pPr>
              <w:pStyle w:val="11"/>
            </w:pPr>
            <w:r>
              <w:t>182.24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46.86</w:t>
            </w:r>
          </w:p>
        </w:tc>
        <w:tc>
          <w:tcPr>
            <w:tcW w:w="1474" w:type="dxa"/>
            <w:vAlign w:val="center"/>
          </w:tcPr>
          <w:p>
            <w:pPr>
              <w:pStyle w:val="11"/>
            </w:pPr>
            <w:r>
              <w:t>46.86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1017.14</w:t>
            </w:r>
          </w:p>
        </w:tc>
        <w:tc>
          <w:tcPr>
            <w:tcW w:w="3402" w:type="dxa"/>
            <w:vAlign w:val="center"/>
          </w:tcPr>
          <w:p>
            <w:pPr>
              <w:pStyle w:val="14"/>
            </w:pPr>
            <w:r>
              <w:t>本年支出合计</w:t>
            </w:r>
          </w:p>
        </w:tc>
        <w:tc>
          <w:tcPr>
            <w:tcW w:w="1474" w:type="dxa"/>
            <w:vAlign w:val="center"/>
          </w:tcPr>
          <w:p>
            <w:pPr>
              <w:pStyle w:val="15"/>
            </w:pPr>
            <w:r>
              <w:t>1226.73</w:t>
            </w:r>
          </w:p>
        </w:tc>
        <w:tc>
          <w:tcPr>
            <w:tcW w:w="1474" w:type="dxa"/>
            <w:vAlign w:val="center"/>
          </w:tcPr>
          <w:p>
            <w:pPr>
              <w:pStyle w:val="15"/>
            </w:pPr>
            <w:r>
              <w:t>1191.73</w:t>
            </w:r>
          </w:p>
        </w:tc>
        <w:tc>
          <w:tcPr>
            <w:tcW w:w="1474" w:type="dxa"/>
            <w:vAlign w:val="center"/>
          </w:tcPr>
          <w:p>
            <w:pPr>
              <w:pStyle w:val="15"/>
            </w:pPr>
            <w:r>
              <w:t>35.00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209.60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209.60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1226.73</w:t>
            </w:r>
          </w:p>
        </w:tc>
        <w:tc>
          <w:tcPr>
            <w:tcW w:w="3402" w:type="dxa"/>
            <w:vAlign w:val="center"/>
          </w:tcPr>
          <w:p>
            <w:pPr>
              <w:pStyle w:val="14"/>
            </w:pPr>
            <w:r>
              <w:t>支出总计</w:t>
            </w:r>
          </w:p>
        </w:tc>
        <w:tc>
          <w:tcPr>
            <w:tcW w:w="1474" w:type="dxa"/>
            <w:vAlign w:val="center"/>
          </w:tcPr>
          <w:p>
            <w:pPr>
              <w:pStyle w:val="15"/>
            </w:pPr>
            <w:r>
              <w:t>1226.73</w:t>
            </w:r>
          </w:p>
        </w:tc>
        <w:tc>
          <w:tcPr>
            <w:tcW w:w="1474" w:type="dxa"/>
            <w:vAlign w:val="center"/>
          </w:tcPr>
          <w:p>
            <w:pPr>
              <w:pStyle w:val="15"/>
            </w:pPr>
            <w:r>
              <w:t>1191.73</w:t>
            </w:r>
          </w:p>
        </w:tc>
        <w:tc>
          <w:tcPr>
            <w:tcW w:w="1474" w:type="dxa"/>
            <w:vAlign w:val="center"/>
          </w:tcPr>
          <w:p>
            <w:pPr>
              <w:pStyle w:val="15"/>
            </w:pPr>
            <w:r>
              <w:t>35.00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1191.73</w:t>
            </w:r>
          </w:p>
        </w:tc>
        <w:tc>
          <w:tcPr>
            <w:tcW w:w="2551" w:type="dxa"/>
            <w:vAlign w:val="center"/>
          </w:tcPr>
          <w:p>
            <w:pPr>
              <w:pStyle w:val="15"/>
            </w:pPr>
            <w:r>
              <w:t>931.64</w:t>
            </w:r>
          </w:p>
        </w:tc>
        <w:tc>
          <w:tcPr>
            <w:tcW w:w="2551" w:type="dxa"/>
            <w:vAlign w:val="center"/>
          </w:tcPr>
          <w:p>
            <w:pPr>
              <w:pStyle w:val="15"/>
            </w:pPr>
            <w:r>
              <w:t>260.10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724.46</w:t>
            </w:r>
          </w:p>
        </w:tc>
        <w:tc>
          <w:tcPr>
            <w:tcW w:w="2551" w:type="dxa"/>
            <w:vAlign w:val="center"/>
          </w:tcPr>
          <w:p>
            <w:pPr>
              <w:pStyle w:val="11"/>
            </w:pPr>
            <w:r>
              <w:t>700.46</w:t>
            </w: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717.46</w:t>
            </w:r>
          </w:p>
        </w:tc>
        <w:tc>
          <w:tcPr>
            <w:tcW w:w="2551" w:type="dxa"/>
            <w:vAlign w:val="center"/>
          </w:tcPr>
          <w:p>
            <w:pPr>
              <w:pStyle w:val="11"/>
            </w:pPr>
            <w:r>
              <w:t>700.46</w:t>
            </w: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319.06</w:t>
            </w:r>
          </w:p>
        </w:tc>
        <w:tc>
          <w:tcPr>
            <w:tcW w:w="2551" w:type="dxa"/>
            <w:vAlign w:val="center"/>
          </w:tcPr>
          <w:p>
            <w:pPr>
              <w:pStyle w:val="11"/>
            </w:pPr>
            <w:r>
              <w:t>319.06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381.40</w:t>
            </w:r>
          </w:p>
        </w:tc>
        <w:tc>
          <w:tcPr>
            <w:tcW w:w="2551" w:type="dxa"/>
            <w:vAlign w:val="center"/>
          </w:tcPr>
          <w:p>
            <w:pPr>
              <w:pStyle w:val="11"/>
            </w:pPr>
            <w:r>
              <w:t>381.40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136.71</w:t>
            </w:r>
          </w:p>
        </w:tc>
        <w:tc>
          <w:tcPr>
            <w:tcW w:w="2551" w:type="dxa"/>
            <w:vAlign w:val="center"/>
          </w:tcPr>
          <w:p>
            <w:pPr>
              <w:pStyle w:val="11"/>
            </w:pPr>
            <w:r>
              <w:t>136.71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118.77</w:t>
            </w:r>
          </w:p>
        </w:tc>
        <w:tc>
          <w:tcPr>
            <w:tcW w:w="2551" w:type="dxa"/>
            <w:vAlign w:val="center"/>
          </w:tcPr>
          <w:p>
            <w:pPr>
              <w:pStyle w:val="11"/>
            </w:pPr>
            <w:r>
              <w:t>118.77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22.50</w:t>
            </w:r>
          </w:p>
        </w:tc>
        <w:tc>
          <w:tcPr>
            <w:tcW w:w="2551" w:type="dxa"/>
            <w:vAlign w:val="center"/>
          </w:tcPr>
          <w:p>
            <w:pPr>
              <w:pStyle w:val="11"/>
            </w:pPr>
            <w:r>
              <w:t>22.50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90.76</w:t>
            </w:r>
          </w:p>
        </w:tc>
        <w:tc>
          <w:tcPr>
            <w:tcW w:w="2551" w:type="dxa"/>
            <w:vAlign w:val="center"/>
          </w:tcPr>
          <w:p>
            <w:pPr>
              <w:pStyle w:val="11"/>
            </w:pPr>
            <w:r>
              <w:t>90.76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53.46</w:t>
            </w:r>
          </w:p>
        </w:tc>
        <w:tc>
          <w:tcPr>
            <w:tcW w:w="2551" w:type="dxa"/>
            <w:vAlign w:val="center"/>
          </w:tcPr>
          <w:p>
            <w:pPr>
              <w:pStyle w:val="11"/>
            </w:pPr>
            <w:r>
              <w:t>47.61</w:t>
            </w:r>
          </w:p>
        </w:tc>
        <w:tc>
          <w:tcPr>
            <w:tcW w:w="2551" w:type="dxa"/>
            <w:vAlign w:val="center"/>
          </w:tcPr>
          <w:p>
            <w:pPr>
              <w:pStyle w:val="11"/>
            </w:pPr>
            <w:r>
              <w:t>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47.61</w:t>
            </w:r>
          </w:p>
        </w:tc>
        <w:tc>
          <w:tcPr>
            <w:tcW w:w="2551" w:type="dxa"/>
            <w:vAlign w:val="center"/>
          </w:tcPr>
          <w:p>
            <w:pPr>
              <w:pStyle w:val="11"/>
            </w:pPr>
            <w:r>
              <w:t>47.61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17.16</w:t>
            </w:r>
          </w:p>
        </w:tc>
        <w:tc>
          <w:tcPr>
            <w:tcW w:w="2551" w:type="dxa"/>
            <w:vAlign w:val="center"/>
          </w:tcPr>
          <w:p>
            <w:pPr>
              <w:pStyle w:val="11"/>
            </w:pPr>
            <w:r>
              <w:t>17.16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30.45</w:t>
            </w:r>
          </w:p>
        </w:tc>
        <w:tc>
          <w:tcPr>
            <w:tcW w:w="2551" w:type="dxa"/>
            <w:vAlign w:val="center"/>
          </w:tcPr>
          <w:p>
            <w:pPr>
              <w:pStyle w:val="11"/>
            </w:pPr>
            <w:r>
              <w:t>30.45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2.86</w:t>
            </w:r>
          </w:p>
        </w:tc>
        <w:tc>
          <w:tcPr>
            <w:tcW w:w="2551" w:type="dxa"/>
            <w:vAlign w:val="center"/>
          </w:tcPr>
          <w:p>
            <w:pPr>
              <w:pStyle w:val="11"/>
            </w:pPr>
          </w:p>
        </w:tc>
        <w:tc>
          <w:tcPr>
            <w:tcW w:w="2551" w:type="dxa"/>
            <w:vAlign w:val="center"/>
          </w:tcPr>
          <w:p>
            <w:pPr>
              <w:pStyle w:val="11"/>
            </w:pPr>
            <w: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2.86</w:t>
            </w:r>
          </w:p>
        </w:tc>
        <w:tc>
          <w:tcPr>
            <w:tcW w:w="2551" w:type="dxa"/>
            <w:vAlign w:val="center"/>
          </w:tcPr>
          <w:p>
            <w:pPr>
              <w:pStyle w:val="11"/>
            </w:pPr>
          </w:p>
        </w:tc>
        <w:tc>
          <w:tcPr>
            <w:tcW w:w="2551" w:type="dxa"/>
            <w:vAlign w:val="center"/>
          </w:tcPr>
          <w:p>
            <w:pPr>
              <w:pStyle w:val="11"/>
            </w:pPr>
            <w: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182.24</w:t>
            </w:r>
          </w:p>
        </w:tc>
        <w:tc>
          <w:tcPr>
            <w:tcW w:w="2551" w:type="dxa"/>
            <w:vAlign w:val="center"/>
          </w:tcPr>
          <w:p>
            <w:pPr>
              <w:pStyle w:val="11"/>
            </w:pPr>
          </w:p>
        </w:tc>
        <w:tc>
          <w:tcPr>
            <w:tcW w:w="2551" w:type="dxa"/>
            <w:vAlign w:val="center"/>
          </w:tcPr>
          <w:p>
            <w:pPr>
              <w:pStyle w:val="11"/>
            </w:pPr>
            <w:r>
              <w:t>182.24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178.24</w:t>
            </w:r>
          </w:p>
        </w:tc>
        <w:tc>
          <w:tcPr>
            <w:tcW w:w="2551" w:type="dxa"/>
            <w:vAlign w:val="center"/>
          </w:tcPr>
          <w:p>
            <w:pPr>
              <w:pStyle w:val="11"/>
            </w:pPr>
          </w:p>
        </w:tc>
        <w:tc>
          <w:tcPr>
            <w:tcW w:w="2551"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178.24</w:t>
            </w:r>
          </w:p>
        </w:tc>
        <w:tc>
          <w:tcPr>
            <w:tcW w:w="2551" w:type="dxa"/>
            <w:vAlign w:val="center"/>
          </w:tcPr>
          <w:p>
            <w:pPr>
              <w:pStyle w:val="11"/>
            </w:pPr>
          </w:p>
        </w:tc>
        <w:tc>
          <w:tcPr>
            <w:tcW w:w="2551"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931.64</w:t>
            </w:r>
          </w:p>
        </w:tc>
        <w:tc>
          <w:tcPr>
            <w:tcW w:w="2551" w:type="dxa"/>
            <w:vAlign w:val="center"/>
          </w:tcPr>
          <w:p>
            <w:pPr>
              <w:pStyle w:val="15"/>
            </w:pPr>
            <w:r>
              <w:t>833.62</w:t>
            </w:r>
          </w:p>
        </w:tc>
        <w:tc>
          <w:tcPr>
            <w:tcW w:w="2551" w:type="dxa"/>
            <w:vAlign w:val="center"/>
          </w:tcPr>
          <w:p>
            <w:pPr>
              <w:pStyle w:val="15"/>
            </w:pPr>
            <w:r>
              <w:t>98.02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791.25</w:t>
            </w:r>
          </w:p>
        </w:tc>
        <w:tc>
          <w:tcPr>
            <w:tcW w:w="2551" w:type="dxa"/>
            <w:vAlign w:val="center"/>
          </w:tcPr>
          <w:p>
            <w:pPr>
              <w:pStyle w:val="11"/>
            </w:pPr>
            <w:r>
              <w:t>791.25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299.08</w:t>
            </w:r>
          </w:p>
        </w:tc>
        <w:tc>
          <w:tcPr>
            <w:tcW w:w="2551" w:type="dxa"/>
            <w:vAlign w:val="center"/>
          </w:tcPr>
          <w:p>
            <w:pPr>
              <w:pStyle w:val="11"/>
            </w:pPr>
            <w:r>
              <w:t>299.08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136.02</w:t>
            </w:r>
          </w:p>
        </w:tc>
        <w:tc>
          <w:tcPr>
            <w:tcW w:w="2551" w:type="dxa"/>
            <w:vAlign w:val="center"/>
          </w:tcPr>
          <w:p>
            <w:pPr>
              <w:pStyle w:val="11"/>
            </w:pPr>
            <w:r>
              <w:t>136.02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39.97</w:t>
            </w:r>
          </w:p>
        </w:tc>
        <w:tc>
          <w:tcPr>
            <w:tcW w:w="2551" w:type="dxa"/>
            <w:vAlign w:val="center"/>
          </w:tcPr>
          <w:p>
            <w:pPr>
              <w:pStyle w:val="11"/>
            </w:pPr>
            <w:r>
              <w:t>39.97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120.67</w:t>
            </w:r>
          </w:p>
        </w:tc>
        <w:tc>
          <w:tcPr>
            <w:tcW w:w="2551" w:type="dxa"/>
            <w:vAlign w:val="center"/>
          </w:tcPr>
          <w:p>
            <w:pPr>
              <w:pStyle w:val="11"/>
            </w:pPr>
            <w:r>
              <w:t>120.67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90.76</w:t>
            </w:r>
          </w:p>
        </w:tc>
        <w:tc>
          <w:tcPr>
            <w:tcW w:w="2551" w:type="dxa"/>
            <w:vAlign w:val="center"/>
          </w:tcPr>
          <w:p>
            <w:pPr>
              <w:pStyle w:val="11"/>
            </w:pPr>
            <w:r>
              <w:t>90.76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45.96</w:t>
            </w:r>
          </w:p>
        </w:tc>
        <w:tc>
          <w:tcPr>
            <w:tcW w:w="2551" w:type="dxa"/>
            <w:vAlign w:val="center"/>
          </w:tcPr>
          <w:p>
            <w:pPr>
              <w:pStyle w:val="11"/>
            </w:pPr>
            <w:r>
              <w:t>45.96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98.02</w:t>
            </w:r>
          </w:p>
        </w:tc>
        <w:tc>
          <w:tcPr>
            <w:tcW w:w="2551" w:type="dxa"/>
            <w:vAlign w:val="center"/>
          </w:tcPr>
          <w:p>
            <w:pPr>
              <w:pStyle w:val="11"/>
            </w:pPr>
          </w:p>
        </w:tc>
        <w:tc>
          <w:tcPr>
            <w:tcW w:w="2551" w:type="dxa"/>
            <w:vAlign w:val="center"/>
          </w:tcPr>
          <w:p>
            <w:pPr>
              <w:pStyle w:val="11"/>
            </w:pPr>
            <w:r>
              <w:t>98.02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28.83</w:t>
            </w:r>
          </w:p>
        </w:tc>
        <w:tc>
          <w:tcPr>
            <w:tcW w:w="2551" w:type="dxa"/>
            <w:vAlign w:val="center"/>
          </w:tcPr>
          <w:p>
            <w:pPr>
              <w:pStyle w:val="11"/>
            </w:pPr>
          </w:p>
        </w:tc>
        <w:tc>
          <w:tcPr>
            <w:tcW w:w="2551" w:type="dxa"/>
            <w:vAlign w:val="center"/>
          </w:tcPr>
          <w:p>
            <w:pPr>
              <w:pStyle w:val="11"/>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18.97</w:t>
            </w:r>
          </w:p>
        </w:tc>
        <w:tc>
          <w:tcPr>
            <w:tcW w:w="2551" w:type="dxa"/>
            <w:vAlign w:val="center"/>
          </w:tcPr>
          <w:p>
            <w:pPr>
              <w:pStyle w:val="11"/>
            </w:pPr>
          </w:p>
        </w:tc>
        <w:tc>
          <w:tcPr>
            <w:tcW w:w="2551" w:type="dxa"/>
            <w:vAlign w:val="center"/>
          </w:tcPr>
          <w:p>
            <w:pPr>
              <w:pStyle w:val="11"/>
            </w:pPr>
            <w:r>
              <w:t>18.97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31.42</w:t>
            </w:r>
          </w:p>
        </w:tc>
        <w:tc>
          <w:tcPr>
            <w:tcW w:w="2551" w:type="dxa"/>
            <w:vAlign w:val="center"/>
          </w:tcPr>
          <w:p>
            <w:pPr>
              <w:pStyle w:val="11"/>
            </w:pPr>
          </w:p>
        </w:tc>
        <w:tc>
          <w:tcPr>
            <w:tcW w:w="2551" w:type="dxa"/>
            <w:vAlign w:val="center"/>
          </w:tcPr>
          <w:p>
            <w:pPr>
              <w:pStyle w:val="11"/>
            </w:pPr>
            <w:r>
              <w:t>31.42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42.38</w:t>
            </w:r>
          </w:p>
        </w:tc>
        <w:tc>
          <w:tcPr>
            <w:tcW w:w="2551" w:type="dxa"/>
            <w:vAlign w:val="center"/>
          </w:tcPr>
          <w:p>
            <w:pPr>
              <w:pStyle w:val="11"/>
            </w:pPr>
            <w:r>
              <w:t>42.38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0.70</w:t>
            </w:r>
          </w:p>
        </w:tc>
        <w:tc>
          <w:tcPr>
            <w:tcW w:w="2551" w:type="dxa"/>
            <w:vAlign w:val="center"/>
          </w:tcPr>
          <w:p>
            <w:pPr>
              <w:pStyle w:val="11"/>
            </w:pPr>
            <w:r>
              <w:t>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23.73</w:t>
            </w:r>
          </w:p>
        </w:tc>
        <w:tc>
          <w:tcPr>
            <w:tcW w:w="2551" w:type="dxa"/>
            <w:vAlign w:val="center"/>
          </w:tcPr>
          <w:p>
            <w:pPr>
              <w:pStyle w:val="11"/>
            </w:pPr>
            <w:r>
              <w:t>23.73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35.00</w:t>
            </w:r>
          </w:p>
        </w:tc>
        <w:tc>
          <w:tcPr>
            <w:tcW w:w="2551" w:type="dxa"/>
            <w:vAlign w:val="center"/>
          </w:tcPr>
          <w:p>
            <w:pPr>
              <w:pStyle w:val="15"/>
            </w:pPr>
          </w:p>
        </w:tc>
        <w:tc>
          <w:tcPr>
            <w:tcW w:w="2551"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3.60</w:t>
            </w:r>
          </w:p>
        </w:tc>
        <w:tc>
          <w:tcPr>
            <w:tcW w:w="2381" w:type="dxa"/>
            <w:vAlign w:val="center"/>
          </w:tcPr>
          <w:p>
            <w:pPr>
              <w:pStyle w:val="15"/>
            </w:pPr>
            <w:r>
              <w:t>3.60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青龙满族自治县木头凳镇人民政府2024年部门预算信息公开情况说明</w:t>
      </w:r>
    </w:p>
    <w:p>
      <w:pPr>
        <w:jc w:val="center"/>
      </w:pPr>
      <w:r>
        <w:rPr>
          <w:rFonts w:ascii="方正小标宋_GBK" w:hAnsi="方正小标宋_GBK" w:eastAsia="方正小标宋_GBK" w:cs="方正小标宋_GBK"/>
          <w:color w:val="000000"/>
          <w:sz w:val="44"/>
        </w:rPr>
        <w:t>青龙满族自治县木头凳镇人民政府2024年部门预算信息公开情况说明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青龙满族自治县木头凳镇人民政府本级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按照预算管理有关规定，目前部门预算的编制实行综合预算管理，即全部收入和支出都反映在预算中。青龙满族自治县木头凳镇人民政府机关及所属事业单位的收支包含在部门预算中。</w:t>
      </w:r>
    </w:p>
    <w:p>
      <w:pPr>
        <w:pStyle w:val="18"/>
      </w:pPr>
      <w:r>
        <w:t>1、收入说明</w:t>
      </w:r>
    </w:p>
    <w:p>
      <w:pPr>
        <w:pStyle w:val="18"/>
      </w:pPr>
      <w:r>
        <w:t>反映本部门当年全部收入。2024年预算收入1226.73万元，其中：一般公共预算收入982.14万元，基金预算收入35.00万元，国有资本经营预算收入0.00万元，财政专户核拨收入0.00万元，单位资金收入0.00万元，上年结转结余209.60万元。</w:t>
      </w:r>
    </w:p>
    <w:p>
      <w:pPr>
        <w:pStyle w:val="18"/>
      </w:pPr>
      <w:r>
        <w:t>2、支出说明</w:t>
      </w:r>
    </w:p>
    <w:p>
      <w:pPr>
        <w:pStyle w:val="18"/>
      </w:pPr>
      <w:r>
        <w:t>收支预算总表支出栏、基本支出表、项目支出表按经济分类和支出功能分类科目编制，反映青龙满族自治县木头凳镇人民政府年度部门预算中支出预算的总体情况。2024年支出预算1226.73万元，其中基本支出931.64万元，包括人员经费833.62万元和日常公用经费98.02万元；项目支出295.10万元，主要为党建工作经费、综治工作经费、防火防汛工作经费、专项武装经费、燃煤锅炉改造及清洁能源补贴等。</w:t>
      </w:r>
    </w:p>
    <w:p>
      <w:pPr>
        <w:pStyle w:val="18"/>
      </w:pPr>
      <w:r>
        <w:t>3、比上年增减情况</w:t>
      </w:r>
    </w:p>
    <w:p>
      <w:pPr>
        <w:pStyle w:val="18"/>
      </w:pPr>
      <w:r>
        <w:t>2024年预算收支安排1226.73万元，较2023年预算增加123.64万元，其中：基本支出增加13.76万元，主要为人员经费增加</w:t>
      </w:r>
      <w:r>
        <w:rPr>
          <w:rFonts w:hint="eastAsia" w:asciiTheme="minorEastAsia" w:hAnsiTheme="minorEastAsia" w:eastAsiaTheme="minorEastAsia"/>
          <w:lang w:eastAsia="zh-CN"/>
        </w:rPr>
        <w:t>,</w:t>
      </w:r>
      <w:r>
        <w:t>项目支出增加109.89万元，主要为增加了张台子修路等项目支出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w:t>
      </w:r>
      <w:r>
        <w:rPr>
          <w:rFonts w:hint="eastAsia"/>
          <w:lang w:eastAsia="zh-CN"/>
        </w:rPr>
        <w:t>4</w:t>
      </w:r>
      <w:r>
        <w:t>年，我</w:t>
      </w:r>
      <w:r>
        <w:rPr>
          <w:rFonts w:hint="eastAsia"/>
        </w:rPr>
        <w:t>单位</w:t>
      </w:r>
      <w:r>
        <w:t>机关运行经费共计安排</w:t>
      </w:r>
      <w:r>
        <w:rPr>
          <w:rFonts w:hint="eastAsia" w:asciiTheme="minorEastAsia" w:hAnsiTheme="minorEastAsia" w:eastAsiaTheme="minorEastAsia"/>
          <w:lang w:eastAsia="zh-CN"/>
        </w:rPr>
        <w:t>98.02</w:t>
      </w:r>
      <w:r>
        <w:t>万元，主要用于青龙满族自治县</w:t>
      </w:r>
      <w:r>
        <w:rPr>
          <w:rFonts w:hint="eastAsia"/>
          <w:lang w:eastAsia="zh-CN"/>
        </w:rPr>
        <w:t>木头凳镇</w:t>
      </w:r>
      <w:r>
        <w:t>人民政府日常运行支出。其中办公费</w:t>
      </w:r>
      <w:r>
        <w:rPr>
          <w:rFonts w:hint="eastAsia"/>
          <w:lang w:eastAsia="zh-CN"/>
        </w:rPr>
        <w:t>28.83</w:t>
      </w:r>
      <w:r>
        <w:t>万元，</w:t>
      </w:r>
      <w:r>
        <w:rPr>
          <w:rFonts w:hint="eastAsia"/>
          <w:lang w:eastAsia="zh-CN"/>
        </w:rPr>
        <w:t>印刷费2.2万元，</w:t>
      </w:r>
      <w:r>
        <w:t>电费</w:t>
      </w:r>
      <w:r>
        <w:rPr>
          <w:rFonts w:hint="eastAsia"/>
          <w:lang w:eastAsia="zh-CN"/>
        </w:rPr>
        <w:t>7</w:t>
      </w:r>
      <w:r>
        <w:t>万元，</w:t>
      </w:r>
      <w:r>
        <w:rPr>
          <w:rFonts w:hint="eastAsia"/>
          <w:lang w:eastAsia="zh-CN"/>
        </w:rPr>
        <w:t>邮电费2万元，</w:t>
      </w:r>
      <w:r>
        <w:t>差旅费</w:t>
      </w:r>
      <w:r>
        <w:rPr>
          <w:rFonts w:hint="eastAsia"/>
          <w:lang w:eastAsia="zh-CN"/>
        </w:rPr>
        <w:t>4</w:t>
      </w:r>
      <w:r>
        <w:t>万元，维修（护）费</w:t>
      </w:r>
      <w:r>
        <w:rPr>
          <w:rFonts w:hint="eastAsia"/>
          <w:lang w:eastAsia="zh-CN"/>
        </w:rPr>
        <w:t>18.97</w:t>
      </w:r>
      <w:r>
        <w:t>万元，公务接待费</w:t>
      </w:r>
      <w:r>
        <w:rPr>
          <w:rFonts w:hint="eastAsia"/>
          <w:lang w:eastAsia="zh-CN"/>
        </w:rPr>
        <w:t>2</w:t>
      </w:r>
      <w:r>
        <w:t>万元，公车运行维护费</w:t>
      </w:r>
      <w:r>
        <w:rPr>
          <w:rFonts w:hint="eastAsia"/>
          <w:lang w:eastAsia="zh-CN"/>
        </w:rPr>
        <w:t>1.6</w:t>
      </w:r>
      <w:r>
        <w:t>万元，其他交通费</w:t>
      </w:r>
      <w:r>
        <w:rPr>
          <w:rFonts w:hint="eastAsia"/>
          <w:lang w:eastAsia="zh-CN"/>
        </w:rPr>
        <w:t>31.42</w:t>
      </w:r>
      <w:r>
        <w:t>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rFonts w:hint="eastAsia"/>
          <w:lang w:eastAsia="zh-CN"/>
        </w:rPr>
      </w:pPr>
      <w:r>
        <w:t>2024年，我部门财政拨款“三公”经费预算安排3.60万元，其中因公出国（境）费0.00万元；公务用车购置及运维费1.60万元（其中：公务用车购置费为0.00万元，公务用车运维费1.60万元)；公务接待费2.00万元。与2023年相比无变化</w:t>
      </w:r>
      <w:r>
        <w:rPr>
          <w:rFonts w:hint="eastAsia"/>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2023年是新一届党委、政府、人大工作的推进之年，是宏观经济形势错综复杂的一年。必须围绕京津冀协同发展战略和“十四五”发展规划，立足本职，修身立德，解放思想，迎难而上，再创佳绩。面对我镇经济社会发展的优势和存在的突出问题，镇党委政府确定了2023年全镇经济社会发展的总体思路：坚定不移地实施“农业立镇、项目强镇、开放活镇、和谐安镇”四大战略，把思想解放贯穿全过程，以招商引资为主抓手，以项目建设为突破口，抢抓京津冀产业外溢有利契机，以打造现代农业特色产业为主攻方向，努力构筑全方位、多层次、宽领域的对外开放新格局，不断提高综合经济实力和协同发展能力，全面谱写富民强镇新篇章。</w:t>
      </w:r>
    </w:p>
    <w:p>
      <w:pPr>
        <w:spacing w:line="500" w:lineRule="exact"/>
        <w:ind w:firstLine="560"/>
      </w:pPr>
      <w:r>
        <w:rPr>
          <w:rFonts w:eastAsia="方正仿宋_GBK"/>
          <w:color w:val="000000"/>
          <w:sz w:val="28"/>
        </w:rPr>
        <w:t>（二）分项绩效目标</w:t>
      </w:r>
    </w:p>
    <w:p>
      <w:pPr>
        <w:pStyle w:val="22"/>
      </w:pPr>
      <w:r>
        <w:t>一、人大监督</w:t>
      </w:r>
    </w:p>
    <w:p>
      <w:pPr>
        <w:pStyle w:val="22"/>
      </w:pPr>
      <w:r>
        <w:t>1、监督宪法和法律在我乡行政区域内正确实施。</w:t>
      </w:r>
    </w:p>
    <w:p>
      <w:pPr>
        <w:pStyle w:val="22"/>
      </w:pPr>
      <w:r>
        <w:t>2、监督政府及县直属单位依法开展工作。</w:t>
      </w:r>
    </w:p>
    <w:p>
      <w:pPr>
        <w:pStyle w:val="22"/>
      </w:pPr>
      <w:r>
        <w:t>3、监督乡本级预算按照乡人代会通过的预算有效实施。</w:t>
      </w:r>
    </w:p>
    <w:p>
      <w:pPr>
        <w:pStyle w:val="22"/>
      </w:pPr>
      <w:r>
        <w:t>4、监督经济和社会发展计划有效实施。</w:t>
      </w:r>
    </w:p>
    <w:p>
      <w:pPr>
        <w:pStyle w:val="22"/>
      </w:pPr>
      <w:r>
        <w:t>二、人大会议  1、在人大代表和乡人大主席团分发表审议意见的基础上，作出我乡经济社会发展计划、乡本级预算等决议。2、通过听取和审议政府工作和财政预决算等工作报告，作出有关报告的决议。3、通过质询、专题询问和工作评议的方式就政府及县直属单位的工作进行监督。4、为保证我乡重大决策的科学性和法定性，实施作出有关我乡重大问题的决定。5、高效、精细的筹备乡人大会。</w:t>
      </w:r>
    </w:p>
    <w:p>
      <w:pPr>
        <w:pStyle w:val="22"/>
      </w:pPr>
      <w:r>
        <w:t>三、选举和任免</w:t>
      </w:r>
    </w:p>
    <w:p>
      <w:pPr>
        <w:pStyle w:val="22"/>
      </w:pPr>
      <w:r>
        <w:t xml:space="preserve">1、根据政府的工作需要和乡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乡政府组成人员和主要负责人进行目标责任监督，确保依法履行职责，完成目标任务。 </w:t>
      </w:r>
    </w:p>
    <w:p>
      <w:pPr>
        <w:pStyle w:val="22"/>
      </w:pPr>
      <w:r>
        <w:t>四、预算批复</w:t>
      </w:r>
    </w:p>
    <w:p>
      <w:pPr>
        <w:pStyle w:val="22"/>
      </w:pPr>
      <w:r>
        <w:t>1、依法对本级财政单位所做的当年的预算进行批复；经依法批复的预算与实际执行的预算情况控制在5%之内</w:t>
      </w:r>
    </w:p>
    <w:p>
      <w:pPr>
        <w:pStyle w:val="22"/>
      </w:pPr>
      <w:r>
        <w:t>2、参谋协调运转</w:t>
      </w:r>
    </w:p>
    <w:p>
      <w:pPr>
        <w:pStyle w:val="22"/>
      </w:pPr>
      <w:r>
        <w:t>乡党委、政府公文运转，大型会议和组织活动安排、公务接待等；保障乡党委大型会议、重要活动的正常、顺利举办；</w:t>
      </w:r>
    </w:p>
    <w:p>
      <w:pPr>
        <w:pStyle w:val="22"/>
      </w:pPr>
      <w:r>
        <w:t xml:space="preserve">3、信息收集与督查调研 </w:t>
      </w:r>
    </w:p>
    <w:p>
      <w:pPr>
        <w:pStyle w:val="22"/>
      </w:pPr>
      <w:r>
        <w:t>乡党委系统信息工作的组织。围绕乡党委的重大决策部署收集、整理和反馈信息；信息发布和联络工作；社情民意调查；系统信息网络的协调和指导工作。</w:t>
      </w:r>
    </w:p>
    <w:p>
      <w:pPr>
        <w:pStyle w:val="22"/>
      </w:pPr>
      <w:r>
        <w:t>五、党委系统公务内网建设</w:t>
      </w:r>
    </w:p>
    <w:p>
      <w:pPr>
        <w:pStyle w:val="22"/>
      </w:pPr>
      <w:r>
        <w:t>全乡“公务内网”的建设和管理；计算机信息网络建设；组织协调各类信息资源的上网和扩充，保障网络和信息安全。</w:t>
      </w:r>
    </w:p>
    <w:p>
      <w:pPr>
        <w:pStyle w:val="22"/>
      </w:pPr>
      <w:r>
        <w:t>六、政务服务  承担乡政务公开暨行政权力公开透明运行工作领导小组的日常工作，指导和协调全乡政务公开及政务服务中心建设、推进行政服务体系标准化建设工作。</w:t>
      </w:r>
    </w:p>
    <w:p>
      <w:pPr>
        <w:pStyle w:val="22"/>
      </w:pPr>
      <w:r>
        <w:t>七、应急管理  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pPr>
        <w:pStyle w:val="22"/>
      </w:pPr>
      <w:r>
        <w:t>八、统计调查 组织完成国家部署的国情国力普查及重要调查任务，研究提出重大乡情乡力普查和抽样调查计划并组织实施，汇总、整理和提供有关乡情乡力方面的统计数据。</w:t>
      </w:r>
    </w:p>
    <w:p>
      <w:pPr>
        <w:pStyle w:val="22"/>
      </w:pPr>
      <w:r>
        <w:t xml:space="preserve">九、统计调查 根据单位职责及《中华人民共和国统计法》和国家统计局、乡政府有关文件要求，组织实施涉及相关行业数据的专项统计调查。   </w:t>
      </w:r>
    </w:p>
    <w:p>
      <w:pPr>
        <w:pStyle w:val="22"/>
      </w:pPr>
      <w:r>
        <w:t>十、统计政务管理 健全全乡统计法制建设，严格查处统计违法现象，开展统计基层基础建设，指导全乡统计专业技术队伍建设，配合国家统计局组织管理统计从业资格认定和持证上岗工作，协助有关单位组织管理统计专业技术资格。</w:t>
      </w:r>
    </w:p>
    <w:p>
      <w:pPr>
        <w:pStyle w:val="22"/>
      </w:pPr>
      <w:r>
        <w:t>十一、党员和党组织建设 负责全乡党组织建设；负责乡党委基层组织建设</w:t>
      </w:r>
      <w:r>
        <w:rPr>
          <w:rFonts w:hint="eastAsia"/>
          <w:lang w:eastAsia="zh-CN"/>
        </w:rPr>
        <w:t>联席会议</w:t>
      </w:r>
      <w:r>
        <w:t>党的牵头抓总工作；提出党内生活制度建设的意见；指导全乡党员教育工作。</w:t>
      </w:r>
    </w:p>
    <w:p>
      <w:pPr>
        <w:pStyle w:val="22"/>
      </w:pPr>
      <w:r>
        <w:t>十四、办案问责 对有关对象违反党纪政纪和违纪违法行为进行处理；组织协调案件查办工作。</w:t>
      </w:r>
    </w:p>
    <w:p>
      <w:pPr>
        <w:pStyle w:val="22"/>
      </w:pPr>
      <w:r>
        <w:t>十二、党风廉政建设 组织协调全乡党风廉政建设和反腐败宣传教育工作，开展对党员、公务员的廉洁自律教育。</w:t>
      </w:r>
    </w:p>
    <w:p>
      <w:pPr>
        <w:pStyle w:val="22"/>
      </w:pPr>
      <w:r>
        <w:t>十三、征兵及民兵整组 完成全乡全年的征兵及民兵整组任务</w:t>
      </w:r>
    </w:p>
    <w:p>
      <w:pPr>
        <w:pStyle w:val="22"/>
      </w:pPr>
      <w:r>
        <w:t>十四、团结动员妇女参加经济社会建设 团结、教育全乡妇女及各类妇女组织同党中央在思想上、政治上、行动上保持高度一致，全面提高妇女素质。</w:t>
      </w:r>
    </w:p>
    <w:p>
      <w:pPr>
        <w:pStyle w:val="22"/>
      </w:pPr>
      <w:r>
        <w:t>十五、组织建设和宣传教育 指导全乡青联、学联和少先队工作，对全乡青年社团组织进行指导和管理。</w:t>
      </w:r>
    </w:p>
    <w:p>
      <w:pPr>
        <w:pStyle w:val="22"/>
      </w:pPr>
      <w:r>
        <w:t>十六、档案收集保管 依据规定对档案进行征集、接收和整理，对相关单位纸质、电子、专题档案进行收集、整理和保存。</w:t>
      </w:r>
    </w:p>
    <w:p>
      <w:pPr>
        <w:pStyle w:val="22"/>
      </w:pPr>
      <w:r>
        <w:t>十七、促进就业管理 提供就业信息，加大劳务输出数量</w:t>
      </w:r>
    </w:p>
    <w:p>
      <w:pPr>
        <w:pStyle w:val="22"/>
      </w:pPr>
      <w:r>
        <w:t>十八、预算编制 依据县级相关文件编制当年单位的财政支出预算计划</w:t>
      </w:r>
    </w:p>
    <w:p>
      <w:pPr>
        <w:pStyle w:val="22"/>
      </w:pPr>
      <w:r>
        <w:t>十九、决算编制 依据县级相关文件编制当年单位的财政支出决算数字</w:t>
      </w:r>
    </w:p>
    <w:p>
      <w:pPr>
        <w:pStyle w:val="22"/>
      </w:pPr>
      <w:r>
        <w:t>二十、资金往来清理 依据国家的法律法规清理当年的往来资金</w:t>
      </w:r>
    </w:p>
    <w:p>
      <w:pPr>
        <w:pStyle w:val="22"/>
      </w:pPr>
      <w:r>
        <w:t>二十一、资产管理 依据河北省资产管理条例对本单位的资产进行管理</w:t>
      </w:r>
    </w:p>
    <w:p>
      <w:pPr>
        <w:pStyle w:val="22"/>
      </w:pPr>
      <w:r>
        <w:t>二十二、劳动人事管理 依据有关规定对本单位的人事变动和工资变动进行管理</w:t>
      </w:r>
    </w:p>
    <w:p>
      <w:pPr>
        <w:pStyle w:val="22"/>
      </w:pPr>
      <w:r>
        <w:t>二十三、专项资金管理 依据有关规定对所辖村级专项资金拨付进行管理</w:t>
      </w:r>
    </w:p>
    <w:p>
      <w:pPr>
        <w:pStyle w:val="22"/>
      </w:pPr>
      <w:r>
        <w:t>二十四、组织全乡安全生产综合监督管理 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2"/>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2"/>
      </w:pPr>
      <w:r>
        <w:t>二十六、组织指挥和协调全乡安全生产应急救援 组织指导全县安全生产应急救援预案编制和备案管理，结合事故多发、易发，应急管理基础薄弱的地区、领域、时段、岗位等重点，组织开展实战化应急演练。          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2"/>
      </w:pPr>
      <w:r>
        <w:t>二十七、社会救助政策及管理 完善城乡社会救助制度，实施分类救助，应保尽保,动态管理。</w:t>
      </w:r>
    </w:p>
    <w:p>
      <w:pPr>
        <w:pStyle w:val="22"/>
      </w:pPr>
      <w:r>
        <w:t>二十八、社会福利政策及管理 建立孤儿最低养育标准自然增长机制；提高孤残儿童护理员专业化水平；建立起县乡村三级儿童服务网络。流浪乞讨人员、流浪未成年人救助设施齐全、功能污水完善，对未成年人社会保护提供必要的保护场所。惠民殡葬政策普及全乡特殊困难群体，群众办理丧事文明节俭。维护老年人合法权益。</w:t>
      </w:r>
    </w:p>
    <w:p>
      <w:pPr>
        <w:pStyle w:val="22"/>
      </w:pPr>
      <w:r>
        <w:t>二十九、双拥优抚安置政策及管理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2"/>
      </w:pPr>
      <w:r>
        <w:t>三十、社会管理与服务 划空间布局，提高登记质量，建立健全城乡基层群众自治组织，逐步实现社会工作者专业化、职业化。</w:t>
      </w:r>
    </w:p>
    <w:p>
      <w:pPr>
        <w:pStyle w:val="22"/>
      </w:pPr>
      <w:r>
        <w:t>三十四、防灾减灾救灾 组织协调乡级防灾减灾救灾工作。组织核查并统一发布灾情。组织指导救灾捐赠工作，负责国内外救灾捐赠款物的接收管理和分配使用。</w:t>
      </w:r>
    </w:p>
    <w:p>
      <w:pPr>
        <w:pStyle w:val="22"/>
      </w:pPr>
      <w:r>
        <w:t>三十一、城乡规划 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pPr>
        <w:pStyle w:val="22"/>
      </w:pPr>
      <w:r>
        <w:t>三十二、城乡建设管理 指导城市市政公用设施建设、安全和应急管理；拟定风景名胜区的发展规划、政策并指导实施；拟定村庄和小城乡建设政策并指导实施；指导乡、乡村庄规划的编制和实施；指导农村住房建设、住房安全和危房改造；改善小城乡和村庄人居环境。</w:t>
      </w:r>
    </w:p>
    <w:p>
      <w:pPr>
        <w:pStyle w:val="22"/>
      </w:pPr>
      <w:r>
        <w:t>三十三、司法行政管理 贯彻落实国家司法行政工作方针政策。</w:t>
      </w:r>
    </w:p>
    <w:p>
      <w:pPr>
        <w:pStyle w:val="22"/>
      </w:pPr>
      <w:r>
        <w:t>三十四、司法行政管理 贯彻落实国家司法行政工作方针政策</w:t>
      </w:r>
    </w:p>
    <w:p>
      <w:pPr>
        <w:pStyle w:val="22"/>
      </w:pPr>
      <w:r>
        <w:t>三十五、食品安全管理 对食品制作流通各环节进行监管，及时发现和排除食品安全问题，确保大型活动期间的餐饮安全。</w:t>
      </w:r>
    </w:p>
    <w:p>
      <w:pPr>
        <w:pStyle w:val="22"/>
      </w:pPr>
      <w:r>
        <w:t>三十六、公共卫生服务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2"/>
      </w:pPr>
      <w:r>
        <w:t>三十七、医疗保障 通过建立和实施新型农村合作医疗、疾病应急救助、城乡居民大病保险以及公费医疗等制度，保障人民群众公平享有所需医疗服务权益。</w:t>
      </w:r>
    </w:p>
    <w:p>
      <w:pPr>
        <w:pStyle w:val="22"/>
      </w:pPr>
      <w:r>
        <w:t>三十八、提供就业信息，加大劳务输出数量</w:t>
      </w:r>
    </w:p>
    <w:p>
      <w:pPr>
        <w:pStyle w:val="22"/>
      </w:pPr>
      <w:r>
        <w:t>三十九、城乡居民养老保险 城乡居民养老保险收缴工作</w:t>
      </w:r>
    </w:p>
    <w:p>
      <w:pPr>
        <w:pStyle w:val="22"/>
      </w:pPr>
      <w:r>
        <w:t>四十、文化艺术管理 管理和指导全乡文化建设，推进文化发展环境能力建设，提供公共文化服务、文化艺术资源建设和文化艺术生产。</w:t>
      </w:r>
    </w:p>
    <w:p>
      <w:pPr>
        <w:pStyle w:val="22"/>
      </w:pPr>
      <w:r>
        <w:t>四十一、文物保护 坚持“保护为主、抢救第一、合理利用、加强管理”的文物工作方针，做好文物保护、管理和利用等工作，提高全社会的文物保护意识，发挥文物工作在促进全乡经济和社会发展中的重要作用。</w:t>
      </w:r>
    </w:p>
    <w:p>
      <w:pPr>
        <w:pStyle w:val="22"/>
      </w:pPr>
      <w:r>
        <w:t>四十二、村级财务管理 负责村组财务管理工作。</w:t>
      </w:r>
    </w:p>
    <w:p>
      <w:pPr>
        <w:pStyle w:val="22"/>
      </w:pPr>
      <w:r>
        <w:t>四十三、完善农村经营管理体制  推进农村集体产权制度改革，完善农村土地承包制度，引导农村土地合理流转。创新农业经营主体。</w:t>
      </w:r>
    </w:p>
    <w:p>
      <w:pPr>
        <w:pStyle w:val="22"/>
      </w:pPr>
      <w:r>
        <w:t>四十四、扶持农产品生产 对生产者采取直接补贴的办法，支持推广优良品种、先进适用种养技术，实施科学管理,提高农产品产量、质量，提高生产经营效益。</w:t>
      </w:r>
    </w:p>
    <w:p>
      <w:pPr>
        <w:pStyle w:val="22"/>
      </w:pPr>
      <w:r>
        <w:t>四十五、农业科技支撑和公共服务 提高农业机械化水平，建立健全农业科技服务和防灾减灾体系，推动农业生产向现代农业发展。</w:t>
      </w:r>
    </w:p>
    <w:p>
      <w:pPr>
        <w:pStyle w:val="22"/>
      </w:pPr>
      <w:r>
        <w:t>四十六、防火工作 确保全年不发生火灾</w:t>
      </w:r>
    </w:p>
    <w:p>
      <w:pPr>
        <w:pStyle w:val="22"/>
      </w:pPr>
      <w:r>
        <w:t>四十七、防汛工作 确保全年行洪畅通，安全度汛</w:t>
      </w:r>
    </w:p>
    <w:p>
      <w:pPr>
        <w:spacing w:line="500" w:lineRule="exact"/>
        <w:ind w:firstLine="560"/>
      </w:pPr>
      <w:r>
        <w:rPr>
          <w:rFonts w:eastAsia="方正仿宋_GBK"/>
          <w:color w:val="000000"/>
          <w:sz w:val="28"/>
        </w:rPr>
        <w:t>（三）工作保障措施</w:t>
      </w:r>
    </w:p>
    <w:p>
      <w:pPr>
        <w:pStyle w:val="23"/>
      </w:pPr>
      <w:r>
        <w:t>一、进一步加强党的领导，夯实基层基础</w:t>
      </w:r>
    </w:p>
    <w:p>
      <w:pPr>
        <w:pStyle w:val="23"/>
      </w:pPr>
      <w:r>
        <w:t>在镇党委建设上，主要是坚持好“五项制度”。坚持学习制度，制定班子政治理论学习计划，在自学的基础上，采取集中学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一同落实，切实形成党委统一领导、党政齐抓共管、宣传单位组织协调、有关单位分工负责的工作格局。认真做好发展党员工作，严格把关，确保党员质量和党员队伍的纯洁性。</w:t>
      </w:r>
    </w:p>
    <w:p>
      <w:pPr>
        <w:pStyle w:val="23"/>
      </w:pPr>
      <w:r>
        <w:t>在村两委班子建设上，加强对新任村两委成员的培训，使其尽快进入角色，做好各项工作。广泛开展“双带双培”活动，着力解决好在带头致富的同时，千方百计带领群众共同致富的问题。健全完善村干部“千分考核办法”，层层签订目标管理责任状，强化日常监督和年度考核。</w:t>
      </w:r>
    </w:p>
    <w:p>
      <w:pPr>
        <w:pStyle w:val="23"/>
      </w:pPr>
      <w:r>
        <w:t>大力推进党风廉政建设。认真落实“一岗双责”，深入推进“一问责八清理”、“不作为、慢作为、乱作为”等活动，努力形成党政齐抓共管，纪委组织协调，群众支持参与的工作格局。坚决遏制“四风”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pPr>
        <w:pStyle w:val="23"/>
      </w:pPr>
      <w:r>
        <w:t>进一步加强人大工作，确保人大依法行使职权，支持政府创造性地开展工作。加强对人武、统战、老干部、工会、共青团、妇联等工作，使各单位的广大干部群众积极为经济社会发展献计出力。</w:t>
      </w:r>
    </w:p>
    <w:p>
      <w:pPr>
        <w:pStyle w:val="23"/>
      </w:pPr>
      <w:r>
        <w:t>二、大力实施“四大”战略，狠抓项目建设不放松</w:t>
      </w:r>
    </w:p>
    <w:p>
      <w:pPr>
        <w:pStyle w:val="23"/>
      </w:pPr>
      <w:r>
        <w:t>1、抓牢重点项目建设。举全镇之力，切实为重点企业发展做好服务，给企业生产经营提供宽松和谐的环境。</w:t>
      </w:r>
    </w:p>
    <w:p>
      <w:pPr>
        <w:pStyle w:val="23"/>
      </w:pPr>
      <w:r>
        <w:t>2、优化 “老企业”服务工作。帮助和支持传统企业进一步创新和优化升级，延伸产品生产链条，增加附加值和财税收入。</w:t>
      </w:r>
    </w:p>
    <w:p>
      <w:pPr>
        <w:pStyle w:val="23"/>
      </w:pPr>
      <w:r>
        <w:t>三、强力推进农业结构调整，真正实现农业增效、农民增收</w:t>
      </w:r>
    </w:p>
    <w:p>
      <w:pPr>
        <w:pStyle w:val="23"/>
      </w:pPr>
      <w:r>
        <w:t>农业结构调整，是新时期农业和农村工作的中心任务。要紧密结合我乡实际，围绕林果、畜牧、中药材等产业，重点培育带动力大、竞争力强的龙头企业和主导产业。</w:t>
      </w:r>
    </w:p>
    <w:p>
      <w:pPr>
        <w:pStyle w:val="23"/>
      </w:pPr>
      <w:r>
        <w:t>四、着力改善民生，全面提高全乡人民的幸福指数</w:t>
      </w:r>
    </w:p>
    <w:p>
      <w:pPr>
        <w:pStyle w:val="23"/>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会事业全面发展。</w:t>
      </w:r>
    </w:p>
    <w:p>
      <w:pPr>
        <w:pStyle w:val="23"/>
      </w:pPr>
      <w:r>
        <w:t>五、加强社会建设，努力创建和谐乡村</w:t>
      </w:r>
    </w:p>
    <w:p>
      <w:pPr>
        <w:pStyle w:val="23"/>
        <w:sectPr>
          <w:pgSz w:w="16840" w:h="11900" w:orient="landscape"/>
          <w:pgMar w:top="1361" w:right="1020" w:bottom="1361" w:left="1020" w:header="720" w:footer="720" w:gutter="0"/>
          <w:cols w:space="720" w:num="1"/>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13032123P00329310136B</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项目资金1万元，其中财政拨款1万元。用于党建日常工作。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1.通过开展党建工作，实现党内民主，达到密切联系群众的优势。</w:t>
            </w:r>
            <w:r>
              <w:tab/>
            </w:r>
            <w:r>
              <w:tab/>
            </w:r>
            <w:r>
              <w:tab/>
            </w:r>
            <w:r>
              <w:tab/>
            </w:r>
            <w:r>
              <w:tab/>
            </w:r>
            <w:r>
              <w:tab/>
            </w:r>
          </w:p>
          <w:p>
            <w:pPr>
              <w:pStyle w:val="12"/>
            </w:pPr>
          </w:p>
          <w:p>
            <w:pPr>
              <w:pStyle w:val="12"/>
            </w:pPr>
            <w:r>
              <w:t>2."通过开展党建工作，充分发挥基层乡镇党组织的作用，把服务中心、建设队伍贯穿始终。</w:t>
            </w:r>
            <w:r>
              <w:tab/>
            </w:r>
            <w:r>
              <w:tab/>
            </w:r>
            <w:r>
              <w:tab/>
            </w:r>
            <w:r>
              <w:tab/>
            </w:r>
            <w:r>
              <w:tab/>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基层治理能力提升</w:t>
            </w:r>
          </w:p>
        </w:tc>
        <w:tc>
          <w:tcPr>
            <w:tcW w:w="5386" w:type="dxa"/>
            <w:vAlign w:val="center"/>
          </w:tcPr>
          <w:p>
            <w:pPr>
              <w:pStyle w:val="12"/>
            </w:pPr>
            <w:r>
              <w:t>提高党员业务能力,组织业务培训次数</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13032123P00329310142Q</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项目资金6万元，其中财政拨付6万元。日常防火、防汛工作支出。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反应巡查范围为整个辖区。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确保河道通畅率</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用于防火防汛时的办公支出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交通费用支出</w:t>
            </w:r>
          </w:p>
        </w:tc>
        <w:tc>
          <w:tcPr>
            <w:tcW w:w="5386" w:type="dxa"/>
            <w:vAlign w:val="center"/>
          </w:tcPr>
          <w:p>
            <w:pPr>
              <w:pStyle w:val="12"/>
            </w:pPr>
            <w:r>
              <w:t>用于巡察河道和森林时的交通费用支出</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全乡森林火灾发生面积占森林总面积的比例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13032123P00329310135P</w:t>
            </w:r>
          </w:p>
        </w:tc>
        <w:tc>
          <w:tcPr>
            <w:tcW w:w="2835" w:type="dxa"/>
            <w:vAlign w:val="center"/>
          </w:tcPr>
          <w:p>
            <w:pPr>
              <w:pStyle w:val="10"/>
            </w:pPr>
            <w:r>
              <w:t>项目名称</w:t>
            </w:r>
          </w:p>
        </w:tc>
        <w:tc>
          <w:tcPr>
            <w:tcW w:w="6094" w:type="dxa"/>
            <w:gridSpan w:val="3"/>
            <w:vAlign w:val="center"/>
          </w:tcPr>
          <w:p>
            <w:pPr>
              <w:pStyle w:val="12"/>
            </w:pPr>
            <w:r>
              <w:t>扶贫工作经费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项目资金4万元，其中财政拨款4万元，开展扶贫乡下支出，保障扶贫各项工作正常开展。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w:t>
            </w:r>
            <w:r>
              <w:rPr>
                <w:rFonts w:hint="eastAsia"/>
                <w:lang w:eastAsia="zh-CN"/>
              </w:rPr>
              <w:t>扶贫</w:t>
            </w:r>
            <w:r>
              <w:t>专项经费，提供各项资金，保障扶贫各项工作正常进行。</w:t>
            </w:r>
            <w:r>
              <w:tab/>
            </w:r>
            <w:r>
              <w:tab/>
            </w:r>
            <w:r>
              <w:tab/>
            </w:r>
            <w:r>
              <w:tab/>
            </w:r>
            <w:r>
              <w:tab/>
            </w:r>
            <w:r>
              <w:tab/>
            </w:r>
          </w:p>
          <w:p>
            <w:pPr>
              <w:pStyle w:val="12"/>
            </w:pPr>
            <w:r>
              <w:t>2.通过扶贫资金安排下乡支出，解决扶贫下乡用车问题，确保扶贫工作正常开展。</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反映下乡印刷表格、文件数量</w:t>
            </w:r>
          </w:p>
        </w:tc>
        <w:tc>
          <w:tcPr>
            <w:tcW w:w="2268" w:type="dxa"/>
            <w:vAlign w:val="center"/>
          </w:tcPr>
          <w:p>
            <w:pPr>
              <w:pStyle w:val="12"/>
            </w:pPr>
            <w:r>
              <w:t>≥100000张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困难群众生活水平提升</w:t>
            </w:r>
          </w:p>
        </w:tc>
        <w:tc>
          <w:tcPr>
            <w:tcW w:w="5386" w:type="dxa"/>
            <w:vAlign w:val="center"/>
          </w:tcPr>
          <w:p>
            <w:pPr>
              <w:pStyle w:val="12"/>
            </w:pPr>
            <w:r>
              <w:t>困难群众生活水平提升情况</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13032123P00329310101M</w:t>
            </w:r>
          </w:p>
        </w:tc>
        <w:tc>
          <w:tcPr>
            <w:tcW w:w="2835" w:type="dxa"/>
            <w:vAlign w:val="center"/>
          </w:tcPr>
          <w:p>
            <w:pPr>
              <w:pStyle w:val="10"/>
            </w:pPr>
            <w:r>
              <w:t>项目名称</w:t>
            </w:r>
          </w:p>
        </w:tc>
        <w:tc>
          <w:tcPr>
            <w:tcW w:w="6094" w:type="dxa"/>
            <w:gridSpan w:val="3"/>
            <w:vAlign w:val="center"/>
          </w:tcPr>
          <w:p>
            <w:pPr>
              <w:pStyle w:val="12"/>
            </w:pPr>
            <w:r>
              <w:t>农村环境综合整治项目经费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项目资金1万元，其中财政拨款1万元，农村生活垃圾的清运工作。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1.通过开展生活垃圾清理工作，改善人居环境卫生，维护农村环境。</w:t>
            </w:r>
            <w:r>
              <w:tab/>
            </w:r>
            <w:r>
              <w:tab/>
            </w:r>
            <w:r>
              <w:tab/>
            </w:r>
            <w:r>
              <w:tab/>
            </w:r>
            <w:r>
              <w:tab/>
            </w:r>
            <w:r>
              <w:tab/>
            </w:r>
          </w:p>
          <w:p>
            <w:pPr>
              <w:pStyle w:val="12"/>
            </w:pPr>
          </w:p>
          <w:p>
            <w:pPr>
              <w:pStyle w:val="12"/>
            </w:pPr>
            <w:r>
              <w:t>2.保持村容村貌整洁，提高居民生活居住幸福感、满意度。</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人居环境治理村个数</w:t>
            </w:r>
          </w:p>
        </w:tc>
        <w:tc>
          <w:tcPr>
            <w:tcW w:w="5386" w:type="dxa"/>
            <w:vAlign w:val="center"/>
          </w:tcPr>
          <w:p>
            <w:pPr>
              <w:pStyle w:val="12"/>
            </w:pPr>
            <w:r>
              <w:t>人居环境整治镇辖区范围内</w:t>
            </w:r>
          </w:p>
        </w:tc>
        <w:tc>
          <w:tcPr>
            <w:tcW w:w="2268" w:type="dxa"/>
            <w:vAlign w:val="center"/>
          </w:tcPr>
          <w:p>
            <w:pPr>
              <w:pStyle w:val="12"/>
            </w:pPr>
            <w:r>
              <w:t>22个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项目实施覆盖率</w:t>
            </w:r>
          </w:p>
        </w:tc>
        <w:tc>
          <w:tcPr>
            <w:tcW w:w="5386" w:type="dxa"/>
            <w:vAlign w:val="center"/>
          </w:tcPr>
          <w:p>
            <w:pPr>
              <w:pStyle w:val="12"/>
            </w:pPr>
            <w:r>
              <w:t>实施该项目的面积占整体面积的比率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计划工作完成及时率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w:t>
            </w:r>
          </w:p>
        </w:tc>
        <w:tc>
          <w:tcPr>
            <w:tcW w:w="5386" w:type="dxa"/>
            <w:vAlign w:val="center"/>
          </w:tcPr>
          <w:p>
            <w:pPr>
              <w:pStyle w:val="12"/>
            </w:pPr>
            <w:r>
              <w:t>用于生活垃圾下乡用车方面支出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通过项目实施改善人居环境卫生，清理民居环境卫生，维护农村环境。受益人数</w:t>
            </w:r>
          </w:p>
        </w:tc>
        <w:tc>
          <w:tcPr>
            <w:tcW w:w="2268" w:type="dxa"/>
            <w:vAlign w:val="center"/>
          </w:tcPr>
          <w:p>
            <w:pPr>
              <w:pStyle w:val="12"/>
            </w:pPr>
            <w:r>
              <w:t>≥27000人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13032123P00329310137Y</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项目资金1万元，其中财政拨款1万元，主要用于人大之家建设、充分发挥人大监督职能。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1.通过开展人大代表活动，密切联系群众，接受群众监督，提出议案建议。</w:t>
            </w:r>
            <w:r>
              <w:tab/>
            </w:r>
            <w:r>
              <w:tab/>
            </w:r>
            <w:r>
              <w:tab/>
            </w:r>
            <w:r>
              <w:tab/>
            </w:r>
            <w:r>
              <w:tab/>
            </w:r>
            <w:r>
              <w:tab/>
            </w:r>
          </w:p>
          <w:p>
            <w:pPr>
              <w:pStyle w:val="12"/>
            </w:pPr>
          </w:p>
          <w:p>
            <w:pPr>
              <w:pStyle w:val="12"/>
            </w:pPr>
            <w:r>
              <w:t>2.通过人大代表之家工作，充分发挥人大监督职能，推动各项事业有效开展。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≥4次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调研报告达标率</w:t>
            </w:r>
          </w:p>
        </w:tc>
        <w:tc>
          <w:tcPr>
            <w:tcW w:w="5386" w:type="dxa"/>
            <w:vAlign w:val="center"/>
          </w:tcPr>
          <w:p>
            <w:pPr>
              <w:pStyle w:val="12"/>
            </w:pPr>
            <w:r>
              <w:t>完成调研报告的质量情况</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13032123P00329310138J</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预算安排资金2万元，其中财政资金2万元，主要用于开展团委工作。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1.通过开展组织工作和基层青年工作，为党的建设储备好后备力量，确保未成年教育顺利开展。</w:t>
            </w:r>
            <w:r>
              <w:tab/>
            </w:r>
            <w:r>
              <w:tab/>
            </w:r>
            <w:r>
              <w:tab/>
            </w:r>
            <w:r>
              <w:tab/>
            </w:r>
            <w:r>
              <w:tab/>
            </w:r>
            <w:r>
              <w:tab/>
            </w:r>
          </w:p>
          <w:p>
            <w:pPr>
              <w:pStyle w:val="12"/>
            </w:pPr>
          </w:p>
          <w:p>
            <w:pPr>
              <w:pStyle w:val="12"/>
            </w:pPr>
            <w:r>
              <w:t>2.通过开展团费收缴和宣传工作，确保团委工作有序开展，积极发挥团委作用。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活动完成及时性</w:t>
            </w:r>
          </w:p>
        </w:tc>
        <w:tc>
          <w:tcPr>
            <w:tcW w:w="5386" w:type="dxa"/>
            <w:vAlign w:val="center"/>
          </w:tcPr>
          <w:p>
            <w:pPr>
              <w:pStyle w:val="12"/>
            </w:pPr>
            <w:r>
              <w:t>反映各项活动完成时间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13032123P003293101440</w:t>
            </w:r>
          </w:p>
        </w:tc>
        <w:tc>
          <w:tcPr>
            <w:tcW w:w="2835" w:type="dxa"/>
            <w:vAlign w:val="center"/>
          </w:tcPr>
          <w:p>
            <w:pPr>
              <w:pStyle w:val="10"/>
            </w:pPr>
            <w:r>
              <w:t>项目名称</w:t>
            </w:r>
          </w:p>
        </w:tc>
        <w:tc>
          <w:tcPr>
            <w:tcW w:w="6094" w:type="dxa"/>
            <w:gridSpan w:val="3"/>
            <w:vAlign w:val="center"/>
          </w:tcPr>
          <w:p>
            <w:pPr>
              <w:pStyle w:val="12"/>
            </w:pPr>
            <w:r>
              <w:t>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项目资金2万元，其中财政拨款2万元。用于征兵相关工作的支出。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&lt;6月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8、自然灾害综合风险普查经费绩效目标表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13032123P00329310143C</w:t>
            </w:r>
          </w:p>
        </w:tc>
        <w:tc>
          <w:tcPr>
            <w:tcW w:w="2835" w:type="dxa"/>
            <w:vAlign w:val="center"/>
          </w:tcPr>
          <w:p>
            <w:pPr>
              <w:pStyle w:val="10"/>
            </w:pPr>
            <w:r>
              <w:t>项目名称</w:t>
            </w:r>
          </w:p>
        </w:tc>
        <w:tc>
          <w:tcPr>
            <w:tcW w:w="6094" w:type="dxa"/>
            <w:gridSpan w:val="3"/>
            <w:vAlign w:val="center"/>
          </w:tcPr>
          <w:p>
            <w:pPr>
              <w:pStyle w:val="12"/>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项目资金1万元，其中财政拨款1万元。开展培训班，提升广大群众抵御自然灾害的能力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1.通过开展辖区内自然灾害风险普查工作，增强群众防范意识。</w:t>
            </w:r>
            <w:r>
              <w:tab/>
            </w:r>
            <w:r>
              <w:tab/>
            </w:r>
            <w:r>
              <w:tab/>
            </w:r>
            <w:r>
              <w:tab/>
            </w:r>
            <w:r>
              <w:tab/>
            </w:r>
            <w:r>
              <w:tab/>
            </w:r>
          </w:p>
          <w:p>
            <w:pPr>
              <w:pStyle w:val="12"/>
            </w:pPr>
          </w:p>
          <w:p>
            <w:pPr>
              <w:pStyle w:val="12"/>
            </w:pPr>
            <w:r>
              <w:t>2.通过开展宣传培训工作，提升我乡抵御自然灾害综合防范能力。</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22个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自然灾害综合风险普查工作支出费用</w:t>
            </w:r>
          </w:p>
        </w:tc>
        <w:tc>
          <w:tcPr>
            <w:tcW w:w="5386" w:type="dxa"/>
            <w:vAlign w:val="center"/>
          </w:tcPr>
          <w:p>
            <w:pPr>
              <w:pStyle w:val="12"/>
            </w:pPr>
            <w:r>
              <w:t>开展工作中发生的办公支出的成本</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≥50%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普查对象满意度</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13032123P00329310140H</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项目资金3万元，其中财政拨款3万元，用于综治信访等工作需求。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1.通过加强法制宣传教育，提高公民的法律意识和素质，教育群众知法、懂法和守法。</w:t>
            </w:r>
            <w:r>
              <w:tab/>
            </w:r>
            <w:r>
              <w:tab/>
            </w:r>
            <w:r>
              <w:tab/>
            </w:r>
            <w:r>
              <w:tab/>
            </w:r>
            <w:r>
              <w:tab/>
            </w:r>
            <w:r>
              <w:tab/>
            </w:r>
          </w:p>
          <w:p>
            <w:pPr>
              <w:pStyle w:val="12"/>
            </w:pPr>
          </w:p>
          <w:p>
            <w:pPr>
              <w:pStyle w:val="12"/>
            </w:pPr>
            <w:r>
              <w:t>2.通过妥善处理突发性、群体性事件，搞好村级治安工作，深化农村平安创建工作。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在开展工作时发生的办公费支出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差旅费支出</w:t>
            </w:r>
          </w:p>
        </w:tc>
        <w:tc>
          <w:tcPr>
            <w:tcW w:w="5386" w:type="dxa"/>
            <w:vAlign w:val="center"/>
          </w:tcPr>
          <w:p>
            <w:pPr>
              <w:pStyle w:val="12"/>
            </w:pPr>
            <w:r>
              <w:t>用于借信访人员返青食宿支出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立体化社会治安防控体系在乡村两级的覆盖情况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13032123P00000210038B</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106.24</w:t>
            </w:r>
          </w:p>
        </w:tc>
        <w:tc>
          <w:tcPr>
            <w:tcW w:w="2835" w:type="dxa"/>
            <w:vAlign w:val="center"/>
          </w:tcPr>
          <w:p>
            <w:pPr>
              <w:pStyle w:val="10"/>
            </w:pPr>
            <w:r>
              <w:t>其中：财政    资金</w:t>
            </w:r>
          </w:p>
        </w:tc>
        <w:tc>
          <w:tcPr>
            <w:tcW w:w="2551" w:type="dxa"/>
            <w:vAlign w:val="center"/>
          </w:tcPr>
          <w:p>
            <w:pPr>
              <w:pStyle w:val="12"/>
            </w:pPr>
            <w:r>
              <w:t>106.24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预算资金208万元，其中财政资金208万元，主要用于提高村干部工作积极性，推进科学民主决策，确保村级工作正常运转，壮大村级经济实力.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1.村级积极认真落实乡政府各项工作安排和部署，保证党的政策落实到位。</w:t>
            </w:r>
          </w:p>
          <w:p>
            <w:pPr>
              <w:pStyle w:val="12"/>
            </w:pPr>
            <w:r>
              <w:t>2.提高村干部工作积极性，推进科学民主决策，确保村级工作正常运转，壮大村级经济实力。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领取补贴的村干部数量</w:t>
            </w:r>
          </w:p>
        </w:tc>
        <w:tc>
          <w:tcPr>
            <w:tcW w:w="5386" w:type="dxa"/>
            <w:vAlign w:val="center"/>
          </w:tcPr>
          <w:p>
            <w:pPr>
              <w:pStyle w:val="12"/>
            </w:pPr>
            <w:r>
              <w:t>补贴的村干部人数</w:t>
            </w:r>
          </w:p>
        </w:tc>
        <w:tc>
          <w:tcPr>
            <w:tcW w:w="2268" w:type="dxa"/>
            <w:vAlign w:val="center"/>
          </w:tcPr>
          <w:p>
            <w:pPr>
              <w:pStyle w:val="12"/>
            </w:pPr>
            <w:r>
              <w:t>122人</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支付基础职务补贴村数</w:t>
            </w:r>
          </w:p>
        </w:tc>
        <w:tc>
          <w:tcPr>
            <w:tcW w:w="5386" w:type="dxa"/>
            <w:vAlign w:val="center"/>
          </w:tcPr>
          <w:p>
            <w:pPr>
              <w:pStyle w:val="12"/>
            </w:pPr>
            <w:r>
              <w:t>村干部基础职务补贴的村数</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13032123P00000410026K</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预算资金56万元，其中财政资金56万元，主要用于确保村级工作正常运转。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1.提高村干部工作积极性，推进科学民主决策，确保村级工作正常运转，壮大村级经济实力。</w:t>
            </w:r>
          </w:p>
          <w:p>
            <w:pPr>
              <w:pStyle w:val="12"/>
            </w:pPr>
            <w:r>
              <w:t>2.保证村级积极认真落实镇政府各项工作安排和部署，保证党的政策落实到位。</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≤2.54万元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13032123P00000610027J</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44.00</w:t>
            </w:r>
          </w:p>
        </w:tc>
        <w:tc>
          <w:tcPr>
            <w:tcW w:w="2835" w:type="dxa"/>
            <w:vAlign w:val="center"/>
          </w:tcPr>
          <w:p>
            <w:pPr>
              <w:pStyle w:val="10"/>
            </w:pPr>
            <w:r>
              <w:t>其中：财政    资金</w:t>
            </w:r>
          </w:p>
        </w:tc>
        <w:tc>
          <w:tcPr>
            <w:tcW w:w="2551" w:type="dxa"/>
            <w:vAlign w:val="center"/>
          </w:tcPr>
          <w:p>
            <w:pPr>
              <w:pStyle w:val="12"/>
            </w:pPr>
            <w:r>
              <w:t>44.00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预算资金110万元，其中财政资金110万元，主要用于落实镇政府各项工作安排和部署。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1.村级积极认真落实镇政府各项工作安排和部署，保证党的政策落实到位</w:t>
            </w:r>
          </w:p>
          <w:p>
            <w:pPr>
              <w:pStyle w:val="12"/>
            </w:pPr>
            <w:r>
              <w:t>2.提高村干部工作积极性，推进科学民主决策、确保村级工作正常运转，壮大村经济实力。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2023工作计划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13032123P003295100494</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项目资金40万元，用于改造取暖方式，采暖锅炉改造。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1.通过采暖锅炉改造空气能取暖，确保机关正常办公，为机关工作人员和群众提供良好的工作办事环境。</w:t>
            </w:r>
          </w:p>
          <w:p>
            <w:pPr>
              <w:pStyle w:val="12"/>
            </w:pPr>
            <w:r>
              <w:t>2.通过改变取暖方式，加大大气治理力度，提升大气质量，保护自然环境。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≥2090㎡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2024年12月31日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14、矽肺病人生活补助绩效目标表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13032123P003295100513</w:t>
            </w:r>
          </w:p>
        </w:tc>
        <w:tc>
          <w:tcPr>
            <w:tcW w:w="2835" w:type="dxa"/>
            <w:vAlign w:val="center"/>
          </w:tcPr>
          <w:p>
            <w:pPr>
              <w:pStyle w:val="10"/>
            </w:pPr>
            <w:r>
              <w:t>项目名称</w:t>
            </w:r>
          </w:p>
        </w:tc>
        <w:tc>
          <w:tcPr>
            <w:tcW w:w="6094" w:type="dxa"/>
            <w:gridSpan w:val="3"/>
            <w:vAlign w:val="center"/>
          </w:tcPr>
          <w:p>
            <w:pPr>
              <w:pStyle w:val="12"/>
            </w:pPr>
            <w:r>
              <w:t>矽肺病人生活补助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2.86</w:t>
            </w:r>
          </w:p>
        </w:tc>
        <w:tc>
          <w:tcPr>
            <w:tcW w:w="2835" w:type="dxa"/>
            <w:vAlign w:val="center"/>
          </w:tcPr>
          <w:p>
            <w:pPr>
              <w:pStyle w:val="10"/>
            </w:pPr>
            <w:r>
              <w:t>其中：财政    资金</w:t>
            </w:r>
          </w:p>
        </w:tc>
        <w:tc>
          <w:tcPr>
            <w:tcW w:w="2551" w:type="dxa"/>
            <w:vAlign w:val="center"/>
          </w:tcPr>
          <w:p>
            <w:pPr>
              <w:pStyle w:val="12"/>
            </w:pPr>
            <w:r>
              <w:t>2.86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项目资金2.532万元，其中财政拨款2.532万元。对矽肺病人的补助。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1.通过对矽肺病人发放生活补助，保障病人基本生活。</w:t>
            </w:r>
          </w:p>
          <w:p>
            <w:pPr>
              <w:pStyle w:val="12"/>
            </w:pPr>
            <w:r>
              <w:t>2.通过稳控不稳定群体，确保基层社会稳定。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15、原杨树窝铺砖厂遗留问题资金绩效目标表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13032123P00329710019U</w:t>
            </w:r>
          </w:p>
        </w:tc>
        <w:tc>
          <w:tcPr>
            <w:tcW w:w="2835" w:type="dxa"/>
            <w:vAlign w:val="center"/>
          </w:tcPr>
          <w:p>
            <w:pPr>
              <w:pStyle w:val="10"/>
            </w:pPr>
            <w:r>
              <w:t>项目名称</w:t>
            </w:r>
          </w:p>
        </w:tc>
        <w:tc>
          <w:tcPr>
            <w:tcW w:w="6094" w:type="dxa"/>
            <w:gridSpan w:val="3"/>
            <w:vAlign w:val="center"/>
          </w:tcPr>
          <w:p>
            <w:pPr>
              <w:pStyle w:val="12"/>
            </w:pPr>
            <w:r>
              <w:t>原杨树窝铺砖厂遗留问题资金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共需资金15万元，其中财政资金15万元，其他资金0万元，主要用于杨树窝铺村砖厂遗留问题资金，稳控不稳定群体，解决相应后续上访事件，确保基层社会稳定。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1.通过发放问题资金，解决相应后续上访事件。</w:t>
            </w:r>
          </w:p>
          <w:p>
            <w:pPr>
              <w:pStyle w:val="12"/>
            </w:pPr>
            <w:r>
              <w:t>2.通过稳控不稳定群体，确保基层社会稳定。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发放遗留问题资金人数</w:t>
            </w:r>
          </w:p>
        </w:tc>
        <w:tc>
          <w:tcPr>
            <w:tcW w:w="5386" w:type="dxa"/>
            <w:vAlign w:val="center"/>
          </w:tcPr>
          <w:p>
            <w:pPr>
              <w:pStyle w:val="12"/>
            </w:pPr>
            <w:r>
              <w:t>杨树窝铺砖厂存在遗留问题资金人数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发放问题资金金额数</w:t>
            </w:r>
          </w:p>
        </w:tc>
        <w:tc>
          <w:tcPr>
            <w:tcW w:w="5386" w:type="dxa"/>
            <w:vAlign w:val="center"/>
          </w:tcPr>
          <w:p>
            <w:pPr>
              <w:pStyle w:val="12"/>
            </w:pPr>
            <w:r>
              <w:t>发放问题资金金额数</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资金到位后发放准确率</w:t>
            </w:r>
          </w:p>
        </w:tc>
        <w:tc>
          <w:tcPr>
            <w:tcW w:w="5386" w:type="dxa"/>
            <w:vAlign w:val="center"/>
          </w:tcPr>
          <w:p>
            <w:pPr>
              <w:pStyle w:val="12"/>
            </w:pPr>
            <w:r>
              <w:t>资金到位后发放准确率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问题资金处置及时率</w:t>
            </w:r>
          </w:p>
        </w:tc>
        <w:tc>
          <w:tcPr>
            <w:tcW w:w="5386" w:type="dxa"/>
            <w:vAlign w:val="center"/>
          </w:tcPr>
          <w:p>
            <w:pPr>
              <w:pStyle w:val="12"/>
            </w:pPr>
            <w:r>
              <w:t>问题资金处置及时率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资金发放占比</w:t>
            </w:r>
          </w:p>
        </w:tc>
        <w:tc>
          <w:tcPr>
            <w:tcW w:w="5386" w:type="dxa"/>
            <w:vAlign w:val="center"/>
          </w:tcPr>
          <w:p>
            <w:pPr>
              <w:pStyle w:val="12"/>
            </w:pPr>
            <w:r>
              <w:t>资金发放额度占所有资金占比率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后续上访事件解决率</w:t>
            </w:r>
          </w:p>
        </w:tc>
        <w:tc>
          <w:tcPr>
            <w:tcW w:w="5386" w:type="dxa"/>
            <w:vAlign w:val="center"/>
          </w:tcPr>
          <w:p>
            <w:pPr>
              <w:pStyle w:val="12"/>
            </w:pPr>
            <w:r>
              <w:t>对相应后续上访事件的解决程度</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问题资金发放后续影响</w:t>
            </w:r>
          </w:p>
        </w:tc>
        <w:tc>
          <w:tcPr>
            <w:tcW w:w="5386" w:type="dxa"/>
            <w:vAlign w:val="center"/>
          </w:tcPr>
          <w:p>
            <w:pPr>
              <w:pStyle w:val="12"/>
            </w:pPr>
            <w:r>
              <w:t>问题资金发放后续影响</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群众对服务的满意度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16、张台子村道路维修项目绩效目标表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13032124P00329710040D</w:t>
            </w:r>
          </w:p>
        </w:tc>
        <w:tc>
          <w:tcPr>
            <w:tcW w:w="2835" w:type="dxa"/>
            <w:vAlign w:val="center"/>
          </w:tcPr>
          <w:p>
            <w:pPr>
              <w:pStyle w:val="10"/>
            </w:pPr>
            <w:r>
              <w:t>项目名称</w:t>
            </w:r>
          </w:p>
        </w:tc>
        <w:tc>
          <w:tcPr>
            <w:tcW w:w="6094" w:type="dxa"/>
            <w:gridSpan w:val="3"/>
            <w:vAlign w:val="center"/>
          </w:tcPr>
          <w:p>
            <w:pPr>
              <w:pStyle w:val="12"/>
            </w:pPr>
            <w:r>
              <w:t>张台子村道路维修项目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项目资金35万元，其中财政拨款35万元，通过维修道路，改善村民出行环境，保证人民财产安全。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1.通过维修村里道路，解决农副产品运输问题。</w:t>
            </w:r>
          </w:p>
          <w:p>
            <w:pPr>
              <w:pStyle w:val="12"/>
            </w:pPr>
          </w:p>
          <w:p>
            <w:pPr>
              <w:pStyle w:val="12"/>
            </w:pPr>
            <w:r>
              <w:t>2.通过维修道路，改善村民出行环境，保证人民财产安全，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维修道路数量</w:t>
            </w:r>
          </w:p>
        </w:tc>
        <w:tc>
          <w:tcPr>
            <w:tcW w:w="5386" w:type="dxa"/>
            <w:vAlign w:val="center"/>
          </w:tcPr>
          <w:p>
            <w:pPr>
              <w:pStyle w:val="12"/>
            </w:pPr>
            <w:r>
              <w:t>反应修建道路的数量</w:t>
            </w:r>
          </w:p>
        </w:tc>
        <w:tc>
          <w:tcPr>
            <w:tcW w:w="2268" w:type="dxa"/>
            <w:vAlign w:val="center"/>
          </w:tcPr>
          <w:p>
            <w:pPr>
              <w:pStyle w:val="12"/>
            </w:pPr>
            <w:r>
              <w:t>1条</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维修道路长度</w:t>
            </w:r>
          </w:p>
        </w:tc>
        <w:tc>
          <w:tcPr>
            <w:tcW w:w="5386" w:type="dxa"/>
            <w:vAlign w:val="center"/>
          </w:tcPr>
          <w:p>
            <w:pPr>
              <w:pStyle w:val="12"/>
            </w:pPr>
            <w:r>
              <w:t>反应修建道路的长度</w:t>
            </w:r>
          </w:p>
        </w:tc>
        <w:tc>
          <w:tcPr>
            <w:tcW w:w="2268" w:type="dxa"/>
            <w:vAlign w:val="center"/>
          </w:tcPr>
          <w:p>
            <w:pPr>
              <w:pStyle w:val="12"/>
            </w:pPr>
            <w:r>
              <w:t>≥2500米</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修建孔桥</w:t>
            </w:r>
          </w:p>
        </w:tc>
        <w:tc>
          <w:tcPr>
            <w:tcW w:w="5386" w:type="dxa"/>
            <w:vAlign w:val="center"/>
          </w:tcPr>
          <w:p>
            <w:pPr>
              <w:pStyle w:val="12"/>
            </w:pPr>
            <w:r>
              <w:t>反应修建孔桥个数</w:t>
            </w:r>
          </w:p>
        </w:tc>
        <w:tc>
          <w:tcPr>
            <w:tcW w:w="2268" w:type="dxa"/>
            <w:vAlign w:val="center"/>
          </w:tcPr>
          <w:p>
            <w:pPr>
              <w:pStyle w:val="12"/>
            </w:pPr>
            <w:r>
              <w:t>1座</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反应工程质量验收合格率</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反应工程材料验收合格率</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反应工程按计划开工及完成时间</w:t>
            </w:r>
          </w:p>
        </w:tc>
        <w:tc>
          <w:tcPr>
            <w:tcW w:w="2268" w:type="dxa"/>
            <w:vAlign w:val="center"/>
          </w:tcPr>
          <w:p>
            <w:pPr>
              <w:pStyle w:val="12"/>
            </w:pPr>
            <w:r>
              <w:t>按时完工率达到100％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≤35万元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二三类费用</w:t>
            </w:r>
          </w:p>
        </w:tc>
        <w:tc>
          <w:tcPr>
            <w:tcW w:w="5386" w:type="dxa"/>
            <w:vAlign w:val="center"/>
          </w:tcPr>
          <w:p>
            <w:pPr>
              <w:pStyle w:val="12"/>
            </w:pPr>
            <w:r>
              <w:t>反应二三类预算金额</w:t>
            </w:r>
          </w:p>
        </w:tc>
        <w:tc>
          <w:tcPr>
            <w:tcW w:w="2268" w:type="dxa"/>
            <w:vAlign w:val="center"/>
          </w:tcPr>
          <w:p>
            <w:pPr>
              <w:pStyle w:val="12"/>
            </w:pPr>
            <w:r>
              <w:t>≤10万元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管理费用</w:t>
            </w:r>
          </w:p>
        </w:tc>
        <w:tc>
          <w:tcPr>
            <w:tcW w:w="5386" w:type="dxa"/>
            <w:vAlign w:val="center"/>
          </w:tcPr>
          <w:p>
            <w:pPr>
              <w:pStyle w:val="12"/>
            </w:pPr>
            <w:r>
              <w:t>反应管理费用预算金额</w:t>
            </w:r>
          </w:p>
        </w:tc>
        <w:tc>
          <w:tcPr>
            <w:tcW w:w="2268" w:type="dxa"/>
            <w:vAlign w:val="center"/>
          </w:tcPr>
          <w:p>
            <w:pPr>
              <w:pStyle w:val="12"/>
            </w:pPr>
            <w:r>
              <w:t>≤5万元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反应道路修建解决出行人口数量</w:t>
            </w:r>
          </w:p>
        </w:tc>
        <w:tc>
          <w:tcPr>
            <w:tcW w:w="2268" w:type="dxa"/>
            <w:vAlign w:val="center"/>
          </w:tcPr>
          <w:p>
            <w:pPr>
              <w:pStyle w:val="12"/>
            </w:pPr>
            <w:r>
              <w:t>≥1500人</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成果应用效果</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17、重症精神病监护人责任险绩效目标表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13032123P00329510050F</w:t>
            </w:r>
          </w:p>
        </w:tc>
        <w:tc>
          <w:tcPr>
            <w:tcW w:w="2835" w:type="dxa"/>
            <w:vAlign w:val="center"/>
          </w:tcPr>
          <w:p>
            <w:pPr>
              <w:pStyle w:val="10"/>
            </w:pPr>
            <w:r>
              <w:t>项目名称</w:t>
            </w:r>
          </w:p>
        </w:tc>
        <w:tc>
          <w:tcPr>
            <w:tcW w:w="6094" w:type="dxa"/>
            <w:gridSpan w:val="3"/>
            <w:vAlign w:val="center"/>
          </w:tcPr>
          <w:p>
            <w:pPr>
              <w:pStyle w:val="12"/>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项目资金1.5万元，其中财政拨款1.5万元，通过开展精神障碍患者补助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bookmarkEnd w:id="20"/>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1.通过开展精神障碍患者责任险，实现辖区公共安全防范工作。</w:t>
            </w:r>
          </w:p>
          <w:p>
            <w:pPr>
              <w:pStyle w:val="12"/>
            </w:pPr>
            <w:r>
              <w:t>2.通过开展精神障碍患者责任险，确保监护人、当事人安全得到保障，化解事后风险。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严重精神障碍患者人数</w:t>
            </w:r>
          </w:p>
        </w:tc>
        <w:tc>
          <w:tcPr>
            <w:tcW w:w="5386" w:type="dxa"/>
            <w:vAlign w:val="center"/>
          </w:tcPr>
          <w:p>
            <w:pPr>
              <w:pStyle w:val="12"/>
            </w:pPr>
            <w:r>
              <w:t>反映严重精神障碍患者人数</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2024年12月31日</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青龙满族自治县木头凳镇人民政府（含所属单位）上年末固定资产金额为</w:t>
      </w:r>
      <w:r>
        <w:rPr>
          <w:rFonts w:hint="eastAsia" w:eastAsia="方正仿宋_GBK"/>
          <w:color w:val="000000"/>
          <w:sz w:val="28"/>
          <w:lang w:val="en-US" w:eastAsia="zh-CN"/>
        </w:rPr>
        <w:t>308.76</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资产总额</w:t>
            </w:r>
          </w:p>
        </w:tc>
        <w:tc>
          <w:tcPr>
            <w:tcW w:w="2835" w:type="dxa"/>
            <w:vAlign w:val="center"/>
          </w:tcPr>
          <w:p>
            <w:pPr>
              <w:pStyle w:val="13"/>
              <w:rPr>
                <w:rFonts w:ascii="方正书宋_GBK" w:hAnsi="方正书宋_GBK" w:eastAsia="方正书宋_GBK" w:cs="方正书宋_GBK"/>
                <w:sz w:val="21"/>
                <w:szCs w:val="24"/>
                <w:lang w:val="en-US" w:eastAsia="uk-UA" w:bidi="ar-SA"/>
              </w:rPr>
            </w:pP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308.76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1、房屋（平方米）</w:t>
            </w:r>
          </w:p>
        </w:tc>
        <w:tc>
          <w:tcPr>
            <w:tcW w:w="2835"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eastAsia="zh-CN"/>
              </w:rPr>
              <w:t>2</w:t>
            </w:r>
            <w:r>
              <w:rPr>
                <w:rFonts w:hint="eastAsia"/>
                <w:lang w:val="en-US" w:eastAsia="zh-CN"/>
              </w:rPr>
              <w:t>614</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　　其中：办公用房（平方米）</w:t>
            </w:r>
          </w:p>
        </w:tc>
        <w:tc>
          <w:tcPr>
            <w:tcW w:w="2835"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2614</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2、车辆（台、辆）</w:t>
            </w:r>
          </w:p>
        </w:tc>
        <w:tc>
          <w:tcPr>
            <w:tcW w:w="2835" w:type="dxa"/>
            <w:vAlign w:val="center"/>
          </w:tcPr>
          <w:p>
            <w:pPr>
              <w:pStyle w:val="13"/>
              <w:rPr>
                <w:rFonts w:hint="eastAsia" w:ascii="方正书宋_GBK" w:hAnsi="方正书宋_GBK" w:eastAsia="方正书宋_GBK" w:cs="方正书宋_GBK"/>
                <w:sz w:val="21"/>
                <w:szCs w:val="24"/>
                <w:lang w:val="en-US" w:eastAsia="zh-CN" w:bidi="ar-SA"/>
              </w:rPr>
            </w:pPr>
            <w:r>
              <w:rPr>
                <w:rFonts w:hint="eastAsia"/>
                <w:lang w:val="en-US" w:eastAsia="zh-CN"/>
              </w:rPr>
              <w:t>2</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3、单价在20万元以上的设备</w:t>
            </w:r>
          </w:p>
        </w:tc>
        <w:tc>
          <w:tcPr>
            <w:tcW w:w="2835" w:type="dxa"/>
            <w:vAlign w:val="center"/>
          </w:tcPr>
          <w:p>
            <w:pPr>
              <w:pStyle w:val="13"/>
              <w:rPr>
                <w:rFonts w:ascii="方正书宋_GBK" w:hAnsi="方正书宋_GBK" w:eastAsia="方正书宋_GBK" w:cs="方正书宋_GBK"/>
                <w:sz w:val="21"/>
                <w:szCs w:val="24"/>
                <w:lang w:val="en-US" w:eastAsia="uk-UA" w:bidi="ar-SA"/>
              </w:rPr>
            </w:pPr>
          </w:p>
        </w:tc>
        <w:tc>
          <w:tcPr>
            <w:tcW w:w="2835" w:type="dxa"/>
            <w:vAlign w:val="center"/>
          </w:tcPr>
          <w:p>
            <w:pPr>
              <w:pStyle w:val="11"/>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4、其他固定资产</w:t>
            </w:r>
          </w:p>
        </w:tc>
        <w:tc>
          <w:tcPr>
            <w:tcW w:w="2835"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2002</w:t>
            </w: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915青龙满族自治县木头凳镇人民政府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MzQxYmMxNTBmNDEwZmQyMmJmZjUwYWY1M2EwNDUifQ=="/>
  </w:docVars>
  <w:rsids>
    <w:rsidRoot w:val="00C87721"/>
    <w:rsid w:val="001F1FC7"/>
    <w:rsid w:val="00421581"/>
    <w:rsid w:val="00C87721"/>
    <w:rsid w:val="4B88455C"/>
    <w:rsid w:val="509A1891"/>
    <w:rsid w:val="6B1E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2024-02-26T14:05:24Z</dcterms:created>
  <dcterms:modified xsi:type="dcterms:W3CDTF">2024-02-26T06:05:24Z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2024-02-26T14:05:20Z</dcterms:created>
  <dcterms:modified xsi:type="dcterms:W3CDTF">2024-02-26T06:05:20Z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2024-02-26T14:05:28Z</dcterms:created>
  <dcterms:modified xsi:type="dcterms:W3CDTF">2024-02-26T06:05:28Z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2024-02-26T14:05:24Z</dcterms:created>
  <dcterms:modified xsi:type="dcterms:W3CDTF">2024-02-26T06:05:24Z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2024-02-26T14:05:28Z</dcterms:created>
  <dcterms:modified xsi:type="dcterms:W3CDTF">2024-02-26T06:05:28Z</dcterms:modified>
</cp:coreProperties>
</file>

<file path=customXml/itemProps1.xml><?xml version="1.0" encoding="utf-8"?>
<ds:datastoreItem xmlns:ds="http://schemas.openxmlformats.org/officeDocument/2006/customXml" ds:itemID="{352E8878-529B-4586-ACC7-5D8B2F487EF0}">
  <ds:schemaRefs/>
</ds:datastoreItem>
</file>

<file path=customXml/itemProps10.xml><?xml version="1.0" encoding="utf-8"?>
<ds:datastoreItem xmlns:ds="http://schemas.openxmlformats.org/officeDocument/2006/customXml" ds:itemID="{1E40A459-0513-4959-9786-AA342B408673}">
  <ds:schemaRefs/>
</ds:datastoreItem>
</file>

<file path=customXml/itemProps11.xml><?xml version="1.0" encoding="utf-8"?>
<ds:datastoreItem xmlns:ds="http://schemas.openxmlformats.org/officeDocument/2006/customXml" ds:itemID="{D255B61D-6BC9-4FD2-967B-BC372165C878}">
  <ds:schemaRefs/>
</ds:datastoreItem>
</file>

<file path=customXml/itemProps12.xml><?xml version="1.0" encoding="utf-8"?>
<ds:datastoreItem xmlns:ds="http://schemas.openxmlformats.org/officeDocument/2006/customXml" ds:itemID="{22C88ECD-F24E-4F81-AC19-98BBB595F6E9}">
  <ds:schemaRefs/>
</ds:datastoreItem>
</file>

<file path=customXml/itemProps13.xml><?xml version="1.0" encoding="utf-8"?>
<ds:datastoreItem xmlns:ds="http://schemas.openxmlformats.org/officeDocument/2006/customXml" ds:itemID="{74F81B60-1996-4BCE-AE10-6873E4F91846}">
  <ds:schemaRefs/>
</ds:datastoreItem>
</file>

<file path=customXml/itemProps14.xml><?xml version="1.0" encoding="utf-8"?>
<ds:datastoreItem xmlns:ds="http://schemas.openxmlformats.org/officeDocument/2006/customXml" ds:itemID="{F055CCE6-7D4E-4C7C-B34B-EED6BBDA6370}">
  <ds:schemaRefs/>
</ds:datastoreItem>
</file>

<file path=customXml/itemProps15.xml><?xml version="1.0" encoding="utf-8"?>
<ds:datastoreItem xmlns:ds="http://schemas.openxmlformats.org/officeDocument/2006/customXml" ds:itemID="{64A62FEC-36E2-44CF-A906-0D3763876D64}">
  <ds:schemaRefs/>
</ds:datastoreItem>
</file>

<file path=customXml/itemProps16.xml><?xml version="1.0" encoding="utf-8"?>
<ds:datastoreItem xmlns:ds="http://schemas.openxmlformats.org/officeDocument/2006/customXml" ds:itemID="{81E8F7AF-68A6-4B54-BF87-24925550E2F0}">
  <ds:schemaRefs/>
</ds:datastoreItem>
</file>

<file path=customXml/itemProps17.xml><?xml version="1.0" encoding="utf-8"?>
<ds:datastoreItem xmlns:ds="http://schemas.openxmlformats.org/officeDocument/2006/customXml" ds:itemID="{F06DA86D-180B-4BA4-AFB6-CD38A490B160}">
  <ds:schemaRefs/>
</ds:datastoreItem>
</file>

<file path=customXml/itemProps18.xml><?xml version="1.0" encoding="utf-8"?>
<ds:datastoreItem xmlns:ds="http://schemas.openxmlformats.org/officeDocument/2006/customXml" ds:itemID="{092764A1-7038-47FD-8BE0-7478AB84AB74}">
  <ds:schemaRefs/>
</ds:datastoreItem>
</file>

<file path=customXml/itemProps19.xml><?xml version="1.0" encoding="utf-8"?>
<ds:datastoreItem xmlns:ds="http://schemas.openxmlformats.org/officeDocument/2006/customXml" ds:itemID="{B354A506-412A-4CD7-84B1-5B01FFC69341}">
  <ds:schemaRefs/>
</ds:datastoreItem>
</file>

<file path=customXml/itemProps2.xml><?xml version="1.0" encoding="utf-8"?>
<ds:datastoreItem xmlns:ds="http://schemas.openxmlformats.org/officeDocument/2006/customXml" ds:itemID="{3380917C-F1DC-45E8-9B66-41650BFA4606}">
  <ds:schemaRefs/>
</ds:datastoreItem>
</file>

<file path=customXml/itemProps20.xml><?xml version="1.0" encoding="utf-8"?>
<ds:datastoreItem xmlns:ds="http://schemas.openxmlformats.org/officeDocument/2006/customXml" ds:itemID="{08DC25AF-4648-4241-9B9D-E2E76B578ED3}">
  <ds:schemaRefs/>
</ds:datastoreItem>
</file>

<file path=customXml/itemProps21.xml><?xml version="1.0" encoding="utf-8"?>
<ds:datastoreItem xmlns:ds="http://schemas.openxmlformats.org/officeDocument/2006/customXml" ds:itemID="{76494AFA-5F4B-4C4C-B8BC-B83B9CB98931}">
  <ds:schemaRefs/>
</ds:datastoreItem>
</file>

<file path=customXml/itemProps22.xml><?xml version="1.0" encoding="utf-8"?>
<ds:datastoreItem xmlns:ds="http://schemas.openxmlformats.org/officeDocument/2006/customXml" ds:itemID="{711B3276-211A-40D8-ABD3-1AC47C6C7ECC}">
  <ds:schemaRefs/>
</ds:datastoreItem>
</file>

<file path=customXml/itemProps23.xml><?xml version="1.0" encoding="utf-8"?>
<ds:datastoreItem xmlns:ds="http://schemas.openxmlformats.org/officeDocument/2006/customXml" ds:itemID="{8B9E9863-0266-4101-896B-45D6ACCF0F71}">
  <ds:schemaRefs/>
</ds:datastoreItem>
</file>

<file path=customXml/itemProps24.xml><?xml version="1.0" encoding="utf-8"?>
<ds:datastoreItem xmlns:ds="http://schemas.openxmlformats.org/officeDocument/2006/customXml" ds:itemID="{4D743734-ABBD-4670-9E69-5AF55B73476F}">
  <ds:schemaRefs/>
</ds:datastoreItem>
</file>

<file path=customXml/itemProps25.xml><?xml version="1.0" encoding="utf-8"?>
<ds:datastoreItem xmlns:ds="http://schemas.openxmlformats.org/officeDocument/2006/customXml" ds:itemID="{15B53B21-3137-43FF-9208-7BBF5A09C993}">
  <ds:schemaRefs/>
</ds:datastoreItem>
</file>

<file path=customXml/itemProps26.xml><?xml version="1.0" encoding="utf-8"?>
<ds:datastoreItem xmlns:ds="http://schemas.openxmlformats.org/officeDocument/2006/customXml" ds:itemID="{60B1A74C-4CFF-4629-83E0-811F39E1938B}">
  <ds:schemaRefs/>
</ds:datastoreItem>
</file>

<file path=customXml/itemProps27.xml><?xml version="1.0" encoding="utf-8"?>
<ds:datastoreItem xmlns:ds="http://schemas.openxmlformats.org/officeDocument/2006/customXml" ds:itemID="{79AF355B-DF5C-4EF5-A118-6B411DB31B28}">
  <ds:schemaRefs/>
</ds:datastoreItem>
</file>

<file path=customXml/itemProps28.xml><?xml version="1.0" encoding="utf-8"?>
<ds:datastoreItem xmlns:ds="http://schemas.openxmlformats.org/officeDocument/2006/customXml" ds:itemID="{244EC81D-BA2C-4C5C-82D2-211576F00494}">
  <ds:schemaRefs/>
</ds:datastoreItem>
</file>

<file path=customXml/itemProps29.xml><?xml version="1.0" encoding="utf-8"?>
<ds:datastoreItem xmlns:ds="http://schemas.openxmlformats.org/officeDocument/2006/customXml" ds:itemID="{B106119C-601C-4E62-ABF2-5557F1105BAE}">
  <ds:schemaRefs/>
</ds:datastoreItem>
</file>

<file path=customXml/itemProps3.xml><?xml version="1.0" encoding="utf-8"?>
<ds:datastoreItem xmlns:ds="http://schemas.openxmlformats.org/officeDocument/2006/customXml" ds:itemID="{7B36C8A1-D5BF-4FDD-AA5D-FADF8A2A2C4C}">
  <ds:schemaRefs/>
</ds:datastoreItem>
</file>

<file path=customXml/itemProps30.xml><?xml version="1.0" encoding="utf-8"?>
<ds:datastoreItem xmlns:ds="http://schemas.openxmlformats.org/officeDocument/2006/customXml" ds:itemID="{0E97B447-F718-4434-8BA4-704AE6AFA502}">
  <ds:schemaRefs/>
</ds:datastoreItem>
</file>

<file path=customXml/itemProps31.xml><?xml version="1.0" encoding="utf-8"?>
<ds:datastoreItem xmlns:ds="http://schemas.openxmlformats.org/officeDocument/2006/customXml" ds:itemID="{D56E802F-3B22-453C-8F03-4DBC177EE213}">
  <ds:schemaRefs/>
</ds:datastoreItem>
</file>

<file path=customXml/itemProps32.xml><?xml version="1.0" encoding="utf-8"?>
<ds:datastoreItem xmlns:ds="http://schemas.openxmlformats.org/officeDocument/2006/customXml" ds:itemID="{16C54FEE-8EE1-47B5-BF19-1815187432A9}">
  <ds:schemaRefs/>
</ds:datastoreItem>
</file>

<file path=customXml/itemProps33.xml><?xml version="1.0" encoding="utf-8"?>
<ds:datastoreItem xmlns:ds="http://schemas.openxmlformats.org/officeDocument/2006/customXml" ds:itemID="{82FDAF3C-7756-420B-83F5-3F3A2D80B161}">
  <ds:schemaRefs/>
</ds:datastoreItem>
</file>

<file path=customXml/itemProps34.xml><?xml version="1.0" encoding="utf-8"?>
<ds:datastoreItem xmlns:ds="http://schemas.openxmlformats.org/officeDocument/2006/customXml" ds:itemID="{4B9CC499-7F96-4BEA-808C-68D01BBEEFA5}">
  <ds:schemaRefs/>
</ds:datastoreItem>
</file>

<file path=customXml/itemProps35.xml><?xml version="1.0" encoding="utf-8"?>
<ds:datastoreItem xmlns:ds="http://schemas.openxmlformats.org/officeDocument/2006/customXml" ds:itemID="{73D27775-9BE7-4301-93B9-0222608DCE03}">
  <ds:schemaRefs/>
</ds:datastoreItem>
</file>

<file path=customXml/itemProps36.xml><?xml version="1.0" encoding="utf-8"?>
<ds:datastoreItem xmlns:ds="http://schemas.openxmlformats.org/officeDocument/2006/customXml" ds:itemID="{C6E10564-81D8-41D7-BEBB-E505633A0C4A}">
  <ds:schemaRefs/>
</ds:datastoreItem>
</file>

<file path=customXml/itemProps37.xml><?xml version="1.0" encoding="utf-8"?>
<ds:datastoreItem xmlns:ds="http://schemas.openxmlformats.org/officeDocument/2006/customXml" ds:itemID="{AC096A4C-79A2-49CE-A7D2-335374F3F2C0}">
  <ds:schemaRefs/>
</ds:datastoreItem>
</file>

<file path=customXml/itemProps38.xml><?xml version="1.0" encoding="utf-8"?>
<ds:datastoreItem xmlns:ds="http://schemas.openxmlformats.org/officeDocument/2006/customXml" ds:itemID="{5151717F-6371-47EF-8DC2-8597393D7E73}">
  <ds:schemaRefs/>
</ds:datastoreItem>
</file>

<file path=customXml/itemProps39.xml><?xml version="1.0" encoding="utf-8"?>
<ds:datastoreItem xmlns:ds="http://schemas.openxmlformats.org/officeDocument/2006/customXml" ds:itemID="{1EA5C756-2282-4D64-B7C2-FD2815A21079}">
  <ds:schemaRefs/>
</ds:datastoreItem>
</file>

<file path=customXml/itemProps4.xml><?xml version="1.0" encoding="utf-8"?>
<ds:datastoreItem xmlns:ds="http://schemas.openxmlformats.org/officeDocument/2006/customXml" ds:itemID="{5AEECCBF-50E7-4FF5-9DE8-4BFB2EFCCD9F}">
  <ds:schemaRefs/>
</ds:datastoreItem>
</file>

<file path=customXml/itemProps40.xml><?xml version="1.0" encoding="utf-8"?>
<ds:datastoreItem xmlns:ds="http://schemas.openxmlformats.org/officeDocument/2006/customXml" ds:itemID="{486D87A4-4F00-4432-913C-FC9B3316EDE6}">
  <ds:schemaRefs/>
</ds:datastoreItem>
</file>

<file path=customXml/itemProps41.xml><?xml version="1.0" encoding="utf-8"?>
<ds:datastoreItem xmlns:ds="http://schemas.openxmlformats.org/officeDocument/2006/customXml" ds:itemID="{828CF255-A8AB-4E0A-B9C8-3BEAA033AC39}">
  <ds:schemaRefs/>
</ds:datastoreItem>
</file>

<file path=customXml/itemProps42.xml><?xml version="1.0" encoding="utf-8"?>
<ds:datastoreItem xmlns:ds="http://schemas.openxmlformats.org/officeDocument/2006/customXml" ds:itemID="{B7750E03-6591-44D8-AAF2-A2CCED7F33DD}">
  <ds:schemaRefs/>
</ds:datastoreItem>
</file>

<file path=customXml/itemProps5.xml><?xml version="1.0" encoding="utf-8"?>
<ds:datastoreItem xmlns:ds="http://schemas.openxmlformats.org/officeDocument/2006/customXml" ds:itemID="{93DF2F94-A582-4B64-9195-39818374D793}">
  <ds:schemaRefs/>
</ds:datastoreItem>
</file>

<file path=customXml/itemProps6.xml><?xml version="1.0" encoding="utf-8"?>
<ds:datastoreItem xmlns:ds="http://schemas.openxmlformats.org/officeDocument/2006/customXml" ds:itemID="{8AB9D1C2-D3B0-4ABA-BD7E-4F2E4126AF2B}">
  <ds:schemaRefs/>
</ds:datastoreItem>
</file>

<file path=customXml/itemProps7.xml><?xml version="1.0" encoding="utf-8"?>
<ds:datastoreItem xmlns:ds="http://schemas.openxmlformats.org/officeDocument/2006/customXml" ds:itemID="{F655FFCB-E62F-4138-84F3-B806B8CFF7A6}">
  <ds:schemaRefs/>
</ds:datastoreItem>
</file>

<file path=customXml/itemProps8.xml><?xml version="1.0" encoding="utf-8"?>
<ds:datastoreItem xmlns:ds="http://schemas.openxmlformats.org/officeDocument/2006/customXml" ds:itemID="{CA0101A8-1152-4293-BE96-39013F713740}">
  <ds:schemaRefs/>
</ds:datastoreItem>
</file>

<file path=customXml/itemProps9.xml><?xml version="1.0" encoding="utf-8"?>
<ds:datastoreItem xmlns:ds="http://schemas.openxmlformats.org/officeDocument/2006/customXml" ds:itemID="{A9C207BF-8508-4F59-A85A-FE89623A69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4843</Words>
  <Characters>27609</Characters>
  <Lines>230</Lines>
  <Paragraphs>64</Paragraphs>
  <TotalTime>0</TotalTime>
  <ScaleCrop>false</ScaleCrop>
  <LinksUpToDate>false</LinksUpToDate>
  <CharactersWithSpaces>32388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2024-02-26T14:05:00Z</dcterms:created>
  <dc:creator>Administrator</dc:creator>
  <cp:lastModifiedBy>Administrator</cp:lastModifiedBy>
  <cp:lastPrinted>2024-02-26T06:24:00Z</cp:lastPrinted>
  <dcterms:modified xsi:type="dcterms:W3CDTF">2025-11-21T02:46:56Z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8168CAF95E6C44B3ABD547C2AE897700_13</vt:lpwstr>
  </property>
</Properties>
</file>