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8</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12</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22</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23</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24</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62</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62</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62</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909双山子镇人民政府</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895.26</w:t>
            </w:r>
          </w:p>
        </w:tc>
        <w:tc>
          <w:tcPr>
            <w:tcW w:w="4535" w:type="dxa"/>
            <w:vAlign w:val="center"/>
          </w:tcPr>
          <w:p>
            <w:pPr>
              <w:pStyle w:val="12"/>
            </w:pPr>
            <w:r>
              <w:t>一、一般公共服务支出</w:t>
            </w:r>
          </w:p>
        </w:tc>
        <w:tc>
          <w:tcPr>
            <w:tcW w:w="2126" w:type="dxa"/>
            <w:vAlign w:val="center"/>
          </w:tcPr>
          <w:p>
            <w:pPr>
              <w:pStyle w:val="11"/>
            </w:pPr>
            <w:r>
              <w:t>639.53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120.51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123.26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895.26</w:t>
            </w:r>
          </w:p>
        </w:tc>
        <w:tc>
          <w:tcPr>
            <w:tcW w:w="4535" w:type="dxa"/>
            <w:vAlign w:val="center"/>
          </w:tcPr>
          <w:p>
            <w:pPr>
              <w:pStyle w:val="14"/>
            </w:pPr>
            <w:r>
              <w:t>本年支出合计</w:t>
            </w:r>
          </w:p>
        </w:tc>
        <w:tc>
          <w:tcPr>
            <w:tcW w:w="2126" w:type="dxa"/>
            <w:vAlign w:val="center"/>
          </w:tcPr>
          <w:p>
            <w:pPr>
              <w:pStyle w:val="15"/>
            </w:pPr>
            <w:r>
              <w:t>1019.22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123.96</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1019.22</w:t>
            </w:r>
          </w:p>
        </w:tc>
        <w:tc>
          <w:tcPr>
            <w:tcW w:w="4535" w:type="dxa"/>
            <w:vAlign w:val="center"/>
          </w:tcPr>
          <w:p>
            <w:pPr>
              <w:pStyle w:val="14"/>
            </w:pPr>
            <w:r>
              <w:t>支出总计</w:t>
            </w:r>
          </w:p>
        </w:tc>
        <w:tc>
          <w:tcPr>
            <w:tcW w:w="2126" w:type="dxa"/>
            <w:vAlign w:val="center"/>
          </w:tcPr>
          <w:p>
            <w:pPr>
              <w:pStyle w:val="15"/>
            </w:pPr>
            <w:r>
              <w:t>1019.22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909双山子镇人民政府</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1019.22</w:t>
            </w:r>
          </w:p>
        </w:tc>
        <w:tc>
          <w:tcPr>
            <w:tcW w:w="1134" w:type="dxa"/>
            <w:vAlign w:val="center"/>
          </w:tcPr>
          <w:p>
            <w:pPr>
              <w:pStyle w:val="15"/>
            </w:pPr>
            <w:r>
              <w:t>895.26</w:t>
            </w:r>
          </w:p>
        </w:tc>
        <w:tc>
          <w:tcPr>
            <w:tcW w:w="1134" w:type="dxa"/>
            <w:vAlign w:val="center"/>
          </w:tcPr>
          <w:p>
            <w:pPr>
              <w:pStyle w:val="15"/>
            </w:pPr>
            <w:r>
              <w:t>895.26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123.96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639.53</w:t>
            </w:r>
          </w:p>
        </w:tc>
        <w:tc>
          <w:tcPr>
            <w:tcW w:w="1134" w:type="dxa"/>
            <w:vAlign w:val="center"/>
          </w:tcPr>
          <w:p>
            <w:pPr>
              <w:pStyle w:val="11"/>
            </w:pPr>
            <w:r>
              <w:t>638.65</w:t>
            </w:r>
          </w:p>
        </w:tc>
        <w:tc>
          <w:tcPr>
            <w:tcW w:w="1134" w:type="dxa"/>
            <w:vAlign w:val="center"/>
          </w:tcPr>
          <w:p>
            <w:pPr>
              <w:pStyle w:val="11"/>
            </w:pPr>
            <w:r>
              <w:t>638.65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633.53</w:t>
            </w:r>
          </w:p>
        </w:tc>
        <w:tc>
          <w:tcPr>
            <w:tcW w:w="1134" w:type="dxa"/>
            <w:vAlign w:val="center"/>
          </w:tcPr>
          <w:p>
            <w:pPr>
              <w:pStyle w:val="11"/>
            </w:pPr>
            <w:r>
              <w:t>632.65</w:t>
            </w:r>
          </w:p>
        </w:tc>
        <w:tc>
          <w:tcPr>
            <w:tcW w:w="1134" w:type="dxa"/>
            <w:vAlign w:val="center"/>
          </w:tcPr>
          <w:p>
            <w:pPr>
              <w:pStyle w:val="11"/>
            </w:pPr>
            <w:r>
              <w:t>632.65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290.71</w:t>
            </w:r>
          </w:p>
        </w:tc>
        <w:tc>
          <w:tcPr>
            <w:tcW w:w="1134" w:type="dxa"/>
            <w:vAlign w:val="center"/>
          </w:tcPr>
          <w:p>
            <w:pPr>
              <w:pStyle w:val="11"/>
            </w:pPr>
            <w:r>
              <w:t>289.83</w:t>
            </w:r>
          </w:p>
        </w:tc>
        <w:tc>
          <w:tcPr>
            <w:tcW w:w="1134" w:type="dxa"/>
            <w:vAlign w:val="center"/>
          </w:tcPr>
          <w:p>
            <w:pPr>
              <w:pStyle w:val="11"/>
            </w:pPr>
            <w:r>
              <w:t>289.83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340.82</w:t>
            </w:r>
          </w:p>
        </w:tc>
        <w:tc>
          <w:tcPr>
            <w:tcW w:w="1134" w:type="dxa"/>
            <w:vAlign w:val="center"/>
          </w:tcPr>
          <w:p>
            <w:pPr>
              <w:pStyle w:val="11"/>
            </w:pPr>
            <w:r>
              <w:t>340.82</w:t>
            </w:r>
          </w:p>
        </w:tc>
        <w:tc>
          <w:tcPr>
            <w:tcW w:w="1134" w:type="dxa"/>
            <w:vAlign w:val="center"/>
          </w:tcPr>
          <w:p>
            <w:pPr>
              <w:pStyle w:val="11"/>
            </w:pPr>
            <w:r>
              <w:t>340.82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120.51</w:t>
            </w:r>
          </w:p>
        </w:tc>
        <w:tc>
          <w:tcPr>
            <w:tcW w:w="1134" w:type="dxa"/>
            <w:vAlign w:val="center"/>
          </w:tcPr>
          <w:p>
            <w:pPr>
              <w:pStyle w:val="11"/>
            </w:pPr>
            <w:r>
              <w:t>117.69</w:t>
            </w:r>
          </w:p>
        </w:tc>
        <w:tc>
          <w:tcPr>
            <w:tcW w:w="1134" w:type="dxa"/>
            <w:vAlign w:val="center"/>
          </w:tcPr>
          <w:p>
            <w:pPr>
              <w:pStyle w:val="11"/>
            </w:pPr>
            <w:r>
              <w:t>117.69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16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106.55</w:t>
            </w:r>
          </w:p>
        </w:tc>
        <w:tc>
          <w:tcPr>
            <w:tcW w:w="1134" w:type="dxa"/>
            <w:vAlign w:val="center"/>
          </w:tcPr>
          <w:p>
            <w:pPr>
              <w:pStyle w:val="11"/>
            </w:pPr>
            <w:r>
              <w:t>106.55</w:t>
            </w:r>
          </w:p>
        </w:tc>
        <w:tc>
          <w:tcPr>
            <w:tcW w:w="1134" w:type="dxa"/>
            <w:vAlign w:val="center"/>
          </w:tcPr>
          <w:p>
            <w:pPr>
              <w:pStyle w:val="11"/>
            </w:pPr>
            <w:r>
              <w:t>106.55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13.94</w:t>
            </w:r>
          </w:p>
        </w:tc>
        <w:tc>
          <w:tcPr>
            <w:tcW w:w="1134" w:type="dxa"/>
            <w:vAlign w:val="center"/>
          </w:tcPr>
          <w:p>
            <w:pPr>
              <w:pStyle w:val="11"/>
            </w:pPr>
            <w:r>
              <w:t>13.94</w:t>
            </w:r>
          </w:p>
        </w:tc>
        <w:tc>
          <w:tcPr>
            <w:tcW w:w="1134" w:type="dxa"/>
            <w:vAlign w:val="center"/>
          </w:tcPr>
          <w:p>
            <w:pPr>
              <w:pStyle w:val="11"/>
            </w:pPr>
            <w:r>
              <w:t>13.94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3.56</w:t>
            </w:r>
          </w:p>
        </w:tc>
        <w:tc>
          <w:tcPr>
            <w:tcW w:w="1134" w:type="dxa"/>
            <w:vAlign w:val="center"/>
          </w:tcPr>
          <w:p>
            <w:pPr>
              <w:pStyle w:val="11"/>
            </w:pPr>
            <w:r>
              <w:t>3.56</w:t>
            </w:r>
          </w:p>
        </w:tc>
        <w:tc>
          <w:tcPr>
            <w:tcW w:w="1134" w:type="dxa"/>
            <w:vAlign w:val="center"/>
          </w:tcPr>
          <w:p>
            <w:pPr>
              <w:pStyle w:val="11"/>
            </w:pPr>
            <w:r>
              <w:t>3.56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19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85.33</w:t>
            </w:r>
          </w:p>
        </w:tc>
        <w:tc>
          <w:tcPr>
            <w:tcW w:w="1134" w:type="dxa"/>
            <w:vAlign w:val="center"/>
          </w:tcPr>
          <w:p>
            <w:pPr>
              <w:pStyle w:val="11"/>
            </w:pPr>
            <w:r>
              <w:t>85.33</w:t>
            </w:r>
          </w:p>
        </w:tc>
        <w:tc>
          <w:tcPr>
            <w:tcW w:w="1134" w:type="dxa"/>
            <w:vAlign w:val="center"/>
          </w:tcPr>
          <w:p>
            <w:pPr>
              <w:pStyle w:val="11"/>
            </w:pPr>
            <w:r>
              <w:t>85.33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3.71</w:t>
            </w:r>
          </w:p>
        </w:tc>
        <w:tc>
          <w:tcPr>
            <w:tcW w:w="1134" w:type="dxa"/>
            <w:vAlign w:val="center"/>
          </w:tcPr>
          <w:p>
            <w:pPr>
              <w:pStyle w:val="11"/>
            </w:pPr>
            <w:r>
              <w:t>3.71</w:t>
            </w:r>
          </w:p>
        </w:tc>
        <w:tc>
          <w:tcPr>
            <w:tcW w:w="1134" w:type="dxa"/>
            <w:vAlign w:val="center"/>
          </w:tcPr>
          <w:p>
            <w:pPr>
              <w:pStyle w:val="11"/>
            </w:pPr>
            <w:r>
              <w:t>3.71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13.96</w:t>
            </w:r>
          </w:p>
        </w:tc>
        <w:tc>
          <w:tcPr>
            <w:tcW w:w="1134" w:type="dxa"/>
            <w:vAlign w:val="center"/>
          </w:tcPr>
          <w:p>
            <w:pPr>
              <w:pStyle w:val="11"/>
            </w:pPr>
            <w:r>
              <w:t>11.14</w:t>
            </w:r>
          </w:p>
        </w:tc>
        <w:tc>
          <w:tcPr>
            <w:tcW w:w="1134" w:type="dxa"/>
            <w:vAlign w:val="center"/>
          </w:tcPr>
          <w:p>
            <w:pPr>
              <w:pStyle w:val="11"/>
            </w:pPr>
            <w:r>
              <w:t>11.14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13.96</w:t>
            </w:r>
          </w:p>
        </w:tc>
        <w:tc>
          <w:tcPr>
            <w:tcW w:w="1134" w:type="dxa"/>
            <w:vAlign w:val="center"/>
          </w:tcPr>
          <w:p>
            <w:pPr>
              <w:pStyle w:val="11"/>
            </w:pPr>
            <w:r>
              <w:t>11.14</w:t>
            </w:r>
          </w:p>
        </w:tc>
        <w:tc>
          <w:tcPr>
            <w:tcW w:w="1134" w:type="dxa"/>
            <w:vAlign w:val="center"/>
          </w:tcPr>
          <w:p>
            <w:pPr>
              <w:pStyle w:val="11"/>
            </w:pPr>
            <w:r>
              <w:t>11.14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49.76</w:t>
            </w:r>
          </w:p>
        </w:tc>
        <w:tc>
          <w:tcPr>
            <w:tcW w:w="1134" w:type="dxa"/>
            <w:vAlign w:val="center"/>
          </w:tcPr>
          <w:p>
            <w:pPr>
              <w:pStyle w:val="11"/>
            </w:pPr>
            <w:r>
              <w:t>49.76</w:t>
            </w:r>
          </w:p>
        </w:tc>
        <w:tc>
          <w:tcPr>
            <w:tcW w:w="1134" w:type="dxa"/>
            <w:vAlign w:val="center"/>
          </w:tcPr>
          <w:p>
            <w:pPr>
              <w:pStyle w:val="11"/>
            </w:pPr>
            <w:r>
              <w:t>49.76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1.08</w:t>
            </w:r>
          </w:p>
        </w:tc>
        <w:tc>
          <w:tcPr>
            <w:tcW w:w="1134" w:type="dxa"/>
            <w:vAlign w:val="center"/>
          </w:tcPr>
          <w:p>
            <w:pPr>
              <w:pStyle w:val="11"/>
            </w:pPr>
            <w:r>
              <w:t>1.08</w:t>
            </w:r>
          </w:p>
        </w:tc>
        <w:tc>
          <w:tcPr>
            <w:tcW w:w="1134" w:type="dxa"/>
            <w:vAlign w:val="center"/>
          </w:tcPr>
          <w:p>
            <w:pPr>
              <w:pStyle w:val="11"/>
            </w:pPr>
            <w:r>
              <w:t>1.08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1.08</w:t>
            </w:r>
          </w:p>
        </w:tc>
        <w:tc>
          <w:tcPr>
            <w:tcW w:w="1134" w:type="dxa"/>
            <w:vAlign w:val="center"/>
          </w:tcPr>
          <w:p>
            <w:pPr>
              <w:pStyle w:val="11"/>
            </w:pPr>
            <w:r>
              <w:t>1.08</w:t>
            </w:r>
          </w:p>
        </w:tc>
        <w:tc>
          <w:tcPr>
            <w:tcW w:w="1134" w:type="dxa"/>
            <w:vAlign w:val="center"/>
          </w:tcPr>
          <w:p>
            <w:pPr>
              <w:pStyle w:val="11"/>
            </w:pPr>
            <w:r>
              <w:t>1.08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44.42</w:t>
            </w:r>
          </w:p>
        </w:tc>
        <w:tc>
          <w:tcPr>
            <w:tcW w:w="1134" w:type="dxa"/>
            <w:vAlign w:val="center"/>
          </w:tcPr>
          <w:p>
            <w:pPr>
              <w:pStyle w:val="11"/>
            </w:pPr>
            <w:r>
              <w:t>44.42</w:t>
            </w:r>
          </w:p>
        </w:tc>
        <w:tc>
          <w:tcPr>
            <w:tcW w:w="1134" w:type="dxa"/>
            <w:vAlign w:val="center"/>
          </w:tcPr>
          <w:p>
            <w:pPr>
              <w:pStyle w:val="11"/>
            </w:pPr>
            <w:r>
              <w:t>44.42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16.79</w:t>
            </w:r>
          </w:p>
        </w:tc>
        <w:tc>
          <w:tcPr>
            <w:tcW w:w="1134" w:type="dxa"/>
            <w:vAlign w:val="center"/>
          </w:tcPr>
          <w:p>
            <w:pPr>
              <w:pStyle w:val="11"/>
            </w:pPr>
            <w:r>
              <w:t>16.79</w:t>
            </w:r>
          </w:p>
        </w:tc>
        <w:tc>
          <w:tcPr>
            <w:tcW w:w="1134" w:type="dxa"/>
            <w:vAlign w:val="center"/>
          </w:tcPr>
          <w:p>
            <w:pPr>
              <w:pStyle w:val="11"/>
            </w:pPr>
            <w:r>
              <w:t>16.79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27.63</w:t>
            </w:r>
          </w:p>
        </w:tc>
        <w:tc>
          <w:tcPr>
            <w:tcW w:w="1134" w:type="dxa"/>
            <w:vAlign w:val="center"/>
          </w:tcPr>
          <w:p>
            <w:pPr>
              <w:pStyle w:val="11"/>
            </w:pPr>
            <w:r>
              <w:t>27.63</w:t>
            </w:r>
          </w:p>
        </w:tc>
        <w:tc>
          <w:tcPr>
            <w:tcW w:w="1134" w:type="dxa"/>
            <w:vAlign w:val="center"/>
          </w:tcPr>
          <w:p>
            <w:pPr>
              <w:pStyle w:val="11"/>
            </w:pPr>
            <w:r>
              <w:t>27.63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21013</w:t>
            </w:r>
          </w:p>
        </w:tc>
        <w:tc>
          <w:tcPr>
            <w:tcW w:w="1559" w:type="dxa"/>
            <w:vAlign w:val="center"/>
          </w:tcPr>
          <w:p>
            <w:pPr>
              <w:pStyle w:val="12"/>
            </w:pPr>
            <w:r>
              <w:t>医疗救助</w:t>
            </w:r>
          </w:p>
        </w:tc>
        <w:tc>
          <w:tcPr>
            <w:tcW w:w="1134" w:type="dxa"/>
            <w:vAlign w:val="center"/>
          </w:tcPr>
          <w:p>
            <w:pPr>
              <w:pStyle w:val="11"/>
            </w:pPr>
            <w:r>
              <w:t>4.26</w:t>
            </w:r>
          </w:p>
        </w:tc>
        <w:tc>
          <w:tcPr>
            <w:tcW w:w="1134" w:type="dxa"/>
            <w:vAlign w:val="center"/>
          </w:tcPr>
          <w:p>
            <w:pPr>
              <w:pStyle w:val="11"/>
            </w:pPr>
            <w:r>
              <w:t>4.26</w:t>
            </w:r>
          </w:p>
        </w:tc>
        <w:tc>
          <w:tcPr>
            <w:tcW w:w="1134" w:type="dxa"/>
            <w:vAlign w:val="center"/>
          </w:tcPr>
          <w:p>
            <w:pPr>
              <w:pStyle w:val="11"/>
            </w:pPr>
            <w:r>
              <w:t>4.26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2101301</w:t>
            </w:r>
          </w:p>
        </w:tc>
        <w:tc>
          <w:tcPr>
            <w:tcW w:w="1559" w:type="dxa"/>
            <w:vAlign w:val="center"/>
          </w:tcPr>
          <w:p>
            <w:pPr>
              <w:pStyle w:val="12"/>
            </w:pPr>
            <w:r>
              <w:t>城乡医疗救助</w:t>
            </w:r>
          </w:p>
        </w:tc>
        <w:tc>
          <w:tcPr>
            <w:tcW w:w="1134" w:type="dxa"/>
            <w:vAlign w:val="center"/>
          </w:tcPr>
          <w:p>
            <w:pPr>
              <w:pStyle w:val="11"/>
            </w:pPr>
            <w:r>
              <w:t>4.26</w:t>
            </w:r>
          </w:p>
        </w:tc>
        <w:tc>
          <w:tcPr>
            <w:tcW w:w="1134" w:type="dxa"/>
            <w:vAlign w:val="center"/>
          </w:tcPr>
          <w:p>
            <w:pPr>
              <w:pStyle w:val="11"/>
            </w:pPr>
            <w:r>
              <w:t>4.26</w:t>
            </w:r>
          </w:p>
        </w:tc>
        <w:tc>
          <w:tcPr>
            <w:tcW w:w="1134" w:type="dxa"/>
            <w:vAlign w:val="center"/>
          </w:tcPr>
          <w:p>
            <w:pPr>
              <w:pStyle w:val="11"/>
            </w:pPr>
            <w:r>
              <w:t>4.26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41.00</w:t>
            </w:r>
          </w:p>
        </w:tc>
        <w:tc>
          <w:tcPr>
            <w:tcW w:w="1134" w:type="dxa"/>
            <w:vAlign w:val="center"/>
          </w:tcPr>
          <w:p>
            <w:pPr>
              <w:pStyle w:val="11"/>
            </w:pPr>
            <w:r>
              <w:t>41.00</w:t>
            </w:r>
          </w:p>
        </w:tc>
        <w:tc>
          <w:tcPr>
            <w:tcW w:w="1134" w:type="dxa"/>
            <w:vAlign w:val="center"/>
          </w:tcPr>
          <w:p>
            <w:pPr>
              <w:pStyle w:val="11"/>
            </w:pPr>
            <w:r>
              <w:t>41.00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32</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11.00</w:t>
            </w:r>
          </w:p>
        </w:tc>
        <w:tc>
          <w:tcPr>
            <w:tcW w:w="1134" w:type="dxa"/>
            <w:vAlign w:val="center"/>
          </w:tcPr>
          <w:p>
            <w:pPr>
              <w:pStyle w:val="11"/>
            </w:pPr>
            <w:r>
              <w:t>11.00</w:t>
            </w:r>
          </w:p>
        </w:tc>
        <w:tc>
          <w:tcPr>
            <w:tcW w:w="1134" w:type="dxa"/>
            <w:vAlign w:val="center"/>
          </w:tcPr>
          <w:p>
            <w:pPr>
              <w:pStyle w:val="11"/>
            </w:pPr>
            <w:r>
              <w:t>11.00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123.26</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2130502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120.26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120.26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44.16</w:t>
            </w:r>
          </w:p>
        </w:tc>
        <w:tc>
          <w:tcPr>
            <w:tcW w:w="1134" w:type="dxa"/>
            <w:vAlign w:val="center"/>
          </w:tcPr>
          <w:p>
            <w:pPr>
              <w:pStyle w:val="11"/>
            </w:pPr>
            <w:r>
              <w:t>44.16</w:t>
            </w:r>
          </w:p>
        </w:tc>
        <w:tc>
          <w:tcPr>
            <w:tcW w:w="1134" w:type="dxa"/>
            <w:vAlign w:val="center"/>
          </w:tcPr>
          <w:p>
            <w:pPr>
              <w:pStyle w:val="11"/>
            </w:pPr>
            <w:r>
              <w:t>44.16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44.16</w:t>
            </w:r>
          </w:p>
        </w:tc>
        <w:tc>
          <w:tcPr>
            <w:tcW w:w="1134" w:type="dxa"/>
            <w:vAlign w:val="center"/>
          </w:tcPr>
          <w:p>
            <w:pPr>
              <w:pStyle w:val="11"/>
            </w:pPr>
            <w:r>
              <w:t>44.16</w:t>
            </w:r>
          </w:p>
        </w:tc>
        <w:tc>
          <w:tcPr>
            <w:tcW w:w="1134" w:type="dxa"/>
            <w:vAlign w:val="center"/>
          </w:tcPr>
          <w:p>
            <w:pPr>
              <w:pStyle w:val="11"/>
            </w:pPr>
            <w:r>
              <w:t>44.16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44.16</w:t>
            </w:r>
          </w:p>
        </w:tc>
        <w:tc>
          <w:tcPr>
            <w:tcW w:w="1134" w:type="dxa"/>
            <w:vAlign w:val="center"/>
          </w:tcPr>
          <w:p>
            <w:pPr>
              <w:pStyle w:val="11"/>
            </w:pPr>
            <w:r>
              <w:t>44.16</w:t>
            </w:r>
          </w:p>
        </w:tc>
        <w:tc>
          <w:tcPr>
            <w:tcW w:w="1134" w:type="dxa"/>
            <w:vAlign w:val="center"/>
          </w:tcPr>
          <w:p>
            <w:pPr>
              <w:pStyle w:val="11"/>
            </w:pPr>
            <w:r>
              <w:t>44.16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46</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47</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909双山子镇人民政府</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1019.22</w:t>
            </w:r>
          </w:p>
        </w:tc>
        <w:tc>
          <w:tcPr>
            <w:tcW w:w="1361" w:type="dxa"/>
            <w:vAlign w:val="center"/>
          </w:tcPr>
          <w:p>
            <w:pPr>
              <w:pStyle w:val="15"/>
            </w:pPr>
            <w:r>
              <w:t>840.62</w:t>
            </w:r>
          </w:p>
        </w:tc>
        <w:tc>
          <w:tcPr>
            <w:tcW w:w="1361" w:type="dxa"/>
            <w:vAlign w:val="center"/>
          </w:tcPr>
          <w:p>
            <w:pPr>
              <w:pStyle w:val="15"/>
            </w:pPr>
            <w:r>
              <w:t>178.60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639.53</w:t>
            </w:r>
          </w:p>
        </w:tc>
        <w:tc>
          <w:tcPr>
            <w:tcW w:w="1361" w:type="dxa"/>
            <w:vAlign w:val="center"/>
          </w:tcPr>
          <w:p>
            <w:pPr>
              <w:pStyle w:val="11"/>
            </w:pPr>
            <w:r>
              <w:t>631.53</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633.53</w:t>
            </w:r>
          </w:p>
        </w:tc>
        <w:tc>
          <w:tcPr>
            <w:tcW w:w="1361" w:type="dxa"/>
            <w:vAlign w:val="center"/>
          </w:tcPr>
          <w:p>
            <w:pPr>
              <w:pStyle w:val="11"/>
            </w:pPr>
            <w:r>
              <w:t>631.53</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290.71</w:t>
            </w:r>
          </w:p>
        </w:tc>
        <w:tc>
          <w:tcPr>
            <w:tcW w:w="1361" w:type="dxa"/>
            <w:vAlign w:val="center"/>
          </w:tcPr>
          <w:p>
            <w:pPr>
              <w:pStyle w:val="11"/>
            </w:pPr>
            <w:r>
              <w:t>290.71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340.82</w:t>
            </w:r>
          </w:p>
        </w:tc>
        <w:tc>
          <w:tcPr>
            <w:tcW w:w="1361" w:type="dxa"/>
            <w:vAlign w:val="center"/>
          </w:tcPr>
          <w:p>
            <w:pPr>
              <w:pStyle w:val="11"/>
            </w:pPr>
            <w:r>
              <w:t>340.82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120.51</w:t>
            </w:r>
          </w:p>
        </w:tc>
        <w:tc>
          <w:tcPr>
            <w:tcW w:w="1361" w:type="dxa"/>
            <w:vAlign w:val="center"/>
          </w:tcPr>
          <w:p>
            <w:pPr>
              <w:pStyle w:val="11"/>
            </w:pPr>
            <w:r>
              <w:t>120.51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106.55</w:t>
            </w:r>
          </w:p>
        </w:tc>
        <w:tc>
          <w:tcPr>
            <w:tcW w:w="1361" w:type="dxa"/>
            <w:vAlign w:val="center"/>
          </w:tcPr>
          <w:p>
            <w:pPr>
              <w:pStyle w:val="11"/>
            </w:pPr>
            <w:r>
              <w:t>106.55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13.94</w:t>
            </w:r>
          </w:p>
        </w:tc>
        <w:tc>
          <w:tcPr>
            <w:tcW w:w="1361" w:type="dxa"/>
            <w:vAlign w:val="center"/>
          </w:tcPr>
          <w:p>
            <w:pPr>
              <w:pStyle w:val="11"/>
            </w:pPr>
            <w:r>
              <w:t>13.94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3.56</w:t>
            </w:r>
          </w:p>
        </w:tc>
        <w:tc>
          <w:tcPr>
            <w:tcW w:w="1361" w:type="dxa"/>
            <w:vAlign w:val="center"/>
          </w:tcPr>
          <w:p>
            <w:pPr>
              <w:pStyle w:val="11"/>
            </w:pPr>
            <w:r>
              <w:t>3.56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85.33</w:t>
            </w:r>
          </w:p>
        </w:tc>
        <w:tc>
          <w:tcPr>
            <w:tcW w:w="1361" w:type="dxa"/>
            <w:vAlign w:val="center"/>
          </w:tcPr>
          <w:p>
            <w:pPr>
              <w:pStyle w:val="11"/>
            </w:pPr>
            <w:r>
              <w:t>85.33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3.71</w:t>
            </w:r>
          </w:p>
        </w:tc>
        <w:tc>
          <w:tcPr>
            <w:tcW w:w="1361" w:type="dxa"/>
            <w:vAlign w:val="center"/>
          </w:tcPr>
          <w:p>
            <w:pPr>
              <w:pStyle w:val="11"/>
            </w:pPr>
            <w:r>
              <w:t>3.71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13.96</w:t>
            </w:r>
          </w:p>
        </w:tc>
        <w:tc>
          <w:tcPr>
            <w:tcW w:w="1361" w:type="dxa"/>
            <w:vAlign w:val="center"/>
          </w:tcPr>
          <w:p>
            <w:pPr>
              <w:pStyle w:val="11"/>
            </w:pPr>
            <w:r>
              <w:t>13.96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13.96</w:t>
            </w:r>
          </w:p>
        </w:tc>
        <w:tc>
          <w:tcPr>
            <w:tcW w:w="1361" w:type="dxa"/>
            <w:vAlign w:val="center"/>
          </w:tcPr>
          <w:p>
            <w:pPr>
              <w:pStyle w:val="11"/>
            </w:pPr>
            <w:r>
              <w:t>13.96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49.76</w:t>
            </w:r>
          </w:p>
        </w:tc>
        <w:tc>
          <w:tcPr>
            <w:tcW w:w="1361" w:type="dxa"/>
            <w:vAlign w:val="center"/>
          </w:tcPr>
          <w:p>
            <w:pPr>
              <w:pStyle w:val="11"/>
            </w:pPr>
            <w:r>
              <w:t>44.42</w:t>
            </w:r>
          </w:p>
        </w:tc>
        <w:tc>
          <w:tcPr>
            <w:tcW w:w="1361" w:type="dxa"/>
            <w:vAlign w:val="center"/>
          </w:tcPr>
          <w:p>
            <w:pPr>
              <w:pStyle w:val="11"/>
            </w:pPr>
            <w:r>
              <w:t>5.34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44.42</w:t>
            </w:r>
          </w:p>
        </w:tc>
        <w:tc>
          <w:tcPr>
            <w:tcW w:w="1361" w:type="dxa"/>
            <w:vAlign w:val="center"/>
          </w:tcPr>
          <w:p>
            <w:pPr>
              <w:pStyle w:val="11"/>
            </w:pPr>
            <w:r>
              <w:t>44.42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16.79</w:t>
            </w:r>
          </w:p>
        </w:tc>
        <w:tc>
          <w:tcPr>
            <w:tcW w:w="1361" w:type="dxa"/>
            <w:vAlign w:val="center"/>
          </w:tcPr>
          <w:p>
            <w:pPr>
              <w:pStyle w:val="11"/>
            </w:pPr>
            <w:r>
              <w:t>16.79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27.63</w:t>
            </w:r>
          </w:p>
        </w:tc>
        <w:tc>
          <w:tcPr>
            <w:tcW w:w="1361" w:type="dxa"/>
            <w:vAlign w:val="center"/>
          </w:tcPr>
          <w:p>
            <w:pPr>
              <w:pStyle w:val="11"/>
            </w:pPr>
            <w:r>
              <w:t>27.63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21013</w:t>
            </w:r>
          </w:p>
        </w:tc>
        <w:tc>
          <w:tcPr>
            <w:tcW w:w="4535" w:type="dxa"/>
            <w:vAlign w:val="center"/>
          </w:tcPr>
          <w:p>
            <w:pPr>
              <w:pStyle w:val="12"/>
            </w:pPr>
            <w:r>
              <w:t>医疗救助</w:t>
            </w:r>
          </w:p>
        </w:tc>
        <w:tc>
          <w:tcPr>
            <w:tcW w:w="1361" w:type="dxa"/>
            <w:vAlign w:val="center"/>
          </w:tcPr>
          <w:p>
            <w:pPr>
              <w:pStyle w:val="11"/>
            </w:pPr>
            <w:r>
              <w:t>4.26</w:t>
            </w:r>
          </w:p>
        </w:tc>
        <w:tc>
          <w:tcPr>
            <w:tcW w:w="1361" w:type="dxa"/>
            <w:vAlign w:val="center"/>
          </w:tcPr>
          <w:p>
            <w:pPr>
              <w:pStyle w:val="11"/>
            </w:pPr>
          </w:p>
        </w:tc>
        <w:tc>
          <w:tcPr>
            <w:tcW w:w="1361" w:type="dxa"/>
            <w:vAlign w:val="center"/>
          </w:tcPr>
          <w:p>
            <w:pPr>
              <w:pStyle w:val="11"/>
            </w:pPr>
            <w:r>
              <w:t>4.26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2101301</w:t>
            </w:r>
          </w:p>
        </w:tc>
        <w:tc>
          <w:tcPr>
            <w:tcW w:w="4535" w:type="dxa"/>
            <w:vAlign w:val="center"/>
          </w:tcPr>
          <w:p>
            <w:pPr>
              <w:pStyle w:val="12"/>
            </w:pPr>
            <w:r>
              <w:t>城乡医疗救助</w:t>
            </w:r>
          </w:p>
        </w:tc>
        <w:tc>
          <w:tcPr>
            <w:tcW w:w="1361" w:type="dxa"/>
            <w:vAlign w:val="center"/>
          </w:tcPr>
          <w:p>
            <w:pPr>
              <w:pStyle w:val="11"/>
            </w:pPr>
            <w:r>
              <w:t>4.26</w:t>
            </w:r>
          </w:p>
        </w:tc>
        <w:tc>
          <w:tcPr>
            <w:tcW w:w="1361" w:type="dxa"/>
            <w:vAlign w:val="center"/>
          </w:tcPr>
          <w:p>
            <w:pPr>
              <w:pStyle w:val="11"/>
            </w:pPr>
          </w:p>
        </w:tc>
        <w:tc>
          <w:tcPr>
            <w:tcW w:w="1361" w:type="dxa"/>
            <w:vAlign w:val="center"/>
          </w:tcPr>
          <w:p>
            <w:pPr>
              <w:pStyle w:val="11"/>
            </w:pPr>
            <w:r>
              <w:t>4.26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41.00</w:t>
            </w:r>
          </w:p>
        </w:tc>
        <w:tc>
          <w:tcPr>
            <w:tcW w:w="1361" w:type="dxa"/>
            <w:vAlign w:val="center"/>
          </w:tcPr>
          <w:p>
            <w:pPr>
              <w:pStyle w:val="11"/>
            </w:pPr>
          </w:p>
        </w:tc>
        <w:tc>
          <w:tcPr>
            <w:tcW w:w="1361" w:type="dxa"/>
            <w:vAlign w:val="center"/>
          </w:tcPr>
          <w:p>
            <w:pPr>
              <w:pStyle w:val="11"/>
            </w:pPr>
            <w:r>
              <w:t>41.00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11.00</w:t>
            </w:r>
          </w:p>
        </w:tc>
        <w:tc>
          <w:tcPr>
            <w:tcW w:w="1361" w:type="dxa"/>
            <w:vAlign w:val="center"/>
          </w:tcPr>
          <w:p>
            <w:pPr>
              <w:pStyle w:val="11"/>
            </w:pPr>
          </w:p>
        </w:tc>
        <w:tc>
          <w:tcPr>
            <w:tcW w:w="1361" w:type="dxa"/>
            <w:vAlign w:val="center"/>
          </w:tcPr>
          <w:p>
            <w:pPr>
              <w:pStyle w:val="11"/>
            </w:pPr>
            <w:r>
              <w:t>11.00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123.26</w:t>
            </w:r>
          </w:p>
        </w:tc>
        <w:tc>
          <w:tcPr>
            <w:tcW w:w="1361" w:type="dxa"/>
            <w:vAlign w:val="center"/>
          </w:tcPr>
          <w:p>
            <w:pPr>
              <w:pStyle w:val="11"/>
            </w:pPr>
          </w:p>
        </w:tc>
        <w:tc>
          <w:tcPr>
            <w:tcW w:w="1361" w:type="dxa"/>
            <w:vAlign w:val="center"/>
          </w:tcPr>
          <w:p>
            <w:pPr>
              <w:pStyle w:val="11"/>
            </w:pPr>
            <w:r>
              <w:t>123.26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2130502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120.26</w:t>
            </w:r>
          </w:p>
        </w:tc>
        <w:tc>
          <w:tcPr>
            <w:tcW w:w="1361" w:type="dxa"/>
            <w:vAlign w:val="center"/>
          </w:tcPr>
          <w:p>
            <w:pPr>
              <w:pStyle w:val="11"/>
            </w:pPr>
          </w:p>
        </w:tc>
        <w:tc>
          <w:tcPr>
            <w:tcW w:w="1361" w:type="dxa"/>
            <w:vAlign w:val="center"/>
          </w:tcPr>
          <w:p>
            <w:pPr>
              <w:pStyle w:val="11"/>
            </w:pPr>
            <w:r>
              <w:t>120.26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120.26</w:t>
            </w:r>
          </w:p>
        </w:tc>
        <w:tc>
          <w:tcPr>
            <w:tcW w:w="1361" w:type="dxa"/>
            <w:vAlign w:val="center"/>
          </w:tcPr>
          <w:p>
            <w:pPr>
              <w:pStyle w:val="11"/>
            </w:pPr>
          </w:p>
        </w:tc>
        <w:tc>
          <w:tcPr>
            <w:tcW w:w="1361" w:type="dxa"/>
            <w:vAlign w:val="center"/>
          </w:tcPr>
          <w:p>
            <w:pPr>
              <w:pStyle w:val="11"/>
            </w:pPr>
            <w:r>
              <w:t>120.26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44.16</w:t>
            </w:r>
          </w:p>
        </w:tc>
        <w:tc>
          <w:tcPr>
            <w:tcW w:w="1361" w:type="dxa"/>
            <w:vAlign w:val="center"/>
          </w:tcPr>
          <w:p>
            <w:pPr>
              <w:pStyle w:val="11"/>
            </w:pPr>
            <w:r>
              <w:t>44.16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44.16</w:t>
            </w:r>
          </w:p>
        </w:tc>
        <w:tc>
          <w:tcPr>
            <w:tcW w:w="1361" w:type="dxa"/>
            <w:vAlign w:val="center"/>
          </w:tcPr>
          <w:p>
            <w:pPr>
              <w:pStyle w:val="11"/>
            </w:pPr>
            <w:r>
              <w:t>44.16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44.16</w:t>
            </w:r>
          </w:p>
        </w:tc>
        <w:tc>
          <w:tcPr>
            <w:tcW w:w="1361" w:type="dxa"/>
            <w:vAlign w:val="center"/>
          </w:tcPr>
          <w:p>
            <w:pPr>
              <w:pStyle w:val="11"/>
            </w:pPr>
            <w:r>
              <w:t>44.16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909双山子镇人民政府</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895.26</w:t>
            </w:r>
          </w:p>
        </w:tc>
        <w:tc>
          <w:tcPr>
            <w:tcW w:w="3402" w:type="dxa"/>
            <w:vAlign w:val="center"/>
          </w:tcPr>
          <w:p>
            <w:pPr>
              <w:pStyle w:val="12"/>
            </w:pPr>
            <w:r>
              <w:t>一、一般公共服务支出</w:t>
            </w:r>
          </w:p>
        </w:tc>
        <w:tc>
          <w:tcPr>
            <w:tcW w:w="1474" w:type="dxa"/>
            <w:vAlign w:val="center"/>
          </w:tcPr>
          <w:p>
            <w:pPr>
              <w:pStyle w:val="11"/>
            </w:pPr>
            <w:r>
              <w:t>639.53</w:t>
            </w:r>
          </w:p>
        </w:tc>
        <w:tc>
          <w:tcPr>
            <w:tcW w:w="1474" w:type="dxa"/>
            <w:vAlign w:val="center"/>
          </w:tcPr>
          <w:p>
            <w:pPr>
              <w:pStyle w:val="11"/>
            </w:pPr>
            <w:r>
              <w:t>639.53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120.51</w:t>
            </w:r>
          </w:p>
        </w:tc>
        <w:tc>
          <w:tcPr>
            <w:tcW w:w="1474" w:type="dxa"/>
            <w:vAlign w:val="center"/>
          </w:tcPr>
          <w:p>
            <w:pPr>
              <w:pStyle w:val="11"/>
            </w:pPr>
            <w:r>
              <w:t>120.51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49.76</w:t>
            </w:r>
          </w:p>
        </w:tc>
        <w:tc>
          <w:tcPr>
            <w:tcW w:w="1474" w:type="dxa"/>
            <w:vAlign w:val="center"/>
          </w:tcPr>
          <w:p>
            <w:pPr>
              <w:pStyle w:val="11"/>
            </w:pPr>
            <w:r>
              <w:t>49.76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41.00</w:t>
            </w:r>
          </w:p>
        </w:tc>
        <w:tc>
          <w:tcPr>
            <w:tcW w:w="1474" w:type="dxa"/>
            <w:vAlign w:val="center"/>
          </w:tcPr>
          <w:p>
            <w:pPr>
              <w:pStyle w:val="11"/>
            </w:pPr>
            <w:r>
              <w:t>41.00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123.26</w:t>
            </w:r>
          </w:p>
        </w:tc>
        <w:tc>
          <w:tcPr>
            <w:tcW w:w="1474" w:type="dxa"/>
            <w:vAlign w:val="center"/>
          </w:tcPr>
          <w:p>
            <w:pPr>
              <w:pStyle w:val="11"/>
            </w:pPr>
            <w:r>
              <w:t>123.26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44.16</w:t>
            </w:r>
          </w:p>
        </w:tc>
        <w:tc>
          <w:tcPr>
            <w:tcW w:w="1474" w:type="dxa"/>
            <w:vAlign w:val="center"/>
          </w:tcPr>
          <w:p>
            <w:pPr>
              <w:pStyle w:val="11"/>
            </w:pPr>
            <w:r>
              <w:t>44.16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1.00</w:t>
            </w:r>
          </w:p>
        </w:tc>
        <w:tc>
          <w:tcPr>
            <w:tcW w:w="1474" w:type="dxa"/>
            <w:vAlign w:val="center"/>
          </w:tcPr>
          <w:p>
            <w:pPr>
              <w:pStyle w:val="11"/>
            </w:pPr>
            <w:r>
              <w:t>1.00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895.26</w:t>
            </w:r>
          </w:p>
        </w:tc>
        <w:tc>
          <w:tcPr>
            <w:tcW w:w="3402" w:type="dxa"/>
            <w:vAlign w:val="center"/>
          </w:tcPr>
          <w:p>
            <w:pPr>
              <w:pStyle w:val="14"/>
            </w:pPr>
            <w:r>
              <w:t>本年支出合计</w:t>
            </w:r>
          </w:p>
        </w:tc>
        <w:tc>
          <w:tcPr>
            <w:tcW w:w="1474" w:type="dxa"/>
            <w:vAlign w:val="center"/>
          </w:tcPr>
          <w:p>
            <w:pPr>
              <w:pStyle w:val="15"/>
            </w:pPr>
            <w:r>
              <w:t>1019.22</w:t>
            </w:r>
          </w:p>
        </w:tc>
        <w:tc>
          <w:tcPr>
            <w:tcW w:w="1474" w:type="dxa"/>
            <w:vAlign w:val="center"/>
          </w:tcPr>
          <w:p>
            <w:pPr>
              <w:pStyle w:val="15"/>
            </w:pPr>
            <w:r>
              <w:t>1019.22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123.96</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123.96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1019.22</w:t>
            </w:r>
          </w:p>
        </w:tc>
        <w:tc>
          <w:tcPr>
            <w:tcW w:w="3402" w:type="dxa"/>
            <w:vAlign w:val="center"/>
          </w:tcPr>
          <w:p>
            <w:pPr>
              <w:pStyle w:val="14"/>
            </w:pPr>
            <w:r>
              <w:t>支出总计</w:t>
            </w:r>
          </w:p>
        </w:tc>
        <w:tc>
          <w:tcPr>
            <w:tcW w:w="1474" w:type="dxa"/>
            <w:vAlign w:val="center"/>
          </w:tcPr>
          <w:p>
            <w:pPr>
              <w:pStyle w:val="15"/>
            </w:pPr>
            <w:r>
              <w:t>1019.22</w:t>
            </w:r>
          </w:p>
        </w:tc>
        <w:tc>
          <w:tcPr>
            <w:tcW w:w="1474" w:type="dxa"/>
            <w:vAlign w:val="center"/>
          </w:tcPr>
          <w:p>
            <w:pPr>
              <w:pStyle w:val="15"/>
            </w:pPr>
            <w:r>
              <w:t>1019.22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909双山子镇人民政府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1019.22</w:t>
            </w:r>
          </w:p>
        </w:tc>
        <w:tc>
          <w:tcPr>
            <w:tcW w:w="2551" w:type="dxa"/>
            <w:vAlign w:val="center"/>
          </w:tcPr>
          <w:p>
            <w:pPr>
              <w:pStyle w:val="15"/>
            </w:pPr>
            <w:r>
              <w:t>840.62</w:t>
            </w:r>
          </w:p>
        </w:tc>
        <w:tc>
          <w:tcPr>
            <w:tcW w:w="2551" w:type="dxa"/>
            <w:vAlign w:val="center"/>
          </w:tcPr>
          <w:p>
            <w:pPr>
              <w:pStyle w:val="15"/>
            </w:pPr>
            <w:r>
              <w:t>178.60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639.53</w:t>
            </w:r>
          </w:p>
        </w:tc>
        <w:tc>
          <w:tcPr>
            <w:tcW w:w="2551" w:type="dxa"/>
            <w:vAlign w:val="center"/>
          </w:tcPr>
          <w:p>
            <w:pPr>
              <w:pStyle w:val="11"/>
            </w:pPr>
            <w:r>
              <w:t>631.53</w:t>
            </w: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633.53</w:t>
            </w:r>
          </w:p>
        </w:tc>
        <w:tc>
          <w:tcPr>
            <w:tcW w:w="2551" w:type="dxa"/>
            <w:vAlign w:val="center"/>
          </w:tcPr>
          <w:p>
            <w:pPr>
              <w:pStyle w:val="11"/>
            </w:pPr>
            <w:r>
              <w:t>631.53</w:t>
            </w: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290.71</w:t>
            </w:r>
          </w:p>
        </w:tc>
        <w:tc>
          <w:tcPr>
            <w:tcW w:w="2551" w:type="dxa"/>
            <w:vAlign w:val="center"/>
          </w:tcPr>
          <w:p>
            <w:pPr>
              <w:pStyle w:val="11"/>
            </w:pPr>
            <w:r>
              <w:t>290.71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340.82</w:t>
            </w:r>
          </w:p>
        </w:tc>
        <w:tc>
          <w:tcPr>
            <w:tcW w:w="2551" w:type="dxa"/>
            <w:vAlign w:val="center"/>
          </w:tcPr>
          <w:p>
            <w:pPr>
              <w:pStyle w:val="11"/>
            </w:pPr>
            <w:r>
              <w:t>340.82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120.51</w:t>
            </w:r>
          </w:p>
        </w:tc>
        <w:tc>
          <w:tcPr>
            <w:tcW w:w="2551" w:type="dxa"/>
            <w:vAlign w:val="center"/>
          </w:tcPr>
          <w:p>
            <w:pPr>
              <w:pStyle w:val="11"/>
            </w:pPr>
            <w:r>
              <w:t>120.51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106.55</w:t>
            </w:r>
          </w:p>
        </w:tc>
        <w:tc>
          <w:tcPr>
            <w:tcW w:w="2551" w:type="dxa"/>
            <w:vAlign w:val="center"/>
          </w:tcPr>
          <w:p>
            <w:pPr>
              <w:pStyle w:val="11"/>
            </w:pPr>
            <w:r>
              <w:t>106.55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13.94</w:t>
            </w:r>
          </w:p>
        </w:tc>
        <w:tc>
          <w:tcPr>
            <w:tcW w:w="2551" w:type="dxa"/>
            <w:vAlign w:val="center"/>
          </w:tcPr>
          <w:p>
            <w:pPr>
              <w:pStyle w:val="11"/>
            </w:pPr>
            <w:r>
              <w:t>13.94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3.56</w:t>
            </w:r>
          </w:p>
        </w:tc>
        <w:tc>
          <w:tcPr>
            <w:tcW w:w="2551" w:type="dxa"/>
            <w:vAlign w:val="center"/>
          </w:tcPr>
          <w:p>
            <w:pPr>
              <w:pStyle w:val="11"/>
            </w:pPr>
            <w:r>
              <w:t>3.56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85.33</w:t>
            </w:r>
          </w:p>
        </w:tc>
        <w:tc>
          <w:tcPr>
            <w:tcW w:w="2551" w:type="dxa"/>
            <w:vAlign w:val="center"/>
          </w:tcPr>
          <w:p>
            <w:pPr>
              <w:pStyle w:val="11"/>
            </w:pPr>
            <w:r>
              <w:t>85.33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3.71</w:t>
            </w:r>
          </w:p>
        </w:tc>
        <w:tc>
          <w:tcPr>
            <w:tcW w:w="2551" w:type="dxa"/>
            <w:vAlign w:val="center"/>
          </w:tcPr>
          <w:p>
            <w:pPr>
              <w:pStyle w:val="11"/>
            </w:pPr>
            <w:r>
              <w:t>3.71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13.96</w:t>
            </w:r>
          </w:p>
        </w:tc>
        <w:tc>
          <w:tcPr>
            <w:tcW w:w="2551" w:type="dxa"/>
            <w:vAlign w:val="center"/>
          </w:tcPr>
          <w:p>
            <w:pPr>
              <w:pStyle w:val="11"/>
            </w:pPr>
            <w:r>
              <w:t>13.96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13.96</w:t>
            </w:r>
          </w:p>
        </w:tc>
        <w:tc>
          <w:tcPr>
            <w:tcW w:w="2551" w:type="dxa"/>
            <w:vAlign w:val="center"/>
          </w:tcPr>
          <w:p>
            <w:pPr>
              <w:pStyle w:val="11"/>
            </w:pPr>
            <w:r>
              <w:t>13.96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49.76</w:t>
            </w:r>
          </w:p>
        </w:tc>
        <w:tc>
          <w:tcPr>
            <w:tcW w:w="2551" w:type="dxa"/>
            <w:vAlign w:val="center"/>
          </w:tcPr>
          <w:p>
            <w:pPr>
              <w:pStyle w:val="11"/>
            </w:pPr>
            <w:r>
              <w:t>44.42</w:t>
            </w:r>
          </w:p>
        </w:tc>
        <w:tc>
          <w:tcPr>
            <w:tcW w:w="2551" w:type="dxa"/>
            <w:vAlign w:val="center"/>
          </w:tcPr>
          <w:p>
            <w:pPr>
              <w:pStyle w:val="11"/>
            </w:pPr>
            <w:r>
              <w:t>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44.42</w:t>
            </w:r>
          </w:p>
        </w:tc>
        <w:tc>
          <w:tcPr>
            <w:tcW w:w="2551" w:type="dxa"/>
            <w:vAlign w:val="center"/>
          </w:tcPr>
          <w:p>
            <w:pPr>
              <w:pStyle w:val="11"/>
            </w:pPr>
            <w:r>
              <w:t>44.42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16.79</w:t>
            </w:r>
          </w:p>
        </w:tc>
        <w:tc>
          <w:tcPr>
            <w:tcW w:w="2551" w:type="dxa"/>
            <w:vAlign w:val="center"/>
          </w:tcPr>
          <w:p>
            <w:pPr>
              <w:pStyle w:val="11"/>
            </w:pPr>
            <w:r>
              <w:t>16.79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27.63</w:t>
            </w:r>
          </w:p>
        </w:tc>
        <w:tc>
          <w:tcPr>
            <w:tcW w:w="2551" w:type="dxa"/>
            <w:vAlign w:val="center"/>
          </w:tcPr>
          <w:p>
            <w:pPr>
              <w:pStyle w:val="11"/>
            </w:pPr>
            <w:r>
              <w:t>27.63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21013</w:t>
            </w:r>
          </w:p>
        </w:tc>
        <w:tc>
          <w:tcPr>
            <w:tcW w:w="4535" w:type="dxa"/>
            <w:vAlign w:val="center"/>
          </w:tcPr>
          <w:p>
            <w:pPr>
              <w:pStyle w:val="12"/>
            </w:pPr>
            <w:r>
              <w:t>医疗救助</w:t>
            </w:r>
          </w:p>
        </w:tc>
        <w:tc>
          <w:tcPr>
            <w:tcW w:w="2551" w:type="dxa"/>
            <w:vAlign w:val="center"/>
          </w:tcPr>
          <w:p>
            <w:pPr>
              <w:pStyle w:val="11"/>
            </w:pPr>
            <w:r>
              <w:t>4.26</w:t>
            </w:r>
          </w:p>
        </w:tc>
        <w:tc>
          <w:tcPr>
            <w:tcW w:w="2551" w:type="dxa"/>
            <w:vAlign w:val="center"/>
          </w:tcPr>
          <w:p>
            <w:pPr>
              <w:pStyle w:val="11"/>
            </w:pPr>
          </w:p>
        </w:tc>
        <w:tc>
          <w:tcPr>
            <w:tcW w:w="2551" w:type="dxa"/>
            <w:vAlign w:val="center"/>
          </w:tcPr>
          <w:p>
            <w:pPr>
              <w:pStyle w:val="11"/>
            </w:pPr>
            <w:r>
              <w:t>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2101301</w:t>
            </w:r>
          </w:p>
        </w:tc>
        <w:tc>
          <w:tcPr>
            <w:tcW w:w="4535" w:type="dxa"/>
            <w:vAlign w:val="center"/>
          </w:tcPr>
          <w:p>
            <w:pPr>
              <w:pStyle w:val="12"/>
            </w:pPr>
            <w:r>
              <w:t>城乡医疗救助</w:t>
            </w:r>
          </w:p>
        </w:tc>
        <w:tc>
          <w:tcPr>
            <w:tcW w:w="2551" w:type="dxa"/>
            <w:vAlign w:val="center"/>
          </w:tcPr>
          <w:p>
            <w:pPr>
              <w:pStyle w:val="11"/>
            </w:pPr>
            <w:r>
              <w:t>4.26</w:t>
            </w:r>
          </w:p>
        </w:tc>
        <w:tc>
          <w:tcPr>
            <w:tcW w:w="2551" w:type="dxa"/>
            <w:vAlign w:val="center"/>
          </w:tcPr>
          <w:p>
            <w:pPr>
              <w:pStyle w:val="11"/>
            </w:pPr>
          </w:p>
        </w:tc>
        <w:tc>
          <w:tcPr>
            <w:tcW w:w="2551" w:type="dxa"/>
            <w:vAlign w:val="center"/>
          </w:tcPr>
          <w:p>
            <w:pPr>
              <w:pStyle w:val="11"/>
            </w:pPr>
            <w:r>
              <w:t>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41.00</w:t>
            </w:r>
          </w:p>
        </w:tc>
        <w:tc>
          <w:tcPr>
            <w:tcW w:w="2551" w:type="dxa"/>
            <w:vAlign w:val="center"/>
          </w:tcPr>
          <w:p>
            <w:pPr>
              <w:pStyle w:val="11"/>
            </w:pPr>
          </w:p>
        </w:tc>
        <w:tc>
          <w:tcPr>
            <w:tcW w:w="2551" w:type="dxa"/>
            <w:vAlign w:val="center"/>
          </w:tcPr>
          <w:p>
            <w:pPr>
              <w:pStyle w:val="11"/>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11.00</w:t>
            </w:r>
          </w:p>
        </w:tc>
        <w:tc>
          <w:tcPr>
            <w:tcW w:w="2551" w:type="dxa"/>
            <w:vAlign w:val="center"/>
          </w:tcPr>
          <w:p>
            <w:pPr>
              <w:pStyle w:val="11"/>
            </w:pPr>
          </w:p>
        </w:tc>
        <w:tc>
          <w:tcPr>
            <w:tcW w:w="2551" w:type="dxa"/>
            <w:vAlign w:val="center"/>
          </w:tcPr>
          <w:p>
            <w:pPr>
              <w:pStyle w:val="11"/>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123.26</w:t>
            </w:r>
          </w:p>
        </w:tc>
        <w:tc>
          <w:tcPr>
            <w:tcW w:w="2551" w:type="dxa"/>
            <w:vAlign w:val="center"/>
          </w:tcPr>
          <w:p>
            <w:pPr>
              <w:pStyle w:val="11"/>
            </w:pPr>
          </w:p>
        </w:tc>
        <w:tc>
          <w:tcPr>
            <w:tcW w:w="2551" w:type="dxa"/>
            <w:vAlign w:val="center"/>
          </w:tcPr>
          <w:p>
            <w:pPr>
              <w:pStyle w:val="11"/>
            </w:pPr>
            <w:r>
              <w:t>123.26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39</w:t>
            </w:r>
          </w:p>
        </w:tc>
        <w:tc>
          <w:tcPr>
            <w:tcW w:w="1191" w:type="dxa"/>
            <w:vAlign w:val="center"/>
          </w:tcPr>
          <w:p>
            <w:pPr>
              <w:pStyle w:val="12"/>
            </w:pPr>
            <w:r>
              <w:t>2130502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120.26</w:t>
            </w:r>
          </w:p>
        </w:tc>
        <w:tc>
          <w:tcPr>
            <w:tcW w:w="2551" w:type="dxa"/>
            <w:vAlign w:val="center"/>
          </w:tcPr>
          <w:p>
            <w:pPr>
              <w:pStyle w:val="11"/>
            </w:pPr>
          </w:p>
        </w:tc>
        <w:tc>
          <w:tcPr>
            <w:tcW w:w="2551" w:type="dxa"/>
            <w:vAlign w:val="center"/>
          </w:tcPr>
          <w:p>
            <w:pPr>
              <w:pStyle w:val="11"/>
            </w:pPr>
            <w:r>
              <w:t>120.26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120.26</w:t>
            </w:r>
          </w:p>
        </w:tc>
        <w:tc>
          <w:tcPr>
            <w:tcW w:w="2551" w:type="dxa"/>
            <w:vAlign w:val="center"/>
          </w:tcPr>
          <w:p>
            <w:pPr>
              <w:pStyle w:val="11"/>
            </w:pPr>
          </w:p>
        </w:tc>
        <w:tc>
          <w:tcPr>
            <w:tcW w:w="2551" w:type="dxa"/>
            <w:vAlign w:val="center"/>
          </w:tcPr>
          <w:p>
            <w:pPr>
              <w:pStyle w:val="11"/>
            </w:pPr>
            <w:r>
              <w:t>120.26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44.16</w:t>
            </w:r>
          </w:p>
        </w:tc>
        <w:tc>
          <w:tcPr>
            <w:tcW w:w="2551" w:type="dxa"/>
            <w:vAlign w:val="center"/>
          </w:tcPr>
          <w:p>
            <w:pPr>
              <w:pStyle w:val="11"/>
            </w:pPr>
            <w:r>
              <w:t>44.16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44.16</w:t>
            </w:r>
          </w:p>
        </w:tc>
        <w:tc>
          <w:tcPr>
            <w:tcW w:w="2551" w:type="dxa"/>
            <w:vAlign w:val="center"/>
          </w:tcPr>
          <w:p>
            <w:pPr>
              <w:pStyle w:val="11"/>
            </w:pPr>
            <w:r>
              <w:t>44.16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44.16</w:t>
            </w:r>
          </w:p>
        </w:tc>
        <w:tc>
          <w:tcPr>
            <w:tcW w:w="2551" w:type="dxa"/>
            <w:vAlign w:val="center"/>
          </w:tcPr>
          <w:p>
            <w:pPr>
              <w:pStyle w:val="11"/>
            </w:pPr>
            <w:r>
              <w:t>44.16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909双山子镇人民政府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840.62</w:t>
            </w:r>
          </w:p>
        </w:tc>
        <w:tc>
          <w:tcPr>
            <w:tcW w:w="2551" w:type="dxa"/>
            <w:vAlign w:val="center"/>
          </w:tcPr>
          <w:p>
            <w:pPr>
              <w:pStyle w:val="15"/>
            </w:pPr>
            <w:r>
              <w:t>773.47</w:t>
            </w:r>
          </w:p>
        </w:tc>
        <w:tc>
          <w:tcPr>
            <w:tcW w:w="2551" w:type="dxa"/>
            <w:vAlign w:val="center"/>
          </w:tcPr>
          <w:p>
            <w:pPr>
              <w:pStyle w:val="15"/>
            </w:pPr>
            <w:r>
              <w:t>67.15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742.01</w:t>
            </w:r>
          </w:p>
        </w:tc>
        <w:tc>
          <w:tcPr>
            <w:tcW w:w="2551" w:type="dxa"/>
            <w:vAlign w:val="center"/>
          </w:tcPr>
          <w:p>
            <w:pPr>
              <w:pStyle w:val="11"/>
            </w:pPr>
            <w:r>
              <w:t>742.01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279.68</w:t>
            </w:r>
          </w:p>
        </w:tc>
        <w:tc>
          <w:tcPr>
            <w:tcW w:w="2551" w:type="dxa"/>
            <w:vAlign w:val="center"/>
          </w:tcPr>
          <w:p>
            <w:pPr>
              <w:pStyle w:val="11"/>
            </w:pPr>
            <w:r>
              <w:t>279.68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132.66</w:t>
            </w:r>
          </w:p>
        </w:tc>
        <w:tc>
          <w:tcPr>
            <w:tcW w:w="2551" w:type="dxa"/>
            <w:vAlign w:val="center"/>
          </w:tcPr>
          <w:p>
            <w:pPr>
              <w:pStyle w:val="11"/>
            </w:pPr>
            <w:r>
              <w:t>132.66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40.75</w:t>
            </w:r>
          </w:p>
        </w:tc>
        <w:tc>
          <w:tcPr>
            <w:tcW w:w="2551" w:type="dxa"/>
            <w:vAlign w:val="center"/>
          </w:tcPr>
          <w:p>
            <w:pPr>
              <w:pStyle w:val="11"/>
            </w:pPr>
            <w:r>
              <w:t>40.75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107.62</w:t>
            </w:r>
          </w:p>
        </w:tc>
        <w:tc>
          <w:tcPr>
            <w:tcW w:w="2551" w:type="dxa"/>
            <w:vAlign w:val="center"/>
          </w:tcPr>
          <w:p>
            <w:pPr>
              <w:pStyle w:val="11"/>
            </w:pPr>
            <w:r>
              <w:t>107.62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85.33</w:t>
            </w:r>
          </w:p>
        </w:tc>
        <w:tc>
          <w:tcPr>
            <w:tcW w:w="2551" w:type="dxa"/>
            <w:vAlign w:val="center"/>
          </w:tcPr>
          <w:p>
            <w:pPr>
              <w:pStyle w:val="11"/>
            </w:pPr>
            <w:r>
              <w:t>85.33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3.71</w:t>
            </w:r>
          </w:p>
        </w:tc>
        <w:tc>
          <w:tcPr>
            <w:tcW w:w="2551" w:type="dxa"/>
            <w:vAlign w:val="center"/>
          </w:tcPr>
          <w:p>
            <w:pPr>
              <w:pStyle w:val="11"/>
            </w:pPr>
            <w:r>
              <w:t>3.71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42.96</w:t>
            </w:r>
          </w:p>
        </w:tc>
        <w:tc>
          <w:tcPr>
            <w:tcW w:w="2551" w:type="dxa"/>
            <w:vAlign w:val="center"/>
          </w:tcPr>
          <w:p>
            <w:pPr>
              <w:pStyle w:val="11"/>
            </w:pPr>
            <w:r>
              <w:t>42.96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4.12</w:t>
            </w:r>
          </w:p>
        </w:tc>
        <w:tc>
          <w:tcPr>
            <w:tcW w:w="2551" w:type="dxa"/>
            <w:vAlign w:val="center"/>
          </w:tcPr>
          <w:p>
            <w:pPr>
              <w:pStyle w:val="11"/>
            </w:pPr>
            <w:r>
              <w:t>4.12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44.16</w:t>
            </w:r>
          </w:p>
        </w:tc>
        <w:tc>
          <w:tcPr>
            <w:tcW w:w="2551" w:type="dxa"/>
            <w:vAlign w:val="center"/>
          </w:tcPr>
          <w:p>
            <w:pPr>
              <w:pStyle w:val="11"/>
            </w:pPr>
            <w:r>
              <w:t>44.16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1.00</w:t>
            </w:r>
          </w:p>
        </w:tc>
        <w:tc>
          <w:tcPr>
            <w:tcW w:w="2551" w:type="dxa"/>
            <w:vAlign w:val="center"/>
          </w:tcPr>
          <w:p>
            <w:pPr>
              <w:pStyle w:val="11"/>
            </w:pPr>
            <w:r>
              <w:t>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67.15</w:t>
            </w:r>
          </w:p>
        </w:tc>
        <w:tc>
          <w:tcPr>
            <w:tcW w:w="2551" w:type="dxa"/>
            <w:vAlign w:val="center"/>
          </w:tcPr>
          <w:p>
            <w:pPr>
              <w:pStyle w:val="11"/>
            </w:pPr>
          </w:p>
        </w:tc>
        <w:tc>
          <w:tcPr>
            <w:tcW w:w="2551" w:type="dxa"/>
            <w:vAlign w:val="center"/>
          </w:tcPr>
          <w:p>
            <w:pPr>
              <w:pStyle w:val="11"/>
            </w:pPr>
            <w:r>
              <w:t>67.15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20.30</w:t>
            </w:r>
          </w:p>
        </w:tc>
        <w:tc>
          <w:tcPr>
            <w:tcW w:w="2551" w:type="dxa"/>
            <w:vAlign w:val="center"/>
          </w:tcPr>
          <w:p>
            <w:pPr>
              <w:pStyle w:val="11"/>
            </w:pPr>
          </w:p>
        </w:tc>
        <w:tc>
          <w:tcPr>
            <w:tcW w:w="2551" w:type="dxa"/>
            <w:vAlign w:val="center"/>
          </w:tcPr>
          <w:p>
            <w:pPr>
              <w:pStyle w:val="11"/>
            </w:pPr>
            <w:r>
              <w:t>20.30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13.57</w:t>
            </w:r>
          </w:p>
        </w:tc>
        <w:tc>
          <w:tcPr>
            <w:tcW w:w="2551" w:type="dxa"/>
            <w:vAlign w:val="center"/>
          </w:tcPr>
          <w:p>
            <w:pPr>
              <w:pStyle w:val="11"/>
            </w:pPr>
          </w:p>
        </w:tc>
        <w:tc>
          <w:tcPr>
            <w:tcW w:w="2551" w:type="dxa"/>
            <w:vAlign w:val="center"/>
          </w:tcPr>
          <w:p>
            <w:pPr>
              <w:pStyle w:val="11"/>
            </w:pPr>
            <w:r>
              <w:t>13.57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0.38</w:t>
            </w:r>
          </w:p>
        </w:tc>
        <w:tc>
          <w:tcPr>
            <w:tcW w:w="2551" w:type="dxa"/>
            <w:vAlign w:val="center"/>
          </w:tcPr>
          <w:p>
            <w:pPr>
              <w:pStyle w:val="11"/>
            </w:pPr>
          </w:p>
        </w:tc>
        <w:tc>
          <w:tcPr>
            <w:tcW w:w="2551" w:type="dxa"/>
            <w:vAlign w:val="center"/>
          </w:tcPr>
          <w:p>
            <w:pPr>
              <w:pStyle w:val="11"/>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15.90</w:t>
            </w:r>
          </w:p>
        </w:tc>
        <w:tc>
          <w:tcPr>
            <w:tcW w:w="2551" w:type="dxa"/>
            <w:vAlign w:val="center"/>
          </w:tcPr>
          <w:p>
            <w:pPr>
              <w:pStyle w:val="11"/>
            </w:pPr>
          </w:p>
        </w:tc>
        <w:tc>
          <w:tcPr>
            <w:tcW w:w="2551" w:type="dxa"/>
            <w:vAlign w:val="center"/>
          </w:tcPr>
          <w:p>
            <w:pPr>
              <w:pStyle w:val="11"/>
            </w:pPr>
            <w:r>
              <w:t>15.90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31.46</w:t>
            </w:r>
          </w:p>
        </w:tc>
        <w:tc>
          <w:tcPr>
            <w:tcW w:w="2551" w:type="dxa"/>
            <w:vAlign w:val="center"/>
          </w:tcPr>
          <w:p>
            <w:pPr>
              <w:pStyle w:val="11"/>
            </w:pPr>
            <w:r>
              <w:t>31.46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17.50</w:t>
            </w:r>
          </w:p>
        </w:tc>
        <w:tc>
          <w:tcPr>
            <w:tcW w:w="2551" w:type="dxa"/>
            <w:vAlign w:val="center"/>
          </w:tcPr>
          <w:p>
            <w:pPr>
              <w:pStyle w:val="11"/>
            </w:pPr>
            <w:r>
              <w:t>17.50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13.96</w:t>
            </w:r>
          </w:p>
        </w:tc>
        <w:tc>
          <w:tcPr>
            <w:tcW w:w="2551" w:type="dxa"/>
            <w:vAlign w:val="center"/>
          </w:tcPr>
          <w:p>
            <w:pPr>
              <w:pStyle w:val="11"/>
            </w:pPr>
            <w:r>
              <w:t>13.96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909双山子镇人民政府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909双山子镇人民政府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909双山子镇人民政府</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5.20</w:t>
            </w:r>
          </w:p>
        </w:tc>
        <w:tc>
          <w:tcPr>
            <w:tcW w:w="2381" w:type="dxa"/>
            <w:vAlign w:val="center"/>
          </w:tcPr>
          <w:p>
            <w:pPr>
              <w:pStyle w:val="15"/>
            </w:pPr>
            <w:r>
              <w:t>5.20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1.60</w:t>
            </w:r>
          </w:p>
        </w:tc>
        <w:tc>
          <w:tcPr>
            <w:tcW w:w="2381" w:type="dxa"/>
            <w:vAlign w:val="center"/>
          </w:tcPr>
          <w:p>
            <w:pPr>
              <w:pStyle w:val="11"/>
            </w:pPr>
            <w:r>
              <w:t>1.60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1.60</w:t>
            </w:r>
          </w:p>
        </w:tc>
        <w:tc>
          <w:tcPr>
            <w:tcW w:w="2381" w:type="dxa"/>
            <w:vAlign w:val="center"/>
          </w:tcPr>
          <w:p>
            <w:pPr>
              <w:pStyle w:val="11"/>
            </w:pPr>
            <w:r>
              <w:t>1.60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3.60</w:t>
            </w:r>
          </w:p>
        </w:tc>
        <w:tc>
          <w:tcPr>
            <w:tcW w:w="2381" w:type="dxa"/>
            <w:vAlign w:val="center"/>
          </w:tcPr>
          <w:p>
            <w:pPr>
              <w:pStyle w:val="11"/>
            </w:pPr>
            <w:r>
              <w:t>3.60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双山子镇人民政府2024年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jc w:val="center"/>
      </w:pPr>
      <w:r>
        <w:rPr>
          <w:rFonts w:ascii="方正小标宋_GBK" w:hAnsi="方正小标宋_GBK" w:eastAsia="方正小标宋_GBK" w:cs="方正小标宋_GBK"/>
          <w:color w:val="000000"/>
          <w:sz w:val="44"/>
        </w:rPr>
        <w:t>双山子镇人民政府2024年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按照《中华人民共和国预算法》、《地方预决算公开操作规程》和《关于进一步推进预算公开工作的实施意见》规定，现将双山子镇人民政府2024年</w:t>
      </w:r>
      <w:r>
        <w:rPr>
          <w:rFonts w:hint="eastAsia" w:eastAsia="方正仿宋_GBK"/>
          <w:color w:val="000000"/>
          <w:sz w:val="28"/>
          <w:lang w:eastAsia="zh-CN"/>
        </w:rPr>
        <w:t>单位</w:t>
      </w:r>
      <w:r>
        <w:rPr>
          <w:rFonts w:eastAsia="方正仿宋_GBK"/>
          <w:color w:val="000000"/>
          <w:sz w:val="28"/>
        </w:rPr>
        <w:t>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17"/>
        <w:rPr>
          <w:rFonts w:hint="eastAsia"/>
          <w:lang w:eastAsia="zh-CN"/>
        </w:rPr>
      </w:pPr>
      <w:r>
        <w:rPr>
          <w:rFonts w:hint="eastAsia"/>
          <w:lang w:eastAsia="zh-CN"/>
        </w:rPr>
        <w:t>涉密</w:t>
      </w: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669" w:type="dxa"/>
            <w:vAlign w:val="center"/>
          </w:tcPr>
          <w:p>
            <w:pPr>
              <w:pStyle w:val="12"/>
            </w:pPr>
            <w:r>
              <w:t>双山子镇人民政府本级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rPr>
          <w:rFonts w:hint="eastAsia" w:eastAsiaTheme="minorEastAsia"/>
          <w:lang w:eastAsia="zh-CN"/>
        </w:rPr>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spacing w:before="10" w:after="10" w:line="360" w:lineRule="auto"/>
        <w:ind w:firstLine="640"/>
        <w:outlineLvl w:val="2"/>
        <w:rPr>
          <w:rFonts w:hint="eastAsia" w:eastAsia="方正仿宋_GBK"/>
          <w:color w:val="000000"/>
          <w:sz w:val="28"/>
          <w:lang w:eastAsia="zh-CN"/>
        </w:rPr>
      </w:pPr>
      <w:r>
        <w:rPr>
          <w:rFonts w:eastAsia="方正仿宋_GBK"/>
          <w:color w:val="000000"/>
          <w:sz w:val="28"/>
        </w:rPr>
        <w:t>按照预算管理有关规定，目前我</w:t>
      </w:r>
      <w:r>
        <w:rPr>
          <w:rFonts w:hint="eastAsia" w:eastAsia="方正仿宋_GBK"/>
          <w:color w:val="000000"/>
          <w:sz w:val="28"/>
          <w:lang w:eastAsia="zh-CN"/>
        </w:rPr>
        <w:t>县单位</w:t>
      </w:r>
      <w:r>
        <w:rPr>
          <w:rFonts w:eastAsia="方正仿宋_GBK"/>
          <w:color w:val="000000"/>
          <w:sz w:val="28"/>
        </w:rPr>
        <w:t>预算的编制实行综合预算管理，即全部收入和支出都反映在预算中。青龙满族自治县</w:t>
      </w:r>
      <w:r>
        <w:rPr>
          <w:rFonts w:hint="eastAsia" w:eastAsia="方正仿宋_GBK"/>
          <w:color w:val="000000"/>
          <w:sz w:val="28"/>
        </w:rPr>
        <w:t>双山子</w:t>
      </w:r>
      <w:r>
        <w:rPr>
          <w:rFonts w:eastAsia="方正仿宋_GBK"/>
          <w:color w:val="000000"/>
          <w:sz w:val="28"/>
        </w:rPr>
        <w:t>镇人民政府机关及所属事业单位的收支</w:t>
      </w:r>
      <w:r>
        <w:rPr>
          <w:rFonts w:hint="eastAsia" w:eastAsia="方正仿宋_GBK"/>
          <w:color w:val="000000"/>
          <w:sz w:val="28"/>
          <w:lang w:eastAsia="zh-CN"/>
        </w:rPr>
        <w:t>包含</w:t>
      </w:r>
      <w:r>
        <w:rPr>
          <w:rFonts w:eastAsia="方正仿宋_GBK"/>
          <w:color w:val="000000"/>
          <w:sz w:val="28"/>
        </w:rPr>
        <w:t>在</w:t>
      </w:r>
      <w:r>
        <w:rPr>
          <w:rFonts w:hint="eastAsia" w:eastAsia="方正仿宋_GBK"/>
          <w:color w:val="000000"/>
          <w:sz w:val="28"/>
          <w:lang w:eastAsia="zh-CN"/>
        </w:rPr>
        <w:t>单位</w:t>
      </w:r>
      <w:r>
        <w:rPr>
          <w:rFonts w:eastAsia="方正仿宋_GBK"/>
          <w:color w:val="000000"/>
          <w:sz w:val="28"/>
        </w:rPr>
        <w:t>预算中。</w:t>
      </w:r>
    </w:p>
    <w:p>
      <w:pPr>
        <w:pStyle w:val="18"/>
        <w:numPr>
          <w:ilvl w:val="0"/>
          <w:numId w:val="1"/>
        </w:numPr>
      </w:pPr>
      <w:r>
        <w:rPr>
          <w:rFonts w:hint="eastAsia"/>
          <w:lang w:eastAsia="zh-CN"/>
        </w:rPr>
        <w:t>收入说明。</w:t>
      </w:r>
    </w:p>
    <w:p>
      <w:pPr>
        <w:pStyle w:val="18"/>
        <w:ind w:firstLineChars="200"/>
      </w:pPr>
      <w:r>
        <w:t>本年预算收入1019.22万元，其中一般公共预算拨款</w:t>
      </w:r>
      <w:r>
        <w:rPr>
          <w:rFonts w:hint="eastAsia"/>
          <w:lang w:val="en-US" w:eastAsia="zh-CN"/>
        </w:rPr>
        <w:t>895.26</w:t>
      </w:r>
      <w:r>
        <w:t>万元，年初结转结余123.96万元，收入合计</w:t>
      </w:r>
      <w:r>
        <w:rPr>
          <w:rFonts w:hint="eastAsia"/>
          <w:lang w:val="en-US" w:eastAsia="zh-CN"/>
        </w:rPr>
        <w:t>1019.22</w:t>
      </w:r>
      <w:r>
        <w:t>万元。</w:t>
      </w:r>
    </w:p>
    <w:p>
      <w:pPr>
        <w:pStyle w:val="18"/>
        <w:numPr>
          <w:ilvl w:val="0"/>
          <w:numId w:val="1"/>
        </w:numPr>
      </w:pPr>
      <w:r>
        <w:rPr>
          <w:rFonts w:hint="eastAsia"/>
          <w:lang w:eastAsia="zh-CN"/>
        </w:rPr>
        <w:t>支出说明</w:t>
      </w:r>
    </w:p>
    <w:p>
      <w:pPr>
        <w:pStyle w:val="18"/>
        <w:ind w:firstLine="0"/>
        <w:rPr>
          <w:lang w:eastAsia="zh-CN"/>
        </w:rPr>
      </w:pPr>
      <w:r>
        <w:rPr>
          <w:rFonts w:hint="eastAsia"/>
          <w:lang w:eastAsia="zh-CN"/>
        </w:rPr>
        <w:t xml:space="preserve">        收支预算总表支出栏、基本支出表、项目支出表按经济分类和支出功能分类科目编制，反映双山子镇人民政府年度单位预算中支出预算的总体情况。2024 年支出预算</w:t>
      </w:r>
      <w:r>
        <w:rPr>
          <w:rFonts w:hint="eastAsia"/>
          <w:lang w:val="en-US" w:eastAsia="zh-CN"/>
        </w:rPr>
        <w:t>1019.22</w:t>
      </w:r>
      <w:r>
        <w:rPr>
          <w:rFonts w:hint="eastAsia"/>
          <w:lang w:eastAsia="zh-CN"/>
        </w:rPr>
        <w:t>万元，其中:一般公共服务支出</w:t>
      </w:r>
      <w:r>
        <w:rPr>
          <w:rFonts w:hint="eastAsia"/>
          <w:lang w:val="en-US" w:eastAsia="zh-CN"/>
        </w:rPr>
        <w:t>840.62</w:t>
      </w:r>
      <w:r>
        <w:rPr>
          <w:rFonts w:hint="eastAsia"/>
          <w:lang w:eastAsia="zh-CN"/>
        </w:rPr>
        <w:t>万元，主要为人员经费支出</w:t>
      </w:r>
      <w:r>
        <w:rPr>
          <w:rFonts w:hint="eastAsia"/>
          <w:lang w:val="en-US" w:eastAsia="zh-CN"/>
        </w:rPr>
        <w:t>773.47</w:t>
      </w:r>
      <w:r>
        <w:rPr>
          <w:rFonts w:hint="eastAsia"/>
          <w:lang w:eastAsia="zh-CN"/>
        </w:rPr>
        <w:t xml:space="preserve">万元,公用经费支出 </w:t>
      </w:r>
      <w:r>
        <w:rPr>
          <w:rFonts w:hint="eastAsia"/>
          <w:lang w:val="en-US" w:eastAsia="zh-CN"/>
        </w:rPr>
        <w:t>67.15</w:t>
      </w:r>
      <w:r>
        <w:rPr>
          <w:rFonts w:hint="eastAsia"/>
          <w:lang w:eastAsia="zh-CN"/>
        </w:rPr>
        <w:t>万元；项目支出</w:t>
      </w:r>
      <w:r>
        <w:rPr>
          <w:rFonts w:hint="eastAsia"/>
          <w:lang w:val="en-US" w:eastAsia="zh-CN"/>
        </w:rPr>
        <w:t>178.6</w:t>
      </w:r>
      <w:r>
        <w:rPr>
          <w:rFonts w:hint="eastAsia"/>
          <w:lang w:eastAsia="zh-CN"/>
        </w:rPr>
        <w:t>万元。</w:t>
      </w:r>
    </w:p>
    <w:p>
      <w:pPr>
        <w:pStyle w:val="18"/>
        <w:numPr>
          <w:ilvl w:val="0"/>
          <w:numId w:val="1"/>
        </w:numPr>
      </w:pPr>
      <w:r>
        <w:t>比上年增减情况</w:t>
      </w:r>
    </w:p>
    <w:p>
      <w:pPr>
        <w:pStyle w:val="18"/>
      </w:pPr>
      <w:r>
        <w:t>202</w:t>
      </w:r>
      <w:r>
        <w:rPr>
          <w:rFonts w:hint="eastAsia"/>
          <w:lang w:eastAsia="zh-CN"/>
        </w:rPr>
        <w:t>4</w:t>
      </w:r>
      <w:r>
        <w:t>年预算收支安排</w:t>
      </w:r>
      <w:r>
        <w:rPr>
          <w:rFonts w:hint="eastAsia"/>
          <w:lang w:val="en-US" w:eastAsia="zh-CN"/>
        </w:rPr>
        <w:t>1019.22</w:t>
      </w:r>
      <w:r>
        <w:t xml:space="preserve"> 万元，较 202</w:t>
      </w:r>
      <w:r>
        <w:rPr>
          <w:rFonts w:hint="eastAsia"/>
          <w:lang w:eastAsia="zh-CN"/>
        </w:rPr>
        <w:t>3</w:t>
      </w:r>
      <w:r>
        <w:t xml:space="preserve"> 年预算增加 </w:t>
      </w:r>
      <w:r>
        <w:rPr>
          <w:rFonts w:hint="eastAsia"/>
          <w:lang w:val="en-US" w:eastAsia="zh-CN"/>
        </w:rPr>
        <w:t>9.6</w:t>
      </w:r>
      <w:r>
        <w:t>万元，</w:t>
      </w:r>
      <w:r>
        <w:rPr>
          <w:rFonts w:hint="eastAsia"/>
          <w:lang w:eastAsia="zh-CN"/>
        </w:rPr>
        <w:t>增幅0.</w:t>
      </w:r>
      <w:r>
        <w:rPr>
          <w:rFonts w:hint="eastAsia"/>
          <w:lang w:val="en-US" w:eastAsia="zh-CN"/>
        </w:rPr>
        <w:t>95</w:t>
      </w:r>
      <w:r>
        <w:rPr>
          <w:rFonts w:hint="eastAsia"/>
          <w:lang w:eastAsia="zh-CN"/>
        </w:rPr>
        <w:t>%，</w:t>
      </w:r>
      <w:r>
        <w:t>其中：基本支出</w:t>
      </w:r>
      <w:r>
        <w:rPr>
          <w:rFonts w:hint="eastAsia"/>
          <w:lang w:val="en-US" w:eastAsia="zh-CN"/>
        </w:rPr>
        <w:t>减少23.41</w:t>
      </w:r>
      <w:r>
        <w:t>万元，主要</w:t>
      </w:r>
      <w:r>
        <w:rPr>
          <w:rFonts w:hint="eastAsia"/>
          <w:lang w:val="en-US" w:eastAsia="zh-CN"/>
        </w:rPr>
        <w:t>是减少</w:t>
      </w:r>
      <w:r>
        <w:t>人员经费支出；项目支出</w:t>
      </w:r>
      <w:r>
        <w:rPr>
          <w:rFonts w:hint="eastAsia"/>
          <w:lang w:eastAsia="zh-CN"/>
        </w:rPr>
        <w:t>增加</w:t>
      </w:r>
      <w:r>
        <w:rPr>
          <w:rFonts w:hint="eastAsia"/>
          <w:lang w:val="en-US" w:eastAsia="zh-CN"/>
        </w:rPr>
        <w:t>33.01</w:t>
      </w:r>
      <w:r>
        <w:t>万元，主要是</w:t>
      </w:r>
      <w:r>
        <w:rPr>
          <w:rFonts w:hint="eastAsia"/>
          <w:lang w:eastAsia="zh-CN"/>
        </w:rPr>
        <w:t>增加</w:t>
      </w:r>
      <w:r>
        <w:t>了</w:t>
      </w:r>
      <w:r>
        <w:rPr>
          <w:rFonts w:hint="eastAsia"/>
          <w:lang w:eastAsia="zh-CN"/>
        </w:rPr>
        <w:t>节能环保</w:t>
      </w:r>
      <w:r>
        <w:t>等项目</w:t>
      </w:r>
      <w:r>
        <w:rPr>
          <w:rFonts w:hint="eastAsia"/>
          <w:lang w:eastAsia="zh-CN"/>
        </w:rPr>
        <w:t>支出，上年结转资金</w:t>
      </w:r>
      <w:r>
        <w:rPr>
          <w:rFonts w:hint="eastAsia"/>
          <w:lang w:val="en-US" w:eastAsia="zh-CN"/>
        </w:rPr>
        <w:t>123.96</w:t>
      </w:r>
      <w:r>
        <w:rPr>
          <w:rFonts w:hint="eastAsia"/>
          <w:lang w:eastAsia="zh-CN"/>
        </w:rPr>
        <w:t>万元较上年结转资金</w:t>
      </w:r>
      <w:r>
        <w:rPr>
          <w:rFonts w:hint="eastAsia"/>
          <w:lang w:val="en-US" w:eastAsia="zh-CN"/>
        </w:rPr>
        <w:t>减少24.20</w:t>
      </w:r>
      <w:r>
        <w:rPr>
          <w:rFonts w:hint="eastAsia"/>
          <w:lang w:eastAsia="zh-CN"/>
        </w:rPr>
        <w:t>万元，主要是上年度财政未拨付</w:t>
      </w:r>
      <w:r>
        <w:t>。</w:t>
      </w:r>
    </w:p>
    <w:p>
      <w:pPr>
        <w:spacing w:before="10" w:after="10" w:line="360" w:lineRule="auto"/>
        <w:outlineLvl w:val="2"/>
        <w:rPr>
          <w:rFonts w:hint="eastAsia" w:eastAsiaTheme="minorEastAsia"/>
          <w:lang w:eastAsia="zh-CN"/>
        </w:rPr>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30"/>
      </w:pPr>
      <w:r>
        <w:t>202</w:t>
      </w:r>
      <w:r>
        <w:rPr>
          <w:rFonts w:hint="eastAsia"/>
          <w:lang w:val="en-US" w:eastAsia="zh-CN"/>
        </w:rPr>
        <w:t>4</w:t>
      </w:r>
      <w:r>
        <w:t>年，我</w:t>
      </w:r>
      <w:r>
        <w:rPr>
          <w:rFonts w:hint="eastAsia"/>
          <w:lang w:eastAsia="zh-CN"/>
        </w:rPr>
        <w:t>单位</w:t>
      </w:r>
      <w:r>
        <w:t>机关运行经费共计安排</w:t>
      </w:r>
      <w:r>
        <w:rPr>
          <w:rFonts w:hint="eastAsia"/>
          <w:lang w:val="en-US" w:eastAsia="zh-CN"/>
        </w:rPr>
        <w:t>67.15</w:t>
      </w:r>
      <w:r>
        <w:t>万元，主要用于青龙满族自治县</w:t>
      </w:r>
      <w:r>
        <w:rPr>
          <w:rFonts w:hint="eastAsia"/>
          <w:lang w:eastAsia="zh-CN"/>
        </w:rPr>
        <w:t>双山子镇</w:t>
      </w:r>
      <w:r>
        <w:t>人民政府日常运</w:t>
      </w:r>
      <w:r>
        <w:rPr>
          <w:rFonts w:hint="eastAsia"/>
          <w:lang w:eastAsia="zh-CN"/>
        </w:rPr>
        <w:t>转</w:t>
      </w:r>
      <w:r>
        <w:t>支出。其中</w:t>
      </w:r>
      <w:r>
        <w:rPr>
          <w:rFonts w:hint="eastAsia"/>
          <w:lang w:eastAsia="zh-CN"/>
        </w:rPr>
        <w:t>：</w:t>
      </w:r>
      <w:r>
        <w:t>办公费</w:t>
      </w:r>
      <w:r>
        <w:rPr>
          <w:rFonts w:hint="eastAsia"/>
          <w:lang w:val="en-US" w:eastAsia="zh-CN"/>
        </w:rPr>
        <w:t>20.3</w:t>
      </w:r>
      <w:r>
        <w:t>万元，</w:t>
      </w:r>
      <w:r>
        <w:rPr>
          <w:rFonts w:hint="eastAsia"/>
          <w:lang w:eastAsia="zh-CN"/>
        </w:rPr>
        <w:t>印刷费</w:t>
      </w:r>
      <w:r>
        <w:rPr>
          <w:rFonts w:hint="eastAsia"/>
          <w:lang w:val="en-US" w:eastAsia="zh-CN"/>
        </w:rPr>
        <w:t>0.8万元，</w:t>
      </w:r>
      <w:r>
        <w:t>电费</w:t>
      </w:r>
      <w:r>
        <w:rPr>
          <w:rFonts w:hint="eastAsia"/>
          <w:lang w:val="en-US" w:eastAsia="zh-CN"/>
        </w:rPr>
        <w:t>7</w:t>
      </w:r>
      <w:r>
        <w:t>万元，邮电费</w:t>
      </w:r>
      <w:r>
        <w:rPr>
          <w:rFonts w:hint="eastAsia"/>
          <w:lang w:val="en-US" w:eastAsia="zh-CN"/>
        </w:rPr>
        <w:t>1</w:t>
      </w:r>
      <w:r>
        <w:t>万元，差旅费</w:t>
      </w:r>
      <w:r>
        <w:rPr>
          <w:rFonts w:hint="eastAsia"/>
          <w:lang w:val="en-US" w:eastAsia="zh-CN"/>
        </w:rPr>
        <w:t>3</w:t>
      </w:r>
      <w:r>
        <w:t>万元，维修（护）费</w:t>
      </w:r>
      <w:r>
        <w:rPr>
          <w:rFonts w:hint="eastAsia"/>
          <w:lang w:val="en-US" w:eastAsia="zh-CN"/>
        </w:rPr>
        <w:t>13.57</w:t>
      </w:r>
      <w:r>
        <w:t>万元，公务接待费</w:t>
      </w:r>
      <w:r>
        <w:rPr>
          <w:rFonts w:hint="eastAsia"/>
          <w:lang w:val="en-US" w:eastAsia="zh-CN"/>
        </w:rPr>
        <w:t>3.6</w:t>
      </w:r>
      <w:r>
        <w:t>万元，公车运行维护费1.6</w:t>
      </w:r>
      <w:r>
        <w:rPr>
          <w:rFonts w:hint="eastAsia"/>
          <w:lang w:val="en-US" w:eastAsia="zh-CN"/>
        </w:rPr>
        <w:t>0</w:t>
      </w:r>
      <w:r>
        <w:t>元，</w:t>
      </w:r>
      <w:r>
        <w:rPr>
          <w:rFonts w:hint="eastAsia"/>
          <w:lang w:val="en-US" w:eastAsia="zh-CN"/>
        </w:rPr>
        <w:t>劳务费0.38万元，</w:t>
      </w:r>
      <w:r>
        <w:t>公务交通补贴</w:t>
      </w:r>
      <w:r>
        <w:rPr>
          <w:rFonts w:hint="eastAsia"/>
          <w:lang w:val="en-US" w:eastAsia="zh-CN"/>
        </w:rPr>
        <w:t>15.9</w:t>
      </w:r>
      <w:r>
        <w:t>万元。</w:t>
      </w:r>
    </w:p>
    <w:p>
      <w:pPr>
        <w:pStyle w:val="30"/>
        <w:rPr>
          <w:rFonts w:hint="default" w:eastAsia="方正仿宋_GBK"/>
          <w:lang w:val="en-US" w:eastAsia="zh-CN"/>
        </w:rPr>
      </w:pPr>
      <w:r>
        <w:t>我</w:t>
      </w:r>
      <w:r>
        <w:rPr>
          <w:rFonts w:hint="eastAsia"/>
          <w:lang w:eastAsia="zh-CN"/>
        </w:rPr>
        <w:t>单位</w:t>
      </w:r>
      <w:r>
        <w:t>机关运行经费</w:t>
      </w:r>
      <w:r>
        <w:rPr>
          <w:rFonts w:hint="eastAsia"/>
          <w:lang w:eastAsia="zh-CN"/>
        </w:rPr>
        <w:t>较上年度</w:t>
      </w:r>
      <w:r>
        <w:rPr>
          <w:rFonts w:hint="eastAsia"/>
          <w:lang w:val="en-US" w:eastAsia="zh-CN"/>
        </w:rPr>
        <w:t>减少28.02万元，减幅29%，主要原因是本年度非税收入减少。</w:t>
      </w:r>
    </w:p>
    <w:p>
      <w:pPr>
        <w:pStyle w:val="30"/>
      </w:pPr>
    </w:p>
    <w:p>
      <w:pPr>
        <w:pStyle w:val="19"/>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keepNext w:val="0"/>
        <w:keepLines w:val="0"/>
        <w:widowControl/>
        <w:suppressLineNumbers w:val="0"/>
        <w:jc w:val="left"/>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202</w:t>
      </w:r>
      <w:r>
        <w:rPr>
          <w:rFonts w:hint="eastAsia" w:eastAsia="方正仿宋_GBK" w:cs="Times New Roman"/>
          <w:sz w:val="28"/>
          <w:szCs w:val="24"/>
          <w:lang w:val="en-US" w:eastAsia="zh-CN" w:bidi="ar-SA"/>
        </w:rPr>
        <w:t>4</w:t>
      </w:r>
      <w:r>
        <w:rPr>
          <w:rFonts w:hint="eastAsia" w:ascii="Times New Roman" w:hAnsi="Times New Roman" w:eastAsia="方正仿宋_GBK" w:cs="Times New Roman"/>
          <w:sz w:val="28"/>
          <w:szCs w:val="24"/>
          <w:lang w:val="en-US" w:eastAsia="zh-CN" w:bidi="ar-SA"/>
        </w:rPr>
        <w:t xml:space="preserve"> 年，我单位财政拨款“三公”经费预算安排 5.2 万元，其中因公出国（境）费 0 万元，同比无变化，原因是无因公 出国（境） 安排；公务用车购置及运维费 1.6 万元（其中：公务用车购置费为 0 万元，公务用车运维费 1.6 万元)同比持平，我单位严格执行公务用车管理办法，严格控制公务用车运维费；公务接待费 3.6 万元同比持平</w:t>
      </w:r>
      <w:r>
        <w:rPr>
          <w:rFonts w:hint="eastAsia" w:eastAsia="方正仿宋_GBK" w:cs="Times New Roman"/>
          <w:sz w:val="28"/>
          <w:szCs w:val="24"/>
          <w:lang w:val="en-US" w:eastAsia="zh-CN" w:bidi="ar-SA"/>
        </w:rPr>
        <w:t>。</w:t>
      </w:r>
    </w:p>
    <w:p>
      <w:pPr>
        <w:keepNext w:val="0"/>
        <w:keepLines w:val="0"/>
        <w:widowControl/>
        <w:suppressLineNumbers w:val="0"/>
        <w:jc w:val="left"/>
        <w:rPr>
          <w:rFonts w:hint="eastAsia" w:ascii="Times New Roman" w:hAnsi="Times New Roman" w:eastAsia="方正仿宋_GBK" w:cs="Times New Roman"/>
          <w:sz w:val="28"/>
          <w:szCs w:val="24"/>
          <w:lang w:val="en-US" w:eastAsia="zh-CN" w:bidi="ar-SA"/>
        </w:rPr>
      </w:pPr>
    </w:p>
    <w:p>
      <w:pPr>
        <w:spacing w:before="10" w:after="10" w:line="360" w:lineRule="auto"/>
        <w:ind w:firstLine="640"/>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pPr>
        <w:spacing w:line="500" w:lineRule="exact"/>
        <w:ind w:firstLine="560"/>
      </w:pPr>
      <w:r>
        <w:rPr>
          <w:rFonts w:eastAsia="方正仿宋_GBK"/>
          <w:color w:val="000000"/>
          <w:sz w:val="28"/>
        </w:rPr>
        <w:t>（一）总体绩效目标</w:t>
      </w:r>
    </w:p>
    <w:p>
      <w:pPr>
        <w:pStyle w:val="21"/>
      </w:pPr>
      <w:r>
        <w:t>（一）总体绩效目标</w:t>
      </w:r>
    </w:p>
    <w:p>
      <w:pPr>
        <w:pStyle w:val="21"/>
      </w:pPr>
      <w:r>
        <w:t>高举习近平新时代中国特色社会主义思想伟大旗帜，深入学习贯彻党的二十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以解决问题为根本，树立为民服务意识，把矛盾解决在萌芽、解决在基层，营造平安稳定的双山子镇。</w:t>
      </w:r>
    </w:p>
    <w:p>
      <w:pPr>
        <w:spacing w:line="500" w:lineRule="exact"/>
        <w:ind w:firstLine="560"/>
      </w:pPr>
      <w:r>
        <w:rPr>
          <w:rFonts w:eastAsia="方正仿宋_GBK"/>
          <w:color w:val="000000"/>
          <w:sz w:val="28"/>
        </w:rPr>
        <w:t>（二）分项绩效目标</w:t>
      </w:r>
    </w:p>
    <w:p>
      <w:pPr>
        <w:pStyle w:val="22"/>
      </w:pPr>
      <w:r>
        <w:t>（一）、强化基层组织，全面加强党的建设</w:t>
      </w:r>
    </w:p>
    <w:p>
      <w:pPr>
        <w:pStyle w:val="22"/>
      </w:pPr>
      <w:r>
        <w:t>绩效目标：</w:t>
      </w:r>
    </w:p>
    <w:p>
      <w:pPr>
        <w:pStyle w:val="22"/>
      </w:pPr>
      <w:r>
        <w:t>1、党委系统公务内网建设，全镇“公务内网”的建设和管理；计算机信息网络建设；组织协调各类信息资源的上网和扩充，保障网络和信息安全。</w:t>
      </w:r>
    </w:p>
    <w:p>
      <w:pPr>
        <w:pStyle w:val="22"/>
      </w:pPr>
      <w:r>
        <w:t>2、政务服务承担镇政务公开暨行政权力公开透明运行工作领导小组的日常工作，指导和协调全镇政务公开及政务服务中心建设、推进行政服务体系标准化建设工作。</w:t>
      </w:r>
    </w:p>
    <w:p>
      <w:pPr>
        <w:pStyle w:val="22"/>
      </w:pPr>
      <w:r>
        <w:t>3、应急管理建设运行维护好镇政府应急平台，实现各种实用功能，有效保证镇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w:t>
      </w:r>
    </w:p>
    <w:p>
      <w:pPr>
        <w:pStyle w:val="22"/>
      </w:pPr>
      <w:r>
        <w:t>遇突发事件能够有效应对；充分发挥专家组的决策咨询和技术指导作用，为突发事件应对处置工作提供更大帮助；做好指导、协调各村、各</w:t>
      </w:r>
      <w:r>
        <w:rPr>
          <w:rFonts w:hint="eastAsia"/>
          <w:lang w:eastAsia="zh-CN"/>
        </w:rPr>
        <w:t>单位</w:t>
      </w:r>
      <w:r>
        <w:t>应急工作，确保信息报送及时畅通，不出差错和问题。</w:t>
      </w:r>
    </w:p>
    <w:p>
      <w:pPr>
        <w:pStyle w:val="22"/>
      </w:pPr>
      <w:r>
        <w:t>4、党员和党组织建设负责全镇党组织建设；负责镇党委基层组织建设</w:t>
      </w:r>
      <w:r>
        <w:rPr>
          <w:rFonts w:hint="eastAsia"/>
          <w:lang w:val="en-US" w:eastAsia="zh-CN"/>
        </w:rPr>
        <w:t>联席</w:t>
      </w:r>
      <w:r>
        <w:t>会议党的牵头抓总工作；提出党内生活制度建设的意见；指导全镇党员教育工作。</w:t>
      </w:r>
    </w:p>
    <w:p>
      <w:pPr>
        <w:pStyle w:val="22"/>
      </w:pPr>
      <w:r>
        <w:t>5、办案问责对有关对象违反党纪政纪和违纪违法行为进行处理；组织协调案件查办工作。</w:t>
      </w:r>
    </w:p>
    <w:p>
      <w:pPr>
        <w:pStyle w:val="22"/>
      </w:pPr>
      <w:r>
        <w:t>6、党风廉政建设组织协调全镇党风廉政建设和反腐败宣传教育工作，开展对党员、公务员的廉洁自律教育。</w:t>
      </w:r>
    </w:p>
    <w:p>
      <w:pPr>
        <w:pStyle w:val="22"/>
      </w:pPr>
      <w:r>
        <w:t>绩效指标：制作党建制度牌的数量 ≥5 块</w:t>
      </w:r>
    </w:p>
    <w:p>
      <w:pPr>
        <w:pStyle w:val="22"/>
      </w:pPr>
      <w:r>
        <w:t>组织宣传活动次数 ≥10 次</w:t>
      </w:r>
    </w:p>
    <w:p>
      <w:pPr>
        <w:pStyle w:val="22"/>
      </w:pPr>
      <w:r>
        <w:t>党报党刊征订种类 ≥6 种</w:t>
      </w:r>
    </w:p>
    <w:p>
      <w:pPr>
        <w:pStyle w:val="22"/>
      </w:pPr>
      <w:r>
        <w:t>计划开展调研的次数 ≥2 次</w:t>
      </w:r>
    </w:p>
    <w:p>
      <w:pPr>
        <w:pStyle w:val="22"/>
      </w:pPr>
      <w:r>
        <w:t>当年完成调研报告的数量 ≥2 篇</w:t>
      </w:r>
    </w:p>
    <w:p>
      <w:pPr>
        <w:pStyle w:val="22"/>
      </w:pPr>
      <w:r>
        <w:t>联络机构、网络平台完成情况占年初计划任务比率 ≥80%</w:t>
      </w:r>
    </w:p>
    <w:p>
      <w:pPr>
        <w:pStyle w:val="22"/>
      </w:pPr>
      <w:r>
        <w:t>组织镇青年慰问留守儿童活动的次数≥5 次</w:t>
      </w:r>
    </w:p>
    <w:p>
      <w:pPr>
        <w:pStyle w:val="22"/>
      </w:pPr>
      <w:r>
        <w:t>反映每年青少年法治宣传教育次数 ≥3 次</w:t>
      </w:r>
    </w:p>
    <w:p>
      <w:pPr>
        <w:pStyle w:val="22"/>
      </w:pPr>
      <w:r>
        <w:t>反映用于青少年法治宣传教育印刷的宣传单数量 ≥1000 张</w:t>
      </w:r>
    </w:p>
    <w:p>
      <w:pPr>
        <w:pStyle w:val="22"/>
      </w:pPr>
      <w:r>
        <w:t>反映“圆梦大学”走访的次数≥5 次</w:t>
      </w:r>
    </w:p>
    <w:p>
      <w:pPr>
        <w:pStyle w:val="22"/>
      </w:pPr>
      <w:r>
        <w:t>反映青少年预防违法犯罪及自护教育活动或培训情况占应培训情况的比例≥90%</w:t>
      </w:r>
    </w:p>
    <w:p>
      <w:pPr>
        <w:pStyle w:val="22"/>
      </w:pPr>
      <w:r>
        <w:t>反映全镇未成年人思想道德建设宣传覆盖率≥90%</w:t>
      </w:r>
    </w:p>
    <w:p>
      <w:pPr>
        <w:pStyle w:val="22"/>
      </w:pPr>
      <w:r>
        <w:t>（二）、聚焦绿色发展，提升生态质量</w:t>
      </w:r>
    </w:p>
    <w:p>
      <w:pPr>
        <w:pStyle w:val="22"/>
      </w:pPr>
      <w:r>
        <w:t>绩效目标：</w:t>
      </w:r>
    </w:p>
    <w:p>
      <w:pPr>
        <w:pStyle w:val="22"/>
      </w:pPr>
      <w:r>
        <w:t>1、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2"/>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pPr>
        <w:pStyle w:val="22"/>
      </w:pPr>
      <w:r>
        <w:t>3、按照全镇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2"/>
      </w:pPr>
      <w:r>
        <w:t>4、组织指挥和协调全镇安全生产应急救援，组织指导全镇安全生产应急救援预案编制和备案管理，结合事故多发、易发，应急管理基础薄弱的地区、领域、时段、岗位等重点，组织开展实战化应急演练。加强应急救援队伍、装备和信息系统建设，完善安全生产应急平台，提高全镇应急救援协调指挥能力和应急处置能力；实施镇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2"/>
      </w:pPr>
      <w:r>
        <w:t>绩效指标：当年实际日常巡查次数 ≥100 次</w:t>
      </w:r>
    </w:p>
    <w:p>
      <w:pPr>
        <w:pStyle w:val="22"/>
      </w:pPr>
      <w:r>
        <w:t>反应巡查范围为整个马圈子镇 ≥95%</w:t>
      </w:r>
    </w:p>
    <w:p>
      <w:pPr>
        <w:pStyle w:val="22"/>
      </w:pPr>
      <w:r>
        <w:t>全镇森林火灾发生面积占森林总面积的比例 &lt;0.1‰</w:t>
      </w:r>
    </w:p>
    <w:p>
      <w:pPr>
        <w:pStyle w:val="22"/>
      </w:pPr>
      <w:r>
        <w:t>完成的重点污染治理工程数量 ≥5 件</w:t>
      </w:r>
    </w:p>
    <w:p>
      <w:pPr>
        <w:pStyle w:val="22"/>
      </w:pPr>
      <w:r>
        <w:t>下镇宣传次数 ≥50 次</w:t>
      </w:r>
    </w:p>
    <w:p>
      <w:pPr>
        <w:pStyle w:val="22"/>
      </w:pPr>
      <w:r>
        <w:t>用于下镇宣传印刷的宣传单数量≥1000 张</w:t>
      </w:r>
    </w:p>
    <w:p>
      <w:pPr>
        <w:pStyle w:val="22"/>
      </w:pPr>
      <w:r>
        <w:t>每年下镇检查工作的次数 ≥50 次</w:t>
      </w:r>
    </w:p>
    <w:p>
      <w:pPr>
        <w:pStyle w:val="22"/>
      </w:pPr>
      <w:r>
        <w:t>处置的危险废物数量占全部数量的比率 ≥80%</w:t>
      </w:r>
    </w:p>
    <w:p>
      <w:pPr>
        <w:pStyle w:val="22"/>
      </w:pPr>
      <w:r>
        <w:t>在规定时间内督查发现的重大环保事件数占重大环保事件总数的比率≥90%</w:t>
      </w:r>
    </w:p>
    <w:p>
      <w:pPr>
        <w:pStyle w:val="22"/>
      </w:pPr>
      <w:r>
        <w:t>（三）、注重民生，推动社会事业再发展</w:t>
      </w:r>
    </w:p>
    <w:p>
      <w:pPr>
        <w:pStyle w:val="22"/>
      </w:pPr>
      <w:r>
        <w:t>绩效目标：社会管理与服务 划空间布局，提高登记质量，建立健全城镇基层群众自治组织，逐步实现社会工作者专</w:t>
      </w:r>
    </w:p>
    <w:p>
      <w:pPr>
        <w:pStyle w:val="22"/>
      </w:pPr>
      <w:r>
        <w:t>业化、职业化。</w:t>
      </w:r>
    </w:p>
    <w:p>
      <w:pPr>
        <w:pStyle w:val="22"/>
      </w:pPr>
      <w:r>
        <w:t>防灾减灾救灾组织协调镇级防灾减灾救灾工作。组织核查并统一发布灾情。组织指导救灾捐赠工作，负责国内外救灾捐赠款物的接收管理和分配使用。</w:t>
      </w:r>
    </w:p>
    <w:p>
      <w:pPr>
        <w:pStyle w:val="22"/>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w:t>
      </w:r>
    </w:p>
    <w:p>
      <w:pPr>
        <w:pStyle w:val="22"/>
      </w:pPr>
      <w:r>
        <w:t>争能力；加强职业教育和技能培训，提高退役士兵参与社会竞按时足额发放各类经济补助。做好军队离退</w:t>
      </w:r>
    </w:p>
    <w:p>
      <w:pPr>
        <w:pStyle w:val="22"/>
      </w:pPr>
      <w:r>
        <w:t>休干部、退休士官和军队无军籍退休退职职工接收工作，全面落实军休干部的政治和生活待遇。组织建设和宣传教育指导全镇青联、学联和少先队工作，对全镇青年社团组织进行指导和管理。</w:t>
      </w:r>
    </w:p>
    <w:p>
      <w:pPr>
        <w:pStyle w:val="22"/>
      </w:pPr>
      <w:r>
        <w:t>绩效指标：反映下镇调研入户的贫困户占贫困户总数的比例 100%</w:t>
      </w:r>
    </w:p>
    <w:p>
      <w:pPr>
        <w:pStyle w:val="22"/>
      </w:pPr>
      <w:r>
        <w:t>已认定伤残等级待遇矽肺病人数 15 人</w:t>
      </w:r>
    </w:p>
    <w:p>
      <w:pPr>
        <w:pStyle w:val="22"/>
      </w:pPr>
      <w:r>
        <w:t>资金待遇按时足额发放人数占应发放人数的比率 100%</w:t>
      </w:r>
    </w:p>
    <w:p>
      <w:pPr>
        <w:pStyle w:val="22"/>
      </w:pPr>
      <w:r>
        <w:t>享受严重精神障碍患者监护人责任险的人数 81 人</w:t>
      </w:r>
    </w:p>
    <w:p>
      <w:pPr>
        <w:pStyle w:val="22"/>
      </w:pPr>
      <w:r>
        <w:t>已参保人数占应参保人数的比率 100%</w:t>
      </w:r>
    </w:p>
    <w:p>
      <w:pPr>
        <w:pStyle w:val="22"/>
      </w:pPr>
      <w:r>
        <w:t>责任险报销事项实际在规定时间内及时办结的件数占应在规定时间内及时办结的件数的比率≥95%</w:t>
      </w:r>
    </w:p>
    <w:p>
      <w:pPr>
        <w:spacing w:line="500" w:lineRule="exact"/>
        <w:ind w:firstLine="560"/>
      </w:pPr>
      <w:r>
        <w:rPr>
          <w:rFonts w:eastAsia="方正仿宋_GBK"/>
          <w:color w:val="000000"/>
          <w:sz w:val="28"/>
        </w:rPr>
        <w:t>（三）工作保障措施</w:t>
      </w:r>
    </w:p>
    <w:p>
      <w:pPr>
        <w:pStyle w:val="23"/>
      </w:pPr>
      <w:r>
        <w:t>面对新常态，谋求新发展，政府责任十分重大。我们一定以改革创新的精神、昂扬向上的斗志，夙兴夜寐、激情工作，奋力开创政府工作新局面。</w:t>
      </w:r>
    </w:p>
    <w:p>
      <w:pPr>
        <w:pStyle w:val="23"/>
      </w:pPr>
    </w:p>
    <w:p>
      <w:pPr>
        <w:pStyle w:val="23"/>
      </w:pPr>
      <w:r>
        <w:t>一、解放思想，创新发展理念。深入贯彻习近平总书记系列</w:t>
      </w:r>
      <w:r>
        <w:rPr>
          <w:rFonts w:hint="eastAsia"/>
          <w:lang w:eastAsia="zh-CN"/>
        </w:rPr>
        <w:t>重要</w:t>
      </w:r>
      <w:r>
        <w:t>讲话精神，加强学习研究，把握新规律，研究新问题，积极探索新常态下做好工作的方法和路径，努力克服老办法不管用、新办法不会用的“本领恐慌”。</w:t>
      </w:r>
    </w:p>
    <w:p>
      <w:pPr>
        <w:pStyle w:val="23"/>
      </w:pPr>
    </w:p>
    <w:p>
      <w:pPr>
        <w:pStyle w:val="23"/>
      </w:pPr>
      <w:r>
        <w:t>二、优化服务，转变政府职能。全面推进三级服务平台和机关标准化建设，坚决取消束缚经济社会发展的行政权力，</w:t>
      </w:r>
    </w:p>
    <w:p>
      <w:pPr>
        <w:pStyle w:val="23"/>
      </w:pPr>
      <w:r>
        <w:t>坚决砍掉各类无谓证明和繁琐手续，精简办事程序，缩短办事时间，变“群众来回跑”为“所站协同办”，最大限度方便群众、方便企业、方便农村。</w:t>
      </w:r>
    </w:p>
    <w:p>
      <w:pPr>
        <w:pStyle w:val="23"/>
      </w:pPr>
    </w:p>
    <w:p>
      <w:pPr>
        <w:pStyle w:val="23"/>
      </w:pPr>
      <w:r>
        <w:t>三、厉行法治，坚决依法行政。大力推进职能、权限、程序、责任法定化，筑牢法治“篱笆”、确定权力“边界”，坚决做到法定职责必须为、法无授权不可为。自觉接受人大的法律、工作监督和政协的民主监督，接受群众监督和社会舆论监督，加快建设守法诚信的法治政府。</w:t>
      </w:r>
    </w:p>
    <w:p>
      <w:pPr>
        <w:pStyle w:val="23"/>
      </w:pPr>
    </w:p>
    <w:p>
      <w:pPr>
        <w:pStyle w:val="23"/>
      </w:pPr>
      <w:r>
        <w:t>四、实干担当，改进工作作风。崇尚实干实政，把“马上就办、办就办好”作为准则，对确定的目标、部署的任务，定一件干一件、干一件成一件。认真践行“二十字好干部标准”，坚决纠正“四风”，对不担当、不作为、慢作为、乱作为的人和事，发现一起、查处一起，绝不姑息。</w:t>
      </w:r>
    </w:p>
    <w:p>
      <w:pPr>
        <w:pStyle w:val="23"/>
      </w:pPr>
    </w:p>
    <w:p>
      <w:pPr>
        <w:pStyle w:val="23"/>
        <w:sectPr>
          <w:pgSz w:w="16840" w:h="11900" w:orient="landscape"/>
          <w:pgMar w:top="1361" w:right="1020" w:bottom="1361" w:left="1020" w:header="720" w:footer="720" w:gutter="0"/>
          <w:cols w:space="720" w:num="1"/>
        </w:sectPr>
      </w:pPr>
      <w:r>
        <w:t>五、严明纪律，强化廉洁从政。严格执行《中国共产党廉洁自律准则》和《中国共产党纪律处分条例》，全面落实“两个责任”，盯住工程项目、惠民资金等重点领域，严肃查处吃拿卡要、暗箱操作等违法违纪行为，努力营造干部清正、政府清廉、政治清明的良好环境。</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pPr>
        <w:spacing w:before="10" w:after="10" w:line="360" w:lineRule="auto"/>
        <w:ind w:firstLine="1400" w:firstLineChars="500"/>
        <w:outlineLvl w:val="2"/>
        <w:rPr>
          <w:rFonts w:ascii="Times New Roman" w:hAnsi="Times New Roman" w:eastAsia="方正仿宋_GBK" w:cs="Times New Roman"/>
          <w:sz w:val="28"/>
          <w:szCs w:val="24"/>
          <w:lang w:val="en-US" w:eastAsia="uk-UA" w:bidi="ar-SA"/>
        </w:rPr>
      </w:pPr>
    </w:p>
    <w:p>
      <w:pPr>
        <w:spacing w:before="10" w:after="10" w:line="360" w:lineRule="auto"/>
        <w:ind w:firstLine="1400" w:firstLineChars="500"/>
        <w:outlineLvl w:val="2"/>
        <w:rPr>
          <w:rFonts w:ascii="Times New Roman" w:hAnsi="Times New Roman" w:eastAsia="方正仿宋_GBK" w:cs="Times New Roman"/>
          <w:sz w:val="28"/>
          <w:szCs w:val="24"/>
          <w:lang w:val="en-US" w:eastAsia="uk-UA" w:bidi="ar-SA"/>
        </w:rPr>
        <w:sectPr>
          <w:pgSz w:w="16840" w:h="11900" w:orient="landscape"/>
          <w:pgMar w:top="1361" w:right="1020" w:bottom="1134" w:left="1020" w:header="720" w:footer="720" w:gutter="0"/>
          <w:cols w:space="720" w:num="1"/>
        </w:sectPr>
      </w:pPr>
      <w:r>
        <w:rPr>
          <w:rFonts w:ascii="Times New Roman" w:hAnsi="Times New Roman" w:eastAsia="方正仿宋_GBK" w:cs="Times New Roman"/>
          <w:sz w:val="28"/>
          <w:szCs w:val="24"/>
          <w:lang w:val="en-US" w:eastAsia="uk-UA" w:bidi="ar-SA"/>
        </w:rPr>
        <w:t>我</w:t>
      </w:r>
      <w:r>
        <w:rPr>
          <w:rFonts w:hint="eastAsia" w:eastAsia="方正仿宋_GBK" w:cs="Times New Roman"/>
          <w:sz w:val="28"/>
          <w:szCs w:val="24"/>
          <w:lang w:val="en-US" w:eastAsia="zh-CN" w:bidi="ar-SA"/>
        </w:rPr>
        <w:t>单位</w:t>
      </w:r>
      <w:r>
        <w:rPr>
          <w:rFonts w:ascii="Times New Roman" w:hAnsi="Times New Roman" w:eastAsia="方正仿宋_GBK" w:cs="Times New Roman"/>
          <w:sz w:val="28"/>
          <w:szCs w:val="24"/>
          <w:lang w:val="en-US" w:eastAsia="uk-UA" w:bidi="ar-SA"/>
        </w:rPr>
        <w:t>无专项资金预算安排。</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pPr>
        <w:ind w:firstLine="560"/>
      </w:pPr>
      <w:r>
        <w:rPr>
          <w:rFonts w:ascii="方正仿宋_GBK" w:hAnsi="方正仿宋_GBK" w:eastAsia="方正仿宋_GBK" w:cs="方正仿宋_GBK"/>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13032124P00329310230D</w:t>
            </w:r>
          </w:p>
        </w:tc>
        <w:tc>
          <w:tcPr>
            <w:tcW w:w="2835" w:type="dxa"/>
            <w:vAlign w:val="center"/>
          </w:tcPr>
          <w:p>
            <w:pPr>
              <w:pStyle w:val="10"/>
            </w:pPr>
            <w:r>
              <w:t>项目名称</w:t>
            </w:r>
          </w:p>
        </w:tc>
        <w:tc>
          <w:tcPr>
            <w:tcW w:w="6094"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安排预算1万元（其中财政资金1万元）用于党建工作经费。宣传等党建工作，加强干部队伍建设，发挥基层党组织的作用。</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1.通过践行“不忘初心、牢记使命”宗旨，充分发挥党的思想政治优势、组织优势和密切联系群众的优势。</w:t>
            </w:r>
            <w:r>
              <w:tab/>
            </w:r>
            <w:r>
              <w:tab/>
            </w:r>
            <w:r>
              <w:tab/>
            </w:r>
          </w:p>
          <w:p>
            <w:pPr>
              <w:pStyle w:val="12"/>
            </w:pPr>
            <w:r>
              <w:t>2.通过开展组织、宣传等党建工作，加强干部队伍建设，发挥基层党组织的作用。</w:t>
            </w:r>
            <w:r>
              <w:tab/>
            </w:r>
            <w:r>
              <w:tab/>
            </w:r>
            <w:r>
              <w:tab/>
            </w:r>
          </w:p>
          <w:p>
            <w:pPr>
              <w:pStyle w:val="12"/>
            </w:pPr>
            <w:r>
              <w:tab/>
            </w:r>
            <w:r>
              <w:tab/>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2268" w:type="dxa"/>
            <w:vAlign w:val="center"/>
          </w:tcPr>
          <w:p>
            <w:pPr>
              <w:pStyle w:val="12"/>
            </w:pPr>
            <w:r>
              <w:t>≥15次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舆情信息数量（条）</w:t>
            </w:r>
          </w:p>
        </w:tc>
        <w:tc>
          <w:tcPr>
            <w:tcW w:w="5386" w:type="dxa"/>
            <w:vAlign w:val="center"/>
          </w:tcPr>
          <w:p>
            <w:pPr>
              <w:pStyle w:val="12"/>
            </w:pPr>
            <w:r>
              <w:t>收集、分析、上报舆情信息的数量</w:t>
            </w:r>
          </w:p>
        </w:tc>
        <w:tc>
          <w:tcPr>
            <w:tcW w:w="2268" w:type="dxa"/>
            <w:vAlign w:val="center"/>
          </w:tcPr>
          <w:p>
            <w:pPr>
              <w:pStyle w:val="12"/>
            </w:pPr>
            <w:r>
              <w:t>≥60条</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党建工作完成时效性</w:t>
            </w:r>
          </w:p>
        </w:tc>
        <w:tc>
          <w:tcPr>
            <w:tcW w:w="5386" w:type="dxa"/>
            <w:vAlign w:val="center"/>
          </w:tcPr>
          <w:p>
            <w:pPr>
              <w:pStyle w:val="12"/>
            </w:pPr>
            <w:r>
              <w:t>全年按计划完成各项工作</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268" w:type="dxa"/>
            <w:vAlign w:val="center"/>
          </w:tcPr>
          <w:p>
            <w:pPr>
              <w:pStyle w:val="12"/>
            </w:pPr>
            <w:r>
              <w:t>≤1万元</w:t>
            </w:r>
          </w:p>
        </w:tc>
        <w:tc>
          <w:tcPr>
            <w:tcW w:w="1276" w:type="dxa"/>
            <w:vAlign w:val="center"/>
          </w:tcPr>
          <w:p>
            <w:pPr>
              <w:pStyle w:val="12"/>
            </w:pPr>
            <w:r>
              <w:t>年度工作计划与预算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基层党组织带动示范作用</w:t>
            </w:r>
          </w:p>
        </w:tc>
        <w:tc>
          <w:tcPr>
            <w:tcW w:w="5386" w:type="dxa"/>
            <w:vAlign w:val="center"/>
          </w:tcPr>
          <w:p>
            <w:pPr>
              <w:pStyle w:val="12"/>
            </w:pPr>
            <w:r>
              <w:t>通过党建工作促进党员队伍能力提升，在经济建设中发挥带动示范作用</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党员带头发展经济</w:t>
            </w:r>
          </w:p>
        </w:tc>
        <w:tc>
          <w:tcPr>
            <w:tcW w:w="5386" w:type="dxa"/>
            <w:vAlign w:val="center"/>
          </w:tcPr>
          <w:p>
            <w:pPr>
              <w:pStyle w:val="12"/>
            </w:pPr>
            <w:r>
              <w:t>通过党员带动发展经济，增加村民收入</w:t>
            </w:r>
          </w:p>
        </w:tc>
        <w:tc>
          <w:tcPr>
            <w:tcW w:w="2268" w:type="dxa"/>
            <w:vAlign w:val="center"/>
          </w:tcPr>
          <w:p>
            <w:pPr>
              <w:pStyle w:val="12"/>
            </w:pPr>
            <w:r>
              <w:t>≥1500元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全乡党员对党建工作的满意程度</w:t>
            </w:r>
          </w:p>
        </w:tc>
        <w:tc>
          <w:tcPr>
            <w:tcW w:w="2268" w:type="dxa"/>
            <w:vAlign w:val="center"/>
          </w:tcPr>
          <w:p>
            <w:pPr>
              <w:pStyle w:val="12"/>
            </w:pPr>
            <w:r>
              <w:t>≥95%</w:t>
            </w:r>
          </w:p>
        </w:tc>
        <w:tc>
          <w:tcPr>
            <w:tcW w:w="1276" w:type="dxa"/>
            <w:vAlign w:val="center"/>
          </w:tcPr>
          <w:p>
            <w:pPr>
              <w:pStyle w:val="12"/>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13032123P003293100898</w:t>
            </w:r>
          </w:p>
        </w:tc>
        <w:tc>
          <w:tcPr>
            <w:tcW w:w="2835" w:type="dxa"/>
            <w:vAlign w:val="center"/>
          </w:tcPr>
          <w:p>
            <w:pPr>
              <w:pStyle w:val="10"/>
            </w:pPr>
            <w:r>
              <w:t>项目名称</w:t>
            </w:r>
          </w:p>
        </w:tc>
        <w:tc>
          <w:tcPr>
            <w:tcW w:w="6094"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安排预算资金7万元（其中财政资金7万元）用于防火防汛工作。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1.通过扎实开展日常防火工作，广泛宣传，全天候巡查，加强防火扑救物资的储备，有效防范和遏制森林火灾的发生。</w:t>
            </w:r>
            <w:r>
              <w:tab/>
            </w:r>
            <w:r>
              <w:tab/>
            </w:r>
            <w:r>
              <w:tab/>
            </w:r>
          </w:p>
          <w:p>
            <w:pPr>
              <w:pStyle w:val="12"/>
            </w:pPr>
            <w:r>
              <w:tab/>
            </w:r>
            <w:r>
              <w:tab/>
            </w:r>
            <w:r>
              <w:tab/>
            </w:r>
            <w:r>
              <w:tab/>
            </w:r>
            <w:r>
              <w:tab/>
            </w:r>
            <w:r>
              <w:tab/>
            </w:r>
          </w:p>
          <w:p>
            <w:pPr>
              <w:pStyle w:val="12"/>
            </w:pPr>
          </w:p>
          <w:p>
            <w:pPr>
              <w:pStyle w:val="12"/>
            </w:pPr>
            <w:r>
              <w:t>2.通过开展巡视巡查整治工作，及时消除防汛安全隐患，确保辖区内河道行洪通畅。</w:t>
            </w:r>
            <w:r>
              <w:tab/>
            </w:r>
            <w:r>
              <w:tab/>
            </w:r>
            <w:r>
              <w:tab/>
            </w:r>
          </w:p>
          <w:p>
            <w:pPr>
              <w:pStyle w:val="12"/>
            </w:pP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≥300次</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反应巡查范围为整个镇区。</w:t>
            </w:r>
          </w:p>
        </w:tc>
        <w:tc>
          <w:tcPr>
            <w:tcW w:w="2268" w:type="dxa"/>
            <w:vAlign w:val="center"/>
          </w:tcPr>
          <w:p>
            <w:pPr>
              <w:pStyle w:val="12"/>
            </w:pPr>
            <w:r>
              <w:t>≥95%</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确保河道畅通</w:t>
            </w:r>
          </w:p>
        </w:tc>
        <w:tc>
          <w:tcPr>
            <w:tcW w:w="5386" w:type="dxa"/>
            <w:vAlign w:val="center"/>
          </w:tcPr>
          <w:p>
            <w:pPr>
              <w:pStyle w:val="12"/>
            </w:pPr>
            <w:r>
              <w:t>反映汛期河道通畅率</w:t>
            </w:r>
          </w:p>
        </w:tc>
        <w:tc>
          <w:tcPr>
            <w:tcW w:w="2268" w:type="dxa"/>
            <w:vAlign w:val="center"/>
          </w:tcPr>
          <w:p>
            <w:pPr>
              <w:pStyle w:val="12"/>
            </w:pPr>
            <w:r>
              <w:t>≥90%</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2268" w:type="dxa"/>
            <w:vAlign w:val="center"/>
          </w:tcPr>
          <w:p>
            <w:pPr>
              <w:pStyle w:val="12"/>
            </w:pPr>
            <w:r>
              <w:t>2024年全年持续</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交通费支出</w:t>
            </w:r>
          </w:p>
        </w:tc>
        <w:tc>
          <w:tcPr>
            <w:tcW w:w="5386" w:type="dxa"/>
            <w:vAlign w:val="center"/>
          </w:tcPr>
          <w:p>
            <w:pPr>
              <w:pStyle w:val="12"/>
            </w:pPr>
            <w:r>
              <w:t>反应用于防火防汛的交通费</w:t>
            </w:r>
          </w:p>
        </w:tc>
        <w:tc>
          <w:tcPr>
            <w:tcW w:w="2268" w:type="dxa"/>
            <w:vAlign w:val="center"/>
          </w:tcPr>
          <w:p>
            <w:pPr>
              <w:pStyle w:val="12"/>
            </w:pPr>
            <w:r>
              <w:t>≤4万元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2268" w:type="dxa"/>
            <w:vAlign w:val="center"/>
          </w:tcPr>
          <w:p>
            <w:pPr>
              <w:pStyle w:val="12"/>
            </w:pPr>
            <w:r>
              <w:t>≤3万元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268" w:type="dxa"/>
            <w:vAlign w:val="center"/>
          </w:tcPr>
          <w:p>
            <w:pPr>
              <w:pStyle w:val="12"/>
            </w:pPr>
            <w:r>
              <w:t>≤0.01%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3、扶贫工作专项经费绩效目标表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13032123P003293100310</w:t>
            </w:r>
          </w:p>
        </w:tc>
        <w:tc>
          <w:tcPr>
            <w:tcW w:w="2835" w:type="dxa"/>
            <w:vAlign w:val="center"/>
          </w:tcPr>
          <w:p>
            <w:pPr>
              <w:pStyle w:val="10"/>
            </w:pPr>
            <w:r>
              <w:t>项目名称</w:t>
            </w:r>
          </w:p>
        </w:tc>
        <w:tc>
          <w:tcPr>
            <w:tcW w:w="6094" w:type="dxa"/>
            <w:gridSpan w:val="3"/>
            <w:vAlign w:val="center"/>
          </w:tcPr>
          <w:p>
            <w:pPr>
              <w:pStyle w:val="12"/>
            </w:pPr>
            <w:r>
              <w:t>扶贫工作专项经费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安排预算资金3万元（其中财政预算资金3万元）同于扶贫工作，保障扶贫工作的正常开展。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1.通过项目实施，保障扶贫工作的正常进行。</w:t>
            </w:r>
            <w:r>
              <w:tab/>
            </w:r>
            <w:r>
              <w:tab/>
            </w:r>
            <w:r>
              <w:tab/>
            </w:r>
            <w:r>
              <w:tab/>
            </w:r>
            <w:r>
              <w:tab/>
            </w:r>
            <w:r>
              <w:tab/>
            </w:r>
          </w:p>
          <w:p>
            <w:pPr>
              <w:pStyle w:val="12"/>
            </w:pPr>
          </w:p>
          <w:p>
            <w:pPr>
              <w:pStyle w:val="12"/>
            </w:pPr>
            <w:r>
              <w:t>2.完成脱贫攻坚任务，提供有力保障。</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贫困村脱贫出列数（个）</w:t>
            </w:r>
          </w:p>
        </w:tc>
        <w:tc>
          <w:tcPr>
            <w:tcW w:w="5386" w:type="dxa"/>
            <w:vAlign w:val="center"/>
          </w:tcPr>
          <w:p>
            <w:pPr>
              <w:pStyle w:val="12"/>
            </w:pPr>
            <w:r>
              <w:t>建档立卡贫困村脱贫出列数量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农村脱贫人口比率</w:t>
            </w:r>
          </w:p>
        </w:tc>
        <w:tc>
          <w:tcPr>
            <w:tcW w:w="5386" w:type="dxa"/>
            <w:vAlign w:val="center"/>
          </w:tcPr>
          <w:p>
            <w:pPr>
              <w:pStyle w:val="12"/>
            </w:pPr>
            <w:r>
              <w:t>年度计划脱贫人口数量占贫困人口总数的比率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各项工作按年度计划完成</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扶贫工作交通费支出</w:t>
            </w:r>
          </w:p>
        </w:tc>
        <w:tc>
          <w:tcPr>
            <w:tcW w:w="5386" w:type="dxa"/>
            <w:vAlign w:val="center"/>
          </w:tcPr>
          <w:p>
            <w:pPr>
              <w:pStyle w:val="12"/>
            </w:pPr>
            <w:r>
              <w:t>下乡扶贫的租车等交通费用支出</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扶贫工作办公费支出</w:t>
            </w:r>
          </w:p>
        </w:tc>
        <w:tc>
          <w:tcPr>
            <w:tcW w:w="5386" w:type="dxa"/>
            <w:vAlign w:val="center"/>
          </w:tcPr>
          <w:p>
            <w:pPr>
              <w:pStyle w:val="12"/>
            </w:pPr>
            <w:r>
              <w:t>用于下乡扶贫工作办公经费支出</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扶贫慰问支出</w:t>
            </w:r>
          </w:p>
        </w:tc>
        <w:tc>
          <w:tcPr>
            <w:tcW w:w="5386" w:type="dxa"/>
            <w:vAlign w:val="center"/>
          </w:tcPr>
          <w:p>
            <w:pPr>
              <w:pStyle w:val="12"/>
            </w:pPr>
            <w:r>
              <w:t>用于下乡扶贫慰问支出</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扶贫保障工作完成</w:t>
            </w:r>
          </w:p>
        </w:tc>
        <w:tc>
          <w:tcPr>
            <w:tcW w:w="5386" w:type="dxa"/>
            <w:vAlign w:val="center"/>
          </w:tcPr>
          <w:p>
            <w:pPr>
              <w:pStyle w:val="12"/>
            </w:pPr>
            <w:r>
              <w:t>反应保障脱贫工作的正常运行，解决下乡扶贫的后勤问题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贫困村农民人均纯收入增长率（%）</w:t>
            </w:r>
          </w:p>
        </w:tc>
        <w:tc>
          <w:tcPr>
            <w:tcW w:w="5386" w:type="dxa"/>
            <w:vAlign w:val="center"/>
          </w:tcPr>
          <w:p>
            <w:pPr>
              <w:pStyle w:val="12"/>
            </w:pPr>
            <w:r>
              <w:t>贫困村农民人均纯收入的同比增长比率</w:t>
            </w:r>
          </w:p>
        </w:tc>
        <w:tc>
          <w:tcPr>
            <w:tcW w:w="2268" w:type="dxa"/>
            <w:vAlign w:val="center"/>
          </w:tcPr>
          <w:p>
            <w:pPr>
              <w:pStyle w:val="12"/>
            </w:pPr>
            <w:r>
              <w:t>≥20%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被帮扶贫困人员满意度</w:t>
            </w:r>
          </w:p>
        </w:tc>
        <w:tc>
          <w:tcPr>
            <w:tcW w:w="5386" w:type="dxa"/>
            <w:vAlign w:val="center"/>
          </w:tcPr>
          <w:p>
            <w:pPr>
              <w:pStyle w:val="12"/>
            </w:pPr>
            <w:r>
              <w:t>被帮扶贫困人员对扶贫工作的满意度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13032123P003293100337</w:t>
            </w:r>
          </w:p>
        </w:tc>
        <w:tc>
          <w:tcPr>
            <w:tcW w:w="2835" w:type="dxa"/>
            <w:vAlign w:val="center"/>
          </w:tcPr>
          <w:p>
            <w:pPr>
              <w:pStyle w:val="10"/>
            </w:pPr>
            <w:r>
              <w:t>项目名称</w:t>
            </w:r>
          </w:p>
        </w:tc>
        <w:tc>
          <w:tcPr>
            <w:tcW w:w="6094" w:type="dxa"/>
            <w:gridSpan w:val="3"/>
            <w:vAlign w:val="center"/>
          </w:tcPr>
          <w:p>
            <w:pPr>
              <w:pStyle w:val="12"/>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安排预算资金4万元（其中财政预算资金4万元）用于农村环境整治，确保提高人民生活环境质量。</w:t>
            </w:r>
            <w:r>
              <w:tab/>
            </w:r>
            <w:r>
              <w:tab/>
            </w:r>
            <w:r>
              <w:tab/>
            </w:r>
            <w:r>
              <w:tab/>
            </w:r>
            <w:r>
              <w:tab/>
            </w:r>
            <w:r>
              <w:tab/>
            </w:r>
          </w:p>
          <w:p>
            <w:pPr>
              <w:pStyle w:val="12"/>
            </w:pP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1.通过环境整治工作，改善农村生态环境，确保提高人民生活环境质量。</w:t>
            </w:r>
            <w:r>
              <w:tab/>
            </w:r>
            <w:r>
              <w:tab/>
            </w:r>
            <w:r>
              <w:tab/>
            </w:r>
            <w:r>
              <w:tab/>
            </w:r>
            <w:r>
              <w:tab/>
            </w:r>
            <w:r>
              <w:tab/>
            </w:r>
          </w:p>
          <w:p>
            <w:pPr>
              <w:pStyle w:val="12"/>
            </w:pPr>
            <w:r>
              <w:tab/>
            </w:r>
            <w:r>
              <w:tab/>
            </w:r>
            <w:r>
              <w:tab/>
            </w:r>
            <w:r>
              <w:tab/>
            </w:r>
            <w:r>
              <w:tab/>
            </w:r>
            <w:r>
              <w:tab/>
            </w:r>
          </w:p>
          <w:p>
            <w:pPr>
              <w:pStyle w:val="12"/>
            </w:pPr>
          </w:p>
          <w:p>
            <w:pPr>
              <w:pStyle w:val="12"/>
            </w:pPr>
            <w:r>
              <w:t>2.通过环境整治工作，解决村庄环境脏、乱、差问题，确保村容村貌干净整洁有序。</w:t>
            </w:r>
            <w:r>
              <w:tab/>
            </w:r>
            <w:r>
              <w:tab/>
            </w:r>
            <w:r>
              <w:tab/>
            </w:r>
            <w:r>
              <w:tab/>
            </w:r>
            <w:r>
              <w:tab/>
            </w:r>
            <w:r>
              <w:tab/>
            </w:r>
          </w:p>
          <w:p>
            <w:pPr>
              <w:pStyle w:val="12"/>
            </w:pP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重点污染治理工程数量</w:t>
            </w:r>
          </w:p>
        </w:tc>
        <w:tc>
          <w:tcPr>
            <w:tcW w:w="5386" w:type="dxa"/>
            <w:vAlign w:val="center"/>
          </w:tcPr>
          <w:p>
            <w:pPr>
              <w:pStyle w:val="12"/>
            </w:pPr>
            <w:r>
              <w:t>反映完成的重点污染治理工程数量</w:t>
            </w:r>
          </w:p>
        </w:tc>
        <w:tc>
          <w:tcPr>
            <w:tcW w:w="2268" w:type="dxa"/>
            <w:vAlign w:val="center"/>
          </w:tcPr>
          <w:p>
            <w:pPr>
              <w:pStyle w:val="12"/>
            </w:pPr>
            <w:r>
              <w:t>≥3个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检查工作的次数</w:t>
            </w:r>
          </w:p>
        </w:tc>
        <w:tc>
          <w:tcPr>
            <w:tcW w:w="5386" w:type="dxa"/>
            <w:vAlign w:val="center"/>
          </w:tcPr>
          <w:p>
            <w:pPr>
              <w:pStyle w:val="12"/>
            </w:pPr>
            <w:r>
              <w:t>反映每年下乡检查工作的次数</w:t>
            </w:r>
          </w:p>
        </w:tc>
        <w:tc>
          <w:tcPr>
            <w:tcW w:w="2268" w:type="dxa"/>
            <w:vAlign w:val="center"/>
          </w:tcPr>
          <w:p>
            <w:pPr>
              <w:pStyle w:val="12"/>
            </w:pPr>
            <w:r>
              <w:t>≥20次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反映下乡宣传次数</w:t>
            </w:r>
          </w:p>
        </w:tc>
        <w:tc>
          <w:tcPr>
            <w:tcW w:w="2268" w:type="dxa"/>
            <w:vAlign w:val="center"/>
          </w:tcPr>
          <w:p>
            <w:pPr>
              <w:pStyle w:val="12"/>
            </w:pPr>
            <w:r>
              <w:t>≥30次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发现重大环保事件数量比率</w:t>
            </w:r>
          </w:p>
        </w:tc>
        <w:tc>
          <w:tcPr>
            <w:tcW w:w="5386" w:type="dxa"/>
            <w:vAlign w:val="center"/>
          </w:tcPr>
          <w:p>
            <w:pPr>
              <w:pStyle w:val="12"/>
            </w:pPr>
            <w:r>
              <w:t>在规定时间内督查发现的重大环保事件数占重大环保事件总数的比率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检查时间</w:t>
            </w:r>
          </w:p>
        </w:tc>
        <w:tc>
          <w:tcPr>
            <w:tcW w:w="5386" w:type="dxa"/>
            <w:vAlign w:val="center"/>
          </w:tcPr>
          <w:p>
            <w:pPr>
              <w:pStyle w:val="12"/>
            </w:pPr>
            <w:r>
              <w:t>反映下乡检查工作的时间</w:t>
            </w:r>
          </w:p>
        </w:tc>
        <w:tc>
          <w:tcPr>
            <w:tcW w:w="2268" w:type="dxa"/>
            <w:vAlign w:val="center"/>
          </w:tcPr>
          <w:p>
            <w:pPr>
              <w:pStyle w:val="12"/>
            </w:pPr>
            <w:r>
              <w:t>≥2次/周</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宣传、办公费用</w:t>
            </w:r>
          </w:p>
        </w:tc>
        <w:tc>
          <w:tcPr>
            <w:tcW w:w="5386" w:type="dxa"/>
            <w:vAlign w:val="center"/>
          </w:tcPr>
          <w:p>
            <w:pPr>
              <w:pStyle w:val="12"/>
            </w:pPr>
            <w:r>
              <w:t>反映用于下乡宣传费、办公费成本</w:t>
            </w:r>
          </w:p>
        </w:tc>
        <w:tc>
          <w:tcPr>
            <w:tcW w:w="2268" w:type="dxa"/>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群众投诉下降率</w:t>
            </w:r>
          </w:p>
        </w:tc>
        <w:tc>
          <w:tcPr>
            <w:tcW w:w="5386" w:type="dxa"/>
            <w:vAlign w:val="center"/>
          </w:tcPr>
          <w:p>
            <w:pPr>
              <w:pStyle w:val="12"/>
            </w:pPr>
            <w:r>
              <w:t>反映本辖区群众因环境问题投诉下降率（%）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反映改善生态环境质量提升率</w:t>
            </w:r>
          </w:p>
        </w:tc>
        <w:tc>
          <w:tcPr>
            <w:tcW w:w="2268" w:type="dxa"/>
            <w:vAlign w:val="center"/>
          </w:tcPr>
          <w:p>
            <w:pPr>
              <w:pStyle w:val="12"/>
            </w:pPr>
            <w:r>
              <w:t>≥30%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村民满意度</w:t>
            </w:r>
          </w:p>
        </w:tc>
        <w:tc>
          <w:tcPr>
            <w:tcW w:w="5386" w:type="dxa"/>
            <w:vAlign w:val="center"/>
          </w:tcPr>
          <w:p>
            <w:pPr>
              <w:pStyle w:val="12"/>
            </w:pPr>
            <w:r>
              <w:t xml:space="preserve"> 村民对环境治理工作的满意程度</w:t>
            </w:r>
          </w:p>
        </w:tc>
        <w:tc>
          <w:tcPr>
            <w:tcW w:w="2268" w:type="dxa"/>
            <w:vAlign w:val="center"/>
          </w:tcPr>
          <w:p>
            <w:pPr>
              <w:pStyle w:val="12"/>
            </w:pPr>
            <w:r>
              <w:t>≥85%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5、全国自然风险普查工作经费绩效目标表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13032123P00329310088L</w:t>
            </w:r>
          </w:p>
        </w:tc>
        <w:tc>
          <w:tcPr>
            <w:tcW w:w="2835" w:type="dxa"/>
            <w:vAlign w:val="center"/>
          </w:tcPr>
          <w:p>
            <w:pPr>
              <w:pStyle w:val="10"/>
            </w:pPr>
            <w:r>
              <w:t>项目名称</w:t>
            </w:r>
          </w:p>
        </w:tc>
        <w:tc>
          <w:tcPr>
            <w:tcW w:w="6094" w:type="dxa"/>
            <w:gridSpan w:val="3"/>
            <w:vAlign w:val="center"/>
          </w:tcPr>
          <w:p>
            <w:pPr>
              <w:pStyle w:val="12"/>
            </w:pPr>
            <w:r>
              <w:t>全国自然风险普查工作经费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安排财政预算资金1万元（其中财政资金1万元）用于自然风险普查。开展全镇自然灾害普查工作，确保全面掌握我镇自然灾害风险防范情况。</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1.通过开展全镇自然灾害普查工作，确保全面掌握我镇自然灾害风险防范情况。</w:t>
            </w:r>
            <w:r>
              <w:tab/>
            </w:r>
            <w:r>
              <w:tab/>
            </w:r>
            <w:r>
              <w:tab/>
            </w:r>
          </w:p>
          <w:p>
            <w:pPr>
              <w:pStyle w:val="12"/>
            </w:pPr>
            <w:r>
              <w:tab/>
            </w:r>
            <w:r>
              <w:tab/>
            </w:r>
            <w:r>
              <w:tab/>
            </w:r>
            <w:r>
              <w:tab/>
            </w:r>
            <w:r>
              <w:tab/>
            </w:r>
            <w:r>
              <w:tab/>
            </w:r>
          </w:p>
          <w:p>
            <w:pPr>
              <w:pStyle w:val="12"/>
            </w:pPr>
          </w:p>
          <w:p>
            <w:pPr>
              <w:pStyle w:val="12"/>
            </w:pPr>
            <w:r>
              <w:t>2.通过设备购置和宣传培训工作，提升我镇抵御自然灾害综合防范能力</w:t>
            </w:r>
            <w:r>
              <w:tab/>
            </w:r>
            <w:r>
              <w:tab/>
            </w:r>
            <w:r>
              <w:tab/>
            </w:r>
          </w:p>
          <w:p>
            <w:pPr>
              <w:pStyle w:val="12"/>
            </w:pP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普查行政村个数</w:t>
            </w:r>
          </w:p>
        </w:tc>
        <w:tc>
          <w:tcPr>
            <w:tcW w:w="5386" w:type="dxa"/>
            <w:vAlign w:val="center"/>
          </w:tcPr>
          <w:p>
            <w:pPr>
              <w:pStyle w:val="12"/>
            </w:pPr>
            <w:r>
              <w:t>反映普查行政村个数</w:t>
            </w:r>
          </w:p>
        </w:tc>
        <w:tc>
          <w:tcPr>
            <w:tcW w:w="2268" w:type="dxa"/>
            <w:vAlign w:val="center"/>
          </w:tcPr>
          <w:p>
            <w:pPr>
              <w:pStyle w:val="12"/>
            </w:pPr>
            <w:r>
              <w:t>17个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普查自然灾害类型</w:t>
            </w:r>
          </w:p>
        </w:tc>
        <w:tc>
          <w:tcPr>
            <w:tcW w:w="5386" w:type="dxa"/>
            <w:vAlign w:val="center"/>
          </w:tcPr>
          <w:p>
            <w:pPr>
              <w:pStyle w:val="12"/>
            </w:pPr>
            <w:r>
              <w:t>本次普查涉及的自然灾害类型个数</w:t>
            </w:r>
          </w:p>
        </w:tc>
        <w:tc>
          <w:tcPr>
            <w:tcW w:w="2268" w:type="dxa"/>
            <w:vAlign w:val="center"/>
          </w:tcPr>
          <w:p>
            <w:pPr>
              <w:pStyle w:val="12"/>
            </w:pPr>
            <w:r>
              <w:t>≥6项</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受益人数</w:t>
            </w:r>
          </w:p>
        </w:tc>
        <w:tc>
          <w:tcPr>
            <w:tcW w:w="5386" w:type="dxa"/>
            <w:vAlign w:val="center"/>
          </w:tcPr>
          <w:p>
            <w:pPr>
              <w:pStyle w:val="12"/>
            </w:pPr>
            <w:r>
              <w:t>自然灾害普查受益人口数</w:t>
            </w:r>
          </w:p>
        </w:tc>
        <w:tc>
          <w:tcPr>
            <w:tcW w:w="2268" w:type="dxa"/>
            <w:vAlign w:val="center"/>
          </w:tcPr>
          <w:p>
            <w:pPr>
              <w:pStyle w:val="12"/>
            </w:pPr>
            <w:r>
              <w:t>≥26200人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普查工作完成率</w:t>
            </w:r>
          </w:p>
        </w:tc>
        <w:tc>
          <w:tcPr>
            <w:tcW w:w="5386" w:type="dxa"/>
            <w:vAlign w:val="center"/>
          </w:tcPr>
          <w:p>
            <w:pPr>
              <w:pStyle w:val="12"/>
            </w:pPr>
            <w:r>
              <w:t>普查工作完成率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普查工作完成时间</w:t>
            </w:r>
          </w:p>
        </w:tc>
        <w:tc>
          <w:tcPr>
            <w:tcW w:w="2268" w:type="dxa"/>
            <w:vAlign w:val="center"/>
          </w:tcPr>
          <w:p>
            <w:pPr>
              <w:pStyle w:val="12"/>
            </w:pPr>
            <w:r>
              <w:t>2024年12月底</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租车费用</w:t>
            </w:r>
          </w:p>
        </w:tc>
        <w:tc>
          <w:tcPr>
            <w:tcW w:w="5386" w:type="dxa"/>
            <w:vAlign w:val="center"/>
          </w:tcPr>
          <w:p>
            <w:pPr>
              <w:pStyle w:val="12"/>
            </w:pPr>
            <w:r>
              <w:t>反映用于本次普查租车费</w:t>
            </w:r>
          </w:p>
        </w:tc>
        <w:tc>
          <w:tcPr>
            <w:tcW w:w="2268" w:type="dxa"/>
            <w:vAlign w:val="center"/>
          </w:tcPr>
          <w:p>
            <w:pPr>
              <w:pStyle w:val="12"/>
            </w:pPr>
            <w:r>
              <w:t>≤1万元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提升抵御自然灾害防范能力</w:t>
            </w:r>
          </w:p>
        </w:tc>
        <w:tc>
          <w:tcPr>
            <w:tcW w:w="5386" w:type="dxa"/>
            <w:vAlign w:val="center"/>
          </w:tcPr>
          <w:p>
            <w:pPr>
              <w:pStyle w:val="12"/>
            </w:pPr>
            <w:r>
              <w:t>通过普查，提升抵御自然灾害防能力，提交高质量普查结果报告</w:t>
            </w:r>
          </w:p>
        </w:tc>
        <w:tc>
          <w:tcPr>
            <w:tcW w:w="2268" w:type="dxa"/>
            <w:vAlign w:val="center"/>
          </w:tcPr>
          <w:p>
            <w:pPr>
              <w:pStyle w:val="12"/>
            </w:pPr>
            <w:r>
              <w:t>≥1份</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防灾减灾能力提成情况</w:t>
            </w:r>
          </w:p>
        </w:tc>
        <w:tc>
          <w:tcPr>
            <w:tcW w:w="5386" w:type="dxa"/>
            <w:vAlign w:val="center"/>
          </w:tcPr>
          <w:p>
            <w:pPr>
              <w:pStyle w:val="12"/>
            </w:pPr>
            <w:r>
              <w:t>通过开展灾害普查，促进防灾减灾能力提升</w:t>
            </w:r>
          </w:p>
        </w:tc>
        <w:tc>
          <w:tcPr>
            <w:tcW w:w="2268" w:type="dxa"/>
            <w:vAlign w:val="center"/>
          </w:tcPr>
          <w:p>
            <w:pPr>
              <w:pStyle w:val="12"/>
            </w:pPr>
            <w:r>
              <w:t>≥10%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村民调查中，满意和较满意的人数占全部调查人数的比率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13032122P00329310029J</w:t>
            </w:r>
          </w:p>
        </w:tc>
        <w:tc>
          <w:tcPr>
            <w:tcW w:w="2835" w:type="dxa"/>
            <w:vAlign w:val="center"/>
          </w:tcPr>
          <w:p>
            <w:pPr>
              <w:pStyle w:val="10"/>
            </w:pPr>
            <w:r>
              <w:t>项目名称</w:t>
            </w:r>
          </w:p>
        </w:tc>
        <w:tc>
          <w:tcPr>
            <w:tcW w:w="6094"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安排预算资金1万元（其中财政资金1万元），用于能够定期开展人大代表接访、走访、约访、开展代表活动，使得人大机关团体密切联系群众，回访等工作，接受群众监督，提出议案建议。</w:t>
            </w:r>
            <w:r>
              <w:tab/>
            </w:r>
            <w:r>
              <w:tab/>
            </w:r>
            <w:r>
              <w:tab/>
            </w:r>
            <w:r>
              <w:tab/>
            </w:r>
            <w:r>
              <w:tab/>
            </w:r>
            <w:r>
              <w:tab/>
            </w:r>
            <w:r>
              <w:t>"</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1.通过学习宣传培训，能够定期开展人大代表接访、走访、约访、开展代表活动，使得人大机关团体密切联系群众，回访等工作，接受群众监督，提出议案建议。</w:t>
            </w:r>
            <w:r>
              <w:tab/>
            </w:r>
            <w:r>
              <w:tab/>
            </w:r>
            <w:r>
              <w:tab/>
            </w:r>
            <w:r>
              <w:tab/>
            </w:r>
            <w:r>
              <w:tab/>
            </w:r>
            <w:r>
              <w:tab/>
            </w:r>
            <w:r>
              <w:t>"</w:t>
            </w:r>
            <w:r>
              <w:tab/>
            </w:r>
            <w:r>
              <w:tab/>
            </w:r>
            <w:r>
              <w:tab/>
            </w:r>
            <w:r>
              <w:tab/>
            </w:r>
            <w:r>
              <w:tab/>
            </w:r>
            <w:r>
              <w:tab/>
            </w:r>
          </w:p>
          <w:p>
            <w:pPr>
              <w:pStyle w:val="12"/>
            </w:pPr>
          </w:p>
          <w:p>
            <w:pPr>
              <w:pStyle w:val="12"/>
            </w:pPr>
            <w:r>
              <w:t>2.通过开展人大代表之家工作，提供场地和经费，有利于学习宣传宪法法律和党的路线方针政策及各级党委政府重大决策部署，定期开展代表活动。</w:t>
            </w:r>
            <w:r>
              <w:tab/>
            </w:r>
            <w:r>
              <w:tab/>
            </w:r>
            <w:r>
              <w:tab/>
            </w:r>
            <w:r>
              <w:tab/>
            </w:r>
            <w:r>
              <w:tab/>
            </w:r>
            <w:r>
              <w:tab/>
            </w:r>
            <w:r>
              <w:t>"</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2268" w:type="dxa"/>
            <w:vAlign w:val="center"/>
          </w:tcPr>
          <w:p>
            <w:pPr>
              <w:pStyle w:val="12"/>
            </w:pPr>
            <w:r>
              <w:t>≥2次</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2268" w:type="dxa"/>
            <w:vAlign w:val="center"/>
          </w:tcPr>
          <w:p>
            <w:pPr>
              <w:pStyle w:val="12"/>
            </w:pPr>
            <w:r>
              <w:t>≥4次</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5386" w:type="dxa"/>
            <w:vAlign w:val="center"/>
          </w:tcPr>
          <w:p>
            <w:pPr>
              <w:pStyle w:val="12"/>
            </w:pPr>
            <w:r>
              <w:t>反映乡级人大代表数量</w:t>
            </w:r>
          </w:p>
        </w:tc>
        <w:tc>
          <w:tcPr>
            <w:tcW w:w="2268" w:type="dxa"/>
            <w:vAlign w:val="center"/>
          </w:tcPr>
          <w:p>
            <w:pPr>
              <w:pStyle w:val="12"/>
            </w:pPr>
            <w:r>
              <w:t>＝60人</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5386" w:type="dxa"/>
            <w:vAlign w:val="center"/>
          </w:tcPr>
          <w:p>
            <w:pPr>
              <w:pStyle w:val="12"/>
            </w:pPr>
            <w:r>
              <w:t>当年完成调研报告的数量</w:t>
            </w:r>
          </w:p>
        </w:tc>
        <w:tc>
          <w:tcPr>
            <w:tcW w:w="2268" w:type="dxa"/>
            <w:vAlign w:val="center"/>
          </w:tcPr>
          <w:p>
            <w:pPr>
              <w:pStyle w:val="12"/>
            </w:pPr>
            <w:r>
              <w:t>≥2篇</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做好协调组织工作，为代表依法履职提供服务</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学习宣传培训，开展代表活动</w:t>
            </w:r>
          </w:p>
        </w:tc>
        <w:tc>
          <w:tcPr>
            <w:tcW w:w="5386" w:type="dxa"/>
            <w:vAlign w:val="center"/>
          </w:tcPr>
          <w:p>
            <w:pPr>
              <w:pStyle w:val="12"/>
            </w:pPr>
            <w:r>
              <w:t>做好协调组织工作,为代表依法履责提供服务</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≤1万元</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2268" w:type="dxa"/>
            <w:vAlign w:val="center"/>
          </w:tcPr>
          <w:p>
            <w:pPr>
              <w:pStyle w:val="12"/>
            </w:pPr>
            <w:r>
              <w:t>≥50%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履职质量和水平</w:t>
            </w:r>
          </w:p>
        </w:tc>
        <w:tc>
          <w:tcPr>
            <w:tcW w:w="5386" w:type="dxa"/>
            <w:vAlign w:val="center"/>
          </w:tcPr>
          <w:p>
            <w:pPr>
              <w:pStyle w:val="12"/>
            </w:pPr>
            <w:r>
              <w:t>加强对乡镇人大工作的联系和指导，规范化、制度化水平显著提升</w:t>
            </w:r>
          </w:p>
        </w:tc>
        <w:tc>
          <w:tcPr>
            <w:tcW w:w="2268" w:type="dxa"/>
            <w:vAlign w:val="center"/>
          </w:tcPr>
          <w:p>
            <w:pPr>
              <w:pStyle w:val="12"/>
            </w:pPr>
            <w:r>
              <w:t>≥95%</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会议服务工作满意率</w:t>
            </w:r>
          </w:p>
        </w:tc>
        <w:tc>
          <w:tcPr>
            <w:tcW w:w="5386" w:type="dxa"/>
            <w:vAlign w:val="center"/>
          </w:tcPr>
          <w:p>
            <w:pPr>
              <w:pStyle w:val="12"/>
            </w:pPr>
            <w:r>
              <w:t>乡人大代表和常委对代表工作的满意程度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13032124P003293102311</w:t>
            </w:r>
          </w:p>
        </w:tc>
        <w:tc>
          <w:tcPr>
            <w:tcW w:w="2835" w:type="dxa"/>
            <w:vAlign w:val="center"/>
          </w:tcPr>
          <w:p>
            <w:pPr>
              <w:pStyle w:val="10"/>
            </w:pPr>
            <w:r>
              <w:t>项目名称</w:t>
            </w:r>
          </w:p>
        </w:tc>
        <w:tc>
          <w:tcPr>
            <w:tcW w:w="6094"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安排预算资金1万元（其中财政资金1万元）用于团委工作。通过团委工作经费，使团委工作有序开展，积极发挥团委作用。</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1.通过团委工作有序开展，积极发挥团委作用。</w:t>
            </w:r>
            <w:r>
              <w:tab/>
            </w:r>
            <w:r>
              <w:tab/>
            </w:r>
            <w:r>
              <w:tab/>
            </w:r>
            <w:r>
              <w:tab/>
            </w:r>
            <w:r>
              <w:tab/>
            </w:r>
            <w:r>
              <w:tab/>
            </w:r>
          </w:p>
          <w:p>
            <w:pPr>
              <w:pStyle w:val="12"/>
            </w:pPr>
            <w:r>
              <w:tab/>
            </w:r>
            <w:r>
              <w:tab/>
            </w:r>
          </w:p>
          <w:p>
            <w:pPr>
              <w:pStyle w:val="12"/>
            </w:pPr>
            <w:r>
              <w:t>2.开展好群团组织工作，为党的建设储备好后备力量。</w:t>
            </w:r>
            <w:r>
              <w:tab/>
            </w:r>
            <w:r>
              <w:tab/>
            </w:r>
            <w:r>
              <w:tab/>
            </w:r>
            <w:r>
              <w:tab/>
            </w:r>
            <w:r>
              <w:tab/>
            </w:r>
            <w:r>
              <w:tab/>
            </w:r>
          </w:p>
          <w:p>
            <w:pPr>
              <w:pStyle w:val="12"/>
            </w:pPr>
            <w:r>
              <w:tab/>
            </w:r>
            <w:r>
              <w:tab/>
            </w:r>
            <w:r>
              <w:tab/>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组织镇青年慰问留守儿童活动的次数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2268" w:type="dxa"/>
            <w:vAlign w:val="center"/>
          </w:tcPr>
          <w:p>
            <w:pPr>
              <w:pStyle w:val="12"/>
            </w:pPr>
            <w:r>
              <w:t>≥3000张</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反映各项活动完成时间</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团费收缴完成率</w:t>
            </w:r>
          </w:p>
        </w:tc>
        <w:tc>
          <w:tcPr>
            <w:tcW w:w="5386" w:type="dxa"/>
            <w:vAlign w:val="center"/>
          </w:tcPr>
          <w:p>
            <w:pPr>
              <w:pStyle w:val="12"/>
            </w:pPr>
            <w:r>
              <w:t>反映全乡团费收缴和上缴工作完成比率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团员青年满意度</w:t>
            </w:r>
          </w:p>
        </w:tc>
        <w:tc>
          <w:tcPr>
            <w:tcW w:w="5386" w:type="dxa"/>
            <w:vAlign w:val="center"/>
          </w:tcPr>
          <w:p>
            <w:pPr>
              <w:pStyle w:val="12"/>
            </w:pPr>
            <w:r>
              <w:t>全镇群众对团工作的满意度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8、专项武装活动经费绩效目标表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13032123P00329310090K</w:t>
            </w:r>
          </w:p>
        </w:tc>
        <w:tc>
          <w:tcPr>
            <w:tcW w:w="2835" w:type="dxa"/>
            <w:vAlign w:val="center"/>
          </w:tcPr>
          <w:p>
            <w:pPr>
              <w:pStyle w:val="10"/>
            </w:pPr>
            <w:r>
              <w:t>项目名称</w:t>
            </w:r>
          </w:p>
        </w:tc>
        <w:tc>
          <w:tcPr>
            <w:tcW w:w="6094" w:type="dxa"/>
            <w:gridSpan w:val="3"/>
            <w:vAlign w:val="center"/>
          </w:tcPr>
          <w:p>
            <w:pPr>
              <w:pStyle w:val="12"/>
            </w:pPr>
            <w:r>
              <w:t>专项武装活动经费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安排财政预算资金2万元（其中财政预算资金2万元）用于专项武装活动的开展。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1.通过开展兵役登记、征兵工作，为国家提供高素质兵源。</w:t>
            </w:r>
          </w:p>
          <w:p>
            <w:pPr>
              <w:pStyle w:val="12"/>
            </w:pPr>
            <w:r>
              <w:tab/>
            </w:r>
            <w:r>
              <w:tab/>
            </w:r>
            <w:r>
              <w:tab/>
            </w:r>
            <w:r>
              <w:tab/>
            </w:r>
            <w:r>
              <w:tab/>
            </w:r>
            <w:r>
              <w:tab/>
            </w:r>
          </w:p>
          <w:p>
            <w:pPr>
              <w:pStyle w:val="12"/>
            </w:pPr>
          </w:p>
          <w:p>
            <w:pPr>
              <w:pStyle w:val="12"/>
            </w:pPr>
            <w:r>
              <w:t>2.通过开展民兵训练工作，确保人民武装力量得到保障。</w:t>
            </w:r>
            <w:r>
              <w:tab/>
            </w:r>
            <w:r>
              <w:tab/>
            </w:r>
          </w:p>
          <w:p>
            <w:pPr>
              <w:pStyle w:val="12"/>
            </w:pP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下乡调研指导基层武装工作次数</w:t>
            </w:r>
          </w:p>
        </w:tc>
        <w:tc>
          <w:tcPr>
            <w:tcW w:w="5386" w:type="dxa"/>
            <w:vAlign w:val="center"/>
          </w:tcPr>
          <w:p>
            <w:pPr>
              <w:pStyle w:val="12"/>
            </w:pPr>
            <w:r>
              <w:t>反映下乡开展调查、检查工作的次数</w:t>
            </w:r>
          </w:p>
        </w:tc>
        <w:tc>
          <w:tcPr>
            <w:tcW w:w="2268" w:type="dxa"/>
            <w:vAlign w:val="center"/>
          </w:tcPr>
          <w:p>
            <w:pPr>
              <w:pStyle w:val="12"/>
            </w:pPr>
            <w:r>
              <w:t>≥60次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开展武装专项工作宣传次数</w:t>
            </w:r>
          </w:p>
        </w:tc>
        <w:tc>
          <w:tcPr>
            <w:tcW w:w="5386" w:type="dxa"/>
            <w:vAlign w:val="center"/>
          </w:tcPr>
          <w:p>
            <w:pPr>
              <w:pStyle w:val="12"/>
            </w:pPr>
            <w:r>
              <w:t>反映开展宣传活动的次数</w:t>
            </w:r>
          </w:p>
        </w:tc>
        <w:tc>
          <w:tcPr>
            <w:tcW w:w="2268" w:type="dxa"/>
            <w:vAlign w:val="center"/>
          </w:tcPr>
          <w:p>
            <w:pPr>
              <w:pStyle w:val="12"/>
            </w:pPr>
            <w:r>
              <w:t>≥15次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印发宣传单数量</w:t>
            </w:r>
          </w:p>
        </w:tc>
        <w:tc>
          <w:tcPr>
            <w:tcW w:w="5386" w:type="dxa"/>
            <w:vAlign w:val="center"/>
          </w:tcPr>
          <w:p>
            <w:pPr>
              <w:pStyle w:val="12"/>
            </w:pPr>
            <w:r>
              <w:t>反映开展宣传活动中需印刷的宣传单数量</w:t>
            </w:r>
          </w:p>
        </w:tc>
        <w:tc>
          <w:tcPr>
            <w:tcW w:w="2268" w:type="dxa"/>
            <w:vAlign w:val="center"/>
          </w:tcPr>
          <w:p>
            <w:pPr>
              <w:pStyle w:val="12"/>
            </w:pPr>
            <w:r>
              <w:t>≥3000份</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宣传普及率</w:t>
            </w:r>
          </w:p>
        </w:tc>
        <w:tc>
          <w:tcPr>
            <w:tcW w:w="5386" w:type="dxa"/>
            <w:vAlign w:val="center"/>
          </w:tcPr>
          <w:p>
            <w:pPr>
              <w:pStyle w:val="12"/>
            </w:pPr>
            <w:r>
              <w:t>知晓专项武装工作居民占全镇总人口的比率。</w:t>
            </w:r>
          </w:p>
        </w:tc>
        <w:tc>
          <w:tcPr>
            <w:tcW w:w="2268" w:type="dxa"/>
            <w:vAlign w:val="center"/>
          </w:tcPr>
          <w:p>
            <w:pPr>
              <w:pStyle w:val="12"/>
            </w:pPr>
            <w:r>
              <w:t>≥90%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调查、检查覆盖率</w:t>
            </w:r>
          </w:p>
        </w:tc>
        <w:tc>
          <w:tcPr>
            <w:tcW w:w="5386" w:type="dxa"/>
            <w:vAlign w:val="center"/>
          </w:tcPr>
          <w:p>
            <w:pPr>
              <w:pStyle w:val="12"/>
            </w:pPr>
            <w:r>
              <w:t>向全镇开展宣传专项武装工作的普及程度</w:t>
            </w:r>
          </w:p>
        </w:tc>
        <w:tc>
          <w:tcPr>
            <w:tcW w:w="2268" w:type="dxa"/>
            <w:vAlign w:val="center"/>
          </w:tcPr>
          <w:p>
            <w:pPr>
              <w:pStyle w:val="12"/>
            </w:pPr>
            <w:r>
              <w:t>≥90%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调查、检查的时间</w:t>
            </w:r>
          </w:p>
        </w:tc>
        <w:tc>
          <w:tcPr>
            <w:tcW w:w="5386" w:type="dxa"/>
            <w:vAlign w:val="center"/>
          </w:tcPr>
          <w:p>
            <w:pPr>
              <w:pStyle w:val="12"/>
            </w:pPr>
            <w:r>
              <w:t>反映开展调查、检查工作进度安排</w:t>
            </w:r>
          </w:p>
        </w:tc>
        <w:tc>
          <w:tcPr>
            <w:tcW w:w="2268" w:type="dxa"/>
            <w:vAlign w:val="center"/>
          </w:tcPr>
          <w:p>
            <w:pPr>
              <w:pStyle w:val="12"/>
            </w:pPr>
            <w:r>
              <w:t>2024年3-10月</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开展宣传工作的时间</w:t>
            </w:r>
          </w:p>
        </w:tc>
        <w:tc>
          <w:tcPr>
            <w:tcW w:w="5386" w:type="dxa"/>
            <w:vAlign w:val="center"/>
          </w:tcPr>
          <w:p>
            <w:pPr>
              <w:pStyle w:val="12"/>
            </w:pPr>
            <w:r>
              <w:t>反映开展征兵宣传活动的进度</w:t>
            </w:r>
          </w:p>
        </w:tc>
        <w:tc>
          <w:tcPr>
            <w:tcW w:w="2268" w:type="dxa"/>
            <w:vAlign w:val="center"/>
          </w:tcPr>
          <w:p>
            <w:pPr>
              <w:pStyle w:val="12"/>
            </w:pPr>
            <w:r>
              <w:t>2024年10月底前</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基层武装保障能力提升情况</w:t>
            </w:r>
          </w:p>
        </w:tc>
        <w:tc>
          <w:tcPr>
            <w:tcW w:w="5386" w:type="dxa"/>
            <w:vAlign w:val="center"/>
          </w:tcPr>
          <w:p>
            <w:pPr>
              <w:pStyle w:val="12"/>
            </w:pPr>
            <w:r>
              <w:t>通过开展武装专项促进基层武装工作能力提升</w:t>
            </w:r>
          </w:p>
        </w:tc>
        <w:tc>
          <w:tcPr>
            <w:tcW w:w="2268" w:type="dxa"/>
            <w:vAlign w:val="center"/>
          </w:tcPr>
          <w:p>
            <w:pPr>
              <w:pStyle w:val="12"/>
            </w:pPr>
            <w:r>
              <w:t>≥10%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效果持续时间</w:t>
            </w:r>
          </w:p>
        </w:tc>
        <w:tc>
          <w:tcPr>
            <w:tcW w:w="5386" w:type="dxa"/>
            <w:vAlign w:val="center"/>
          </w:tcPr>
          <w:p>
            <w:pPr>
              <w:pStyle w:val="12"/>
            </w:pPr>
            <w:r>
              <w:t>效果持续时间</w:t>
            </w:r>
          </w:p>
        </w:tc>
        <w:tc>
          <w:tcPr>
            <w:tcW w:w="2268" w:type="dxa"/>
            <w:vAlign w:val="center"/>
          </w:tcPr>
          <w:p>
            <w:pPr>
              <w:pStyle w:val="12"/>
            </w:pPr>
            <w:r>
              <w:t>≥1年</w:t>
            </w:r>
          </w:p>
        </w:tc>
        <w:tc>
          <w:tcPr>
            <w:tcW w:w="1276" w:type="dxa"/>
            <w:vAlign w:val="center"/>
          </w:tcPr>
          <w:p>
            <w:pPr>
              <w:pStyle w:val="12"/>
            </w:pPr>
            <w:r>
              <w:t>2024年工作计划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基层人民群众对武装工作满意度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9、综治活动经费绩效目标表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13032123P003293100917</w:t>
            </w:r>
          </w:p>
        </w:tc>
        <w:tc>
          <w:tcPr>
            <w:tcW w:w="2835" w:type="dxa"/>
            <w:vAlign w:val="center"/>
          </w:tcPr>
          <w:p>
            <w:pPr>
              <w:pStyle w:val="10"/>
            </w:pPr>
            <w:r>
              <w:t>项目名称</w:t>
            </w:r>
          </w:p>
        </w:tc>
        <w:tc>
          <w:tcPr>
            <w:tcW w:w="6094" w:type="dxa"/>
            <w:gridSpan w:val="3"/>
            <w:vAlign w:val="center"/>
          </w:tcPr>
          <w:p>
            <w:pPr>
              <w:pStyle w:val="12"/>
            </w:pPr>
            <w:r>
              <w:t>综治活动经费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安排预算资金3万元（其中财政预算资金3万元）用于开展综治工作，宣传相关政策，消除信访隐患。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1.通过开展综治工作，宣传相关政策，加大依法行政的力度，达到维护农业农村工作的稳定效果。</w:t>
            </w:r>
          </w:p>
          <w:p>
            <w:pPr>
              <w:pStyle w:val="12"/>
            </w:pPr>
            <w:r>
              <w:tab/>
            </w:r>
            <w:r>
              <w:tab/>
            </w:r>
            <w:r>
              <w:tab/>
            </w:r>
            <w:r>
              <w:tab/>
            </w:r>
            <w:r>
              <w:tab/>
            </w:r>
          </w:p>
          <w:p>
            <w:pPr>
              <w:pStyle w:val="12"/>
            </w:pPr>
          </w:p>
          <w:p>
            <w:pPr>
              <w:pStyle w:val="12"/>
            </w:pPr>
            <w:r>
              <w:t>2.通过综合工作协调联动，协助司法机关打击各类刑事犯罪活动，使得妥善处理突发性、群体性事件。</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接信访人返青次数</w:t>
            </w:r>
          </w:p>
        </w:tc>
        <w:tc>
          <w:tcPr>
            <w:tcW w:w="5386" w:type="dxa"/>
            <w:vAlign w:val="center"/>
          </w:tcPr>
          <w:p>
            <w:pPr>
              <w:pStyle w:val="12"/>
            </w:pPr>
            <w:r>
              <w:t>反映每年接信访人返青次数</w:t>
            </w:r>
          </w:p>
        </w:tc>
        <w:tc>
          <w:tcPr>
            <w:tcW w:w="2268" w:type="dxa"/>
            <w:vAlign w:val="center"/>
          </w:tcPr>
          <w:p>
            <w:pPr>
              <w:pStyle w:val="12"/>
            </w:pPr>
            <w:r>
              <w:t>≥10次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反映每年法制宣传教育次数</w:t>
            </w:r>
          </w:p>
        </w:tc>
        <w:tc>
          <w:tcPr>
            <w:tcW w:w="2268" w:type="dxa"/>
            <w:vAlign w:val="center"/>
          </w:tcPr>
          <w:p>
            <w:pPr>
              <w:pStyle w:val="12"/>
            </w:pPr>
            <w:r>
              <w:t>≥10次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涉稳舆情处置率(%)</w:t>
            </w:r>
          </w:p>
        </w:tc>
        <w:tc>
          <w:tcPr>
            <w:tcW w:w="5386" w:type="dxa"/>
            <w:vAlign w:val="center"/>
          </w:tcPr>
          <w:p>
            <w:pPr>
              <w:pStyle w:val="12"/>
            </w:pPr>
            <w:r>
              <w:t>处置的涉稳舆情数占涉稳网络舆情总数的比率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反映完成各项工作及时率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交通费用</w:t>
            </w:r>
          </w:p>
        </w:tc>
        <w:tc>
          <w:tcPr>
            <w:tcW w:w="5386" w:type="dxa"/>
            <w:vAlign w:val="center"/>
          </w:tcPr>
          <w:p>
            <w:pPr>
              <w:pStyle w:val="12"/>
            </w:pPr>
            <w:r>
              <w:t>反映接信访人员的交通费用和下乡的交通费</w:t>
            </w:r>
          </w:p>
        </w:tc>
        <w:tc>
          <w:tcPr>
            <w:tcW w:w="2268" w:type="dxa"/>
            <w:vAlign w:val="center"/>
          </w:tcPr>
          <w:p>
            <w:pPr>
              <w:pStyle w:val="12"/>
            </w:pPr>
            <w:r>
              <w:t>≤1万元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办公费支出</w:t>
            </w:r>
          </w:p>
        </w:tc>
        <w:tc>
          <w:tcPr>
            <w:tcW w:w="5386" w:type="dxa"/>
            <w:vAlign w:val="center"/>
          </w:tcPr>
          <w:p>
            <w:pPr>
              <w:pStyle w:val="12"/>
            </w:pPr>
            <w:r>
              <w:t>反映用于维稳的办公费支出</w:t>
            </w:r>
          </w:p>
        </w:tc>
        <w:tc>
          <w:tcPr>
            <w:tcW w:w="2268" w:type="dxa"/>
            <w:vAlign w:val="center"/>
          </w:tcPr>
          <w:p>
            <w:pPr>
              <w:pStyle w:val="12"/>
            </w:pPr>
            <w:r>
              <w:t>≤2万元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提高公民的法律意识和素质</w:t>
            </w:r>
          </w:p>
        </w:tc>
        <w:tc>
          <w:tcPr>
            <w:tcW w:w="5386" w:type="dxa"/>
            <w:vAlign w:val="center"/>
          </w:tcPr>
          <w:p>
            <w:pPr>
              <w:pStyle w:val="12"/>
            </w:pPr>
            <w:r>
              <w:t>加强法制宣传教育、提高公民的法律意识和素质，教育农民知法、懂法和守法</w:t>
            </w:r>
          </w:p>
        </w:tc>
        <w:tc>
          <w:tcPr>
            <w:tcW w:w="2268" w:type="dxa"/>
            <w:vAlign w:val="center"/>
          </w:tcPr>
          <w:p>
            <w:pPr>
              <w:pStyle w:val="12"/>
            </w:pPr>
            <w:r>
              <w:t>≥10%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促进社会和谐稳定</w:t>
            </w:r>
          </w:p>
        </w:tc>
        <w:tc>
          <w:tcPr>
            <w:tcW w:w="5386" w:type="dxa"/>
            <w:vAlign w:val="center"/>
          </w:tcPr>
          <w:p>
            <w:pPr>
              <w:pStyle w:val="12"/>
            </w:pPr>
            <w:r>
              <w:t>维护农业农村工作的稳定，促进社会和谐稳定，非访率控制范围之内</w:t>
            </w:r>
          </w:p>
        </w:tc>
        <w:tc>
          <w:tcPr>
            <w:tcW w:w="2268" w:type="dxa"/>
            <w:vAlign w:val="center"/>
          </w:tcPr>
          <w:p>
            <w:pPr>
              <w:pStyle w:val="12"/>
            </w:pPr>
            <w:r>
              <w:t>≤5%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服务对象调查满意率(％)</w:t>
            </w:r>
          </w:p>
        </w:tc>
        <w:tc>
          <w:tcPr>
            <w:tcW w:w="5386" w:type="dxa"/>
            <w:vAlign w:val="center"/>
          </w:tcPr>
          <w:p>
            <w:pPr>
              <w:pStyle w:val="12"/>
            </w:pPr>
            <w:r>
              <w:t>群众满意及比较满意人数占参加调查总人数的比率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13032123P00000210034W</w:t>
            </w:r>
          </w:p>
        </w:tc>
        <w:tc>
          <w:tcPr>
            <w:tcW w:w="2835" w:type="dxa"/>
            <w:vAlign w:val="center"/>
          </w:tcPr>
          <w:p>
            <w:pPr>
              <w:pStyle w:val="10"/>
            </w:pPr>
            <w:r>
              <w:t>项目名称</w:t>
            </w:r>
          </w:p>
        </w:tc>
        <w:tc>
          <w:tcPr>
            <w:tcW w:w="6094" w:type="dxa"/>
            <w:gridSpan w:val="3"/>
            <w:vAlign w:val="center"/>
          </w:tcPr>
          <w:p>
            <w:pPr>
              <w:pStyle w:val="12"/>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65.76</w:t>
            </w:r>
          </w:p>
        </w:tc>
        <w:tc>
          <w:tcPr>
            <w:tcW w:w="2835" w:type="dxa"/>
            <w:vAlign w:val="center"/>
          </w:tcPr>
          <w:p>
            <w:pPr>
              <w:pStyle w:val="10"/>
            </w:pPr>
            <w:r>
              <w:t>其中：财政    资金</w:t>
            </w:r>
          </w:p>
        </w:tc>
        <w:tc>
          <w:tcPr>
            <w:tcW w:w="2551" w:type="dxa"/>
            <w:vAlign w:val="center"/>
          </w:tcPr>
          <w:p>
            <w:pPr>
              <w:pStyle w:val="12"/>
            </w:pPr>
            <w:r>
              <w:t>65.76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安排预算65.764万元用，其中财政资金65.764万元，其它资金0万元，用于村干部职务补贴，为农村干部工作提供保障。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1.通过及时发放村干部基础职务补贴，为农村干部工作生活提供保障。</w:t>
            </w:r>
            <w:r>
              <w:tab/>
            </w:r>
            <w:r>
              <w:tab/>
            </w:r>
            <w:r>
              <w:tab/>
            </w:r>
            <w:r>
              <w:tab/>
            </w:r>
            <w:r>
              <w:tab/>
            </w:r>
            <w:r>
              <w:tab/>
            </w:r>
          </w:p>
          <w:p>
            <w:pPr>
              <w:pStyle w:val="12"/>
            </w:pPr>
          </w:p>
          <w:p>
            <w:pPr>
              <w:pStyle w:val="12"/>
            </w:pPr>
            <w:r>
              <w:t xml:space="preserve">2.激发农村干部干事创业热情，确保村级工作正常运转及村干部队伍稳定。      </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反映发放村干部基础职务补贴的村数</w:t>
            </w:r>
          </w:p>
        </w:tc>
        <w:tc>
          <w:tcPr>
            <w:tcW w:w="2268" w:type="dxa"/>
            <w:vAlign w:val="center"/>
          </w:tcPr>
          <w:p>
            <w:pPr>
              <w:pStyle w:val="12"/>
            </w:pPr>
            <w:r>
              <w:t>17个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96人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2268" w:type="dxa"/>
            <w:vAlign w:val="center"/>
          </w:tcPr>
          <w:p>
            <w:pPr>
              <w:pStyle w:val="12"/>
            </w:pPr>
            <w:r>
              <w:t>36000元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其他人员补贴标准</w:t>
            </w:r>
          </w:p>
        </w:tc>
        <w:tc>
          <w:tcPr>
            <w:tcW w:w="5386" w:type="dxa"/>
            <w:vAlign w:val="center"/>
          </w:tcPr>
          <w:p>
            <w:pPr>
              <w:pStyle w:val="12"/>
            </w:pPr>
            <w:r>
              <w:t>反映其他村两委干部人均补贴标准</w:t>
            </w:r>
          </w:p>
        </w:tc>
        <w:tc>
          <w:tcPr>
            <w:tcW w:w="2268" w:type="dxa"/>
            <w:vAlign w:val="center"/>
          </w:tcPr>
          <w:p>
            <w:pPr>
              <w:pStyle w:val="12"/>
            </w:pPr>
            <w:r>
              <w:t>≥12000元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13032123P000004100225</w:t>
            </w:r>
          </w:p>
        </w:tc>
        <w:tc>
          <w:tcPr>
            <w:tcW w:w="2835" w:type="dxa"/>
            <w:vAlign w:val="center"/>
          </w:tcPr>
          <w:p>
            <w:pPr>
              <w:pStyle w:val="10"/>
            </w:pPr>
            <w:r>
              <w:t>项目名称</w:t>
            </w:r>
          </w:p>
        </w:tc>
        <w:tc>
          <w:tcPr>
            <w:tcW w:w="6094"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20.50</w:t>
            </w:r>
          </w:p>
        </w:tc>
        <w:tc>
          <w:tcPr>
            <w:tcW w:w="2835" w:type="dxa"/>
            <w:vAlign w:val="center"/>
          </w:tcPr>
          <w:p>
            <w:pPr>
              <w:pStyle w:val="10"/>
            </w:pPr>
            <w:r>
              <w:t>其中：财政    资金</w:t>
            </w:r>
          </w:p>
        </w:tc>
        <w:tc>
          <w:tcPr>
            <w:tcW w:w="2551" w:type="dxa"/>
            <w:vAlign w:val="center"/>
          </w:tcPr>
          <w:p>
            <w:pPr>
              <w:pStyle w:val="12"/>
            </w:pPr>
            <w:r>
              <w:t>20.50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安排预算20.5万元，其中财政预算20.5万元，用于支付村级组织办公用品/水电暖等支出。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1.通过及时支付村级组织办公用品、水电暖等费用，保障日常工作有序开展。</w:t>
            </w:r>
            <w:r>
              <w:tab/>
            </w:r>
            <w:r>
              <w:tab/>
            </w:r>
            <w:r>
              <w:tab/>
            </w:r>
            <w:r>
              <w:tab/>
            </w:r>
            <w:r>
              <w:tab/>
            </w:r>
            <w:r>
              <w:tab/>
            </w:r>
          </w:p>
          <w:p>
            <w:pPr>
              <w:pStyle w:val="12"/>
            </w:pPr>
          </w:p>
          <w:p>
            <w:pPr>
              <w:pStyle w:val="12"/>
            </w:pPr>
            <w:r>
              <w:t>2.保障村级干部工作积极性，确保村级组织正常、高效运转。</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2268" w:type="dxa"/>
            <w:vAlign w:val="center"/>
          </w:tcPr>
          <w:p>
            <w:pPr>
              <w:pStyle w:val="12"/>
            </w:pPr>
            <w:r>
              <w:t>17个</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2268" w:type="dxa"/>
            <w:vAlign w:val="center"/>
          </w:tcPr>
          <w:p>
            <w:pPr>
              <w:pStyle w:val="12"/>
            </w:pPr>
            <w:r>
              <w:t>100%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2268" w:type="dxa"/>
            <w:vAlign w:val="center"/>
          </w:tcPr>
          <w:p>
            <w:pPr>
              <w:pStyle w:val="12"/>
            </w:pPr>
            <w:r>
              <w:t>100%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反映购买的办公用品合格数量占全部购买办公用品数量的比例</w:t>
            </w:r>
          </w:p>
        </w:tc>
        <w:tc>
          <w:tcPr>
            <w:tcW w:w="2268" w:type="dxa"/>
            <w:vAlign w:val="center"/>
          </w:tcPr>
          <w:p>
            <w:pPr>
              <w:pStyle w:val="12"/>
            </w:pPr>
            <w:r>
              <w:t>≥95%</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2268" w:type="dxa"/>
            <w:vAlign w:val="center"/>
          </w:tcPr>
          <w:p>
            <w:pPr>
              <w:pStyle w:val="12"/>
            </w:pPr>
            <w:r>
              <w:t>1次/半年</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tc>
        <w:tc>
          <w:tcPr>
            <w:tcW w:w="5386" w:type="dxa"/>
            <w:vAlign w:val="center"/>
          </w:tcPr>
          <w:p>
            <w:pPr>
              <w:pStyle w:val="12"/>
            </w:pPr>
            <w:r>
              <w:t>反映每个村级组织办公经费补助标准</w:t>
            </w:r>
          </w:p>
        </w:tc>
        <w:tc>
          <w:tcPr>
            <w:tcW w:w="2268" w:type="dxa"/>
            <w:vAlign w:val="center"/>
          </w:tcPr>
          <w:p>
            <w:pPr>
              <w:pStyle w:val="12"/>
            </w:pPr>
            <w:r>
              <w:t>≤3万元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2268" w:type="dxa"/>
            <w:vAlign w:val="center"/>
          </w:tcPr>
          <w:p>
            <w:pPr>
              <w:pStyle w:val="12"/>
            </w:pPr>
            <w:r>
              <w:t>≥95%</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2268" w:type="dxa"/>
            <w:vAlign w:val="center"/>
          </w:tcPr>
          <w:p>
            <w:pPr>
              <w:pStyle w:val="12"/>
            </w:pPr>
            <w:r>
              <w:t>≥1年</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13032123P000006100234</w:t>
            </w:r>
          </w:p>
        </w:tc>
        <w:tc>
          <w:tcPr>
            <w:tcW w:w="2835" w:type="dxa"/>
            <w:vAlign w:val="center"/>
          </w:tcPr>
          <w:p>
            <w:pPr>
              <w:pStyle w:val="10"/>
            </w:pPr>
            <w:r>
              <w:t>项目名称</w:t>
            </w:r>
          </w:p>
        </w:tc>
        <w:tc>
          <w:tcPr>
            <w:tcW w:w="6094"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w:t>
            </w:r>
          </w:p>
        </w:tc>
        <w:tc>
          <w:tcPr>
            <w:tcW w:w="2835" w:type="dxa"/>
            <w:vAlign w:val="center"/>
          </w:tcPr>
          <w:p>
            <w:pPr>
              <w:pStyle w:val="10"/>
            </w:pPr>
            <w:r>
              <w:t>其中：财政    资金</w:t>
            </w:r>
          </w:p>
        </w:tc>
        <w:tc>
          <w:tcPr>
            <w:tcW w:w="2551" w:type="dxa"/>
            <w:vAlign w:val="center"/>
          </w:tcPr>
          <w:p>
            <w:pPr>
              <w:pStyle w:val="12"/>
            </w:pPr>
            <w:r>
              <w:t>34.00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安排预算资金34万元，其中财政资金34万元，用于开展服务群众工作，为村综合服务日常运转提供保障。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1.通过开展服务群众工作，为村综合服务站日常运转、公共设施维护等提供保障，为群众提供便捷优质生产生活条件。</w:t>
            </w:r>
            <w:r>
              <w:tab/>
            </w:r>
            <w:r>
              <w:tab/>
            </w:r>
            <w:r>
              <w:tab/>
            </w:r>
            <w:r>
              <w:tab/>
            </w:r>
            <w:r>
              <w:tab/>
            </w:r>
            <w:r>
              <w:tab/>
            </w:r>
          </w:p>
          <w:p>
            <w:pPr>
              <w:pStyle w:val="12"/>
            </w:pPr>
          </w:p>
          <w:p>
            <w:pPr>
              <w:pStyle w:val="12"/>
            </w:pPr>
            <w:r>
              <w:t>2.通过项目实施为村级组织公共卫生防疫、村内治安等临时劳务用工提供费用保障，为群众提供安全稳定生活环境。</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17个</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≤1万元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2268" w:type="dxa"/>
            <w:vAlign w:val="center"/>
          </w:tcPr>
          <w:p>
            <w:pPr>
              <w:pStyle w:val="12"/>
            </w:pPr>
            <w:r>
              <w:t>≤1万元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2268" w:type="dxa"/>
            <w:vAlign w:val="center"/>
          </w:tcPr>
          <w:p>
            <w:pPr>
              <w:pStyle w:val="12"/>
            </w:pPr>
            <w:r>
              <w:t>≥90%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2024工作计划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13032123P003295100223</w:t>
            </w:r>
          </w:p>
        </w:tc>
        <w:tc>
          <w:tcPr>
            <w:tcW w:w="2835" w:type="dxa"/>
            <w:vAlign w:val="center"/>
          </w:tcPr>
          <w:p>
            <w:pPr>
              <w:pStyle w:val="10"/>
            </w:pPr>
            <w:r>
              <w:t>项目名称</w:t>
            </w:r>
          </w:p>
        </w:tc>
        <w:tc>
          <w:tcPr>
            <w:tcW w:w="6094" w:type="dxa"/>
            <w:gridSpan w:val="3"/>
            <w:vAlign w:val="center"/>
          </w:tcPr>
          <w:p>
            <w:pPr>
              <w:pStyle w:val="12"/>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安排预算资金30万元（其中财政资金30万元）用于燃煤锅炉及清洁能源补贴。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1.通过采取锅炉改造电取暖，确保机关正常办公，为机关工作人员和群众提供良好的工作办事环境。</w:t>
            </w:r>
            <w:r>
              <w:tab/>
            </w:r>
            <w:r>
              <w:tab/>
            </w:r>
            <w:r>
              <w:tab/>
            </w:r>
            <w:r>
              <w:tab/>
            </w:r>
            <w:r>
              <w:tab/>
            </w:r>
            <w:r>
              <w:tab/>
            </w:r>
          </w:p>
          <w:p>
            <w:pPr>
              <w:pStyle w:val="12"/>
            </w:pPr>
          </w:p>
          <w:p>
            <w:pPr>
              <w:pStyle w:val="12"/>
            </w:pPr>
            <w:r>
              <w:t>2."通过改变取暖方式，加大大气治理力度，提升大气质量，保护自然环境。</w:t>
            </w:r>
            <w:r>
              <w:tab/>
            </w:r>
            <w:r>
              <w:t>"</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268" w:type="dxa"/>
            <w:vAlign w:val="center"/>
          </w:tcPr>
          <w:p>
            <w:pPr>
              <w:pStyle w:val="12"/>
            </w:pPr>
            <w:r>
              <w:t>≥4200㎡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2268" w:type="dxa"/>
            <w:vAlign w:val="center"/>
          </w:tcPr>
          <w:p>
            <w:pPr>
              <w:pStyle w:val="12"/>
            </w:pPr>
            <w:r>
              <w:t>2024年10月底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办公场所采暖费用支出</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2268" w:type="dxa"/>
            <w:vAlign w:val="center"/>
          </w:tcPr>
          <w:p>
            <w:pPr>
              <w:pStyle w:val="12"/>
            </w:pPr>
            <w:r>
              <w:t>≥10%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14、矽肺病人员困难补助绩效目标表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13032123P00329510024A</w:t>
            </w:r>
          </w:p>
        </w:tc>
        <w:tc>
          <w:tcPr>
            <w:tcW w:w="2835" w:type="dxa"/>
            <w:vAlign w:val="center"/>
          </w:tcPr>
          <w:p>
            <w:pPr>
              <w:pStyle w:val="10"/>
            </w:pPr>
            <w:r>
              <w:t>项目名称</w:t>
            </w:r>
          </w:p>
        </w:tc>
        <w:tc>
          <w:tcPr>
            <w:tcW w:w="6094" w:type="dxa"/>
            <w:gridSpan w:val="3"/>
            <w:vAlign w:val="center"/>
          </w:tcPr>
          <w:p>
            <w:pPr>
              <w:pStyle w:val="12"/>
            </w:pPr>
            <w:r>
              <w:t>矽肺病人员困难补助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4.26</w:t>
            </w:r>
          </w:p>
        </w:tc>
        <w:tc>
          <w:tcPr>
            <w:tcW w:w="2835" w:type="dxa"/>
            <w:vAlign w:val="center"/>
          </w:tcPr>
          <w:p>
            <w:pPr>
              <w:pStyle w:val="10"/>
            </w:pPr>
            <w:r>
              <w:t>其中：财政    资金</w:t>
            </w:r>
          </w:p>
        </w:tc>
        <w:tc>
          <w:tcPr>
            <w:tcW w:w="2551" w:type="dxa"/>
            <w:vAlign w:val="center"/>
          </w:tcPr>
          <w:p>
            <w:pPr>
              <w:pStyle w:val="12"/>
            </w:pPr>
            <w:r>
              <w:t>4.26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安排预算资金4.26万元（其中财政预算资金4.26万元），用于矽肺病困难补助发放。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1.通过对矽肺病人发放生活补助，保障病人基本生活。</w:t>
            </w:r>
            <w:r>
              <w:tab/>
            </w:r>
            <w:r>
              <w:tab/>
            </w:r>
            <w:r>
              <w:tab/>
            </w:r>
            <w:r>
              <w:tab/>
            </w:r>
            <w:r>
              <w:tab/>
            </w:r>
            <w:r>
              <w:tab/>
            </w:r>
          </w:p>
          <w:p>
            <w:pPr>
              <w:pStyle w:val="12"/>
            </w:pPr>
          </w:p>
          <w:p>
            <w:pPr>
              <w:pStyle w:val="12"/>
            </w:pPr>
            <w:r>
              <w:t>2.通过稳控不稳定群体，确保基层社会稳定。</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已认定伤残等级待遇矽肺病人数</w:t>
            </w:r>
          </w:p>
        </w:tc>
        <w:tc>
          <w:tcPr>
            <w:tcW w:w="2268" w:type="dxa"/>
            <w:vAlign w:val="center"/>
          </w:tcPr>
          <w:p>
            <w:pPr>
              <w:pStyle w:val="12"/>
            </w:pPr>
            <w:r>
              <w:t>已认定伤残等级待遇矽肺病人数6人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补助金额</w:t>
            </w:r>
          </w:p>
        </w:tc>
        <w:tc>
          <w:tcPr>
            <w:tcW w:w="5386" w:type="dxa"/>
            <w:vAlign w:val="center"/>
          </w:tcPr>
          <w:p>
            <w:pPr>
              <w:pStyle w:val="12"/>
            </w:pPr>
            <w:r>
              <w:t>享受生活补助的金额</w:t>
            </w:r>
          </w:p>
        </w:tc>
        <w:tc>
          <w:tcPr>
            <w:tcW w:w="2268" w:type="dxa"/>
            <w:vAlign w:val="center"/>
          </w:tcPr>
          <w:p>
            <w:pPr>
              <w:pStyle w:val="12"/>
            </w:pPr>
            <w:r>
              <w:t>享受生活补助的金额360元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资金待遇按时足额发放人数占应发放人数的比率100%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认定准确率</w:t>
            </w:r>
          </w:p>
        </w:tc>
        <w:tc>
          <w:tcPr>
            <w:tcW w:w="5386" w:type="dxa"/>
            <w:vAlign w:val="center"/>
          </w:tcPr>
          <w:p>
            <w:pPr>
              <w:pStyle w:val="12"/>
            </w:pPr>
            <w:r>
              <w:t>认定伤残待遇矽肺病人员准确率</w:t>
            </w:r>
          </w:p>
        </w:tc>
        <w:tc>
          <w:tcPr>
            <w:tcW w:w="2268" w:type="dxa"/>
            <w:vAlign w:val="center"/>
          </w:tcPr>
          <w:p>
            <w:pPr>
              <w:pStyle w:val="12"/>
            </w:pPr>
            <w:r>
              <w:t>认定伤残待遇矽肺病人员准确率100%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按照相关文件标准发放标准准确率</w:t>
            </w:r>
          </w:p>
        </w:tc>
        <w:tc>
          <w:tcPr>
            <w:tcW w:w="2268" w:type="dxa"/>
            <w:vAlign w:val="center"/>
          </w:tcPr>
          <w:p>
            <w:pPr>
              <w:pStyle w:val="12"/>
            </w:pPr>
            <w:r>
              <w:t>按照相关文件标准发放标准准确率100%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每人每年发放标准</w:t>
            </w:r>
          </w:p>
        </w:tc>
        <w:tc>
          <w:tcPr>
            <w:tcW w:w="5386" w:type="dxa"/>
            <w:vAlign w:val="center"/>
          </w:tcPr>
          <w:p>
            <w:pPr>
              <w:pStyle w:val="12"/>
            </w:pPr>
            <w:r>
              <w:t>支付已认定伤残等级待遇矽肺病的生活补助</w:t>
            </w:r>
          </w:p>
        </w:tc>
        <w:tc>
          <w:tcPr>
            <w:tcW w:w="2268" w:type="dxa"/>
            <w:vAlign w:val="center"/>
          </w:tcPr>
          <w:p>
            <w:pPr>
              <w:pStyle w:val="12"/>
            </w:pPr>
            <w:r>
              <w:t>≤4.26万元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提升生活质量提升，维护社会稳定</w:t>
            </w:r>
          </w:p>
        </w:tc>
        <w:tc>
          <w:tcPr>
            <w:tcW w:w="5386" w:type="dxa"/>
            <w:vAlign w:val="center"/>
          </w:tcPr>
          <w:p>
            <w:pPr>
              <w:pStyle w:val="12"/>
            </w:pPr>
            <w:r>
              <w:t>保障、提升矽肺病人家庭生活水平，维护社会稳定</w:t>
            </w:r>
          </w:p>
        </w:tc>
        <w:tc>
          <w:tcPr>
            <w:tcW w:w="2268" w:type="dxa"/>
            <w:vAlign w:val="center"/>
          </w:tcPr>
          <w:p>
            <w:pPr>
              <w:pStyle w:val="12"/>
            </w:pPr>
            <w:r>
              <w:t>≥1人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≥1年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≥90%</w:t>
            </w:r>
          </w:p>
        </w:tc>
        <w:tc>
          <w:tcPr>
            <w:tcW w:w="1276" w:type="dxa"/>
            <w:vAlign w:val="center"/>
          </w:tcPr>
          <w:p>
            <w:pPr>
              <w:pStyle w:val="12"/>
            </w:pPr>
            <w:r>
              <w:t>年初计划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13032123P00329510023N</w:t>
            </w:r>
          </w:p>
        </w:tc>
        <w:tc>
          <w:tcPr>
            <w:tcW w:w="2835" w:type="dxa"/>
            <w:vAlign w:val="center"/>
          </w:tcPr>
          <w:p>
            <w:pPr>
              <w:pStyle w:val="10"/>
            </w:pPr>
            <w:r>
              <w:t>项目名称</w:t>
            </w:r>
          </w:p>
        </w:tc>
        <w:tc>
          <w:tcPr>
            <w:tcW w:w="6094" w:type="dxa"/>
            <w:gridSpan w:val="3"/>
            <w:vAlign w:val="center"/>
          </w:tcPr>
          <w:p>
            <w:pPr>
              <w:pStyle w:val="12"/>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w:t>
            </w:r>
          </w:p>
        </w:tc>
        <w:tc>
          <w:tcPr>
            <w:tcW w:w="2835" w:type="dxa"/>
            <w:vAlign w:val="center"/>
          </w:tcPr>
          <w:p>
            <w:pPr>
              <w:pStyle w:val="10"/>
            </w:pPr>
            <w:r>
              <w:t>其中：财政    资金</w:t>
            </w:r>
          </w:p>
        </w:tc>
        <w:tc>
          <w:tcPr>
            <w:tcW w:w="2551" w:type="dxa"/>
            <w:vAlign w:val="center"/>
          </w:tcPr>
          <w:p>
            <w:pPr>
              <w:pStyle w:val="12"/>
            </w:pPr>
            <w:r>
              <w:t>1.08</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安排预算资金1.08万元（其中财政预算资金1.08万元），用于严重精神病障碍患者监护人责任险。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bookmarkStart w:id="20" w:name="_GoBack"/>
            <w:bookmarkEnd w:id="2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1.通过为严重精神障碍患者监护人办理相关保险业，预防严重精神障碍患者伤及人身、损坏财物事件发生。</w:t>
            </w:r>
            <w:r>
              <w:tab/>
            </w:r>
            <w:r>
              <w:tab/>
            </w:r>
            <w:r>
              <w:tab/>
            </w:r>
            <w:r>
              <w:tab/>
            </w:r>
            <w:r>
              <w:tab/>
            </w:r>
            <w:r>
              <w:tab/>
            </w:r>
          </w:p>
          <w:p>
            <w:pPr>
              <w:pStyle w:val="12"/>
            </w:pPr>
          </w:p>
          <w:p>
            <w:pPr>
              <w:pStyle w:val="12"/>
            </w:pPr>
            <w:r>
              <w:t>2.通过以政府出资投保的方式，减少监护人损失、增强监护人、当事人社会保障，从而化解事后风险。</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享受保险人数(人)</w:t>
            </w:r>
          </w:p>
        </w:tc>
        <w:tc>
          <w:tcPr>
            <w:tcW w:w="5386" w:type="dxa"/>
            <w:vAlign w:val="center"/>
          </w:tcPr>
          <w:p>
            <w:pPr>
              <w:pStyle w:val="12"/>
            </w:pPr>
            <w:r>
              <w:t>享受严重精神障碍患者监护人责任险的人数</w:t>
            </w:r>
          </w:p>
        </w:tc>
        <w:tc>
          <w:tcPr>
            <w:tcW w:w="2268" w:type="dxa"/>
            <w:vAlign w:val="center"/>
          </w:tcPr>
          <w:p>
            <w:pPr>
              <w:pStyle w:val="12"/>
            </w:pPr>
            <w:r>
              <w:t>≤108人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严重精神障碍患者</w:t>
            </w:r>
          </w:p>
        </w:tc>
        <w:tc>
          <w:tcPr>
            <w:tcW w:w="5386" w:type="dxa"/>
            <w:vAlign w:val="center"/>
          </w:tcPr>
          <w:p>
            <w:pPr>
              <w:pStyle w:val="12"/>
            </w:pPr>
            <w:r>
              <w:t>反映严重精神障碍患者人数</w:t>
            </w:r>
          </w:p>
        </w:tc>
        <w:tc>
          <w:tcPr>
            <w:tcW w:w="2268" w:type="dxa"/>
            <w:vAlign w:val="center"/>
          </w:tcPr>
          <w:p>
            <w:pPr>
              <w:pStyle w:val="12"/>
            </w:pPr>
            <w:r>
              <w:t>≥108人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审核准确率</w:t>
            </w:r>
          </w:p>
        </w:tc>
        <w:tc>
          <w:tcPr>
            <w:tcW w:w="5386" w:type="dxa"/>
            <w:vAlign w:val="center"/>
          </w:tcPr>
          <w:p>
            <w:pPr>
              <w:pStyle w:val="12"/>
            </w:pPr>
            <w:r>
              <w:t>责任险报销事项审核准确率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2268" w:type="dxa"/>
            <w:vAlign w:val="center"/>
          </w:tcPr>
          <w:p>
            <w:pPr>
              <w:pStyle w:val="12"/>
            </w:pPr>
            <w:r>
              <w:t>10月前</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w:t>
            </w:r>
          </w:p>
        </w:tc>
        <w:tc>
          <w:tcPr>
            <w:tcW w:w="2268" w:type="dxa"/>
            <w:vAlign w:val="center"/>
          </w:tcPr>
          <w:p>
            <w:pPr>
              <w:pStyle w:val="12"/>
            </w:pPr>
            <w:r>
              <w:t>100元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≤108人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≤1年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909双山子镇人民政府</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双山子镇人民政府（含所属单位）上年末固定资产金额为</w:t>
      </w:r>
      <w:r>
        <w:rPr>
          <w:rFonts w:hint="eastAsia" w:eastAsia="方正仿宋_GBK"/>
          <w:color w:val="000000"/>
          <w:sz w:val="28"/>
          <w:lang w:val="en-US" w:eastAsia="zh-CN"/>
        </w:rPr>
        <w:t>418.62</w:t>
      </w:r>
      <w:r>
        <w:rPr>
          <w:rFonts w:eastAsia="方正仿宋_GBK"/>
          <w:color w:val="000000"/>
          <w:sz w:val="28"/>
        </w:rPr>
        <w:t>万元（详见下表）。本年度拟购置固定资产总额为0.00万元，已按要求列入政府采购预算，详见政府采购预算表。</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909双山子镇人民政府</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default" w:eastAsia="方正书宋_GBK"/>
                <w:lang w:val="en-US" w:eastAsia="zh-CN"/>
              </w:rPr>
            </w:pPr>
            <w:r>
              <w:rPr>
                <w:rFonts w:hint="eastAsia"/>
                <w:lang w:val="en-US" w:eastAsia="zh-CN"/>
              </w:rPr>
              <w:t>资产总额</w:t>
            </w:r>
          </w:p>
        </w:tc>
        <w:tc>
          <w:tcPr>
            <w:tcW w:w="2835" w:type="dxa"/>
            <w:vAlign w:val="center"/>
          </w:tcPr>
          <w:p>
            <w:pPr>
              <w:pStyle w:val="13"/>
            </w:pPr>
          </w:p>
        </w:tc>
        <w:tc>
          <w:tcPr>
            <w:tcW w:w="2835" w:type="dxa"/>
            <w:vAlign w:val="center"/>
          </w:tcPr>
          <w:p>
            <w:pPr>
              <w:pStyle w:val="11"/>
              <w:jc w:val="center"/>
              <w:rPr>
                <w:rFonts w:hint="default" w:eastAsia="方正书宋_GBK"/>
                <w:lang w:val="en-US" w:eastAsia="zh-CN"/>
              </w:rPr>
            </w:pPr>
            <w:r>
              <w:rPr>
                <w:rFonts w:hint="eastAsia"/>
                <w:lang w:val="en-US" w:eastAsia="zh-CN"/>
              </w:rPr>
              <w:t>418.62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6" w:hRule="atLeast"/>
          <w:jc w:val="center"/>
        </w:trPr>
        <w:tc>
          <w:tcPr>
            <w:tcW w:w="7370" w:type="dxa"/>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1、房屋（平</w:t>
            </w:r>
            <w:r>
              <w:rPr>
                <w:rFonts w:ascii="Microsoft YaHei UI" w:hAnsi="Microsoft YaHei UI" w:eastAsia="Microsoft YaHei UI" w:cs="Microsoft YaHei U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p>
          <w:p>
            <w:pPr>
              <w:pStyle w:val="12"/>
            </w:pPr>
          </w:p>
        </w:tc>
        <w:tc>
          <w:tcPr>
            <w:tcW w:w="2835" w:type="dxa"/>
            <w:vAlign w:val="center"/>
          </w:tcPr>
          <w:p>
            <w:pPr>
              <w:pStyle w:val="13"/>
              <w:jc w:val="center"/>
              <w:rPr>
                <w:rFonts w:hint="default" w:eastAsia="方正书宋_GBK"/>
                <w:lang w:val="en-US" w:eastAsia="zh-CN"/>
              </w:rPr>
            </w:pPr>
            <w:r>
              <w:rPr>
                <w:rFonts w:hint="eastAsia"/>
                <w:lang w:val="en-US" w:eastAsia="zh-CN"/>
              </w:rPr>
              <w:t>2804</w:t>
            </w:r>
          </w:p>
        </w:tc>
        <w:tc>
          <w:tcPr>
            <w:tcW w:w="2835" w:type="dxa"/>
            <w:vAlign w:val="center"/>
          </w:tcPr>
          <w:p>
            <w:pPr>
              <w:pStyle w:val="11"/>
              <w:jc w:val="center"/>
              <w:rPr>
                <w:rFonts w:hint="default" w:eastAsia="方正书宋_GBK"/>
                <w:lang w:val="en-US" w:eastAsia="zh-CN"/>
              </w:rPr>
            </w:pPr>
            <w:r>
              <w:rPr>
                <w:rFonts w:hint="eastAsia"/>
                <w:lang w:val="en-US" w:eastAsia="zh-CN"/>
              </w:rPr>
              <w:t>373.84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5" w:hRule="atLeast"/>
          <w:jc w:val="center"/>
        </w:trPr>
        <w:tc>
          <w:tcPr>
            <w:tcW w:w="7370" w:type="dxa"/>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其中：办公</w:t>
            </w:r>
            <w:r>
              <w:rPr>
                <w:rFonts w:ascii="Microsoft YaHei UI" w:hAnsi="Microsoft YaHei UI" w:eastAsia="Microsoft YaHei UI" w:cs="Microsoft YaHei U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房（平</w:t>
            </w:r>
            <w:r>
              <w:rPr>
                <w:rFonts w:hint="eastAsia" w:ascii="Microsoft YaHei UI" w:hAnsi="Microsoft YaHei UI" w:eastAsia="Microsoft YaHei UI" w:cs="Microsoft YaHei U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p>
          <w:p>
            <w:pPr>
              <w:keepNext w:val="0"/>
              <w:keepLines w:val="0"/>
              <w:widowControl/>
              <w:suppressLineNumbers w:val="0"/>
              <w:jc w:val="left"/>
              <w:rPr>
                <w:rFonts w:hint="eastAsia" w:eastAsia="方正书宋_GBK"/>
                <w:lang w:val="en-US" w:eastAsia="zh-CN"/>
              </w:rPr>
            </w:pPr>
          </w:p>
        </w:tc>
        <w:tc>
          <w:tcPr>
            <w:tcW w:w="2835" w:type="dxa"/>
            <w:vAlign w:val="center"/>
          </w:tcPr>
          <w:p>
            <w:pPr>
              <w:pStyle w:val="13"/>
              <w:jc w:val="center"/>
              <w:rPr>
                <w:rFonts w:hint="default" w:eastAsia="方正书宋_GBK"/>
                <w:lang w:val="en-US" w:eastAsia="zh-CN"/>
              </w:rPr>
            </w:pPr>
            <w:r>
              <w:rPr>
                <w:rFonts w:hint="eastAsia"/>
                <w:lang w:val="en-US" w:eastAsia="zh-CN"/>
              </w:rPr>
              <w:t>2804</w:t>
            </w:r>
          </w:p>
        </w:tc>
        <w:tc>
          <w:tcPr>
            <w:tcW w:w="2835" w:type="dxa"/>
            <w:vAlign w:val="center"/>
          </w:tcPr>
          <w:p>
            <w:pPr>
              <w:pStyle w:val="11"/>
              <w:jc w:val="center"/>
              <w:rPr>
                <w:rFonts w:hint="default" w:eastAsia="方正书宋_GBK"/>
                <w:lang w:val="en-US" w:eastAsia="zh-CN"/>
              </w:rPr>
            </w:pPr>
            <w:r>
              <w:rPr>
                <w:rFonts w:hint="eastAsia"/>
                <w:lang w:val="en-US" w:eastAsia="zh-CN"/>
              </w:rPr>
              <w:t>373.84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rPr>
                <w:rFonts w:hint="eastAsia" w:ascii="宋体" w:hAnsi="宋体" w:eastAsia="宋体" w:cs="宋体"/>
                <w:color w:val="000000"/>
                <w:kern w:val="0"/>
                <w:sz w:val="20"/>
                <w:szCs w:val="20"/>
                <w:lang w:val="en-US" w:eastAsia="zh-CN" w:bidi="ar"/>
              </w:rPr>
              <w:t>2、</w:t>
            </w:r>
            <w:r>
              <w:rPr>
                <w:rFonts w:ascii="Microsoft YaHei UI" w:hAnsi="Microsoft YaHei UI" w:eastAsia="Microsoft YaHei UI" w:cs="Microsoft YaHei U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辆（台、辆</w:t>
            </w:r>
          </w:p>
        </w:tc>
        <w:tc>
          <w:tcPr>
            <w:tcW w:w="2835" w:type="dxa"/>
            <w:vAlign w:val="center"/>
          </w:tcPr>
          <w:p>
            <w:pPr>
              <w:pStyle w:val="13"/>
              <w:jc w:val="center"/>
              <w:rPr>
                <w:rFonts w:hint="eastAsia" w:eastAsia="方正书宋_GBK"/>
                <w:lang w:val="en-US" w:eastAsia="zh-CN"/>
              </w:rPr>
            </w:pPr>
            <w:r>
              <w:rPr>
                <w:rFonts w:hint="eastAsia"/>
                <w:lang w:val="en-US" w:eastAsia="zh-CN"/>
              </w:rPr>
              <w:t>2</w:t>
            </w:r>
          </w:p>
        </w:tc>
        <w:tc>
          <w:tcPr>
            <w:tcW w:w="2835" w:type="dxa"/>
            <w:vAlign w:val="center"/>
          </w:tcPr>
          <w:p>
            <w:pPr>
              <w:pStyle w:val="11"/>
              <w:jc w:val="center"/>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3、单价在 20 万元以上的设备 </w:t>
            </w:r>
          </w:p>
          <w:p>
            <w:pPr>
              <w:pStyle w:val="12"/>
            </w:pPr>
          </w:p>
        </w:tc>
        <w:tc>
          <w:tcPr>
            <w:tcW w:w="2835" w:type="dxa"/>
            <w:vAlign w:val="center"/>
          </w:tcPr>
          <w:p>
            <w:pPr>
              <w:pStyle w:val="13"/>
              <w:jc w:val="center"/>
            </w:pPr>
          </w:p>
        </w:tc>
        <w:tc>
          <w:tcPr>
            <w:tcW w:w="2835" w:type="dxa"/>
            <w:vAlign w:val="center"/>
          </w:tcPr>
          <w:p>
            <w:pPr>
              <w:pStyle w:val="11"/>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4、其他固定资产 </w:t>
            </w:r>
          </w:p>
          <w:p>
            <w:pPr>
              <w:pStyle w:val="12"/>
            </w:pPr>
          </w:p>
        </w:tc>
        <w:tc>
          <w:tcPr>
            <w:tcW w:w="2835" w:type="dxa"/>
            <w:vAlign w:val="center"/>
          </w:tcPr>
          <w:p>
            <w:pPr>
              <w:pStyle w:val="13"/>
              <w:jc w:val="center"/>
            </w:pPr>
          </w:p>
        </w:tc>
        <w:tc>
          <w:tcPr>
            <w:tcW w:w="2835" w:type="dxa"/>
            <w:vAlign w:val="center"/>
          </w:tcPr>
          <w:p>
            <w:pPr>
              <w:pStyle w:val="11"/>
              <w:jc w:val="center"/>
              <w:rPr>
                <w:rFonts w:hint="default" w:eastAsia="方正书宋_GBK"/>
                <w:lang w:val="en-US" w:eastAsia="zh-CN"/>
              </w:rPr>
            </w:pPr>
            <w:r>
              <w:rPr>
                <w:rFonts w:hint="eastAsia"/>
                <w:lang w:val="en-US" w:eastAsia="zh-CN"/>
              </w:rPr>
              <w:t>44.78</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w:t>
      </w:r>
      <w:r>
        <w:rPr>
          <w:rFonts w:hint="eastAsia" w:eastAsia="方正仿宋_GBK"/>
          <w:color w:val="000000"/>
          <w:sz w:val="28"/>
          <w:lang w:eastAsia="zh-CN"/>
        </w:rPr>
        <w:t>单位</w:t>
      </w:r>
      <w:r>
        <w:rPr>
          <w:rFonts w:eastAsia="方正仿宋_GBK"/>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2ECCD"/>
    <w:multiLevelType w:val="singleLevel"/>
    <w:tmpl w:val="3C22ECC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ZWJmNGI2Y2ZkM2E1MDY3YWRmNGJlYjFmNDMyZTEifQ=="/>
  </w:docVars>
  <w:rsids>
    <w:rsidRoot w:val="00971687"/>
    <w:rsid w:val="00084741"/>
    <w:rsid w:val="006B0F48"/>
    <w:rsid w:val="006C23AB"/>
    <w:rsid w:val="00903CFC"/>
    <w:rsid w:val="00971687"/>
    <w:rsid w:val="00C149A1"/>
    <w:rsid w:val="04FA4B16"/>
    <w:rsid w:val="078F0443"/>
    <w:rsid w:val="0A4F76B2"/>
    <w:rsid w:val="14EE6E28"/>
    <w:rsid w:val="189865D1"/>
    <w:rsid w:val="23C10881"/>
    <w:rsid w:val="25EE776B"/>
    <w:rsid w:val="2B905D61"/>
    <w:rsid w:val="40703903"/>
    <w:rsid w:val="5A4968FF"/>
    <w:rsid w:val="5BF31218"/>
    <w:rsid w:val="6A1761B1"/>
    <w:rsid w:val="726447C6"/>
    <w:rsid w:val="7C8B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5" Type="http://schemas.openxmlformats.org/officeDocument/2006/relationships/fontTable" Target="fontTable.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2024-02-20T11:12:40Z</dcterms:created>
  <dcterms:modified xsi:type="dcterms:W3CDTF">2024-02-20T03:12:40Z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2024-02-20T11:12:38Z</dcterms:created>
  <dcterms:modified xsi:type="dcterms:W3CDTF">2024-02-20T03:12:38Z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2024-02-20T11:12:37Z</dcterms:created>
  <dcterms:modified xsi:type="dcterms:W3CDTF">2024-02-20T03:12:37Z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2024-02-20T11:12:38Z</dcterms:created>
  <dcterms:modified xsi:type="dcterms:W3CDTF">2024-02-20T03:12:38Z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2024-02-20T11:12:41Z</dcterms:created>
  <dcterms:modified xsi:type="dcterms:W3CDTF">2024-02-20T03:12:41Z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2024-02-20T11:12:39Z</dcterms:created>
  <dcterms:modified xsi:type="dcterms:W3CDTF">2024-02-20T03:12:39Z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2024-02-20T11:12:40Z</dcterms:created>
  <dcterms:modified xsi:type="dcterms:W3CDTF">2024-02-20T03:12:40Z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2024-02-20T11:12:37Z</dcterms:created>
  <dcterms:modified xsi:type="dcterms:W3CDTF">2024-02-20T03:12:37Z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2024-02-20T11:12:41Z</dcterms:created>
  <dcterms:modified xsi:type="dcterms:W3CDTF">2024-02-20T03:12:41Z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2024-02-20T11:12:40Z</dcterms:created>
  <dcterms:modified xsi:type="dcterms:W3CDTF">2024-02-20T03:12:40Z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2024-02-20T11:12:35Z</dcterms:created>
  <dcterms:modified xsi:type="dcterms:W3CDTF">2024-02-20T03:12:35Z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2024-02-20T11:12:38Z</dcterms:created>
  <dcterms:modified xsi:type="dcterms:W3CDTF">2024-02-20T03:12:38Z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2024-02-20T11:12:41Z</dcterms:created>
  <dcterms:modified xsi:type="dcterms:W3CDTF">2024-02-20T03:12:41Z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2024-02-20T11:12:39Z</dcterms:created>
  <dcterms:modified xsi:type="dcterms:W3CDTF">2024-02-20T03:12:39Z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2024-02-20T11:12:42Z</dcterms:created>
  <dcterms:modified xsi:type="dcterms:W3CDTF">2024-02-20T03:12:42Z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2024-02-20T11:12:39Z</dcterms:created>
  <dcterms:modified xsi:type="dcterms:W3CDTF">2024-02-20T03:12:39Z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2024-02-20T11:12:41Z</dcterms:created>
  <dcterms:modified xsi:type="dcterms:W3CDTF">2024-02-20T03:12:41Z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2024-02-20T11:12:40Z</dcterms:created>
  <dcterms:modified xsi:type="dcterms:W3CDTF">2024-02-20T03:12:40Z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2024-02-20T11:12:38Z</dcterms:created>
  <dcterms:modified xsi:type="dcterms:W3CDTF">2024-02-20T03:12:38Z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63EB804-E3B8-4E86-8D85-A53349C7BCBA}">
  <ds:schemaRefs/>
</ds:datastoreItem>
</file>

<file path=customXml/itemProps10.xml><?xml version="1.0" encoding="utf-8"?>
<ds:datastoreItem xmlns:ds="http://schemas.openxmlformats.org/officeDocument/2006/customXml" ds:itemID="{BA0340D5-8E10-4332-9EC9-7F04FB6DD81B}">
  <ds:schemaRefs/>
</ds:datastoreItem>
</file>

<file path=customXml/itemProps11.xml><?xml version="1.0" encoding="utf-8"?>
<ds:datastoreItem xmlns:ds="http://schemas.openxmlformats.org/officeDocument/2006/customXml" ds:itemID="{C66F6099-6F27-48DD-929B-C593B3FDA889}">
  <ds:schemaRefs/>
</ds:datastoreItem>
</file>

<file path=customXml/itemProps12.xml><?xml version="1.0" encoding="utf-8"?>
<ds:datastoreItem xmlns:ds="http://schemas.openxmlformats.org/officeDocument/2006/customXml" ds:itemID="{6F3D72A5-DA44-4779-907E-7D3385988B79}">
  <ds:schemaRefs/>
</ds:datastoreItem>
</file>

<file path=customXml/itemProps13.xml><?xml version="1.0" encoding="utf-8"?>
<ds:datastoreItem xmlns:ds="http://schemas.openxmlformats.org/officeDocument/2006/customXml" ds:itemID="{3E09F6EB-2E47-4300-993F-D557993B914E}">
  <ds:schemaRefs/>
</ds:datastoreItem>
</file>

<file path=customXml/itemProps14.xml><?xml version="1.0" encoding="utf-8"?>
<ds:datastoreItem xmlns:ds="http://schemas.openxmlformats.org/officeDocument/2006/customXml" ds:itemID="{6E46ACC6-FAB6-4582-A241-9C90D39091DE}">
  <ds:schemaRefs/>
</ds:datastoreItem>
</file>

<file path=customXml/itemProps15.xml><?xml version="1.0" encoding="utf-8"?>
<ds:datastoreItem xmlns:ds="http://schemas.openxmlformats.org/officeDocument/2006/customXml" ds:itemID="{8C98229D-E6BA-428E-A642-128CFE39C738}">
  <ds:schemaRefs/>
</ds:datastoreItem>
</file>

<file path=customXml/itemProps16.xml><?xml version="1.0" encoding="utf-8"?>
<ds:datastoreItem xmlns:ds="http://schemas.openxmlformats.org/officeDocument/2006/customXml" ds:itemID="{FD29BC94-19E0-4496-9920-802137F1A390}">
  <ds:schemaRefs/>
</ds:datastoreItem>
</file>

<file path=customXml/itemProps17.xml><?xml version="1.0" encoding="utf-8"?>
<ds:datastoreItem xmlns:ds="http://schemas.openxmlformats.org/officeDocument/2006/customXml" ds:itemID="{0F6D8B6F-40A5-4823-8A5B-5991BABCF4BE}">
  <ds:schemaRefs/>
</ds:datastoreItem>
</file>

<file path=customXml/itemProps18.xml><?xml version="1.0" encoding="utf-8"?>
<ds:datastoreItem xmlns:ds="http://schemas.openxmlformats.org/officeDocument/2006/customXml" ds:itemID="{4776CD50-FF1B-451F-A634-931CB9E471CC}">
  <ds:schemaRefs/>
</ds:datastoreItem>
</file>

<file path=customXml/itemProps19.xml><?xml version="1.0" encoding="utf-8"?>
<ds:datastoreItem xmlns:ds="http://schemas.openxmlformats.org/officeDocument/2006/customXml" ds:itemID="{DE271E43-6889-4533-A27C-836D9AF07002}">
  <ds:schemaRefs/>
</ds:datastoreItem>
</file>

<file path=customXml/itemProps2.xml><?xml version="1.0" encoding="utf-8"?>
<ds:datastoreItem xmlns:ds="http://schemas.openxmlformats.org/officeDocument/2006/customXml" ds:itemID="{7D384AAE-0383-4439-A1E0-E5FCA39D7B16}">
  <ds:schemaRefs/>
</ds:datastoreItem>
</file>

<file path=customXml/itemProps20.xml><?xml version="1.0" encoding="utf-8"?>
<ds:datastoreItem xmlns:ds="http://schemas.openxmlformats.org/officeDocument/2006/customXml" ds:itemID="{40EB3435-EDF5-45E4-94E8-E9B36FFE66DB}">
  <ds:schemaRefs/>
</ds:datastoreItem>
</file>

<file path=customXml/itemProps21.xml><?xml version="1.0" encoding="utf-8"?>
<ds:datastoreItem xmlns:ds="http://schemas.openxmlformats.org/officeDocument/2006/customXml" ds:itemID="{B01DFCCD-7C96-4D08-BDE6-971961AC2599}">
  <ds:schemaRefs/>
</ds:datastoreItem>
</file>

<file path=customXml/itemProps22.xml><?xml version="1.0" encoding="utf-8"?>
<ds:datastoreItem xmlns:ds="http://schemas.openxmlformats.org/officeDocument/2006/customXml" ds:itemID="{D57EB3CA-1461-4292-A340-2AFCD4FBF2A6}">
  <ds:schemaRefs/>
</ds:datastoreItem>
</file>

<file path=customXml/itemProps23.xml><?xml version="1.0" encoding="utf-8"?>
<ds:datastoreItem xmlns:ds="http://schemas.openxmlformats.org/officeDocument/2006/customXml" ds:itemID="{2CE6DA75-6ECD-4455-ADF2-7838C2D8CCB7}">
  <ds:schemaRefs/>
</ds:datastoreItem>
</file>

<file path=customXml/itemProps24.xml><?xml version="1.0" encoding="utf-8"?>
<ds:datastoreItem xmlns:ds="http://schemas.openxmlformats.org/officeDocument/2006/customXml" ds:itemID="{84CF345A-9823-47D8-B701-DEED8462A9BB}">
  <ds:schemaRefs/>
</ds:datastoreItem>
</file>

<file path=customXml/itemProps25.xml><?xml version="1.0" encoding="utf-8"?>
<ds:datastoreItem xmlns:ds="http://schemas.openxmlformats.org/officeDocument/2006/customXml" ds:itemID="{27129669-085D-41E6-ACDD-D76B2AB5BB17}">
  <ds:schemaRefs/>
</ds:datastoreItem>
</file>

<file path=customXml/itemProps26.xml><?xml version="1.0" encoding="utf-8"?>
<ds:datastoreItem xmlns:ds="http://schemas.openxmlformats.org/officeDocument/2006/customXml" ds:itemID="{EF3296CB-270D-4EA4-9BBA-3415E1955B39}">
  <ds:schemaRefs/>
</ds:datastoreItem>
</file>

<file path=customXml/itemProps27.xml><?xml version="1.0" encoding="utf-8"?>
<ds:datastoreItem xmlns:ds="http://schemas.openxmlformats.org/officeDocument/2006/customXml" ds:itemID="{9A52FA6B-930C-4482-A279-DBD65A7833FA}">
  <ds:schemaRefs/>
</ds:datastoreItem>
</file>

<file path=customXml/itemProps28.xml><?xml version="1.0" encoding="utf-8"?>
<ds:datastoreItem xmlns:ds="http://schemas.openxmlformats.org/officeDocument/2006/customXml" ds:itemID="{F2979F74-6B91-4833-9A1A-E0C295771B82}">
  <ds:schemaRefs/>
</ds:datastoreItem>
</file>

<file path=customXml/itemProps29.xml><?xml version="1.0" encoding="utf-8"?>
<ds:datastoreItem xmlns:ds="http://schemas.openxmlformats.org/officeDocument/2006/customXml" ds:itemID="{99ADC14C-EE07-4AB9-B500-85F169A55C96}">
  <ds:schemaRefs/>
</ds:datastoreItem>
</file>

<file path=customXml/itemProps3.xml><?xml version="1.0" encoding="utf-8"?>
<ds:datastoreItem xmlns:ds="http://schemas.openxmlformats.org/officeDocument/2006/customXml" ds:itemID="{FCCDD68B-8D63-415F-87D1-3CD1C18C8371}">
  <ds:schemaRefs/>
</ds:datastoreItem>
</file>

<file path=customXml/itemProps30.xml><?xml version="1.0" encoding="utf-8"?>
<ds:datastoreItem xmlns:ds="http://schemas.openxmlformats.org/officeDocument/2006/customXml" ds:itemID="{28BCCF1F-8E1C-4662-A9D0-C228BC4A2243}">
  <ds:schemaRefs/>
</ds:datastoreItem>
</file>

<file path=customXml/itemProps31.xml><?xml version="1.0" encoding="utf-8"?>
<ds:datastoreItem xmlns:ds="http://schemas.openxmlformats.org/officeDocument/2006/customXml" ds:itemID="{2469DFFF-842D-4F46-A367-7BC8A1C01917}">
  <ds:schemaRefs/>
</ds:datastoreItem>
</file>

<file path=customXml/itemProps32.xml><?xml version="1.0" encoding="utf-8"?>
<ds:datastoreItem xmlns:ds="http://schemas.openxmlformats.org/officeDocument/2006/customXml" ds:itemID="{0FD0A408-E83A-4276-8391-5C5D73B3CB3A}">
  <ds:schemaRefs/>
</ds:datastoreItem>
</file>

<file path=customXml/itemProps33.xml><?xml version="1.0" encoding="utf-8"?>
<ds:datastoreItem xmlns:ds="http://schemas.openxmlformats.org/officeDocument/2006/customXml" ds:itemID="{1A36142A-E4B6-4A06-80B6-B8949C7018D5}">
  <ds:schemaRefs/>
</ds:datastoreItem>
</file>

<file path=customXml/itemProps34.xml><?xml version="1.0" encoding="utf-8"?>
<ds:datastoreItem xmlns:ds="http://schemas.openxmlformats.org/officeDocument/2006/customXml" ds:itemID="{5F45B555-54FF-47AD-ABD0-8F93CA56AB4B}">
  <ds:schemaRefs/>
</ds:datastoreItem>
</file>

<file path=customXml/itemProps35.xml><?xml version="1.0" encoding="utf-8"?>
<ds:datastoreItem xmlns:ds="http://schemas.openxmlformats.org/officeDocument/2006/customXml" ds:itemID="{DB6A6870-58AB-4403-B287-E2137D1864EB}">
  <ds:schemaRefs/>
</ds:datastoreItem>
</file>

<file path=customXml/itemProps36.xml><?xml version="1.0" encoding="utf-8"?>
<ds:datastoreItem xmlns:ds="http://schemas.openxmlformats.org/officeDocument/2006/customXml" ds:itemID="{8D70DF70-BE0C-4B6B-BE58-55C68FEC36AA}">
  <ds:schemaRefs/>
</ds:datastoreItem>
</file>

<file path=customXml/itemProps37.xml><?xml version="1.0" encoding="utf-8"?>
<ds:datastoreItem xmlns:ds="http://schemas.openxmlformats.org/officeDocument/2006/customXml" ds:itemID="{993C3B45-6E32-420B-99AA-B8427730BBAE}">
  <ds:schemaRefs/>
</ds:datastoreItem>
</file>

<file path=customXml/itemProps38.xml><?xml version="1.0" encoding="utf-8"?>
<ds:datastoreItem xmlns:ds="http://schemas.openxmlformats.org/officeDocument/2006/customXml" ds:itemID="{DA48FFB8-78B7-438A-AE73-936506BD1DBA}">
  <ds:schemaRefs/>
</ds:datastoreItem>
</file>

<file path=customXml/itemProps4.xml><?xml version="1.0" encoding="utf-8"?>
<ds:datastoreItem xmlns:ds="http://schemas.openxmlformats.org/officeDocument/2006/customXml" ds:itemID="{2715DF65-1DF1-4D43-B3EC-EA31F96BCF7C}">
  <ds:schemaRefs/>
</ds:datastoreItem>
</file>

<file path=customXml/itemProps5.xml><?xml version="1.0" encoding="utf-8"?>
<ds:datastoreItem xmlns:ds="http://schemas.openxmlformats.org/officeDocument/2006/customXml" ds:itemID="{2E13CD41-26F5-401C-B940-190C479A4011}">
  <ds:schemaRefs/>
</ds:datastoreItem>
</file>

<file path=customXml/itemProps6.xml><?xml version="1.0" encoding="utf-8"?>
<ds:datastoreItem xmlns:ds="http://schemas.openxmlformats.org/officeDocument/2006/customXml" ds:itemID="{E26276F0-4E9E-49BB-AD13-C552C2FEFAB7}">
  <ds:schemaRefs/>
</ds:datastoreItem>
</file>

<file path=customXml/itemProps7.xml><?xml version="1.0" encoding="utf-8"?>
<ds:datastoreItem xmlns:ds="http://schemas.openxmlformats.org/officeDocument/2006/customXml" ds:itemID="{FDF21037-055F-49BD-AE1C-D854D6BE77E9}">
  <ds:schemaRefs/>
</ds:datastoreItem>
</file>

<file path=customXml/itemProps8.xml><?xml version="1.0" encoding="utf-8"?>
<ds:datastoreItem xmlns:ds="http://schemas.openxmlformats.org/officeDocument/2006/customXml" ds:itemID="{8301B17C-FFC5-4961-A22B-BBB8371B3F3E}">
  <ds:schemaRefs/>
</ds:datastoreItem>
</file>

<file path=customXml/itemProps9.xml><?xml version="1.0" encoding="utf-8"?>
<ds:datastoreItem xmlns:ds="http://schemas.openxmlformats.org/officeDocument/2006/customXml" ds:itemID="{6C6D1041-0514-4AF3-80A5-194264F1F669}">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18628</Words>
  <Characters>22559</Characters>
  <Lines>202</Lines>
  <Paragraphs>56</Paragraphs>
  <TotalTime>15</TotalTime>
  <ScaleCrop>false</ScaleCrop>
  <LinksUpToDate>false</LinksUpToDate>
  <CharactersWithSpaces>23096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2024-02-20T03:24:00Z</dcterms:created>
  <dc:creator>Administrator</dc:creator>
  <cp:lastModifiedBy>勇</cp:lastModifiedBy>
  <cp:lastPrinted>2024-02-22T02:09:00Z</cp:lastPrinted>
  <dcterms:modified xsi:type="dcterms:W3CDTF">2025-11-21T04:01:53Z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ADB23B58E7D94DDBAD62CB16048EEF41_13</vt:lpwstr>
  </property>
</Properties>
</file>