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175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179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179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181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327青龙满族自治县林业局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9218.85</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243.40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393.92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8524.50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243.40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7546.72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93.05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9462.25</w:t>
            </w:r>
          </w:p>
        </w:tc>
        <w:tc>
          <w:tcPr>
            <w:tcW w:w="4535" w:type="dxa"/>
            <w:vAlign w:val="center"/>
          </w:tcPr>
          <w:p>
            <w:pPr>
              <w:pStyle w:val="15"/>
            </w:pPr>
            <w:r>
              <w:t>本年支出合计</w:t>
            </w:r>
          </w:p>
        </w:tc>
        <w:tc>
          <w:tcPr>
            <w:tcW w:w="2126" w:type="dxa"/>
            <w:vAlign w:val="center"/>
          </w:tcPr>
          <w:p>
            <w:pPr>
              <w:pStyle w:val="16"/>
            </w:pPr>
            <w:r>
              <w:t>17007.30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7545.06</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17007.30</w:t>
            </w:r>
          </w:p>
        </w:tc>
        <w:tc>
          <w:tcPr>
            <w:tcW w:w="4535" w:type="dxa"/>
            <w:vAlign w:val="center"/>
          </w:tcPr>
          <w:p>
            <w:pPr>
              <w:pStyle w:val="15"/>
            </w:pPr>
            <w:r>
              <w:t>支出总计</w:t>
            </w:r>
          </w:p>
        </w:tc>
        <w:tc>
          <w:tcPr>
            <w:tcW w:w="2126" w:type="dxa"/>
            <w:vAlign w:val="center"/>
          </w:tcPr>
          <w:p>
            <w:pPr>
              <w:pStyle w:val="16"/>
            </w:pPr>
            <w:r>
              <w:t>17007.30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327青龙满族自治县林业局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17007.30</w:t>
            </w:r>
          </w:p>
        </w:tc>
        <w:tc>
          <w:tcPr>
            <w:tcW w:w="1134" w:type="dxa"/>
            <w:vAlign w:val="center"/>
          </w:tcPr>
          <w:p>
            <w:pPr>
              <w:pStyle w:val="16"/>
            </w:pPr>
            <w:r>
              <w:t>9462.25</w:t>
            </w:r>
          </w:p>
        </w:tc>
        <w:tc>
          <w:tcPr>
            <w:tcW w:w="1134" w:type="dxa"/>
            <w:vAlign w:val="center"/>
          </w:tcPr>
          <w:p>
            <w:pPr>
              <w:pStyle w:val="16"/>
            </w:pPr>
            <w:r>
              <w:t>9462.25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7545.06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107.17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107.17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2070114</w:t>
            </w:r>
          </w:p>
        </w:tc>
        <w:tc>
          <w:tcPr>
            <w:tcW w:w="1559" w:type="dxa"/>
            <w:vAlign w:val="center"/>
          </w:tcPr>
          <w:p>
            <w:pPr>
              <w:pStyle w:val="13"/>
            </w:pPr>
            <w:r>
              <w:t>文化和旅游管理事务</w:t>
            </w:r>
          </w:p>
        </w:tc>
        <w:tc>
          <w:tcPr>
            <w:tcW w:w="1134" w:type="dxa"/>
            <w:vAlign w:val="center"/>
          </w:tcPr>
          <w:p>
            <w:pPr>
              <w:pStyle w:val="12"/>
            </w:pPr>
            <w:r>
              <w:t>107.17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393.92</w:t>
            </w:r>
          </w:p>
        </w:tc>
        <w:tc>
          <w:tcPr>
            <w:tcW w:w="1134" w:type="dxa"/>
            <w:vAlign w:val="center"/>
          </w:tcPr>
          <w:p>
            <w:pPr>
              <w:pStyle w:val="12"/>
            </w:pPr>
            <w:r>
              <w:t>393.92</w:t>
            </w:r>
          </w:p>
        </w:tc>
        <w:tc>
          <w:tcPr>
            <w:tcW w:w="1134" w:type="dxa"/>
            <w:vAlign w:val="center"/>
          </w:tcPr>
          <w:p>
            <w:pPr>
              <w:pStyle w:val="12"/>
            </w:pPr>
            <w:r>
              <w:t>393.92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349.81</w:t>
            </w:r>
          </w:p>
        </w:tc>
        <w:tc>
          <w:tcPr>
            <w:tcW w:w="1134" w:type="dxa"/>
            <w:vAlign w:val="center"/>
          </w:tcPr>
          <w:p>
            <w:pPr>
              <w:pStyle w:val="12"/>
            </w:pPr>
            <w:r>
              <w:t>349.81</w:t>
            </w:r>
          </w:p>
        </w:tc>
        <w:tc>
          <w:tcPr>
            <w:tcW w:w="1134" w:type="dxa"/>
            <w:vAlign w:val="center"/>
          </w:tcPr>
          <w:p>
            <w:pPr>
              <w:pStyle w:val="12"/>
            </w:pPr>
            <w:r>
              <w:t>349.81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37.31</w:t>
            </w:r>
          </w:p>
        </w:tc>
        <w:tc>
          <w:tcPr>
            <w:tcW w:w="1134" w:type="dxa"/>
            <w:vAlign w:val="center"/>
          </w:tcPr>
          <w:p>
            <w:pPr>
              <w:pStyle w:val="12"/>
            </w:pPr>
            <w:r>
              <w:t>37.31</w:t>
            </w:r>
          </w:p>
        </w:tc>
        <w:tc>
          <w:tcPr>
            <w:tcW w:w="1134" w:type="dxa"/>
            <w:vAlign w:val="center"/>
          </w:tcPr>
          <w:p>
            <w:pPr>
              <w:pStyle w:val="12"/>
            </w:pPr>
            <w:r>
              <w:t>37.31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73.47</w:t>
            </w:r>
          </w:p>
        </w:tc>
        <w:tc>
          <w:tcPr>
            <w:tcW w:w="1134" w:type="dxa"/>
            <w:vAlign w:val="center"/>
          </w:tcPr>
          <w:p>
            <w:pPr>
              <w:pStyle w:val="12"/>
            </w:pPr>
            <w:r>
              <w:t>73.47</w:t>
            </w:r>
          </w:p>
        </w:tc>
        <w:tc>
          <w:tcPr>
            <w:tcW w:w="1134" w:type="dxa"/>
            <w:vAlign w:val="center"/>
          </w:tcPr>
          <w:p>
            <w:pPr>
              <w:pStyle w:val="12"/>
            </w:pPr>
            <w:r>
              <w:t>73.47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181.17</w:t>
            </w:r>
          </w:p>
        </w:tc>
        <w:tc>
          <w:tcPr>
            <w:tcW w:w="1134" w:type="dxa"/>
            <w:vAlign w:val="center"/>
          </w:tcPr>
          <w:p>
            <w:pPr>
              <w:pStyle w:val="12"/>
            </w:pPr>
            <w:r>
              <w:t>181.17</w:t>
            </w:r>
          </w:p>
        </w:tc>
        <w:tc>
          <w:tcPr>
            <w:tcW w:w="1134" w:type="dxa"/>
            <w:vAlign w:val="center"/>
          </w:tcPr>
          <w:p>
            <w:pPr>
              <w:pStyle w:val="12"/>
            </w:pPr>
            <w:r>
              <w:t>181.17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57.86</w:t>
            </w:r>
          </w:p>
        </w:tc>
        <w:tc>
          <w:tcPr>
            <w:tcW w:w="1134" w:type="dxa"/>
            <w:vAlign w:val="center"/>
          </w:tcPr>
          <w:p>
            <w:pPr>
              <w:pStyle w:val="12"/>
            </w:pPr>
            <w:r>
              <w:t>57.86</w:t>
            </w:r>
          </w:p>
        </w:tc>
        <w:tc>
          <w:tcPr>
            <w:tcW w:w="1134" w:type="dxa"/>
            <w:vAlign w:val="center"/>
          </w:tcPr>
          <w:p>
            <w:pPr>
              <w:pStyle w:val="12"/>
            </w:pPr>
            <w:r>
              <w:t>57.86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44.11</w:t>
            </w:r>
          </w:p>
        </w:tc>
        <w:tc>
          <w:tcPr>
            <w:tcW w:w="1134" w:type="dxa"/>
            <w:vAlign w:val="center"/>
          </w:tcPr>
          <w:p>
            <w:pPr>
              <w:pStyle w:val="12"/>
            </w:pPr>
            <w:r>
              <w:t>44.11</w:t>
            </w:r>
          </w:p>
        </w:tc>
        <w:tc>
          <w:tcPr>
            <w:tcW w:w="1134" w:type="dxa"/>
            <w:vAlign w:val="center"/>
          </w:tcPr>
          <w:p>
            <w:pPr>
              <w:pStyle w:val="12"/>
            </w:pPr>
            <w:r>
              <w:t>44.11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44.11</w:t>
            </w:r>
          </w:p>
        </w:tc>
        <w:tc>
          <w:tcPr>
            <w:tcW w:w="1134" w:type="dxa"/>
            <w:vAlign w:val="center"/>
          </w:tcPr>
          <w:p>
            <w:pPr>
              <w:pStyle w:val="12"/>
            </w:pPr>
            <w:r>
              <w:t>44.11</w:t>
            </w:r>
          </w:p>
        </w:tc>
        <w:tc>
          <w:tcPr>
            <w:tcW w:w="1134" w:type="dxa"/>
            <w:vAlign w:val="center"/>
          </w:tcPr>
          <w:p>
            <w:pPr>
              <w:pStyle w:val="12"/>
            </w:pPr>
            <w:r>
              <w:t>44.11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98.55</w:t>
            </w:r>
          </w:p>
        </w:tc>
        <w:tc>
          <w:tcPr>
            <w:tcW w:w="1134" w:type="dxa"/>
            <w:vAlign w:val="center"/>
          </w:tcPr>
          <w:p>
            <w:pPr>
              <w:pStyle w:val="12"/>
            </w:pPr>
            <w:r>
              <w:t>98.55</w:t>
            </w:r>
          </w:p>
        </w:tc>
        <w:tc>
          <w:tcPr>
            <w:tcW w:w="1134" w:type="dxa"/>
            <w:vAlign w:val="center"/>
          </w:tcPr>
          <w:p>
            <w:pPr>
              <w:pStyle w:val="12"/>
            </w:pPr>
            <w:r>
              <w:t>98.55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98.55</w:t>
            </w:r>
          </w:p>
        </w:tc>
        <w:tc>
          <w:tcPr>
            <w:tcW w:w="1134" w:type="dxa"/>
            <w:vAlign w:val="center"/>
          </w:tcPr>
          <w:p>
            <w:pPr>
              <w:pStyle w:val="12"/>
            </w:pPr>
            <w:r>
              <w:t>98.55</w:t>
            </w:r>
          </w:p>
        </w:tc>
        <w:tc>
          <w:tcPr>
            <w:tcW w:w="1134" w:type="dxa"/>
            <w:vAlign w:val="center"/>
          </w:tcPr>
          <w:p>
            <w:pPr>
              <w:pStyle w:val="12"/>
            </w:pPr>
            <w:r>
              <w:t>98.55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90.76</w:t>
            </w:r>
          </w:p>
        </w:tc>
        <w:tc>
          <w:tcPr>
            <w:tcW w:w="1134" w:type="dxa"/>
            <w:vAlign w:val="center"/>
          </w:tcPr>
          <w:p>
            <w:pPr>
              <w:pStyle w:val="12"/>
            </w:pPr>
            <w:r>
              <w:t>90.76</w:t>
            </w:r>
          </w:p>
        </w:tc>
        <w:tc>
          <w:tcPr>
            <w:tcW w:w="1134" w:type="dxa"/>
            <w:vAlign w:val="center"/>
          </w:tcPr>
          <w:p>
            <w:pPr>
              <w:pStyle w:val="12"/>
            </w:pPr>
            <w:r>
              <w:t>90.76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8524.50</w:t>
            </w:r>
          </w:p>
        </w:tc>
        <w:tc>
          <w:tcPr>
            <w:tcW w:w="1134" w:type="dxa"/>
            <w:vAlign w:val="center"/>
          </w:tcPr>
          <w:p>
            <w:pPr>
              <w:pStyle w:val="12"/>
            </w:pPr>
            <w:r>
              <w:t>2319.13</w:t>
            </w:r>
          </w:p>
        </w:tc>
        <w:tc>
          <w:tcPr>
            <w:tcW w:w="1134" w:type="dxa"/>
            <w:vAlign w:val="center"/>
          </w:tcPr>
          <w:p>
            <w:pPr>
              <w:pStyle w:val="12"/>
            </w:pPr>
            <w:r>
              <w:t>2319.13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6205.37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970.55</w:t>
            </w:r>
          </w:p>
        </w:tc>
        <w:tc>
          <w:tcPr>
            <w:tcW w:w="1134" w:type="dxa"/>
            <w:vAlign w:val="center"/>
          </w:tcPr>
          <w:p>
            <w:pPr>
              <w:pStyle w:val="12"/>
            </w:pPr>
            <w:r>
              <w:t>882.00</w:t>
            </w:r>
          </w:p>
        </w:tc>
        <w:tc>
          <w:tcPr>
            <w:tcW w:w="1134" w:type="dxa"/>
            <w:vAlign w:val="center"/>
          </w:tcPr>
          <w:p>
            <w:pPr>
              <w:pStyle w:val="12"/>
            </w:pPr>
            <w:r>
              <w:t>882.00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2110401</w:t>
            </w:r>
          </w:p>
        </w:tc>
        <w:tc>
          <w:tcPr>
            <w:tcW w:w="1559" w:type="dxa"/>
            <w:vAlign w:val="center"/>
          </w:tcPr>
          <w:p>
            <w:pPr>
              <w:pStyle w:val="13"/>
            </w:pPr>
            <w:r>
              <w:t>生态保护</w:t>
            </w:r>
          </w:p>
        </w:tc>
        <w:tc>
          <w:tcPr>
            <w:tcW w:w="1134" w:type="dxa"/>
            <w:vAlign w:val="center"/>
          </w:tcPr>
          <w:p>
            <w:pPr>
              <w:pStyle w:val="12"/>
            </w:pPr>
            <w:r>
              <w:t>793.55</w:t>
            </w:r>
          </w:p>
        </w:tc>
        <w:tc>
          <w:tcPr>
            <w:tcW w:w="1134" w:type="dxa"/>
            <w:vAlign w:val="center"/>
          </w:tcPr>
          <w:p>
            <w:pPr>
              <w:pStyle w:val="12"/>
            </w:pPr>
            <w:r>
              <w:t>790.00</w:t>
            </w:r>
          </w:p>
        </w:tc>
        <w:tc>
          <w:tcPr>
            <w:tcW w:w="1134" w:type="dxa"/>
            <w:vAlign w:val="center"/>
          </w:tcPr>
          <w:p>
            <w:pPr>
              <w:pStyle w:val="12"/>
            </w:pPr>
            <w:r>
              <w:t>790.00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2110406</w:t>
            </w:r>
          </w:p>
        </w:tc>
        <w:tc>
          <w:tcPr>
            <w:tcW w:w="1559" w:type="dxa"/>
            <w:vAlign w:val="center"/>
          </w:tcPr>
          <w:p>
            <w:pPr>
              <w:pStyle w:val="13"/>
            </w:pPr>
            <w:r>
              <w:t>自然保护地</w:t>
            </w:r>
          </w:p>
        </w:tc>
        <w:tc>
          <w:tcPr>
            <w:tcW w:w="1134" w:type="dxa"/>
            <w:vAlign w:val="center"/>
          </w:tcPr>
          <w:p>
            <w:pPr>
              <w:pStyle w:val="12"/>
            </w:pPr>
            <w:r>
              <w:t>162.00</w:t>
            </w:r>
          </w:p>
        </w:tc>
        <w:tc>
          <w:tcPr>
            <w:tcW w:w="1134" w:type="dxa"/>
            <w:vAlign w:val="center"/>
          </w:tcPr>
          <w:p>
            <w:pPr>
              <w:pStyle w:val="12"/>
            </w:pPr>
            <w:r>
              <w:t>92.00</w:t>
            </w:r>
          </w:p>
        </w:tc>
        <w:tc>
          <w:tcPr>
            <w:tcW w:w="1134" w:type="dxa"/>
            <w:vAlign w:val="center"/>
          </w:tcPr>
          <w:p>
            <w:pPr>
              <w:pStyle w:val="12"/>
            </w:pPr>
            <w:r>
              <w:t>92.00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21105</w:t>
            </w:r>
          </w:p>
        </w:tc>
        <w:tc>
          <w:tcPr>
            <w:tcW w:w="1559" w:type="dxa"/>
            <w:vAlign w:val="center"/>
          </w:tcPr>
          <w:p>
            <w:pPr>
              <w:pStyle w:val="13"/>
            </w:pPr>
            <w:r>
              <w:t>森林保护修复</w:t>
            </w:r>
          </w:p>
        </w:tc>
        <w:tc>
          <w:tcPr>
            <w:tcW w:w="1134" w:type="dxa"/>
            <w:vAlign w:val="center"/>
          </w:tcPr>
          <w:p>
            <w:pPr>
              <w:pStyle w:val="12"/>
            </w:pPr>
            <w:r>
              <w:t>3833.95</w:t>
            </w:r>
          </w:p>
        </w:tc>
        <w:tc>
          <w:tcPr>
            <w:tcW w:w="1134" w:type="dxa"/>
            <w:vAlign w:val="center"/>
          </w:tcPr>
          <w:p>
            <w:pPr>
              <w:pStyle w:val="12"/>
            </w:pPr>
            <w:r>
              <w:t>1437.13</w:t>
            </w:r>
          </w:p>
        </w:tc>
        <w:tc>
          <w:tcPr>
            <w:tcW w:w="1134" w:type="dxa"/>
            <w:vAlign w:val="center"/>
          </w:tcPr>
          <w:p>
            <w:pPr>
              <w:pStyle w:val="12"/>
            </w:pPr>
            <w:r>
              <w:t>1437.13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2396.82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2110501</w:t>
            </w:r>
          </w:p>
        </w:tc>
        <w:tc>
          <w:tcPr>
            <w:tcW w:w="1559" w:type="dxa"/>
            <w:vAlign w:val="center"/>
          </w:tcPr>
          <w:p>
            <w:pPr>
              <w:pStyle w:val="13"/>
            </w:pPr>
            <w:r>
              <w:t>森林管护</w:t>
            </w:r>
          </w:p>
        </w:tc>
        <w:tc>
          <w:tcPr>
            <w:tcW w:w="1134" w:type="dxa"/>
            <w:vAlign w:val="center"/>
          </w:tcPr>
          <w:p>
            <w:pPr>
              <w:pStyle w:val="12"/>
            </w:pPr>
            <w:r>
              <w:t>3491.30</w:t>
            </w:r>
          </w:p>
        </w:tc>
        <w:tc>
          <w:tcPr>
            <w:tcW w:w="1134" w:type="dxa"/>
            <w:vAlign w:val="center"/>
          </w:tcPr>
          <w:p>
            <w:pPr>
              <w:pStyle w:val="12"/>
            </w:pPr>
            <w:r>
              <w:t>1185.55</w:t>
            </w:r>
          </w:p>
        </w:tc>
        <w:tc>
          <w:tcPr>
            <w:tcW w:w="1134" w:type="dxa"/>
            <w:vAlign w:val="center"/>
          </w:tcPr>
          <w:p>
            <w:pPr>
              <w:pStyle w:val="12"/>
            </w:pPr>
            <w:r>
              <w:t>1185.55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2305.75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2110507</w:t>
            </w:r>
          </w:p>
        </w:tc>
        <w:tc>
          <w:tcPr>
            <w:tcW w:w="1559" w:type="dxa"/>
            <w:vAlign w:val="center"/>
          </w:tcPr>
          <w:p>
            <w:pPr>
              <w:pStyle w:val="13"/>
            </w:pPr>
            <w:r>
              <w:t>停伐补助</w:t>
            </w:r>
          </w:p>
        </w:tc>
        <w:tc>
          <w:tcPr>
            <w:tcW w:w="1134" w:type="dxa"/>
            <w:vAlign w:val="center"/>
          </w:tcPr>
          <w:p>
            <w:pPr>
              <w:pStyle w:val="12"/>
            </w:pPr>
            <w:r>
              <w:t>342.65</w:t>
            </w:r>
          </w:p>
        </w:tc>
        <w:tc>
          <w:tcPr>
            <w:tcW w:w="1134" w:type="dxa"/>
            <w:vAlign w:val="center"/>
          </w:tcPr>
          <w:p>
            <w:pPr>
              <w:pStyle w:val="12"/>
            </w:pPr>
            <w:r>
              <w:t>251.58</w:t>
            </w:r>
          </w:p>
        </w:tc>
        <w:tc>
          <w:tcPr>
            <w:tcW w:w="1134" w:type="dxa"/>
            <w:vAlign w:val="center"/>
          </w:tcPr>
          <w:p>
            <w:pPr>
              <w:pStyle w:val="12"/>
            </w:pPr>
            <w:r>
              <w:t>251.58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91.07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21198</w:t>
            </w:r>
          </w:p>
        </w:tc>
        <w:tc>
          <w:tcPr>
            <w:tcW w:w="1559" w:type="dxa"/>
            <w:vAlign w:val="center"/>
          </w:tcPr>
          <w:p>
            <w:pPr>
              <w:pStyle w:val="13"/>
            </w:pPr>
            <w:r>
              <w:t>超长期特别国债安排的支出</w:t>
            </w:r>
          </w:p>
        </w:tc>
        <w:tc>
          <w:tcPr>
            <w:tcW w:w="1134" w:type="dxa"/>
            <w:vAlign w:val="center"/>
          </w:tcPr>
          <w:p>
            <w:pPr>
              <w:pStyle w:val="12"/>
            </w:pPr>
            <w:r>
              <w:t>3720.00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2119803</w:t>
            </w:r>
          </w:p>
        </w:tc>
        <w:tc>
          <w:tcPr>
            <w:tcW w:w="1559" w:type="dxa"/>
            <w:vAlign w:val="center"/>
          </w:tcPr>
          <w:p>
            <w:pPr>
              <w:pStyle w:val="13"/>
            </w:pPr>
            <w:r>
              <w:t>“三北”工程建设</w:t>
            </w:r>
          </w:p>
        </w:tc>
        <w:tc>
          <w:tcPr>
            <w:tcW w:w="1134" w:type="dxa"/>
            <w:vAlign w:val="center"/>
          </w:tcPr>
          <w:p>
            <w:pPr>
              <w:pStyle w:val="12"/>
            </w:pPr>
            <w:r>
              <w:t>3720.00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243.40</w:t>
            </w:r>
          </w:p>
        </w:tc>
        <w:tc>
          <w:tcPr>
            <w:tcW w:w="1134" w:type="dxa"/>
            <w:vAlign w:val="center"/>
          </w:tcPr>
          <w:p>
            <w:pPr>
              <w:pStyle w:val="12"/>
            </w:pPr>
            <w:r>
              <w:t>243.40</w:t>
            </w:r>
          </w:p>
        </w:tc>
        <w:tc>
          <w:tcPr>
            <w:tcW w:w="1134" w:type="dxa"/>
            <w:vAlign w:val="center"/>
          </w:tcPr>
          <w:p>
            <w:pPr>
              <w:pStyle w:val="12"/>
            </w:pPr>
            <w:r>
              <w:t>243.40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243.40</w:t>
            </w:r>
          </w:p>
        </w:tc>
        <w:tc>
          <w:tcPr>
            <w:tcW w:w="1134" w:type="dxa"/>
            <w:vAlign w:val="center"/>
          </w:tcPr>
          <w:p>
            <w:pPr>
              <w:pStyle w:val="12"/>
            </w:pPr>
            <w:r>
              <w:t>243.40</w:t>
            </w:r>
          </w:p>
        </w:tc>
        <w:tc>
          <w:tcPr>
            <w:tcW w:w="1134" w:type="dxa"/>
            <w:vAlign w:val="center"/>
          </w:tcPr>
          <w:p>
            <w:pPr>
              <w:pStyle w:val="12"/>
            </w:pPr>
            <w:r>
              <w:t>243.40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2120816</w:t>
            </w:r>
          </w:p>
        </w:tc>
        <w:tc>
          <w:tcPr>
            <w:tcW w:w="1559" w:type="dxa"/>
            <w:vAlign w:val="center"/>
          </w:tcPr>
          <w:p>
            <w:pPr>
              <w:pStyle w:val="13"/>
            </w:pPr>
            <w:r>
              <w:t>农业农村生态环境支出</w:t>
            </w:r>
          </w:p>
        </w:tc>
        <w:tc>
          <w:tcPr>
            <w:tcW w:w="1134" w:type="dxa"/>
            <w:vAlign w:val="center"/>
          </w:tcPr>
          <w:p>
            <w:pPr>
              <w:pStyle w:val="12"/>
            </w:pPr>
            <w:r>
              <w:t>187.90</w:t>
            </w:r>
          </w:p>
        </w:tc>
        <w:tc>
          <w:tcPr>
            <w:tcW w:w="1134" w:type="dxa"/>
            <w:vAlign w:val="center"/>
          </w:tcPr>
          <w:p>
            <w:pPr>
              <w:pStyle w:val="12"/>
            </w:pPr>
            <w:r>
              <w:t>187.90</w:t>
            </w:r>
          </w:p>
        </w:tc>
        <w:tc>
          <w:tcPr>
            <w:tcW w:w="1134" w:type="dxa"/>
            <w:vAlign w:val="center"/>
          </w:tcPr>
          <w:p>
            <w:pPr>
              <w:pStyle w:val="12"/>
            </w:pPr>
            <w:r>
              <w:t>187.90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55.50</w:t>
            </w:r>
          </w:p>
        </w:tc>
        <w:tc>
          <w:tcPr>
            <w:tcW w:w="1134" w:type="dxa"/>
            <w:vAlign w:val="center"/>
          </w:tcPr>
          <w:p>
            <w:pPr>
              <w:pStyle w:val="12"/>
            </w:pPr>
            <w:r>
              <w:t>55.50</w:t>
            </w:r>
          </w:p>
        </w:tc>
        <w:tc>
          <w:tcPr>
            <w:tcW w:w="1134" w:type="dxa"/>
            <w:vAlign w:val="center"/>
          </w:tcPr>
          <w:p>
            <w:pPr>
              <w:pStyle w:val="12"/>
            </w:pPr>
            <w:r>
              <w:t>55.50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7546.72</w:t>
            </w:r>
          </w:p>
        </w:tc>
        <w:tc>
          <w:tcPr>
            <w:tcW w:w="1134" w:type="dxa"/>
            <w:vAlign w:val="center"/>
          </w:tcPr>
          <w:p>
            <w:pPr>
              <w:pStyle w:val="12"/>
            </w:pPr>
            <w:r>
              <w:t>6314.20</w:t>
            </w:r>
          </w:p>
        </w:tc>
        <w:tc>
          <w:tcPr>
            <w:tcW w:w="1134" w:type="dxa"/>
            <w:vAlign w:val="center"/>
          </w:tcPr>
          <w:p>
            <w:pPr>
              <w:pStyle w:val="12"/>
            </w:pPr>
            <w:r>
              <w:t>6314.20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7546.72</w:t>
            </w:r>
          </w:p>
        </w:tc>
        <w:tc>
          <w:tcPr>
            <w:tcW w:w="1134" w:type="dxa"/>
            <w:vAlign w:val="center"/>
          </w:tcPr>
          <w:p>
            <w:pPr>
              <w:pStyle w:val="12"/>
            </w:pPr>
            <w:r>
              <w:t>6314.20</w:t>
            </w:r>
          </w:p>
        </w:tc>
        <w:tc>
          <w:tcPr>
            <w:tcW w:w="1134" w:type="dxa"/>
            <w:vAlign w:val="center"/>
          </w:tcPr>
          <w:p>
            <w:pPr>
              <w:pStyle w:val="12"/>
            </w:pPr>
            <w:r>
              <w:t>6314.20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1232.52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683.60</w:t>
            </w:r>
          </w:p>
        </w:tc>
        <w:tc>
          <w:tcPr>
            <w:tcW w:w="1134" w:type="dxa"/>
            <w:vAlign w:val="center"/>
          </w:tcPr>
          <w:p>
            <w:pPr>
              <w:pStyle w:val="12"/>
            </w:pPr>
            <w:r>
              <w:t>674.85</w:t>
            </w:r>
          </w:p>
        </w:tc>
        <w:tc>
          <w:tcPr>
            <w:tcW w:w="1134" w:type="dxa"/>
            <w:vAlign w:val="center"/>
          </w:tcPr>
          <w:p>
            <w:pPr>
              <w:pStyle w:val="12"/>
            </w:pPr>
            <w:r>
              <w:t>674.85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2130202</w:t>
            </w:r>
          </w:p>
        </w:tc>
        <w:tc>
          <w:tcPr>
            <w:tcW w:w="1559" w:type="dxa"/>
            <w:vAlign w:val="center"/>
          </w:tcPr>
          <w:p>
            <w:pPr>
              <w:pStyle w:val="13"/>
            </w:pPr>
            <w:r>
              <w:t>一般行政管理事务</w:t>
            </w:r>
          </w:p>
        </w:tc>
        <w:tc>
          <w:tcPr>
            <w:tcW w:w="1134" w:type="dxa"/>
            <w:vAlign w:val="center"/>
          </w:tcPr>
          <w:p>
            <w:pPr>
              <w:pStyle w:val="12"/>
            </w:pPr>
            <w:r>
              <w:t>44.89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1190.46</w:t>
            </w:r>
          </w:p>
        </w:tc>
        <w:tc>
          <w:tcPr>
            <w:tcW w:w="1134" w:type="dxa"/>
            <w:vAlign w:val="center"/>
          </w:tcPr>
          <w:p>
            <w:pPr>
              <w:pStyle w:val="12"/>
            </w:pPr>
            <w:r>
              <w:t>1190.46</w:t>
            </w:r>
          </w:p>
        </w:tc>
        <w:tc>
          <w:tcPr>
            <w:tcW w:w="1134" w:type="dxa"/>
            <w:vAlign w:val="center"/>
          </w:tcPr>
          <w:p>
            <w:pPr>
              <w:pStyle w:val="12"/>
            </w:pPr>
            <w:r>
              <w:t>1190.46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3327.37</w:t>
            </w:r>
          </w:p>
        </w:tc>
        <w:tc>
          <w:tcPr>
            <w:tcW w:w="1134" w:type="dxa"/>
            <w:vAlign w:val="center"/>
          </w:tcPr>
          <w:p>
            <w:pPr>
              <w:pStyle w:val="12"/>
            </w:pPr>
            <w:r>
              <w:t>2336.70</w:t>
            </w:r>
          </w:p>
        </w:tc>
        <w:tc>
          <w:tcPr>
            <w:tcW w:w="1134" w:type="dxa"/>
            <w:vAlign w:val="center"/>
          </w:tcPr>
          <w:p>
            <w:pPr>
              <w:pStyle w:val="12"/>
            </w:pPr>
            <w:r>
              <w:t>2336.70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990.67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2130206</w:t>
            </w:r>
          </w:p>
        </w:tc>
        <w:tc>
          <w:tcPr>
            <w:tcW w:w="1559" w:type="dxa"/>
            <w:vAlign w:val="center"/>
          </w:tcPr>
          <w:p>
            <w:pPr>
              <w:pStyle w:val="13"/>
            </w:pPr>
            <w:r>
              <w:t>技术推广与转化</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2130207</w:t>
            </w:r>
          </w:p>
        </w:tc>
        <w:tc>
          <w:tcPr>
            <w:tcW w:w="1559" w:type="dxa"/>
            <w:vAlign w:val="center"/>
          </w:tcPr>
          <w:p>
            <w:pPr>
              <w:pStyle w:val="13"/>
            </w:pPr>
            <w:r>
              <w:t>森林资源管理</w:t>
            </w:r>
          </w:p>
        </w:tc>
        <w:tc>
          <w:tcPr>
            <w:tcW w:w="1134" w:type="dxa"/>
            <w:vAlign w:val="center"/>
          </w:tcPr>
          <w:p>
            <w:pPr>
              <w:pStyle w:val="12"/>
            </w:pPr>
            <w:r>
              <w:t>831.28</w:t>
            </w:r>
          </w:p>
        </w:tc>
        <w:tc>
          <w:tcPr>
            <w:tcW w:w="1134" w:type="dxa"/>
            <w:vAlign w:val="center"/>
          </w:tcPr>
          <w:p>
            <w:pPr>
              <w:pStyle w:val="12"/>
            </w:pPr>
            <w:r>
              <w:t>831.28</w:t>
            </w:r>
          </w:p>
        </w:tc>
        <w:tc>
          <w:tcPr>
            <w:tcW w:w="1134" w:type="dxa"/>
            <w:vAlign w:val="center"/>
          </w:tcPr>
          <w:p>
            <w:pPr>
              <w:pStyle w:val="12"/>
            </w:pPr>
            <w:r>
              <w:t>831.28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2130211</w:t>
            </w:r>
          </w:p>
        </w:tc>
        <w:tc>
          <w:tcPr>
            <w:tcW w:w="1559" w:type="dxa"/>
            <w:vAlign w:val="center"/>
          </w:tcPr>
          <w:p>
            <w:pPr>
              <w:pStyle w:val="13"/>
            </w:pPr>
            <w:r>
              <w:t>动植物保护</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2130212</w:t>
            </w:r>
          </w:p>
        </w:tc>
        <w:tc>
          <w:tcPr>
            <w:tcW w:w="1559" w:type="dxa"/>
            <w:vAlign w:val="center"/>
          </w:tcPr>
          <w:p>
            <w:pPr>
              <w:pStyle w:val="13"/>
            </w:pPr>
            <w:r>
              <w:t>湿地保护</w:t>
            </w:r>
          </w:p>
        </w:tc>
        <w:tc>
          <w:tcPr>
            <w:tcW w:w="1134" w:type="dxa"/>
            <w:vAlign w:val="center"/>
          </w:tcPr>
          <w:p>
            <w:pPr>
              <w:pStyle w:val="12"/>
            </w:pPr>
            <w:r>
              <w:t>58.50</w:t>
            </w:r>
          </w:p>
        </w:tc>
        <w:tc>
          <w:tcPr>
            <w:tcW w:w="1134" w:type="dxa"/>
            <w:vAlign w:val="center"/>
          </w:tcPr>
          <w:p>
            <w:pPr>
              <w:pStyle w:val="12"/>
            </w:pPr>
            <w:r>
              <w:t>58.50</w:t>
            </w:r>
          </w:p>
        </w:tc>
        <w:tc>
          <w:tcPr>
            <w:tcW w:w="1134" w:type="dxa"/>
            <w:vAlign w:val="center"/>
          </w:tcPr>
          <w:p>
            <w:pPr>
              <w:pStyle w:val="12"/>
            </w:pPr>
            <w:r>
              <w:t>58.50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2130213</w:t>
            </w:r>
          </w:p>
        </w:tc>
        <w:tc>
          <w:tcPr>
            <w:tcW w:w="1559" w:type="dxa"/>
            <w:vAlign w:val="center"/>
          </w:tcPr>
          <w:p>
            <w:pPr>
              <w:pStyle w:val="13"/>
            </w:pPr>
            <w:r>
              <w:t>执法与监督</w:t>
            </w:r>
          </w:p>
        </w:tc>
        <w:tc>
          <w:tcPr>
            <w:tcW w:w="1134" w:type="dxa"/>
            <w:vAlign w:val="center"/>
          </w:tcPr>
          <w:p>
            <w:pPr>
              <w:pStyle w:val="12"/>
            </w:pPr>
            <w:r>
              <w:t>25.44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2130221</w:t>
            </w:r>
          </w:p>
        </w:tc>
        <w:tc>
          <w:tcPr>
            <w:tcW w:w="1559" w:type="dxa"/>
            <w:vAlign w:val="center"/>
          </w:tcPr>
          <w:p>
            <w:pPr>
              <w:pStyle w:val="13"/>
            </w:pPr>
            <w:r>
              <w:t>产业化管理</w:t>
            </w:r>
          </w:p>
        </w:tc>
        <w:tc>
          <w:tcPr>
            <w:tcW w:w="1134" w:type="dxa"/>
            <w:vAlign w:val="center"/>
          </w:tcPr>
          <w:p>
            <w:pPr>
              <w:pStyle w:val="12"/>
            </w:pPr>
            <w:r>
              <w:t>177.00</w:t>
            </w:r>
          </w:p>
        </w:tc>
        <w:tc>
          <w:tcPr>
            <w:tcW w:w="1134" w:type="dxa"/>
            <w:vAlign w:val="center"/>
          </w:tcPr>
          <w:p>
            <w:pPr>
              <w:pStyle w:val="12"/>
            </w:pPr>
            <w:r>
              <w:t>127.00</w:t>
            </w:r>
          </w:p>
        </w:tc>
        <w:tc>
          <w:tcPr>
            <w:tcW w:w="1134" w:type="dxa"/>
            <w:vAlign w:val="center"/>
          </w:tcPr>
          <w:p>
            <w:pPr>
              <w:pStyle w:val="12"/>
            </w:pPr>
            <w:r>
              <w:t>127.00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1000.83</w:t>
            </w:r>
          </w:p>
        </w:tc>
        <w:tc>
          <w:tcPr>
            <w:tcW w:w="1134" w:type="dxa"/>
            <w:vAlign w:val="center"/>
          </w:tcPr>
          <w:p>
            <w:pPr>
              <w:pStyle w:val="12"/>
            </w:pPr>
            <w:r>
              <w:t>921.39</w:t>
            </w:r>
          </w:p>
        </w:tc>
        <w:tc>
          <w:tcPr>
            <w:tcW w:w="1134" w:type="dxa"/>
            <w:vAlign w:val="center"/>
          </w:tcPr>
          <w:p>
            <w:pPr>
              <w:pStyle w:val="12"/>
            </w:pPr>
            <w:r>
              <w:t>921.39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2130237</w:t>
            </w:r>
          </w:p>
        </w:tc>
        <w:tc>
          <w:tcPr>
            <w:tcW w:w="1559" w:type="dxa"/>
            <w:vAlign w:val="center"/>
          </w:tcPr>
          <w:p>
            <w:pPr>
              <w:pStyle w:val="13"/>
            </w:pPr>
            <w:r>
              <w:t>行业业务管理</w:t>
            </w:r>
          </w:p>
        </w:tc>
        <w:tc>
          <w:tcPr>
            <w:tcW w:w="1134" w:type="dxa"/>
            <w:vAlign w:val="center"/>
          </w:tcPr>
          <w:p>
            <w:pPr>
              <w:pStyle w:val="12"/>
            </w:pPr>
            <w:r>
              <w:t>18.14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2130299</w:t>
            </w:r>
          </w:p>
        </w:tc>
        <w:tc>
          <w:tcPr>
            <w:tcW w:w="1559" w:type="dxa"/>
            <w:vAlign w:val="center"/>
          </w:tcPr>
          <w:p>
            <w:pPr>
              <w:pStyle w:val="13"/>
            </w:pPr>
            <w:r>
              <w:t>其他林业和草原支出</w:t>
            </w:r>
          </w:p>
        </w:tc>
        <w:tc>
          <w:tcPr>
            <w:tcW w:w="1134" w:type="dxa"/>
            <w:vAlign w:val="center"/>
          </w:tcPr>
          <w:p>
            <w:pPr>
              <w:pStyle w:val="12"/>
            </w:pPr>
            <w:r>
              <w:t>169.21</w:t>
            </w:r>
          </w:p>
        </w:tc>
        <w:tc>
          <w:tcPr>
            <w:tcW w:w="1134" w:type="dxa"/>
            <w:vAlign w:val="center"/>
          </w:tcPr>
          <w:p>
            <w:pPr>
              <w:pStyle w:val="12"/>
            </w:pPr>
            <w:r>
              <w:t>169.02</w:t>
            </w:r>
          </w:p>
        </w:tc>
        <w:tc>
          <w:tcPr>
            <w:tcW w:w="1134" w:type="dxa"/>
            <w:vAlign w:val="center"/>
          </w:tcPr>
          <w:p>
            <w:pPr>
              <w:pStyle w:val="12"/>
            </w:pPr>
            <w:r>
              <w:t>169.02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r>
              <w:t>93.05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17007.30</w:t>
            </w:r>
          </w:p>
        </w:tc>
        <w:tc>
          <w:tcPr>
            <w:tcW w:w="1361" w:type="dxa"/>
            <w:vAlign w:val="center"/>
          </w:tcPr>
          <w:p>
            <w:pPr>
              <w:pStyle w:val="16"/>
            </w:pPr>
            <w:r>
              <w:t>2459.57</w:t>
            </w:r>
          </w:p>
        </w:tc>
        <w:tc>
          <w:tcPr>
            <w:tcW w:w="1361" w:type="dxa"/>
            <w:vAlign w:val="center"/>
          </w:tcPr>
          <w:p>
            <w:pPr>
              <w:pStyle w:val="16"/>
            </w:pPr>
            <w:r>
              <w:t>14547.73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2070114</w:t>
            </w:r>
          </w:p>
        </w:tc>
        <w:tc>
          <w:tcPr>
            <w:tcW w:w="4535" w:type="dxa"/>
            <w:vAlign w:val="center"/>
          </w:tcPr>
          <w:p>
            <w:pPr>
              <w:pStyle w:val="13"/>
            </w:pPr>
            <w:r>
              <w:t>文化和旅游管理事务</w:t>
            </w: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r>
              <w:t>107.17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393.92</w:t>
            </w:r>
          </w:p>
        </w:tc>
        <w:tc>
          <w:tcPr>
            <w:tcW w:w="1361" w:type="dxa"/>
            <w:vAlign w:val="center"/>
          </w:tcPr>
          <w:p>
            <w:pPr>
              <w:pStyle w:val="12"/>
            </w:pPr>
            <w:r>
              <w:t>393.92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349.81</w:t>
            </w:r>
          </w:p>
        </w:tc>
        <w:tc>
          <w:tcPr>
            <w:tcW w:w="1361" w:type="dxa"/>
            <w:vAlign w:val="center"/>
          </w:tcPr>
          <w:p>
            <w:pPr>
              <w:pStyle w:val="12"/>
            </w:pPr>
            <w:r>
              <w:t>349.81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37.31</w:t>
            </w:r>
          </w:p>
        </w:tc>
        <w:tc>
          <w:tcPr>
            <w:tcW w:w="1361" w:type="dxa"/>
            <w:vAlign w:val="center"/>
          </w:tcPr>
          <w:p>
            <w:pPr>
              <w:pStyle w:val="12"/>
            </w:pPr>
            <w:r>
              <w:t>37.31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73.47</w:t>
            </w:r>
          </w:p>
        </w:tc>
        <w:tc>
          <w:tcPr>
            <w:tcW w:w="1361" w:type="dxa"/>
            <w:vAlign w:val="center"/>
          </w:tcPr>
          <w:p>
            <w:pPr>
              <w:pStyle w:val="12"/>
            </w:pPr>
            <w:r>
              <w:t>73.47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181.17</w:t>
            </w:r>
          </w:p>
        </w:tc>
        <w:tc>
          <w:tcPr>
            <w:tcW w:w="1361" w:type="dxa"/>
            <w:vAlign w:val="center"/>
          </w:tcPr>
          <w:p>
            <w:pPr>
              <w:pStyle w:val="12"/>
            </w:pPr>
            <w:r>
              <w:t>181.17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57.86</w:t>
            </w:r>
          </w:p>
        </w:tc>
        <w:tc>
          <w:tcPr>
            <w:tcW w:w="1361" w:type="dxa"/>
            <w:vAlign w:val="center"/>
          </w:tcPr>
          <w:p>
            <w:pPr>
              <w:pStyle w:val="12"/>
            </w:pPr>
            <w:r>
              <w:t>57.86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44.11</w:t>
            </w:r>
          </w:p>
        </w:tc>
        <w:tc>
          <w:tcPr>
            <w:tcW w:w="1361" w:type="dxa"/>
            <w:vAlign w:val="center"/>
          </w:tcPr>
          <w:p>
            <w:pPr>
              <w:pStyle w:val="12"/>
            </w:pPr>
            <w:r>
              <w:t>44.11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44.11</w:t>
            </w:r>
          </w:p>
        </w:tc>
        <w:tc>
          <w:tcPr>
            <w:tcW w:w="1361" w:type="dxa"/>
            <w:vAlign w:val="center"/>
          </w:tcPr>
          <w:p>
            <w:pPr>
              <w:pStyle w:val="12"/>
            </w:pPr>
            <w:r>
              <w:t>44.11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98.55</w:t>
            </w:r>
          </w:p>
        </w:tc>
        <w:tc>
          <w:tcPr>
            <w:tcW w:w="1361" w:type="dxa"/>
            <w:vAlign w:val="center"/>
          </w:tcPr>
          <w:p>
            <w:pPr>
              <w:pStyle w:val="12"/>
            </w:pPr>
            <w:r>
              <w:t>98.55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98.55</w:t>
            </w:r>
          </w:p>
        </w:tc>
        <w:tc>
          <w:tcPr>
            <w:tcW w:w="1361" w:type="dxa"/>
            <w:vAlign w:val="center"/>
          </w:tcPr>
          <w:p>
            <w:pPr>
              <w:pStyle w:val="12"/>
            </w:pPr>
            <w:r>
              <w:t>98.55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7.79</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90.76</w:t>
            </w:r>
          </w:p>
        </w:tc>
        <w:tc>
          <w:tcPr>
            <w:tcW w:w="1361" w:type="dxa"/>
            <w:vAlign w:val="center"/>
          </w:tcPr>
          <w:p>
            <w:pPr>
              <w:pStyle w:val="12"/>
            </w:pPr>
            <w:r>
              <w:t>90.76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8524.50</w:t>
            </w:r>
          </w:p>
        </w:tc>
        <w:tc>
          <w:tcPr>
            <w:tcW w:w="1361" w:type="dxa"/>
            <w:vAlign w:val="center"/>
          </w:tcPr>
          <w:p>
            <w:pPr>
              <w:pStyle w:val="12"/>
            </w:pPr>
          </w:p>
        </w:tc>
        <w:tc>
          <w:tcPr>
            <w:tcW w:w="1361" w:type="dxa"/>
            <w:vAlign w:val="center"/>
          </w:tcPr>
          <w:p>
            <w:pPr>
              <w:pStyle w:val="12"/>
            </w:pPr>
            <w:r>
              <w:t>8524.50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970.55</w:t>
            </w:r>
          </w:p>
        </w:tc>
        <w:tc>
          <w:tcPr>
            <w:tcW w:w="1361" w:type="dxa"/>
            <w:vAlign w:val="center"/>
          </w:tcPr>
          <w:p>
            <w:pPr>
              <w:pStyle w:val="12"/>
            </w:pPr>
          </w:p>
        </w:tc>
        <w:tc>
          <w:tcPr>
            <w:tcW w:w="1361" w:type="dxa"/>
            <w:vAlign w:val="center"/>
          </w:tcPr>
          <w:p>
            <w:pPr>
              <w:pStyle w:val="12"/>
            </w:pPr>
            <w:r>
              <w:t>970.55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2110401</w:t>
            </w:r>
          </w:p>
        </w:tc>
        <w:tc>
          <w:tcPr>
            <w:tcW w:w="4535" w:type="dxa"/>
            <w:vAlign w:val="center"/>
          </w:tcPr>
          <w:p>
            <w:pPr>
              <w:pStyle w:val="13"/>
            </w:pPr>
            <w:r>
              <w:t>生态保护</w:t>
            </w:r>
          </w:p>
        </w:tc>
        <w:tc>
          <w:tcPr>
            <w:tcW w:w="1361" w:type="dxa"/>
            <w:vAlign w:val="center"/>
          </w:tcPr>
          <w:p>
            <w:pPr>
              <w:pStyle w:val="12"/>
            </w:pPr>
            <w:r>
              <w:t>793.55</w:t>
            </w:r>
          </w:p>
        </w:tc>
        <w:tc>
          <w:tcPr>
            <w:tcW w:w="1361" w:type="dxa"/>
            <w:vAlign w:val="center"/>
          </w:tcPr>
          <w:p>
            <w:pPr>
              <w:pStyle w:val="12"/>
            </w:pPr>
          </w:p>
        </w:tc>
        <w:tc>
          <w:tcPr>
            <w:tcW w:w="1361" w:type="dxa"/>
            <w:vAlign w:val="center"/>
          </w:tcPr>
          <w:p>
            <w:pPr>
              <w:pStyle w:val="12"/>
            </w:pPr>
            <w:r>
              <w:t>793.55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2110406</w:t>
            </w:r>
          </w:p>
        </w:tc>
        <w:tc>
          <w:tcPr>
            <w:tcW w:w="4535" w:type="dxa"/>
            <w:vAlign w:val="center"/>
          </w:tcPr>
          <w:p>
            <w:pPr>
              <w:pStyle w:val="13"/>
            </w:pPr>
            <w:r>
              <w:t>自然保护地</w:t>
            </w: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r>
              <w:t>162.00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21105</w:t>
            </w:r>
          </w:p>
        </w:tc>
        <w:tc>
          <w:tcPr>
            <w:tcW w:w="4535" w:type="dxa"/>
            <w:vAlign w:val="center"/>
          </w:tcPr>
          <w:p>
            <w:pPr>
              <w:pStyle w:val="13"/>
            </w:pPr>
            <w:r>
              <w:t>森林保护修复</w:t>
            </w:r>
          </w:p>
        </w:tc>
        <w:tc>
          <w:tcPr>
            <w:tcW w:w="1361" w:type="dxa"/>
            <w:vAlign w:val="center"/>
          </w:tcPr>
          <w:p>
            <w:pPr>
              <w:pStyle w:val="12"/>
            </w:pPr>
            <w:r>
              <w:t>3833.95</w:t>
            </w:r>
          </w:p>
        </w:tc>
        <w:tc>
          <w:tcPr>
            <w:tcW w:w="1361" w:type="dxa"/>
            <w:vAlign w:val="center"/>
          </w:tcPr>
          <w:p>
            <w:pPr>
              <w:pStyle w:val="12"/>
            </w:pPr>
          </w:p>
        </w:tc>
        <w:tc>
          <w:tcPr>
            <w:tcW w:w="1361" w:type="dxa"/>
            <w:vAlign w:val="center"/>
          </w:tcPr>
          <w:p>
            <w:pPr>
              <w:pStyle w:val="12"/>
            </w:pPr>
            <w:r>
              <w:t>3833.95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2110501</w:t>
            </w:r>
          </w:p>
        </w:tc>
        <w:tc>
          <w:tcPr>
            <w:tcW w:w="4535" w:type="dxa"/>
            <w:vAlign w:val="center"/>
          </w:tcPr>
          <w:p>
            <w:pPr>
              <w:pStyle w:val="13"/>
            </w:pPr>
            <w:r>
              <w:t>森林管护</w:t>
            </w:r>
          </w:p>
        </w:tc>
        <w:tc>
          <w:tcPr>
            <w:tcW w:w="1361" w:type="dxa"/>
            <w:vAlign w:val="center"/>
          </w:tcPr>
          <w:p>
            <w:pPr>
              <w:pStyle w:val="12"/>
            </w:pPr>
            <w:r>
              <w:t>3491.30</w:t>
            </w:r>
          </w:p>
        </w:tc>
        <w:tc>
          <w:tcPr>
            <w:tcW w:w="1361" w:type="dxa"/>
            <w:vAlign w:val="center"/>
          </w:tcPr>
          <w:p>
            <w:pPr>
              <w:pStyle w:val="12"/>
            </w:pPr>
          </w:p>
        </w:tc>
        <w:tc>
          <w:tcPr>
            <w:tcW w:w="1361" w:type="dxa"/>
            <w:vAlign w:val="center"/>
          </w:tcPr>
          <w:p>
            <w:pPr>
              <w:pStyle w:val="12"/>
            </w:pPr>
            <w:r>
              <w:t>3491.30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2110507</w:t>
            </w:r>
          </w:p>
        </w:tc>
        <w:tc>
          <w:tcPr>
            <w:tcW w:w="4535" w:type="dxa"/>
            <w:vAlign w:val="center"/>
          </w:tcPr>
          <w:p>
            <w:pPr>
              <w:pStyle w:val="13"/>
            </w:pPr>
            <w:r>
              <w:t>停伐补助</w:t>
            </w:r>
          </w:p>
        </w:tc>
        <w:tc>
          <w:tcPr>
            <w:tcW w:w="1361" w:type="dxa"/>
            <w:vAlign w:val="center"/>
          </w:tcPr>
          <w:p>
            <w:pPr>
              <w:pStyle w:val="12"/>
            </w:pPr>
            <w:r>
              <w:t>342.65</w:t>
            </w:r>
          </w:p>
        </w:tc>
        <w:tc>
          <w:tcPr>
            <w:tcW w:w="1361" w:type="dxa"/>
            <w:vAlign w:val="center"/>
          </w:tcPr>
          <w:p>
            <w:pPr>
              <w:pStyle w:val="12"/>
            </w:pPr>
          </w:p>
        </w:tc>
        <w:tc>
          <w:tcPr>
            <w:tcW w:w="1361" w:type="dxa"/>
            <w:vAlign w:val="center"/>
          </w:tcPr>
          <w:p>
            <w:pPr>
              <w:pStyle w:val="12"/>
            </w:pPr>
            <w:r>
              <w:t>342.65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21198</w:t>
            </w:r>
          </w:p>
        </w:tc>
        <w:tc>
          <w:tcPr>
            <w:tcW w:w="4535" w:type="dxa"/>
            <w:vAlign w:val="center"/>
          </w:tcPr>
          <w:p>
            <w:pPr>
              <w:pStyle w:val="13"/>
            </w:pPr>
            <w:r>
              <w:t>超长期特别国债安排的支出</w:t>
            </w:r>
          </w:p>
        </w:tc>
        <w:tc>
          <w:tcPr>
            <w:tcW w:w="1361" w:type="dxa"/>
            <w:vAlign w:val="center"/>
          </w:tcPr>
          <w:p>
            <w:pPr>
              <w:pStyle w:val="12"/>
            </w:pPr>
            <w:r>
              <w:t>3720.00</w:t>
            </w:r>
          </w:p>
        </w:tc>
        <w:tc>
          <w:tcPr>
            <w:tcW w:w="1361" w:type="dxa"/>
            <w:vAlign w:val="center"/>
          </w:tcPr>
          <w:p>
            <w:pPr>
              <w:pStyle w:val="12"/>
            </w:pPr>
          </w:p>
        </w:tc>
        <w:tc>
          <w:tcPr>
            <w:tcW w:w="1361" w:type="dxa"/>
            <w:vAlign w:val="center"/>
          </w:tcPr>
          <w:p>
            <w:pPr>
              <w:pStyle w:val="12"/>
            </w:pPr>
            <w:r>
              <w:t>3720.00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2119803</w:t>
            </w:r>
          </w:p>
        </w:tc>
        <w:tc>
          <w:tcPr>
            <w:tcW w:w="4535" w:type="dxa"/>
            <w:vAlign w:val="center"/>
          </w:tcPr>
          <w:p>
            <w:pPr>
              <w:pStyle w:val="13"/>
            </w:pPr>
            <w:r>
              <w:t>“三北”工程建设</w:t>
            </w:r>
          </w:p>
        </w:tc>
        <w:tc>
          <w:tcPr>
            <w:tcW w:w="1361" w:type="dxa"/>
            <w:vAlign w:val="center"/>
          </w:tcPr>
          <w:p>
            <w:pPr>
              <w:pStyle w:val="12"/>
            </w:pPr>
            <w:r>
              <w:t>3720.00</w:t>
            </w:r>
          </w:p>
        </w:tc>
        <w:tc>
          <w:tcPr>
            <w:tcW w:w="1361" w:type="dxa"/>
            <w:vAlign w:val="center"/>
          </w:tcPr>
          <w:p>
            <w:pPr>
              <w:pStyle w:val="12"/>
            </w:pPr>
          </w:p>
        </w:tc>
        <w:tc>
          <w:tcPr>
            <w:tcW w:w="1361" w:type="dxa"/>
            <w:vAlign w:val="center"/>
          </w:tcPr>
          <w:p>
            <w:pPr>
              <w:pStyle w:val="12"/>
            </w:pPr>
            <w:r>
              <w:t>3720.00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243.40</w:t>
            </w:r>
          </w:p>
        </w:tc>
        <w:tc>
          <w:tcPr>
            <w:tcW w:w="1361" w:type="dxa"/>
            <w:vAlign w:val="center"/>
          </w:tcPr>
          <w:p>
            <w:pPr>
              <w:pStyle w:val="12"/>
            </w:pPr>
          </w:p>
        </w:tc>
        <w:tc>
          <w:tcPr>
            <w:tcW w:w="1361" w:type="dxa"/>
            <w:vAlign w:val="center"/>
          </w:tcPr>
          <w:p>
            <w:pPr>
              <w:pStyle w:val="12"/>
            </w:pPr>
            <w:r>
              <w:t>243.40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243.40</w:t>
            </w:r>
          </w:p>
        </w:tc>
        <w:tc>
          <w:tcPr>
            <w:tcW w:w="1361" w:type="dxa"/>
            <w:vAlign w:val="center"/>
          </w:tcPr>
          <w:p>
            <w:pPr>
              <w:pStyle w:val="12"/>
            </w:pPr>
          </w:p>
        </w:tc>
        <w:tc>
          <w:tcPr>
            <w:tcW w:w="1361" w:type="dxa"/>
            <w:vAlign w:val="center"/>
          </w:tcPr>
          <w:p>
            <w:pPr>
              <w:pStyle w:val="12"/>
            </w:pPr>
            <w:r>
              <w:t>243.40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2120816</w:t>
            </w:r>
          </w:p>
        </w:tc>
        <w:tc>
          <w:tcPr>
            <w:tcW w:w="4535" w:type="dxa"/>
            <w:vAlign w:val="center"/>
          </w:tcPr>
          <w:p>
            <w:pPr>
              <w:pStyle w:val="13"/>
            </w:pPr>
            <w:r>
              <w:t>农业农村生态环境支出</w:t>
            </w:r>
          </w:p>
        </w:tc>
        <w:tc>
          <w:tcPr>
            <w:tcW w:w="1361" w:type="dxa"/>
            <w:vAlign w:val="center"/>
          </w:tcPr>
          <w:p>
            <w:pPr>
              <w:pStyle w:val="12"/>
            </w:pPr>
            <w:r>
              <w:t>187.90</w:t>
            </w:r>
          </w:p>
        </w:tc>
        <w:tc>
          <w:tcPr>
            <w:tcW w:w="1361" w:type="dxa"/>
            <w:vAlign w:val="center"/>
          </w:tcPr>
          <w:p>
            <w:pPr>
              <w:pStyle w:val="12"/>
            </w:pPr>
          </w:p>
        </w:tc>
        <w:tc>
          <w:tcPr>
            <w:tcW w:w="1361" w:type="dxa"/>
            <w:vAlign w:val="center"/>
          </w:tcPr>
          <w:p>
            <w:pPr>
              <w:pStyle w:val="12"/>
            </w:pPr>
            <w:r>
              <w:t>187.90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55.50</w:t>
            </w:r>
          </w:p>
        </w:tc>
        <w:tc>
          <w:tcPr>
            <w:tcW w:w="1361" w:type="dxa"/>
            <w:vAlign w:val="center"/>
          </w:tcPr>
          <w:p>
            <w:pPr>
              <w:pStyle w:val="12"/>
            </w:pPr>
          </w:p>
        </w:tc>
        <w:tc>
          <w:tcPr>
            <w:tcW w:w="1361" w:type="dxa"/>
            <w:vAlign w:val="center"/>
          </w:tcPr>
          <w:p>
            <w:pPr>
              <w:pStyle w:val="12"/>
            </w:pPr>
            <w:r>
              <w:t>55.50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7546.72</w:t>
            </w:r>
          </w:p>
        </w:tc>
        <w:tc>
          <w:tcPr>
            <w:tcW w:w="1361" w:type="dxa"/>
            <w:vAlign w:val="center"/>
          </w:tcPr>
          <w:p>
            <w:pPr>
              <w:pStyle w:val="12"/>
            </w:pPr>
            <w:r>
              <w:t>1874.06</w:t>
            </w:r>
          </w:p>
        </w:tc>
        <w:tc>
          <w:tcPr>
            <w:tcW w:w="1361" w:type="dxa"/>
            <w:vAlign w:val="center"/>
          </w:tcPr>
          <w:p>
            <w:pPr>
              <w:pStyle w:val="12"/>
            </w:pPr>
            <w:r>
              <w:t>5672.66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7546.72</w:t>
            </w:r>
          </w:p>
        </w:tc>
        <w:tc>
          <w:tcPr>
            <w:tcW w:w="1361" w:type="dxa"/>
            <w:vAlign w:val="center"/>
          </w:tcPr>
          <w:p>
            <w:pPr>
              <w:pStyle w:val="12"/>
            </w:pPr>
            <w:r>
              <w:t>1874.06</w:t>
            </w:r>
          </w:p>
        </w:tc>
        <w:tc>
          <w:tcPr>
            <w:tcW w:w="1361" w:type="dxa"/>
            <w:vAlign w:val="center"/>
          </w:tcPr>
          <w:p>
            <w:pPr>
              <w:pStyle w:val="12"/>
            </w:pPr>
            <w:r>
              <w:t>5672.66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683.60</w:t>
            </w:r>
          </w:p>
        </w:tc>
        <w:tc>
          <w:tcPr>
            <w:tcW w:w="1361" w:type="dxa"/>
            <w:vAlign w:val="center"/>
          </w:tcPr>
          <w:p>
            <w:pPr>
              <w:pStyle w:val="12"/>
            </w:pPr>
            <w:r>
              <w:t>683.60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2130202</w:t>
            </w:r>
          </w:p>
        </w:tc>
        <w:tc>
          <w:tcPr>
            <w:tcW w:w="4535" w:type="dxa"/>
            <w:vAlign w:val="center"/>
          </w:tcPr>
          <w:p>
            <w:pPr>
              <w:pStyle w:val="13"/>
            </w:pPr>
            <w:r>
              <w:t>一般行政管理事务</w:t>
            </w:r>
          </w:p>
        </w:tc>
        <w:tc>
          <w:tcPr>
            <w:tcW w:w="1361" w:type="dxa"/>
            <w:vAlign w:val="center"/>
          </w:tcPr>
          <w:p>
            <w:pPr>
              <w:pStyle w:val="12"/>
            </w:pPr>
            <w:r>
              <w:t>44.89</w:t>
            </w:r>
          </w:p>
        </w:tc>
        <w:tc>
          <w:tcPr>
            <w:tcW w:w="1361" w:type="dxa"/>
            <w:vAlign w:val="center"/>
          </w:tcPr>
          <w:p>
            <w:pPr>
              <w:pStyle w:val="12"/>
            </w:pPr>
          </w:p>
        </w:tc>
        <w:tc>
          <w:tcPr>
            <w:tcW w:w="1361" w:type="dxa"/>
            <w:vAlign w:val="center"/>
          </w:tcPr>
          <w:p>
            <w:pPr>
              <w:pStyle w:val="12"/>
            </w:pPr>
            <w:r>
              <w:t>44.89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1190.46</w:t>
            </w:r>
          </w:p>
        </w:tc>
        <w:tc>
          <w:tcPr>
            <w:tcW w:w="1361" w:type="dxa"/>
            <w:vAlign w:val="center"/>
          </w:tcPr>
          <w:p>
            <w:pPr>
              <w:pStyle w:val="12"/>
            </w:pPr>
            <w:r>
              <w:t>1190.46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3327.37</w:t>
            </w:r>
          </w:p>
        </w:tc>
        <w:tc>
          <w:tcPr>
            <w:tcW w:w="1361" w:type="dxa"/>
            <w:vAlign w:val="center"/>
          </w:tcPr>
          <w:p>
            <w:pPr>
              <w:pStyle w:val="12"/>
            </w:pPr>
          </w:p>
        </w:tc>
        <w:tc>
          <w:tcPr>
            <w:tcW w:w="1361" w:type="dxa"/>
            <w:vAlign w:val="center"/>
          </w:tcPr>
          <w:p>
            <w:pPr>
              <w:pStyle w:val="12"/>
            </w:pPr>
            <w:r>
              <w:t>3327.37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2130206</w:t>
            </w:r>
          </w:p>
        </w:tc>
        <w:tc>
          <w:tcPr>
            <w:tcW w:w="4535" w:type="dxa"/>
            <w:vAlign w:val="center"/>
          </w:tcPr>
          <w:p>
            <w:pPr>
              <w:pStyle w:val="13"/>
            </w:pPr>
            <w:r>
              <w:t>技术推广与转化</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2130207</w:t>
            </w:r>
          </w:p>
        </w:tc>
        <w:tc>
          <w:tcPr>
            <w:tcW w:w="4535" w:type="dxa"/>
            <w:vAlign w:val="center"/>
          </w:tcPr>
          <w:p>
            <w:pPr>
              <w:pStyle w:val="13"/>
            </w:pPr>
            <w:r>
              <w:t>森林资源管理</w:t>
            </w:r>
          </w:p>
        </w:tc>
        <w:tc>
          <w:tcPr>
            <w:tcW w:w="1361" w:type="dxa"/>
            <w:vAlign w:val="center"/>
          </w:tcPr>
          <w:p>
            <w:pPr>
              <w:pStyle w:val="12"/>
            </w:pPr>
            <w:r>
              <w:t>831.28</w:t>
            </w:r>
          </w:p>
        </w:tc>
        <w:tc>
          <w:tcPr>
            <w:tcW w:w="1361" w:type="dxa"/>
            <w:vAlign w:val="center"/>
          </w:tcPr>
          <w:p>
            <w:pPr>
              <w:pStyle w:val="12"/>
            </w:pPr>
          </w:p>
        </w:tc>
        <w:tc>
          <w:tcPr>
            <w:tcW w:w="1361" w:type="dxa"/>
            <w:vAlign w:val="center"/>
          </w:tcPr>
          <w:p>
            <w:pPr>
              <w:pStyle w:val="12"/>
            </w:pPr>
            <w:r>
              <w:t>831.28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2130211</w:t>
            </w:r>
          </w:p>
        </w:tc>
        <w:tc>
          <w:tcPr>
            <w:tcW w:w="4535" w:type="dxa"/>
            <w:vAlign w:val="center"/>
          </w:tcPr>
          <w:p>
            <w:pPr>
              <w:pStyle w:val="13"/>
            </w:pPr>
            <w:r>
              <w:t>动植物保护</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2130212</w:t>
            </w:r>
          </w:p>
        </w:tc>
        <w:tc>
          <w:tcPr>
            <w:tcW w:w="4535" w:type="dxa"/>
            <w:vAlign w:val="center"/>
          </w:tcPr>
          <w:p>
            <w:pPr>
              <w:pStyle w:val="13"/>
            </w:pPr>
            <w:r>
              <w:t>湿地保护</w:t>
            </w:r>
          </w:p>
        </w:tc>
        <w:tc>
          <w:tcPr>
            <w:tcW w:w="1361" w:type="dxa"/>
            <w:vAlign w:val="center"/>
          </w:tcPr>
          <w:p>
            <w:pPr>
              <w:pStyle w:val="12"/>
            </w:pPr>
            <w:r>
              <w:t>58.50</w:t>
            </w:r>
          </w:p>
        </w:tc>
        <w:tc>
          <w:tcPr>
            <w:tcW w:w="1361" w:type="dxa"/>
            <w:vAlign w:val="center"/>
          </w:tcPr>
          <w:p>
            <w:pPr>
              <w:pStyle w:val="12"/>
            </w:pPr>
          </w:p>
        </w:tc>
        <w:tc>
          <w:tcPr>
            <w:tcW w:w="1361" w:type="dxa"/>
            <w:vAlign w:val="center"/>
          </w:tcPr>
          <w:p>
            <w:pPr>
              <w:pStyle w:val="12"/>
            </w:pPr>
            <w:r>
              <w:t>58.50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2130213</w:t>
            </w:r>
          </w:p>
        </w:tc>
        <w:tc>
          <w:tcPr>
            <w:tcW w:w="4535" w:type="dxa"/>
            <w:vAlign w:val="center"/>
          </w:tcPr>
          <w:p>
            <w:pPr>
              <w:pStyle w:val="13"/>
            </w:pPr>
            <w:r>
              <w:t>执法与监督</w:t>
            </w:r>
          </w:p>
        </w:tc>
        <w:tc>
          <w:tcPr>
            <w:tcW w:w="1361" w:type="dxa"/>
            <w:vAlign w:val="center"/>
          </w:tcPr>
          <w:p>
            <w:pPr>
              <w:pStyle w:val="12"/>
            </w:pPr>
            <w:r>
              <w:t>25.44</w:t>
            </w:r>
          </w:p>
        </w:tc>
        <w:tc>
          <w:tcPr>
            <w:tcW w:w="1361" w:type="dxa"/>
            <w:vAlign w:val="center"/>
          </w:tcPr>
          <w:p>
            <w:pPr>
              <w:pStyle w:val="12"/>
            </w:pPr>
          </w:p>
        </w:tc>
        <w:tc>
          <w:tcPr>
            <w:tcW w:w="1361" w:type="dxa"/>
            <w:vAlign w:val="center"/>
          </w:tcPr>
          <w:p>
            <w:pPr>
              <w:pStyle w:val="12"/>
            </w:pPr>
            <w:r>
              <w:t>25.44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2130221</w:t>
            </w:r>
          </w:p>
        </w:tc>
        <w:tc>
          <w:tcPr>
            <w:tcW w:w="4535" w:type="dxa"/>
            <w:vAlign w:val="center"/>
          </w:tcPr>
          <w:p>
            <w:pPr>
              <w:pStyle w:val="13"/>
            </w:pPr>
            <w:r>
              <w:t>产业化管理</w:t>
            </w:r>
          </w:p>
        </w:tc>
        <w:tc>
          <w:tcPr>
            <w:tcW w:w="1361" w:type="dxa"/>
            <w:vAlign w:val="center"/>
          </w:tcPr>
          <w:p>
            <w:pPr>
              <w:pStyle w:val="12"/>
            </w:pPr>
            <w:r>
              <w:t>177.00</w:t>
            </w:r>
          </w:p>
        </w:tc>
        <w:tc>
          <w:tcPr>
            <w:tcW w:w="1361" w:type="dxa"/>
            <w:vAlign w:val="center"/>
          </w:tcPr>
          <w:p>
            <w:pPr>
              <w:pStyle w:val="12"/>
            </w:pPr>
          </w:p>
        </w:tc>
        <w:tc>
          <w:tcPr>
            <w:tcW w:w="1361" w:type="dxa"/>
            <w:vAlign w:val="center"/>
          </w:tcPr>
          <w:p>
            <w:pPr>
              <w:pStyle w:val="12"/>
            </w:pPr>
            <w:r>
              <w:t>177.00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1000.83</w:t>
            </w:r>
          </w:p>
        </w:tc>
        <w:tc>
          <w:tcPr>
            <w:tcW w:w="1361" w:type="dxa"/>
            <w:vAlign w:val="center"/>
          </w:tcPr>
          <w:p>
            <w:pPr>
              <w:pStyle w:val="12"/>
            </w:pPr>
          </w:p>
        </w:tc>
        <w:tc>
          <w:tcPr>
            <w:tcW w:w="1361" w:type="dxa"/>
            <w:vAlign w:val="center"/>
          </w:tcPr>
          <w:p>
            <w:pPr>
              <w:pStyle w:val="12"/>
            </w:pPr>
            <w:r>
              <w:t>1000.83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2130237</w:t>
            </w:r>
          </w:p>
        </w:tc>
        <w:tc>
          <w:tcPr>
            <w:tcW w:w="4535" w:type="dxa"/>
            <w:vAlign w:val="center"/>
          </w:tcPr>
          <w:p>
            <w:pPr>
              <w:pStyle w:val="13"/>
            </w:pPr>
            <w:r>
              <w:t>行业业务管理</w:t>
            </w:r>
          </w:p>
        </w:tc>
        <w:tc>
          <w:tcPr>
            <w:tcW w:w="1361" w:type="dxa"/>
            <w:vAlign w:val="center"/>
          </w:tcPr>
          <w:p>
            <w:pPr>
              <w:pStyle w:val="12"/>
            </w:pPr>
            <w:r>
              <w:t>18.14</w:t>
            </w:r>
          </w:p>
        </w:tc>
        <w:tc>
          <w:tcPr>
            <w:tcW w:w="1361" w:type="dxa"/>
            <w:vAlign w:val="center"/>
          </w:tcPr>
          <w:p>
            <w:pPr>
              <w:pStyle w:val="12"/>
            </w:pPr>
          </w:p>
        </w:tc>
        <w:tc>
          <w:tcPr>
            <w:tcW w:w="1361" w:type="dxa"/>
            <w:vAlign w:val="center"/>
          </w:tcPr>
          <w:p>
            <w:pPr>
              <w:pStyle w:val="12"/>
            </w:pPr>
            <w:r>
              <w:t>18.14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2130299</w:t>
            </w:r>
          </w:p>
        </w:tc>
        <w:tc>
          <w:tcPr>
            <w:tcW w:w="4535" w:type="dxa"/>
            <w:vAlign w:val="center"/>
          </w:tcPr>
          <w:p>
            <w:pPr>
              <w:pStyle w:val="13"/>
            </w:pPr>
            <w:r>
              <w:t>其他林业和草原支出</w:t>
            </w:r>
          </w:p>
        </w:tc>
        <w:tc>
          <w:tcPr>
            <w:tcW w:w="1361" w:type="dxa"/>
            <w:vAlign w:val="center"/>
          </w:tcPr>
          <w:p>
            <w:pPr>
              <w:pStyle w:val="12"/>
            </w:pPr>
            <w:r>
              <w:t>169.21</w:t>
            </w:r>
          </w:p>
        </w:tc>
        <w:tc>
          <w:tcPr>
            <w:tcW w:w="1361" w:type="dxa"/>
            <w:vAlign w:val="center"/>
          </w:tcPr>
          <w:p>
            <w:pPr>
              <w:pStyle w:val="12"/>
            </w:pPr>
          </w:p>
        </w:tc>
        <w:tc>
          <w:tcPr>
            <w:tcW w:w="1361" w:type="dxa"/>
            <w:vAlign w:val="center"/>
          </w:tcPr>
          <w:p>
            <w:pPr>
              <w:pStyle w:val="12"/>
            </w:pPr>
            <w:r>
              <w:t>169.21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93.05</w:t>
            </w:r>
          </w:p>
        </w:tc>
        <w:tc>
          <w:tcPr>
            <w:tcW w:w="1361" w:type="dxa"/>
            <w:vAlign w:val="center"/>
          </w:tcPr>
          <w:p>
            <w:pPr>
              <w:pStyle w:val="12"/>
            </w:pPr>
            <w:r>
              <w:t>93.05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93.05</w:t>
            </w:r>
          </w:p>
        </w:tc>
        <w:tc>
          <w:tcPr>
            <w:tcW w:w="1361" w:type="dxa"/>
            <w:vAlign w:val="center"/>
          </w:tcPr>
          <w:p>
            <w:pPr>
              <w:pStyle w:val="12"/>
            </w:pPr>
            <w:r>
              <w:t>93.05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93.05</w:t>
            </w:r>
          </w:p>
        </w:tc>
        <w:tc>
          <w:tcPr>
            <w:tcW w:w="1361" w:type="dxa"/>
            <w:vAlign w:val="center"/>
          </w:tcPr>
          <w:p>
            <w:pPr>
              <w:pStyle w:val="12"/>
            </w:pPr>
            <w:r>
              <w:t>93.05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9218.85</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243.40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107.17</w:t>
            </w:r>
          </w:p>
        </w:tc>
        <w:tc>
          <w:tcPr>
            <w:tcW w:w="1474" w:type="dxa"/>
            <w:vAlign w:val="center"/>
          </w:tcPr>
          <w:p>
            <w:pPr>
              <w:pStyle w:val="12"/>
            </w:pPr>
            <w:r>
              <w:t>107.17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393.92</w:t>
            </w:r>
          </w:p>
        </w:tc>
        <w:tc>
          <w:tcPr>
            <w:tcW w:w="1474" w:type="dxa"/>
            <w:vAlign w:val="center"/>
          </w:tcPr>
          <w:p>
            <w:pPr>
              <w:pStyle w:val="12"/>
            </w:pPr>
            <w:r>
              <w:t>393.92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98.55</w:t>
            </w:r>
          </w:p>
        </w:tc>
        <w:tc>
          <w:tcPr>
            <w:tcW w:w="1474" w:type="dxa"/>
            <w:vAlign w:val="center"/>
          </w:tcPr>
          <w:p>
            <w:pPr>
              <w:pStyle w:val="12"/>
            </w:pPr>
            <w:r>
              <w:t>98.55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8524.50</w:t>
            </w:r>
          </w:p>
        </w:tc>
        <w:tc>
          <w:tcPr>
            <w:tcW w:w="1474" w:type="dxa"/>
            <w:vAlign w:val="center"/>
          </w:tcPr>
          <w:p>
            <w:pPr>
              <w:pStyle w:val="12"/>
            </w:pPr>
            <w:r>
              <w:t>4804.50</w:t>
            </w:r>
          </w:p>
        </w:tc>
        <w:tc>
          <w:tcPr>
            <w:tcW w:w="1474" w:type="dxa"/>
            <w:vAlign w:val="center"/>
          </w:tcPr>
          <w:p>
            <w:pPr>
              <w:pStyle w:val="12"/>
            </w:pPr>
            <w:r>
              <w:t>3720.00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243.40</w:t>
            </w:r>
          </w:p>
        </w:tc>
        <w:tc>
          <w:tcPr>
            <w:tcW w:w="1474" w:type="dxa"/>
            <w:vAlign w:val="center"/>
          </w:tcPr>
          <w:p>
            <w:pPr>
              <w:pStyle w:val="12"/>
            </w:pPr>
          </w:p>
        </w:tc>
        <w:tc>
          <w:tcPr>
            <w:tcW w:w="1474" w:type="dxa"/>
            <w:vAlign w:val="center"/>
          </w:tcPr>
          <w:p>
            <w:pPr>
              <w:pStyle w:val="12"/>
            </w:pPr>
            <w:r>
              <w:t>243.40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7546.72</w:t>
            </w:r>
          </w:p>
        </w:tc>
        <w:tc>
          <w:tcPr>
            <w:tcW w:w="1474" w:type="dxa"/>
            <w:vAlign w:val="center"/>
          </w:tcPr>
          <w:p>
            <w:pPr>
              <w:pStyle w:val="12"/>
            </w:pPr>
            <w:r>
              <w:t>7546.72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93.05</w:t>
            </w:r>
          </w:p>
        </w:tc>
        <w:tc>
          <w:tcPr>
            <w:tcW w:w="1474" w:type="dxa"/>
            <w:vAlign w:val="center"/>
          </w:tcPr>
          <w:p>
            <w:pPr>
              <w:pStyle w:val="12"/>
            </w:pPr>
            <w:r>
              <w:t>93.05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9462.25</w:t>
            </w:r>
          </w:p>
        </w:tc>
        <w:tc>
          <w:tcPr>
            <w:tcW w:w="3402" w:type="dxa"/>
            <w:vAlign w:val="center"/>
          </w:tcPr>
          <w:p>
            <w:pPr>
              <w:pStyle w:val="15"/>
            </w:pPr>
            <w:r>
              <w:t>本年支出合计</w:t>
            </w:r>
          </w:p>
        </w:tc>
        <w:tc>
          <w:tcPr>
            <w:tcW w:w="1474" w:type="dxa"/>
            <w:vAlign w:val="center"/>
          </w:tcPr>
          <w:p>
            <w:pPr>
              <w:pStyle w:val="16"/>
            </w:pPr>
            <w:r>
              <w:t>17007.30</w:t>
            </w:r>
          </w:p>
        </w:tc>
        <w:tc>
          <w:tcPr>
            <w:tcW w:w="1474" w:type="dxa"/>
            <w:vAlign w:val="center"/>
          </w:tcPr>
          <w:p>
            <w:pPr>
              <w:pStyle w:val="16"/>
            </w:pPr>
            <w:r>
              <w:t>13043.90</w:t>
            </w:r>
          </w:p>
        </w:tc>
        <w:tc>
          <w:tcPr>
            <w:tcW w:w="1474" w:type="dxa"/>
            <w:vAlign w:val="center"/>
          </w:tcPr>
          <w:p>
            <w:pPr>
              <w:pStyle w:val="16"/>
            </w:pPr>
            <w:r>
              <w:t>3963.40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7545.06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3825.06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3720.00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17007.30</w:t>
            </w:r>
          </w:p>
        </w:tc>
        <w:tc>
          <w:tcPr>
            <w:tcW w:w="3402" w:type="dxa"/>
            <w:vAlign w:val="center"/>
          </w:tcPr>
          <w:p>
            <w:pPr>
              <w:pStyle w:val="15"/>
            </w:pPr>
            <w:r>
              <w:t>支出总计</w:t>
            </w:r>
          </w:p>
        </w:tc>
        <w:tc>
          <w:tcPr>
            <w:tcW w:w="1474" w:type="dxa"/>
            <w:vAlign w:val="center"/>
          </w:tcPr>
          <w:p>
            <w:pPr>
              <w:pStyle w:val="16"/>
            </w:pPr>
            <w:r>
              <w:t>17007.30</w:t>
            </w:r>
          </w:p>
        </w:tc>
        <w:tc>
          <w:tcPr>
            <w:tcW w:w="1474" w:type="dxa"/>
            <w:vAlign w:val="center"/>
          </w:tcPr>
          <w:p>
            <w:pPr>
              <w:pStyle w:val="16"/>
            </w:pPr>
            <w:r>
              <w:t>13043.90</w:t>
            </w:r>
          </w:p>
        </w:tc>
        <w:tc>
          <w:tcPr>
            <w:tcW w:w="1474" w:type="dxa"/>
            <w:vAlign w:val="center"/>
          </w:tcPr>
          <w:p>
            <w:pPr>
              <w:pStyle w:val="16"/>
            </w:pPr>
            <w:r>
              <w:t>3963.40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13043.90</w:t>
            </w:r>
          </w:p>
        </w:tc>
        <w:tc>
          <w:tcPr>
            <w:tcW w:w="2551" w:type="dxa"/>
            <w:vAlign w:val="center"/>
          </w:tcPr>
          <w:p>
            <w:pPr>
              <w:pStyle w:val="16"/>
            </w:pPr>
            <w:r>
              <w:t>2459.57</w:t>
            </w:r>
          </w:p>
        </w:tc>
        <w:tc>
          <w:tcPr>
            <w:tcW w:w="2551" w:type="dxa"/>
            <w:vAlign w:val="center"/>
          </w:tcPr>
          <w:p>
            <w:pPr>
              <w:pStyle w:val="16"/>
            </w:pPr>
            <w:r>
              <w:t>10584.33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107.17</w:t>
            </w:r>
          </w:p>
        </w:tc>
        <w:tc>
          <w:tcPr>
            <w:tcW w:w="2551" w:type="dxa"/>
            <w:vAlign w:val="center"/>
          </w:tcPr>
          <w:p>
            <w:pPr>
              <w:pStyle w:val="12"/>
            </w:pPr>
          </w:p>
        </w:tc>
        <w:tc>
          <w:tcPr>
            <w:tcW w:w="2551"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107.17</w:t>
            </w:r>
          </w:p>
        </w:tc>
        <w:tc>
          <w:tcPr>
            <w:tcW w:w="2551" w:type="dxa"/>
            <w:vAlign w:val="center"/>
          </w:tcPr>
          <w:p>
            <w:pPr>
              <w:pStyle w:val="12"/>
            </w:pPr>
          </w:p>
        </w:tc>
        <w:tc>
          <w:tcPr>
            <w:tcW w:w="2551"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2070114</w:t>
            </w:r>
          </w:p>
        </w:tc>
        <w:tc>
          <w:tcPr>
            <w:tcW w:w="4535" w:type="dxa"/>
            <w:vAlign w:val="center"/>
          </w:tcPr>
          <w:p>
            <w:pPr>
              <w:pStyle w:val="13"/>
            </w:pPr>
            <w:r>
              <w:t>文化和旅游管理事务</w:t>
            </w:r>
          </w:p>
        </w:tc>
        <w:tc>
          <w:tcPr>
            <w:tcW w:w="2551" w:type="dxa"/>
            <w:vAlign w:val="center"/>
          </w:tcPr>
          <w:p>
            <w:pPr>
              <w:pStyle w:val="12"/>
            </w:pPr>
            <w:r>
              <w:t>107.17</w:t>
            </w:r>
          </w:p>
        </w:tc>
        <w:tc>
          <w:tcPr>
            <w:tcW w:w="2551" w:type="dxa"/>
            <w:vAlign w:val="center"/>
          </w:tcPr>
          <w:p>
            <w:pPr>
              <w:pStyle w:val="12"/>
            </w:pPr>
          </w:p>
        </w:tc>
        <w:tc>
          <w:tcPr>
            <w:tcW w:w="2551" w:type="dxa"/>
            <w:vAlign w:val="center"/>
          </w:tcPr>
          <w:p>
            <w:pPr>
              <w:pStyle w:val="12"/>
            </w:pPr>
            <w:r>
              <w:t>107.17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393.92</w:t>
            </w:r>
          </w:p>
        </w:tc>
        <w:tc>
          <w:tcPr>
            <w:tcW w:w="2551" w:type="dxa"/>
            <w:vAlign w:val="center"/>
          </w:tcPr>
          <w:p>
            <w:pPr>
              <w:pStyle w:val="12"/>
            </w:pPr>
            <w:r>
              <w:t>393.92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349.81</w:t>
            </w:r>
          </w:p>
        </w:tc>
        <w:tc>
          <w:tcPr>
            <w:tcW w:w="2551" w:type="dxa"/>
            <w:vAlign w:val="center"/>
          </w:tcPr>
          <w:p>
            <w:pPr>
              <w:pStyle w:val="12"/>
            </w:pPr>
            <w:r>
              <w:t>349.81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37.31</w:t>
            </w:r>
          </w:p>
        </w:tc>
        <w:tc>
          <w:tcPr>
            <w:tcW w:w="2551" w:type="dxa"/>
            <w:vAlign w:val="center"/>
          </w:tcPr>
          <w:p>
            <w:pPr>
              <w:pStyle w:val="12"/>
            </w:pPr>
            <w:r>
              <w:t>37.31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73.47</w:t>
            </w:r>
          </w:p>
        </w:tc>
        <w:tc>
          <w:tcPr>
            <w:tcW w:w="2551" w:type="dxa"/>
            <w:vAlign w:val="center"/>
          </w:tcPr>
          <w:p>
            <w:pPr>
              <w:pStyle w:val="12"/>
            </w:pPr>
            <w:r>
              <w:t>73.47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181.17</w:t>
            </w:r>
          </w:p>
        </w:tc>
        <w:tc>
          <w:tcPr>
            <w:tcW w:w="2551" w:type="dxa"/>
            <w:vAlign w:val="center"/>
          </w:tcPr>
          <w:p>
            <w:pPr>
              <w:pStyle w:val="12"/>
            </w:pPr>
            <w:r>
              <w:t>181.17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57.86</w:t>
            </w:r>
          </w:p>
        </w:tc>
        <w:tc>
          <w:tcPr>
            <w:tcW w:w="2551" w:type="dxa"/>
            <w:vAlign w:val="center"/>
          </w:tcPr>
          <w:p>
            <w:pPr>
              <w:pStyle w:val="12"/>
            </w:pPr>
            <w:r>
              <w:t>57.86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44.11</w:t>
            </w:r>
          </w:p>
        </w:tc>
        <w:tc>
          <w:tcPr>
            <w:tcW w:w="2551" w:type="dxa"/>
            <w:vAlign w:val="center"/>
          </w:tcPr>
          <w:p>
            <w:pPr>
              <w:pStyle w:val="12"/>
            </w:pPr>
            <w:r>
              <w:t>44.11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44.11</w:t>
            </w:r>
          </w:p>
        </w:tc>
        <w:tc>
          <w:tcPr>
            <w:tcW w:w="2551" w:type="dxa"/>
            <w:vAlign w:val="center"/>
          </w:tcPr>
          <w:p>
            <w:pPr>
              <w:pStyle w:val="12"/>
            </w:pPr>
            <w:r>
              <w:t>44.11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98.55</w:t>
            </w:r>
          </w:p>
        </w:tc>
        <w:tc>
          <w:tcPr>
            <w:tcW w:w="2551" w:type="dxa"/>
            <w:vAlign w:val="center"/>
          </w:tcPr>
          <w:p>
            <w:pPr>
              <w:pStyle w:val="12"/>
            </w:pPr>
            <w:r>
              <w:t>98.55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98.55</w:t>
            </w:r>
          </w:p>
        </w:tc>
        <w:tc>
          <w:tcPr>
            <w:tcW w:w="2551" w:type="dxa"/>
            <w:vAlign w:val="center"/>
          </w:tcPr>
          <w:p>
            <w:pPr>
              <w:pStyle w:val="12"/>
            </w:pPr>
            <w:r>
              <w:t>98.55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7.79</w:t>
            </w:r>
          </w:p>
        </w:tc>
        <w:tc>
          <w:tcPr>
            <w:tcW w:w="2551" w:type="dxa"/>
            <w:vAlign w:val="center"/>
          </w:tcPr>
          <w:p>
            <w:pPr>
              <w:pStyle w:val="12"/>
            </w:pPr>
            <w:r>
              <w:t>7.79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90.76</w:t>
            </w:r>
          </w:p>
        </w:tc>
        <w:tc>
          <w:tcPr>
            <w:tcW w:w="2551" w:type="dxa"/>
            <w:vAlign w:val="center"/>
          </w:tcPr>
          <w:p>
            <w:pPr>
              <w:pStyle w:val="12"/>
            </w:pPr>
            <w:r>
              <w:t>90.76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4804.50</w:t>
            </w:r>
          </w:p>
        </w:tc>
        <w:tc>
          <w:tcPr>
            <w:tcW w:w="2551" w:type="dxa"/>
            <w:vAlign w:val="center"/>
          </w:tcPr>
          <w:p>
            <w:pPr>
              <w:pStyle w:val="12"/>
            </w:pPr>
          </w:p>
        </w:tc>
        <w:tc>
          <w:tcPr>
            <w:tcW w:w="2551" w:type="dxa"/>
            <w:vAlign w:val="center"/>
          </w:tcPr>
          <w:p>
            <w:pPr>
              <w:pStyle w:val="12"/>
            </w:pPr>
            <w:r>
              <w:t>4804.50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970.55</w:t>
            </w:r>
          </w:p>
        </w:tc>
        <w:tc>
          <w:tcPr>
            <w:tcW w:w="2551" w:type="dxa"/>
            <w:vAlign w:val="center"/>
          </w:tcPr>
          <w:p>
            <w:pPr>
              <w:pStyle w:val="12"/>
            </w:pPr>
          </w:p>
        </w:tc>
        <w:tc>
          <w:tcPr>
            <w:tcW w:w="2551" w:type="dxa"/>
            <w:vAlign w:val="center"/>
          </w:tcPr>
          <w:p>
            <w:pPr>
              <w:pStyle w:val="12"/>
            </w:pPr>
            <w:r>
              <w:t>970.55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2110401</w:t>
            </w:r>
          </w:p>
        </w:tc>
        <w:tc>
          <w:tcPr>
            <w:tcW w:w="4535" w:type="dxa"/>
            <w:vAlign w:val="center"/>
          </w:tcPr>
          <w:p>
            <w:pPr>
              <w:pStyle w:val="13"/>
            </w:pPr>
            <w:r>
              <w:t>生态保护</w:t>
            </w:r>
          </w:p>
        </w:tc>
        <w:tc>
          <w:tcPr>
            <w:tcW w:w="2551" w:type="dxa"/>
            <w:vAlign w:val="center"/>
          </w:tcPr>
          <w:p>
            <w:pPr>
              <w:pStyle w:val="12"/>
            </w:pPr>
            <w:r>
              <w:t>793.55</w:t>
            </w:r>
          </w:p>
        </w:tc>
        <w:tc>
          <w:tcPr>
            <w:tcW w:w="2551" w:type="dxa"/>
            <w:vAlign w:val="center"/>
          </w:tcPr>
          <w:p>
            <w:pPr>
              <w:pStyle w:val="12"/>
            </w:pPr>
          </w:p>
        </w:tc>
        <w:tc>
          <w:tcPr>
            <w:tcW w:w="2551" w:type="dxa"/>
            <w:vAlign w:val="center"/>
          </w:tcPr>
          <w:p>
            <w:pPr>
              <w:pStyle w:val="12"/>
            </w:pPr>
            <w:r>
              <w:t>793.55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2110406</w:t>
            </w:r>
          </w:p>
        </w:tc>
        <w:tc>
          <w:tcPr>
            <w:tcW w:w="4535" w:type="dxa"/>
            <w:vAlign w:val="center"/>
          </w:tcPr>
          <w:p>
            <w:pPr>
              <w:pStyle w:val="13"/>
            </w:pPr>
            <w:r>
              <w:t>自然保护地</w:t>
            </w:r>
          </w:p>
        </w:tc>
        <w:tc>
          <w:tcPr>
            <w:tcW w:w="2551" w:type="dxa"/>
            <w:vAlign w:val="center"/>
          </w:tcPr>
          <w:p>
            <w:pPr>
              <w:pStyle w:val="12"/>
            </w:pPr>
            <w:r>
              <w:t>162.00</w:t>
            </w:r>
          </w:p>
        </w:tc>
        <w:tc>
          <w:tcPr>
            <w:tcW w:w="2551" w:type="dxa"/>
            <w:vAlign w:val="center"/>
          </w:tcPr>
          <w:p>
            <w:pPr>
              <w:pStyle w:val="12"/>
            </w:pPr>
          </w:p>
        </w:tc>
        <w:tc>
          <w:tcPr>
            <w:tcW w:w="2551" w:type="dxa"/>
            <w:vAlign w:val="center"/>
          </w:tcPr>
          <w:p>
            <w:pPr>
              <w:pStyle w:val="12"/>
            </w:pPr>
            <w:r>
              <w:t>162.00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21105</w:t>
            </w:r>
          </w:p>
        </w:tc>
        <w:tc>
          <w:tcPr>
            <w:tcW w:w="4535" w:type="dxa"/>
            <w:vAlign w:val="center"/>
          </w:tcPr>
          <w:p>
            <w:pPr>
              <w:pStyle w:val="13"/>
            </w:pPr>
            <w:r>
              <w:t>森林保护修复</w:t>
            </w:r>
          </w:p>
        </w:tc>
        <w:tc>
          <w:tcPr>
            <w:tcW w:w="2551" w:type="dxa"/>
            <w:vAlign w:val="center"/>
          </w:tcPr>
          <w:p>
            <w:pPr>
              <w:pStyle w:val="12"/>
            </w:pPr>
            <w:r>
              <w:t>3833.95</w:t>
            </w:r>
          </w:p>
        </w:tc>
        <w:tc>
          <w:tcPr>
            <w:tcW w:w="2551" w:type="dxa"/>
            <w:vAlign w:val="center"/>
          </w:tcPr>
          <w:p>
            <w:pPr>
              <w:pStyle w:val="12"/>
            </w:pPr>
          </w:p>
        </w:tc>
        <w:tc>
          <w:tcPr>
            <w:tcW w:w="2551" w:type="dxa"/>
            <w:vAlign w:val="center"/>
          </w:tcPr>
          <w:p>
            <w:pPr>
              <w:pStyle w:val="12"/>
            </w:pPr>
            <w:r>
              <w:t>3833.95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2110501</w:t>
            </w:r>
          </w:p>
        </w:tc>
        <w:tc>
          <w:tcPr>
            <w:tcW w:w="4535" w:type="dxa"/>
            <w:vAlign w:val="center"/>
          </w:tcPr>
          <w:p>
            <w:pPr>
              <w:pStyle w:val="13"/>
            </w:pPr>
            <w:r>
              <w:t>森林管护</w:t>
            </w:r>
          </w:p>
        </w:tc>
        <w:tc>
          <w:tcPr>
            <w:tcW w:w="2551" w:type="dxa"/>
            <w:vAlign w:val="center"/>
          </w:tcPr>
          <w:p>
            <w:pPr>
              <w:pStyle w:val="12"/>
            </w:pPr>
            <w:r>
              <w:t>3491.30</w:t>
            </w:r>
          </w:p>
        </w:tc>
        <w:tc>
          <w:tcPr>
            <w:tcW w:w="2551" w:type="dxa"/>
            <w:vAlign w:val="center"/>
          </w:tcPr>
          <w:p>
            <w:pPr>
              <w:pStyle w:val="12"/>
            </w:pPr>
          </w:p>
        </w:tc>
        <w:tc>
          <w:tcPr>
            <w:tcW w:w="2551" w:type="dxa"/>
            <w:vAlign w:val="center"/>
          </w:tcPr>
          <w:p>
            <w:pPr>
              <w:pStyle w:val="12"/>
            </w:pPr>
            <w:r>
              <w:t>3491.30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2110507</w:t>
            </w:r>
          </w:p>
        </w:tc>
        <w:tc>
          <w:tcPr>
            <w:tcW w:w="4535" w:type="dxa"/>
            <w:vAlign w:val="center"/>
          </w:tcPr>
          <w:p>
            <w:pPr>
              <w:pStyle w:val="13"/>
            </w:pPr>
            <w:r>
              <w:t>停伐补助</w:t>
            </w:r>
          </w:p>
        </w:tc>
        <w:tc>
          <w:tcPr>
            <w:tcW w:w="2551" w:type="dxa"/>
            <w:vAlign w:val="center"/>
          </w:tcPr>
          <w:p>
            <w:pPr>
              <w:pStyle w:val="12"/>
            </w:pPr>
            <w:r>
              <w:t>342.65</w:t>
            </w:r>
          </w:p>
        </w:tc>
        <w:tc>
          <w:tcPr>
            <w:tcW w:w="2551" w:type="dxa"/>
            <w:vAlign w:val="center"/>
          </w:tcPr>
          <w:p>
            <w:pPr>
              <w:pStyle w:val="12"/>
            </w:pPr>
          </w:p>
        </w:tc>
        <w:tc>
          <w:tcPr>
            <w:tcW w:w="2551" w:type="dxa"/>
            <w:vAlign w:val="center"/>
          </w:tcPr>
          <w:p>
            <w:pPr>
              <w:pStyle w:val="12"/>
            </w:pPr>
            <w:r>
              <w:t>342.65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7546.72</w:t>
            </w:r>
          </w:p>
        </w:tc>
        <w:tc>
          <w:tcPr>
            <w:tcW w:w="2551" w:type="dxa"/>
            <w:vAlign w:val="center"/>
          </w:tcPr>
          <w:p>
            <w:pPr>
              <w:pStyle w:val="12"/>
            </w:pPr>
            <w:r>
              <w:t>1874.06</w:t>
            </w:r>
          </w:p>
        </w:tc>
        <w:tc>
          <w:tcPr>
            <w:tcW w:w="2551" w:type="dxa"/>
            <w:vAlign w:val="center"/>
          </w:tcPr>
          <w:p>
            <w:pPr>
              <w:pStyle w:val="12"/>
            </w:pPr>
            <w:r>
              <w:t>5672.66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7546.72</w:t>
            </w:r>
          </w:p>
        </w:tc>
        <w:tc>
          <w:tcPr>
            <w:tcW w:w="2551" w:type="dxa"/>
            <w:vAlign w:val="center"/>
          </w:tcPr>
          <w:p>
            <w:pPr>
              <w:pStyle w:val="12"/>
            </w:pPr>
            <w:r>
              <w:t>1874.06</w:t>
            </w:r>
          </w:p>
        </w:tc>
        <w:tc>
          <w:tcPr>
            <w:tcW w:w="2551" w:type="dxa"/>
            <w:vAlign w:val="center"/>
          </w:tcPr>
          <w:p>
            <w:pPr>
              <w:pStyle w:val="12"/>
            </w:pPr>
            <w:r>
              <w:t>5672.66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683.60</w:t>
            </w:r>
          </w:p>
        </w:tc>
        <w:tc>
          <w:tcPr>
            <w:tcW w:w="2551" w:type="dxa"/>
            <w:vAlign w:val="center"/>
          </w:tcPr>
          <w:p>
            <w:pPr>
              <w:pStyle w:val="12"/>
            </w:pPr>
            <w:r>
              <w:t>683.60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2130202</w:t>
            </w:r>
          </w:p>
        </w:tc>
        <w:tc>
          <w:tcPr>
            <w:tcW w:w="4535" w:type="dxa"/>
            <w:vAlign w:val="center"/>
          </w:tcPr>
          <w:p>
            <w:pPr>
              <w:pStyle w:val="13"/>
            </w:pPr>
            <w:r>
              <w:t>一般行政管理事务</w:t>
            </w:r>
          </w:p>
        </w:tc>
        <w:tc>
          <w:tcPr>
            <w:tcW w:w="2551" w:type="dxa"/>
            <w:vAlign w:val="center"/>
          </w:tcPr>
          <w:p>
            <w:pPr>
              <w:pStyle w:val="12"/>
            </w:pPr>
            <w:r>
              <w:t>44.89</w:t>
            </w:r>
          </w:p>
        </w:tc>
        <w:tc>
          <w:tcPr>
            <w:tcW w:w="2551" w:type="dxa"/>
            <w:vAlign w:val="center"/>
          </w:tcPr>
          <w:p>
            <w:pPr>
              <w:pStyle w:val="12"/>
            </w:pPr>
          </w:p>
        </w:tc>
        <w:tc>
          <w:tcPr>
            <w:tcW w:w="2551" w:type="dxa"/>
            <w:vAlign w:val="center"/>
          </w:tcPr>
          <w:p>
            <w:pPr>
              <w:pStyle w:val="12"/>
            </w:pPr>
            <w:r>
              <w:t>44.89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1190.46</w:t>
            </w:r>
          </w:p>
        </w:tc>
        <w:tc>
          <w:tcPr>
            <w:tcW w:w="2551" w:type="dxa"/>
            <w:vAlign w:val="center"/>
          </w:tcPr>
          <w:p>
            <w:pPr>
              <w:pStyle w:val="12"/>
            </w:pPr>
            <w:r>
              <w:t>1190.46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3327.37</w:t>
            </w:r>
          </w:p>
        </w:tc>
        <w:tc>
          <w:tcPr>
            <w:tcW w:w="2551" w:type="dxa"/>
            <w:vAlign w:val="center"/>
          </w:tcPr>
          <w:p>
            <w:pPr>
              <w:pStyle w:val="12"/>
            </w:pPr>
          </w:p>
        </w:tc>
        <w:tc>
          <w:tcPr>
            <w:tcW w:w="2551" w:type="dxa"/>
            <w:vAlign w:val="center"/>
          </w:tcPr>
          <w:p>
            <w:pPr>
              <w:pStyle w:val="12"/>
            </w:pPr>
            <w:r>
              <w:t>3327.37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2130206</w:t>
            </w:r>
          </w:p>
        </w:tc>
        <w:tc>
          <w:tcPr>
            <w:tcW w:w="4535" w:type="dxa"/>
            <w:vAlign w:val="center"/>
          </w:tcPr>
          <w:p>
            <w:pPr>
              <w:pStyle w:val="13"/>
            </w:pPr>
            <w:r>
              <w:t>技术推广与转化</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2130207</w:t>
            </w:r>
          </w:p>
        </w:tc>
        <w:tc>
          <w:tcPr>
            <w:tcW w:w="4535" w:type="dxa"/>
            <w:vAlign w:val="center"/>
          </w:tcPr>
          <w:p>
            <w:pPr>
              <w:pStyle w:val="13"/>
            </w:pPr>
            <w:r>
              <w:t>森林资源管理</w:t>
            </w:r>
          </w:p>
        </w:tc>
        <w:tc>
          <w:tcPr>
            <w:tcW w:w="2551" w:type="dxa"/>
            <w:vAlign w:val="center"/>
          </w:tcPr>
          <w:p>
            <w:pPr>
              <w:pStyle w:val="12"/>
            </w:pPr>
            <w:r>
              <w:t>831.28</w:t>
            </w:r>
          </w:p>
        </w:tc>
        <w:tc>
          <w:tcPr>
            <w:tcW w:w="2551" w:type="dxa"/>
            <w:vAlign w:val="center"/>
          </w:tcPr>
          <w:p>
            <w:pPr>
              <w:pStyle w:val="12"/>
            </w:pPr>
          </w:p>
        </w:tc>
        <w:tc>
          <w:tcPr>
            <w:tcW w:w="2551" w:type="dxa"/>
            <w:vAlign w:val="center"/>
          </w:tcPr>
          <w:p>
            <w:pPr>
              <w:pStyle w:val="12"/>
            </w:pPr>
            <w:r>
              <w:t>831.28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2130211</w:t>
            </w:r>
          </w:p>
        </w:tc>
        <w:tc>
          <w:tcPr>
            <w:tcW w:w="4535" w:type="dxa"/>
            <w:vAlign w:val="center"/>
          </w:tcPr>
          <w:p>
            <w:pPr>
              <w:pStyle w:val="13"/>
            </w:pPr>
            <w:r>
              <w:t>动植物保护</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2130212</w:t>
            </w:r>
          </w:p>
        </w:tc>
        <w:tc>
          <w:tcPr>
            <w:tcW w:w="4535" w:type="dxa"/>
            <w:vAlign w:val="center"/>
          </w:tcPr>
          <w:p>
            <w:pPr>
              <w:pStyle w:val="13"/>
            </w:pPr>
            <w:r>
              <w:t>湿地保护</w:t>
            </w:r>
          </w:p>
        </w:tc>
        <w:tc>
          <w:tcPr>
            <w:tcW w:w="2551" w:type="dxa"/>
            <w:vAlign w:val="center"/>
          </w:tcPr>
          <w:p>
            <w:pPr>
              <w:pStyle w:val="12"/>
            </w:pPr>
            <w:r>
              <w:t>58.50</w:t>
            </w:r>
          </w:p>
        </w:tc>
        <w:tc>
          <w:tcPr>
            <w:tcW w:w="2551" w:type="dxa"/>
            <w:vAlign w:val="center"/>
          </w:tcPr>
          <w:p>
            <w:pPr>
              <w:pStyle w:val="12"/>
            </w:pPr>
          </w:p>
        </w:tc>
        <w:tc>
          <w:tcPr>
            <w:tcW w:w="2551" w:type="dxa"/>
            <w:vAlign w:val="center"/>
          </w:tcPr>
          <w:p>
            <w:pPr>
              <w:pStyle w:val="12"/>
            </w:pPr>
            <w:r>
              <w:t>58.50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2130213</w:t>
            </w:r>
          </w:p>
        </w:tc>
        <w:tc>
          <w:tcPr>
            <w:tcW w:w="4535" w:type="dxa"/>
            <w:vAlign w:val="center"/>
          </w:tcPr>
          <w:p>
            <w:pPr>
              <w:pStyle w:val="13"/>
            </w:pPr>
            <w:r>
              <w:t>执法与监督</w:t>
            </w:r>
          </w:p>
        </w:tc>
        <w:tc>
          <w:tcPr>
            <w:tcW w:w="2551" w:type="dxa"/>
            <w:vAlign w:val="center"/>
          </w:tcPr>
          <w:p>
            <w:pPr>
              <w:pStyle w:val="12"/>
            </w:pPr>
            <w:r>
              <w:t>25.44</w:t>
            </w:r>
          </w:p>
        </w:tc>
        <w:tc>
          <w:tcPr>
            <w:tcW w:w="2551" w:type="dxa"/>
            <w:vAlign w:val="center"/>
          </w:tcPr>
          <w:p>
            <w:pPr>
              <w:pStyle w:val="12"/>
            </w:pPr>
          </w:p>
        </w:tc>
        <w:tc>
          <w:tcPr>
            <w:tcW w:w="2551" w:type="dxa"/>
            <w:vAlign w:val="center"/>
          </w:tcPr>
          <w:p>
            <w:pPr>
              <w:pStyle w:val="12"/>
            </w:pPr>
            <w:r>
              <w:t>25.44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2130221</w:t>
            </w:r>
          </w:p>
        </w:tc>
        <w:tc>
          <w:tcPr>
            <w:tcW w:w="4535" w:type="dxa"/>
            <w:vAlign w:val="center"/>
          </w:tcPr>
          <w:p>
            <w:pPr>
              <w:pStyle w:val="13"/>
            </w:pPr>
            <w:r>
              <w:t>产业化管理</w:t>
            </w:r>
          </w:p>
        </w:tc>
        <w:tc>
          <w:tcPr>
            <w:tcW w:w="2551" w:type="dxa"/>
            <w:vAlign w:val="center"/>
          </w:tcPr>
          <w:p>
            <w:pPr>
              <w:pStyle w:val="12"/>
            </w:pPr>
            <w:r>
              <w:t>177.00</w:t>
            </w:r>
          </w:p>
        </w:tc>
        <w:tc>
          <w:tcPr>
            <w:tcW w:w="2551" w:type="dxa"/>
            <w:vAlign w:val="center"/>
          </w:tcPr>
          <w:p>
            <w:pPr>
              <w:pStyle w:val="12"/>
            </w:pPr>
          </w:p>
        </w:tc>
        <w:tc>
          <w:tcPr>
            <w:tcW w:w="2551" w:type="dxa"/>
            <w:vAlign w:val="center"/>
          </w:tcPr>
          <w:p>
            <w:pPr>
              <w:pStyle w:val="12"/>
            </w:pPr>
            <w:r>
              <w:t>177.00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1000.83</w:t>
            </w:r>
          </w:p>
        </w:tc>
        <w:tc>
          <w:tcPr>
            <w:tcW w:w="2551" w:type="dxa"/>
            <w:vAlign w:val="center"/>
          </w:tcPr>
          <w:p>
            <w:pPr>
              <w:pStyle w:val="12"/>
            </w:pPr>
          </w:p>
        </w:tc>
        <w:tc>
          <w:tcPr>
            <w:tcW w:w="2551" w:type="dxa"/>
            <w:vAlign w:val="center"/>
          </w:tcPr>
          <w:p>
            <w:pPr>
              <w:pStyle w:val="12"/>
            </w:pPr>
            <w:r>
              <w:t>1000.83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2130237</w:t>
            </w:r>
          </w:p>
        </w:tc>
        <w:tc>
          <w:tcPr>
            <w:tcW w:w="4535" w:type="dxa"/>
            <w:vAlign w:val="center"/>
          </w:tcPr>
          <w:p>
            <w:pPr>
              <w:pStyle w:val="13"/>
            </w:pPr>
            <w:r>
              <w:t>行业业务管理</w:t>
            </w:r>
          </w:p>
        </w:tc>
        <w:tc>
          <w:tcPr>
            <w:tcW w:w="2551" w:type="dxa"/>
            <w:vAlign w:val="center"/>
          </w:tcPr>
          <w:p>
            <w:pPr>
              <w:pStyle w:val="12"/>
            </w:pPr>
            <w:r>
              <w:t>18.14</w:t>
            </w:r>
          </w:p>
        </w:tc>
        <w:tc>
          <w:tcPr>
            <w:tcW w:w="2551" w:type="dxa"/>
            <w:vAlign w:val="center"/>
          </w:tcPr>
          <w:p>
            <w:pPr>
              <w:pStyle w:val="12"/>
            </w:pPr>
          </w:p>
        </w:tc>
        <w:tc>
          <w:tcPr>
            <w:tcW w:w="2551" w:type="dxa"/>
            <w:vAlign w:val="center"/>
          </w:tcPr>
          <w:p>
            <w:pPr>
              <w:pStyle w:val="12"/>
            </w:pPr>
            <w:r>
              <w:t>18.14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2130299</w:t>
            </w:r>
          </w:p>
        </w:tc>
        <w:tc>
          <w:tcPr>
            <w:tcW w:w="4535" w:type="dxa"/>
            <w:vAlign w:val="center"/>
          </w:tcPr>
          <w:p>
            <w:pPr>
              <w:pStyle w:val="13"/>
            </w:pPr>
            <w:r>
              <w:t>其他林业和草原支出</w:t>
            </w:r>
          </w:p>
        </w:tc>
        <w:tc>
          <w:tcPr>
            <w:tcW w:w="2551" w:type="dxa"/>
            <w:vAlign w:val="center"/>
          </w:tcPr>
          <w:p>
            <w:pPr>
              <w:pStyle w:val="12"/>
            </w:pPr>
            <w:r>
              <w:t>169.21</w:t>
            </w:r>
          </w:p>
        </w:tc>
        <w:tc>
          <w:tcPr>
            <w:tcW w:w="2551" w:type="dxa"/>
            <w:vAlign w:val="center"/>
          </w:tcPr>
          <w:p>
            <w:pPr>
              <w:pStyle w:val="12"/>
            </w:pPr>
          </w:p>
        </w:tc>
        <w:tc>
          <w:tcPr>
            <w:tcW w:w="2551" w:type="dxa"/>
            <w:vAlign w:val="center"/>
          </w:tcPr>
          <w:p>
            <w:pPr>
              <w:pStyle w:val="12"/>
            </w:pPr>
            <w:r>
              <w:t>169.21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93.05</w:t>
            </w:r>
          </w:p>
        </w:tc>
        <w:tc>
          <w:tcPr>
            <w:tcW w:w="2551" w:type="dxa"/>
            <w:vAlign w:val="center"/>
          </w:tcPr>
          <w:p>
            <w:pPr>
              <w:pStyle w:val="12"/>
            </w:pPr>
            <w:r>
              <w:t>93.05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93.05</w:t>
            </w:r>
          </w:p>
        </w:tc>
        <w:tc>
          <w:tcPr>
            <w:tcW w:w="2551" w:type="dxa"/>
            <w:vAlign w:val="center"/>
          </w:tcPr>
          <w:p>
            <w:pPr>
              <w:pStyle w:val="12"/>
            </w:pPr>
            <w:r>
              <w:t>93.05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93.05</w:t>
            </w:r>
          </w:p>
        </w:tc>
        <w:tc>
          <w:tcPr>
            <w:tcW w:w="2551" w:type="dxa"/>
            <w:vAlign w:val="center"/>
          </w:tcPr>
          <w:p>
            <w:pPr>
              <w:pStyle w:val="12"/>
            </w:pPr>
            <w:r>
              <w:t>93.05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2459.57</w:t>
            </w:r>
          </w:p>
        </w:tc>
        <w:tc>
          <w:tcPr>
            <w:tcW w:w="2551" w:type="dxa"/>
            <w:vAlign w:val="center"/>
          </w:tcPr>
          <w:p>
            <w:pPr>
              <w:pStyle w:val="16"/>
            </w:pPr>
            <w:r>
              <w:t>2283.69</w:t>
            </w:r>
          </w:p>
        </w:tc>
        <w:tc>
          <w:tcPr>
            <w:tcW w:w="2551" w:type="dxa"/>
            <w:vAlign w:val="center"/>
          </w:tcPr>
          <w:p>
            <w:pPr>
              <w:pStyle w:val="16"/>
            </w:pPr>
            <w:r>
              <w:t>175.89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2128.80</w:t>
            </w:r>
          </w:p>
        </w:tc>
        <w:tc>
          <w:tcPr>
            <w:tcW w:w="2551" w:type="dxa"/>
            <w:vAlign w:val="center"/>
          </w:tcPr>
          <w:p>
            <w:pPr>
              <w:pStyle w:val="12"/>
            </w:pPr>
            <w:r>
              <w:t>2128.80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663.99</w:t>
            </w:r>
          </w:p>
        </w:tc>
        <w:tc>
          <w:tcPr>
            <w:tcW w:w="2551" w:type="dxa"/>
            <w:vAlign w:val="center"/>
          </w:tcPr>
          <w:p>
            <w:pPr>
              <w:pStyle w:val="12"/>
            </w:pPr>
            <w:r>
              <w:t>663.99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113.48</w:t>
            </w:r>
          </w:p>
        </w:tc>
        <w:tc>
          <w:tcPr>
            <w:tcW w:w="2551" w:type="dxa"/>
            <w:vAlign w:val="center"/>
          </w:tcPr>
          <w:p>
            <w:pPr>
              <w:pStyle w:val="12"/>
            </w:pPr>
            <w:r>
              <w:t>113.48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12.81</w:t>
            </w:r>
          </w:p>
        </w:tc>
        <w:tc>
          <w:tcPr>
            <w:tcW w:w="2551" w:type="dxa"/>
            <w:vAlign w:val="center"/>
          </w:tcPr>
          <w:p>
            <w:pPr>
              <w:pStyle w:val="12"/>
            </w:pPr>
            <w:r>
              <w:t>12.81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365.28</w:t>
            </w:r>
          </w:p>
        </w:tc>
        <w:tc>
          <w:tcPr>
            <w:tcW w:w="2551" w:type="dxa"/>
            <w:vAlign w:val="center"/>
          </w:tcPr>
          <w:p>
            <w:pPr>
              <w:pStyle w:val="12"/>
            </w:pPr>
            <w:r>
              <w:t>365.28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181.17</w:t>
            </w:r>
          </w:p>
        </w:tc>
        <w:tc>
          <w:tcPr>
            <w:tcW w:w="2551" w:type="dxa"/>
            <w:vAlign w:val="center"/>
          </w:tcPr>
          <w:p>
            <w:pPr>
              <w:pStyle w:val="12"/>
            </w:pPr>
            <w:r>
              <w:t>181.17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57.86</w:t>
            </w:r>
          </w:p>
        </w:tc>
        <w:tc>
          <w:tcPr>
            <w:tcW w:w="2551" w:type="dxa"/>
            <w:vAlign w:val="center"/>
          </w:tcPr>
          <w:p>
            <w:pPr>
              <w:pStyle w:val="12"/>
            </w:pPr>
            <w:r>
              <w:t>57.86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98.55</w:t>
            </w:r>
          </w:p>
        </w:tc>
        <w:tc>
          <w:tcPr>
            <w:tcW w:w="2551" w:type="dxa"/>
            <w:vAlign w:val="center"/>
          </w:tcPr>
          <w:p>
            <w:pPr>
              <w:pStyle w:val="12"/>
            </w:pPr>
            <w:r>
              <w:t>98.55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11.15</w:t>
            </w:r>
          </w:p>
        </w:tc>
        <w:tc>
          <w:tcPr>
            <w:tcW w:w="2551" w:type="dxa"/>
            <w:vAlign w:val="center"/>
          </w:tcPr>
          <w:p>
            <w:pPr>
              <w:pStyle w:val="12"/>
            </w:pPr>
            <w:r>
              <w:t>11.15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93.05</w:t>
            </w:r>
          </w:p>
        </w:tc>
        <w:tc>
          <w:tcPr>
            <w:tcW w:w="2551" w:type="dxa"/>
            <w:vAlign w:val="center"/>
          </w:tcPr>
          <w:p>
            <w:pPr>
              <w:pStyle w:val="12"/>
            </w:pPr>
            <w:r>
              <w:t>93.05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531.47</w:t>
            </w:r>
          </w:p>
        </w:tc>
        <w:tc>
          <w:tcPr>
            <w:tcW w:w="2551" w:type="dxa"/>
            <w:vAlign w:val="center"/>
          </w:tcPr>
          <w:p>
            <w:pPr>
              <w:pStyle w:val="12"/>
            </w:pPr>
            <w:r>
              <w:t>531.47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175.80</w:t>
            </w:r>
          </w:p>
        </w:tc>
        <w:tc>
          <w:tcPr>
            <w:tcW w:w="2551" w:type="dxa"/>
            <w:vAlign w:val="center"/>
          </w:tcPr>
          <w:p>
            <w:pPr>
              <w:pStyle w:val="12"/>
            </w:pPr>
          </w:p>
        </w:tc>
        <w:tc>
          <w:tcPr>
            <w:tcW w:w="2551" w:type="dxa"/>
            <w:vAlign w:val="center"/>
          </w:tcPr>
          <w:p>
            <w:pPr>
              <w:pStyle w:val="12"/>
            </w:pPr>
            <w:r>
              <w:t>175.80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39.37</w:t>
            </w:r>
          </w:p>
        </w:tc>
        <w:tc>
          <w:tcPr>
            <w:tcW w:w="2551" w:type="dxa"/>
            <w:vAlign w:val="center"/>
          </w:tcPr>
          <w:p>
            <w:pPr>
              <w:pStyle w:val="12"/>
            </w:pPr>
          </w:p>
        </w:tc>
        <w:tc>
          <w:tcPr>
            <w:tcW w:w="2551" w:type="dxa"/>
            <w:vAlign w:val="center"/>
          </w:tcPr>
          <w:p>
            <w:pPr>
              <w:pStyle w:val="12"/>
            </w:pPr>
            <w:r>
              <w:t>39.37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11.30</w:t>
            </w:r>
          </w:p>
        </w:tc>
        <w:tc>
          <w:tcPr>
            <w:tcW w:w="2551" w:type="dxa"/>
            <w:vAlign w:val="center"/>
          </w:tcPr>
          <w:p>
            <w:pPr>
              <w:pStyle w:val="12"/>
            </w:pPr>
          </w:p>
        </w:tc>
        <w:tc>
          <w:tcPr>
            <w:tcW w:w="2551" w:type="dxa"/>
            <w:vAlign w:val="center"/>
          </w:tcPr>
          <w:p>
            <w:pPr>
              <w:pStyle w:val="12"/>
            </w:pPr>
            <w:r>
              <w:t>11.30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0.01</w:t>
            </w:r>
          </w:p>
        </w:tc>
        <w:tc>
          <w:tcPr>
            <w:tcW w:w="2551" w:type="dxa"/>
            <w:vAlign w:val="center"/>
          </w:tcPr>
          <w:p>
            <w:pPr>
              <w:pStyle w:val="12"/>
            </w:pPr>
          </w:p>
        </w:tc>
        <w:tc>
          <w:tcPr>
            <w:tcW w:w="2551" w:type="dxa"/>
            <w:vAlign w:val="center"/>
          </w:tcPr>
          <w:p>
            <w:pPr>
              <w:pStyle w:val="12"/>
            </w:pPr>
            <w: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3.12</w:t>
            </w:r>
          </w:p>
        </w:tc>
        <w:tc>
          <w:tcPr>
            <w:tcW w:w="2551" w:type="dxa"/>
            <w:vAlign w:val="center"/>
          </w:tcPr>
          <w:p>
            <w:pPr>
              <w:pStyle w:val="12"/>
            </w:pPr>
          </w:p>
        </w:tc>
        <w:tc>
          <w:tcPr>
            <w:tcW w:w="2551" w:type="dxa"/>
            <w:vAlign w:val="center"/>
          </w:tcPr>
          <w:p>
            <w:pPr>
              <w:pStyle w:val="12"/>
            </w:pPr>
            <w:r>
              <w:t>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32.91</w:t>
            </w:r>
          </w:p>
        </w:tc>
        <w:tc>
          <w:tcPr>
            <w:tcW w:w="2551" w:type="dxa"/>
            <w:vAlign w:val="center"/>
          </w:tcPr>
          <w:p>
            <w:pPr>
              <w:pStyle w:val="12"/>
            </w:pPr>
          </w:p>
        </w:tc>
        <w:tc>
          <w:tcPr>
            <w:tcW w:w="2551" w:type="dxa"/>
            <w:vAlign w:val="center"/>
          </w:tcPr>
          <w:p>
            <w:pPr>
              <w:pStyle w:val="12"/>
            </w:pPr>
            <w:r>
              <w:t>32.91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2.06</w:t>
            </w:r>
          </w:p>
        </w:tc>
        <w:tc>
          <w:tcPr>
            <w:tcW w:w="2551" w:type="dxa"/>
            <w:vAlign w:val="center"/>
          </w:tcPr>
          <w:p>
            <w:pPr>
              <w:pStyle w:val="12"/>
            </w:pPr>
          </w:p>
        </w:tc>
        <w:tc>
          <w:tcPr>
            <w:tcW w:w="2551" w:type="dxa"/>
            <w:vAlign w:val="center"/>
          </w:tcPr>
          <w:p>
            <w:pPr>
              <w:pStyle w:val="12"/>
            </w:pPr>
            <w:r>
              <w:t>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14.10</w:t>
            </w:r>
          </w:p>
        </w:tc>
        <w:tc>
          <w:tcPr>
            <w:tcW w:w="2551" w:type="dxa"/>
            <w:vAlign w:val="center"/>
          </w:tcPr>
          <w:p>
            <w:pPr>
              <w:pStyle w:val="12"/>
            </w:pPr>
          </w:p>
        </w:tc>
        <w:tc>
          <w:tcPr>
            <w:tcW w:w="2551" w:type="dxa"/>
            <w:vAlign w:val="center"/>
          </w:tcPr>
          <w:p>
            <w:pPr>
              <w:pStyle w:val="12"/>
            </w:pPr>
            <w:r>
              <w:t>14.10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18.12</w:t>
            </w:r>
          </w:p>
        </w:tc>
        <w:tc>
          <w:tcPr>
            <w:tcW w:w="2551" w:type="dxa"/>
            <w:vAlign w:val="center"/>
          </w:tcPr>
          <w:p>
            <w:pPr>
              <w:pStyle w:val="12"/>
            </w:pPr>
          </w:p>
        </w:tc>
        <w:tc>
          <w:tcPr>
            <w:tcW w:w="2551" w:type="dxa"/>
            <w:vAlign w:val="center"/>
          </w:tcPr>
          <w:p>
            <w:pPr>
              <w:pStyle w:val="12"/>
            </w:pPr>
            <w:r>
              <w:t>18.12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1.98</w:t>
            </w:r>
          </w:p>
        </w:tc>
        <w:tc>
          <w:tcPr>
            <w:tcW w:w="2551" w:type="dxa"/>
            <w:vAlign w:val="center"/>
          </w:tcPr>
          <w:p>
            <w:pPr>
              <w:pStyle w:val="12"/>
            </w:pPr>
          </w:p>
        </w:tc>
        <w:tc>
          <w:tcPr>
            <w:tcW w:w="2551" w:type="dxa"/>
            <w:vAlign w:val="center"/>
          </w:tcPr>
          <w:p>
            <w:pPr>
              <w:pStyle w:val="12"/>
            </w:pPr>
            <w:r>
              <w:t>1.98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0.45</w:t>
            </w:r>
          </w:p>
        </w:tc>
        <w:tc>
          <w:tcPr>
            <w:tcW w:w="2551" w:type="dxa"/>
            <w:vAlign w:val="center"/>
          </w:tcPr>
          <w:p>
            <w:pPr>
              <w:pStyle w:val="12"/>
            </w:pPr>
          </w:p>
        </w:tc>
        <w:tc>
          <w:tcPr>
            <w:tcW w:w="2551"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11.00</w:t>
            </w:r>
          </w:p>
        </w:tc>
        <w:tc>
          <w:tcPr>
            <w:tcW w:w="2551" w:type="dxa"/>
            <w:vAlign w:val="center"/>
          </w:tcPr>
          <w:p>
            <w:pPr>
              <w:pStyle w:val="12"/>
            </w:pPr>
          </w:p>
        </w:tc>
        <w:tc>
          <w:tcPr>
            <w:tcW w:w="2551" w:type="dxa"/>
            <w:vAlign w:val="center"/>
          </w:tcPr>
          <w:p>
            <w:pPr>
              <w:pStyle w:val="12"/>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2.09</w:t>
            </w:r>
          </w:p>
        </w:tc>
        <w:tc>
          <w:tcPr>
            <w:tcW w:w="2551" w:type="dxa"/>
            <w:vAlign w:val="center"/>
          </w:tcPr>
          <w:p>
            <w:pPr>
              <w:pStyle w:val="12"/>
            </w:pPr>
          </w:p>
        </w:tc>
        <w:tc>
          <w:tcPr>
            <w:tcW w:w="2551" w:type="dxa"/>
            <w:vAlign w:val="center"/>
          </w:tcPr>
          <w:p>
            <w:pPr>
              <w:pStyle w:val="12"/>
            </w:pPr>
            <w:r>
              <w:t>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29.80</w:t>
            </w:r>
          </w:p>
        </w:tc>
        <w:tc>
          <w:tcPr>
            <w:tcW w:w="2551" w:type="dxa"/>
            <w:vAlign w:val="center"/>
          </w:tcPr>
          <w:p>
            <w:pPr>
              <w:pStyle w:val="12"/>
            </w:pPr>
          </w:p>
        </w:tc>
        <w:tc>
          <w:tcPr>
            <w:tcW w:w="2551" w:type="dxa"/>
            <w:vAlign w:val="center"/>
          </w:tcPr>
          <w:p>
            <w:pPr>
              <w:pStyle w:val="12"/>
            </w:pPr>
            <w:r>
              <w:t>29.80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7.98</w:t>
            </w:r>
          </w:p>
        </w:tc>
        <w:tc>
          <w:tcPr>
            <w:tcW w:w="2551" w:type="dxa"/>
            <w:vAlign w:val="center"/>
          </w:tcPr>
          <w:p>
            <w:pPr>
              <w:pStyle w:val="12"/>
            </w:pPr>
          </w:p>
        </w:tc>
        <w:tc>
          <w:tcPr>
            <w:tcW w:w="2551" w:type="dxa"/>
            <w:vAlign w:val="center"/>
          </w:tcPr>
          <w:p>
            <w:pPr>
              <w:pStyle w:val="12"/>
            </w:pPr>
            <w:r>
              <w:t>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154.89</w:t>
            </w:r>
          </w:p>
        </w:tc>
        <w:tc>
          <w:tcPr>
            <w:tcW w:w="2551" w:type="dxa"/>
            <w:vAlign w:val="center"/>
          </w:tcPr>
          <w:p>
            <w:pPr>
              <w:pStyle w:val="12"/>
            </w:pPr>
            <w:r>
              <w:t>154.89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9.52</w:t>
            </w:r>
          </w:p>
        </w:tc>
        <w:tc>
          <w:tcPr>
            <w:tcW w:w="2551" w:type="dxa"/>
            <w:vAlign w:val="center"/>
          </w:tcPr>
          <w:p>
            <w:pPr>
              <w:pStyle w:val="12"/>
            </w:pPr>
            <w:r>
              <w:t>9.52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101.27</w:t>
            </w:r>
          </w:p>
        </w:tc>
        <w:tc>
          <w:tcPr>
            <w:tcW w:w="2551" w:type="dxa"/>
            <w:vAlign w:val="center"/>
          </w:tcPr>
          <w:p>
            <w:pPr>
              <w:pStyle w:val="12"/>
            </w:pPr>
            <w:r>
              <w:t>101.27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44.11</w:t>
            </w:r>
          </w:p>
        </w:tc>
        <w:tc>
          <w:tcPr>
            <w:tcW w:w="2551" w:type="dxa"/>
            <w:vAlign w:val="center"/>
          </w:tcPr>
          <w:p>
            <w:pPr>
              <w:pStyle w:val="12"/>
            </w:pPr>
            <w:r>
              <w:t>44.11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0.09</w:t>
            </w:r>
          </w:p>
        </w:tc>
        <w:tc>
          <w:tcPr>
            <w:tcW w:w="2551" w:type="dxa"/>
            <w:vAlign w:val="center"/>
          </w:tcPr>
          <w:p>
            <w:pPr>
              <w:pStyle w:val="12"/>
            </w:pPr>
          </w:p>
        </w:tc>
        <w:tc>
          <w:tcPr>
            <w:tcW w:w="2551"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0.09</w:t>
            </w:r>
          </w:p>
        </w:tc>
        <w:tc>
          <w:tcPr>
            <w:tcW w:w="2551" w:type="dxa"/>
            <w:vAlign w:val="center"/>
          </w:tcPr>
          <w:p>
            <w:pPr>
              <w:pStyle w:val="12"/>
            </w:pPr>
          </w:p>
        </w:tc>
        <w:tc>
          <w:tcPr>
            <w:tcW w:w="2551" w:type="dxa"/>
            <w:vAlign w:val="center"/>
          </w:tcPr>
          <w:p>
            <w:pPr>
              <w:pStyle w:val="12"/>
            </w:pPr>
            <w:r>
              <w:t>0.09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3963.40</w:t>
            </w:r>
          </w:p>
        </w:tc>
        <w:tc>
          <w:tcPr>
            <w:tcW w:w="2551" w:type="dxa"/>
            <w:vAlign w:val="center"/>
          </w:tcPr>
          <w:p>
            <w:pPr>
              <w:pStyle w:val="16"/>
            </w:pPr>
          </w:p>
        </w:tc>
        <w:tc>
          <w:tcPr>
            <w:tcW w:w="2551" w:type="dxa"/>
            <w:vAlign w:val="center"/>
          </w:tcPr>
          <w:p>
            <w:pPr>
              <w:pStyle w:val="16"/>
            </w:pPr>
            <w:r>
              <w:t>3963.40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3720.00</w:t>
            </w:r>
          </w:p>
        </w:tc>
        <w:tc>
          <w:tcPr>
            <w:tcW w:w="2551" w:type="dxa"/>
            <w:vAlign w:val="center"/>
          </w:tcPr>
          <w:p>
            <w:pPr>
              <w:pStyle w:val="12"/>
            </w:pPr>
          </w:p>
        </w:tc>
        <w:tc>
          <w:tcPr>
            <w:tcW w:w="2551"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21198</w:t>
            </w:r>
          </w:p>
        </w:tc>
        <w:tc>
          <w:tcPr>
            <w:tcW w:w="4535" w:type="dxa"/>
            <w:vAlign w:val="center"/>
          </w:tcPr>
          <w:p>
            <w:pPr>
              <w:pStyle w:val="13"/>
            </w:pPr>
            <w:r>
              <w:t>超长期特别国债安排的支出</w:t>
            </w:r>
          </w:p>
        </w:tc>
        <w:tc>
          <w:tcPr>
            <w:tcW w:w="2551" w:type="dxa"/>
            <w:vAlign w:val="center"/>
          </w:tcPr>
          <w:p>
            <w:pPr>
              <w:pStyle w:val="12"/>
            </w:pPr>
            <w:r>
              <w:t>3720.00</w:t>
            </w:r>
          </w:p>
        </w:tc>
        <w:tc>
          <w:tcPr>
            <w:tcW w:w="2551" w:type="dxa"/>
            <w:vAlign w:val="center"/>
          </w:tcPr>
          <w:p>
            <w:pPr>
              <w:pStyle w:val="12"/>
            </w:pPr>
          </w:p>
        </w:tc>
        <w:tc>
          <w:tcPr>
            <w:tcW w:w="2551"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2119803</w:t>
            </w:r>
          </w:p>
        </w:tc>
        <w:tc>
          <w:tcPr>
            <w:tcW w:w="4535" w:type="dxa"/>
            <w:vAlign w:val="center"/>
          </w:tcPr>
          <w:p>
            <w:pPr>
              <w:pStyle w:val="13"/>
            </w:pPr>
            <w:r>
              <w:t>“三北”工程建设</w:t>
            </w:r>
          </w:p>
        </w:tc>
        <w:tc>
          <w:tcPr>
            <w:tcW w:w="2551" w:type="dxa"/>
            <w:vAlign w:val="center"/>
          </w:tcPr>
          <w:p>
            <w:pPr>
              <w:pStyle w:val="12"/>
            </w:pPr>
            <w:r>
              <w:t>3720.00</w:t>
            </w:r>
          </w:p>
        </w:tc>
        <w:tc>
          <w:tcPr>
            <w:tcW w:w="2551" w:type="dxa"/>
            <w:vAlign w:val="center"/>
          </w:tcPr>
          <w:p>
            <w:pPr>
              <w:pStyle w:val="12"/>
            </w:pPr>
          </w:p>
        </w:tc>
        <w:tc>
          <w:tcPr>
            <w:tcW w:w="2551"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243.40</w:t>
            </w:r>
          </w:p>
        </w:tc>
        <w:tc>
          <w:tcPr>
            <w:tcW w:w="2551" w:type="dxa"/>
            <w:vAlign w:val="center"/>
          </w:tcPr>
          <w:p>
            <w:pPr>
              <w:pStyle w:val="12"/>
            </w:pPr>
          </w:p>
        </w:tc>
        <w:tc>
          <w:tcPr>
            <w:tcW w:w="2551" w:type="dxa"/>
            <w:vAlign w:val="center"/>
          </w:tcPr>
          <w:p>
            <w:pPr>
              <w:pStyle w:val="12"/>
            </w:pPr>
            <w:r>
              <w:t>243.40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243.40</w:t>
            </w:r>
          </w:p>
        </w:tc>
        <w:tc>
          <w:tcPr>
            <w:tcW w:w="2551" w:type="dxa"/>
            <w:vAlign w:val="center"/>
          </w:tcPr>
          <w:p>
            <w:pPr>
              <w:pStyle w:val="12"/>
            </w:pPr>
          </w:p>
        </w:tc>
        <w:tc>
          <w:tcPr>
            <w:tcW w:w="2551" w:type="dxa"/>
            <w:vAlign w:val="center"/>
          </w:tcPr>
          <w:p>
            <w:pPr>
              <w:pStyle w:val="12"/>
            </w:pPr>
            <w:r>
              <w:t>243.40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187.90</w:t>
            </w:r>
          </w:p>
        </w:tc>
        <w:tc>
          <w:tcPr>
            <w:tcW w:w="2551" w:type="dxa"/>
            <w:vAlign w:val="center"/>
          </w:tcPr>
          <w:p>
            <w:pPr>
              <w:pStyle w:val="12"/>
            </w:pPr>
          </w:p>
        </w:tc>
        <w:tc>
          <w:tcPr>
            <w:tcW w:w="2551" w:type="dxa"/>
            <w:vAlign w:val="center"/>
          </w:tcPr>
          <w:p>
            <w:pPr>
              <w:pStyle w:val="12"/>
            </w:pPr>
            <w:r>
              <w:t>187.90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55.50</w:t>
            </w:r>
          </w:p>
        </w:tc>
        <w:tc>
          <w:tcPr>
            <w:tcW w:w="2551" w:type="dxa"/>
            <w:vAlign w:val="center"/>
          </w:tcPr>
          <w:p>
            <w:pPr>
              <w:pStyle w:val="12"/>
            </w:pPr>
          </w:p>
        </w:tc>
        <w:tc>
          <w:tcPr>
            <w:tcW w:w="2551" w:type="dxa"/>
            <w:vAlign w:val="center"/>
          </w:tcPr>
          <w:p>
            <w:pPr>
              <w:pStyle w:val="12"/>
            </w:pPr>
            <w:r>
              <w:t>55.50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4881"/>
        <w:gridCol w:w="981"/>
        <w:gridCol w:w="783"/>
        <w:gridCol w:w="1598"/>
        <w:gridCol w:w="1218"/>
        <w:gridCol w:w="1643"/>
        <w:gridCol w:w="1643"/>
        <w:gridCol w:w="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381"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369" w:hRule="atLeast"/>
          <w:tblHeader/>
          <w:jc w:val="center"/>
        </w:trPr>
        <w:tc>
          <w:tcPr>
            <w:tcW w:w="1167" w:type="dxa"/>
            <w:vMerge w:val="restart"/>
            <w:noWrap w:val="0"/>
            <w:vAlign w:val="center"/>
          </w:tcPr>
          <w:p>
            <w:pPr>
              <w:pStyle w:val="11"/>
            </w:pPr>
            <w:r>
              <w:t>序号</w:t>
            </w:r>
          </w:p>
        </w:tc>
        <w:tc>
          <w:tcPr>
            <w:tcW w:w="4881" w:type="dxa"/>
            <w:vMerge w:val="restart"/>
            <w:noWrap w:val="0"/>
            <w:vAlign w:val="center"/>
          </w:tcPr>
          <w:p>
            <w:pPr>
              <w:pStyle w:val="11"/>
            </w:pPr>
            <w:r>
              <w:t>项  目</w:t>
            </w:r>
          </w:p>
        </w:tc>
        <w:tc>
          <w:tcPr>
            <w:tcW w:w="7866" w:type="dxa"/>
            <w:gridSpan w:val="6"/>
            <w:noWrap w:val="0"/>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tblHeader/>
          <w:jc w:val="center"/>
        </w:trPr>
        <w:tc>
          <w:tcPr>
            <w:tcW w:w="1167" w:type="dxa"/>
            <w:vMerge w:val="continue"/>
            <w:noWrap w:val="0"/>
            <w:vAlign w:val="top"/>
          </w:tcPr>
          <w:p/>
        </w:tc>
        <w:tc>
          <w:tcPr>
            <w:tcW w:w="4881" w:type="dxa"/>
            <w:vMerge w:val="continue"/>
            <w:noWrap w:val="0"/>
            <w:vAlign w:val="top"/>
          </w:tcPr>
          <w:p/>
        </w:tc>
        <w:tc>
          <w:tcPr>
            <w:tcW w:w="1764" w:type="dxa"/>
            <w:gridSpan w:val="2"/>
            <w:noWrap w:val="0"/>
            <w:vAlign w:val="center"/>
          </w:tcPr>
          <w:p>
            <w:pPr>
              <w:pStyle w:val="11"/>
            </w:pPr>
            <w:r>
              <w:t>合计</w:t>
            </w:r>
          </w:p>
        </w:tc>
        <w:tc>
          <w:tcPr>
            <w:tcW w:w="2816" w:type="dxa"/>
            <w:gridSpan w:val="2"/>
            <w:noWrap w:val="0"/>
            <w:vAlign w:val="center"/>
          </w:tcPr>
          <w:p>
            <w:pPr>
              <w:pStyle w:val="11"/>
            </w:pPr>
            <w:r>
              <w:t>一般公共预算              财政拨款</w:t>
            </w:r>
          </w:p>
        </w:tc>
        <w:tc>
          <w:tcPr>
            <w:tcW w:w="1643" w:type="dxa"/>
            <w:noWrap w:val="0"/>
            <w:vAlign w:val="center"/>
          </w:tcPr>
          <w:p>
            <w:pPr>
              <w:pStyle w:val="11"/>
            </w:pPr>
            <w:r>
              <w:t>政府性基金                  预算拨款</w:t>
            </w:r>
          </w:p>
        </w:tc>
        <w:tc>
          <w:tcPr>
            <w:tcW w:w="1643" w:type="dxa"/>
            <w:noWrap w:val="0"/>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tblHeader/>
          <w:jc w:val="center"/>
        </w:trPr>
        <w:tc>
          <w:tcPr>
            <w:tcW w:w="1167" w:type="dxa"/>
            <w:noWrap w:val="0"/>
            <w:vAlign w:val="center"/>
          </w:tcPr>
          <w:p>
            <w:pPr>
              <w:pStyle w:val="11"/>
            </w:pPr>
            <w:r>
              <w:t>栏次</w:t>
            </w:r>
          </w:p>
        </w:tc>
        <w:tc>
          <w:tcPr>
            <w:tcW w:w="4881" w:type="dxa"/>
            <w:noWrap w:val="0"/>
            <w:vAlign w:val="center"/>
          </w:tcPr>
          <w:p>
            <w:pPr>
              <w:pStyle w:val="11"/>
            </w:pPr>
            <w:r>
              <w:t>1</w:t>
            </w:r>
          </w:p>
        </w:tc>
        <w:tc>
          <w:tcPr>
            <w:tcW w:w="1764" w:type="dxa"/>
            <w:gridSpan w:val="2"/>
            <w:noWrap w:val="0"/>
            <w:vAlign w:val="center"/>
          </w:tcPr>
          <w:p>
            <w:pPr>
              <w:pStyle w:val="11"/>
            </w:pPr>
            <w:r>
              <w:t>2</w:t>
            </w:r>
          </w:p>
        </w:tc>
        <w:tc>
          <w:tcPr>
            <w:tcW w:w="2816" w:type="dxa"/>
            <w:gridSpan w:val="2"/>
            <w:noWrap w:val="0"/>
            <w:vAlign w:val="center"/>
          </w:tcPr>
          <w:p>
            <w:pPr>
              <w:pStyle w:val="11"/>
            </w:pPr>
            <w:r>
              <w:t>3</w:t>
            </w:r>
          </w:p>
        </w:tc>
        <w:tc>
          <w:tcPr>
            <w:tcW w:w="1643" w:type="dxa"/>
            <w:noWrap w:val="0"/>
            <w:vAlign w:val="center"/>
          </w:tcPr>
          <w:p>
            <w:pPr>
              <w:pStyle w:val="11"/>
            </w:pPr>
            <w:r>
              <w:t>4</w:t>
            </w:r>
          </w:p>
        </w:tc>
        <w:tc>
          <w:tcPr>
            <w:tcW w:w="1643" w:type="dxa"/>
            <w:noWrap w:val="0"/>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1</w:t>
            </w:r>
          </w:p>
        </w:tc>
        <w:tc>
          <w:tcPr>
            <w:tcW w:w="4881" w:type="dxa"/>
            <w:noWrap w:val="0"/>
            <w:vAlign w:val="center"/>
          </w:tcPr>
          <w:p>
            <w:pPr>
              <w:pStyle w:val="15"/>
            </w:pPr>
            <w:r>
              <w:t>“三公”经费小计</w:t>
            </w:r>
          </w:p>
        </w:tc>
        <w:tc>
          <w:tcPr>
            <w:tcW w:w="1764" w:type="dxa"/>
            <w:gridSpan w:val="2"/>
            <w:noWrap w:val="0"/>
            <w:vAlign w:val="center"/>
          </w:tcPr>
          <w:p>
            <w:pPr>
              <w:pStyle w:val="16"/>
              <w:rPr>
                <w:rFonts w:hint="default" w:eastAsia="方正书宋_GBK"/>
                <w:lang w:val="en-US" w:eastAsia="zh-CN"/>
              </w:rPr>
            </w:pPr>
            <w:r>
              <w:rPr>
                <w:rFonts w:hint="eastAsia"/>
                <w:lang w:val="en-US" w:eastAsia="zh-CN"/>
              </w:rPr>
              <w:t>29.80</w:t>
            </w:r>
          </w:p>
        </w:tc>
        <w:tc>
          <w:tcPr>
            <w:tcW w:w="2816" w:type="dxa"/>
            <w:gridSpan w:val="2"/>
            <w:noWrap w:val="0"/>
            <w:vAlign w:val="center"/>
          </w:tcPr>
          <w:p>
            <w:pPr>
              <w:pStyle w:val="16"/>
              <w:rPr>
                <w:rFonts w:hint="default" w:eastAsia="方正书宋_GBK"/>
                <w:lang w:val="en-US" w:eastAsia="zh-CN"/>
              </w:rPr>
            </w:pPr>
            <w:r>
              <w:rPr>
                <w:rFonts w:hint="eastAsia"/>
                <w:lang w:val="en-US" w:eastAsia="zh-CN"/>
              </w:rPr>
              <w:t>29.80</w:t>
            </w:r>
          </w:p>
        </w:tc>
        <w:tc>
          <w:tcPr>
            <w:tcW w:w="1643" w:type="dxa"/>
            <w:noWrap w:val="0"/>
            <w:vAlign w:val="center"/>
          </w:tcPr>
          <w:p>
            <w:pPr>
              <w:pStyle w:val="16"/>
            </w:pPr>
          </w:p>
        </w:tc>
        <w:tc>
          <w:tcPr>
            <w:tcW w:w="1643" w:type="dxa"/>
            <w:noWrap w:val="0"/>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2</w:t>
            </w:r>
          </w:p>
        </w:tc>
        <w:tc>
          <w:tcPr>
            <w:tcW w:w="4881" w:type="dxa"/>
            <w:noWrap w:val="0"/>
            <w:vAlign w:val="center"/>
          </w:tcPr>
          <w:p>
            <w:pPr>
              <w:pStyle w:val="13"/>
            </w:pPr>
            <w:r>
              <w:t>一、因公出国（境）费</w:t>
            </w:r>
          </w:p>
        </w:tc>
        <w:tc>
          <w:tcPr>
            <w:tcW w:w="1764" w:type="dxa"/>
            <w:gridSpan w:val="2"/>
            <w:noWrap w:val="0"/>
            <w:vAlign w:val="center"/>
          </w:tcPr>
          <w:p>
            <w:pPr>
              <w:pStyle w:val="12"/>
            </w:pPr>
          </w:p>
        </w:tc>
        <w:tc>
          <w:tcPr>
            <w:tcW w:w="2816" w:type="dxa"/>
            <w:gridSpan w:val="2"/>
            <w:noWrap w:val="0"/>
            <w:vAlign w:val="center"/>
          </w:tcPr>
          <w:p>
            <w:pPr>
              <w:pStyle w:val="12"/>
            </w:pP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3</w:t>
            </w:r>
          </w:p>
        </w:tc>
        <w:tc>
          <w:tcPr>
            <w:tcW w:w="4881" w:type="dxa"/>
            <w:noWrap w:val="0"/>
            <w:vAlign w:val="center"/>
          </w:tcPr>
          <w:p>
            <w:pPr>
              <w:pStyle w:val="13"/>
            </w:pPr>
            <w:r>
              <w:t xml:space="preserve">    其中：教学科研人员因公出国（境）费</w:t>
            </w:r>
          </w:p>
        </w:tc>
        <w:tc>
          <w:tcPr>
            <w:tcW w:w="1764" w:type="dxa"/>
            <w:gridSpan w:val="2"/>
            <w:noWrap w:val="0"/>
            <w:vAlign w:val="center"/>
          </w:tcPr>
          <w:p>
            <w:pPr>
              <w:pStyle w:val="12"/>
            </w:pPr>
          </w:p>
        </w:tc>
        <w:tc>
          <w:tcPr>
            <w:tcW w:w="2816" w:type="dxa"/>
            <w:gridSpan w:val="2"/>
            <w:noWrap w:val="0"/>
            <w:vAlign w:val="center"/>
          </w:tcPr>
          <w:p>
            <w:pPr>
              <w:pStyle w:val="12"/>
            </w:pP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4</w:t>
            </w:r>
          </w:p>
        </w:tc>
        <w:tc>
          <w:tcPr>
            <w:tcW w:w="4881" w:type="dxa"/>
            <w:noWrap w:val="0"/>
            <w:vAlign w:val="center"/>
          </w:tcPr>
          <w:p>
            <w:pPr>
              <w:pStyle w:val="13"/>
            </w:pPr>
            <w:r>
              <w:t xml:space="preserve">          其他因公出国（境）费</w:t>
            </w:r>
          </w:p>
        </w:tc>
        <w:tc>
          <w:tcPr>
            <w:tcW w:w="1764" w:type="dxa"/>
            <w:gridSpan w:val="2"/>
            <w:noWrap w:val="0"/>
            <w:vAlign w:val="center"/>
          </w:tcPr>
          <w:p>
            <w:pPr>
              <w:pStyle w:val="12"/>
            </w:pPr>
          </w:p>
        </w:tc>
        <w:tc>
          <w:tcPr>
            <w:tcW w:w="2816" w:type="dxa"/>
            <w:gridSpan w:val="2"/>
            <w:noWrap w:val="0"/>
            <w:vAlign w:val="center"/>
          </w:tcPr>
          <w:p>
            <w:pPr>
              <w:pStyle w:val="12"/>
            </w:pP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5</w:t>
            </w:r>
          </w:p>
        </w:tc>
        <w:tc>
          <w:tcPr>
            <w:tcW w:w="4881" w:type="dxa"/>
            <w:noWrap w:val="0"/>
            <w:vAlign w:val="center"/>
          </w:tcPr>
          <w:p>
            <w:pPr>
              <w:pStyle w:val="13"/>
            </w:pPr>
            <w:r>
              <w:t>二、公务用车购置及运维费</w:t>
            </w:r>
          </w:p>
        </w:tc>
        <w:tc>
          <w:tcPr>
            <w:tcW w:w="1764" w:type="dxa"/>
            <w:gridSpan w:val="2"/>
            <w:noWrap w:val="0"/>
            <w:vAlign w:val="center"/>
          </w:tcPr>
          <w:p>
            <w:pPr>
              <w:pStyle w:val="12"/>
              <w:rPr>
                <w:rFonts w:hint="default" w:eastAsia="方正书宋_GBK"/>
                <w:lang w:val="en-US" w:eastAsia="zh-CN"/>
              </w:rPr>
            </w:pPr>
            <w:r>
              <w:rPr>
                <w:rFonts w:hint="eastAsia"/>
                <w:lang w:val="en-US" w:eastAsia="zh-CN"/>
              </w:rPr>
              <w:t>29.80</w:t>
            </w:r>
          </w:p>
        </w:tc>
        <w:tc>
          <w:tcPr>
            <w:tcW w:w="2816" w:type="dxa"/>
            <w:gridSpan w:val="2"/>
            <w:noWrap w:val="0"/>
            <w:vAlign w:val="center"/>
          </w:tcPr>
          <w:p>
            <w:pPr>
              <w:pStyle w:val="12"/>
              <w:rPr>
                <w:rFonts w:hint="default" w:eastAsia="方正书宋_GBK"/>
                <w:lang w:val="en-US" w:eastAsia="zh-CN"/>
              </w:rPr>
            </w:pPr>
            <w:r>
              <w:rPr>
                <w:rFonts w:hint="eastAsia"/>
                <w:lang w:val="en-US" w:eastAsia="zh-CN"/>
              </w:rPr>
              <w:t>29.80</w:t>
            </w: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6</w:t>
            </w:r>
          </w:p>
        </w:tc>
        <w:tc>
          <w:tcPr>
            <w:tcW w:w="4881" w:type="dxa"/>
            <w:noWrap w:val="0"/>
            <w:vAlign w:val="center"/>
          </w:tcPr>
          <w:p>
            <w:pPr>
              <w:pStyle w:val="13"/>
            </w:pPr>
            <w:r>
              <w:t xml:space="preserve">    其中：公务用车购置费</w:t>
            </w:r>
          </w:p>
        </w:tc>
        <w:tc>
          <w:tcPr>
            <w:tcW w:w="1764" w:type="dxa"/>
            <w:gridSpan w:val="2"/>
            <w:noWrap w:val="0"/>
            <w:vAlign w:val="center"/>
          </w:tcPr>
          <w:p>
            <w:pPr>
              <w:pStyle w:val="12"/>
            </w:pPr>
          </w:p>
        </w:tc>
        <w:tc>
          <w:tcPr>
            <w:tcW w:w="2816" w:type="dxa"/>
            <w:gridSpan w:val="2"/>
            <w:noWrap w:val="0"/>
            <w:vAlign w:val="center"/>
          </w:tcPr>
          <w:p>
            <w:pPr>
              <w:pStyle w:val="12"/>
            </w:pP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7</w:t>
            </w:r>
          </w:p>
        </w:tc>
        <w:tc>
          <w:tcPr>
            <w:tcW w:w="4881" w:type="dxa"/>
            <w:noWrap w:val="0"/>
            <w:vAlign w:val="center"/>
          </w:tcPr>
          <w:p>
            <w:pPr>
              <w:pStyle w:val="13"/>
            </w:pPr>
            <w:r>
              <w:t xml:space="preserve">          公务用车运行维护费</w:t>
            </w:r>
          </w:p>
        </w:tc>
        <w:tc>
          <w:tcPr>
            <w:tcW w:w="1764" w:type="dxa"/>
            <w:gridSpan w:val="2"/>
            <w:noWrap w:val="0"/>
            <w:vAlign w:val="center"/>
          </w:tcPr>
          <w:p>
            <w:pPr>
              <w:pStyle w:val="12"/>
              <w:rPr>
                <w:rFonts w:hint="default" w:eastAsia="方正书宋_GBK"/>
                <w:lang w:val="en-US" w:eastAsia="zh-CN"/>
              </w:rPr>
            </w:pPr>
            <w:r>
              <w:rPr>
                <w:rFonts w:hint="eastAsia"/>
                <w:lang w:val="en-US" w:eastAsia="zh-CN"/>
              </w:rPr>
              <w:t>29.80</w:t>
            </w:r>
          </w:p>
        </w:tc>
        <w:tc>
          <w:tcPr>
            <w:tcW w:w="2816" w:type="dxa"/>
            <w:gridSpan w:val="2"/>
            <w:noWrap w:val="0"/>
            <w:vAlign w:val="center"/>
          </w:tcPr>
          <w:p>
            <w:pPr>
              <w:pStyle w:val="12"/>
            </w:pPr>
            <w:r>
              <w:rPr>
                <w:rFonts w:hint="eastAsia"/>
                <w:lang w:val="en-US" w:eastAsia="zh-CN"/>
              </w:rPr>
              <w:t>29.80</w:t>
            </w:r>
          </w:p>
        </w:tc>
        <w:tc>
          <w:tcPr>
            <w:tcW w:w="1643" w:type="dxa"/>
            <w:noWrap w:val="0"/>
            <w:vAlign w:val="center"/>
          </w:tcPr>
          <w:p>
            <w:pPr>
              <w:pStyle w:val="12"/>
            </w:pPr>
          </w:p>
        </w:tc>
        <w:tc>
          <w:tcPr>
            <w:tcW w:w="1643"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58" w:type="dxa"/>
          <w:trHeight w:val="567" w:hRule="atLeast"/>
          <w:jc w:val="center"/>
        </w:trPr>
        <w:tc>
          <w:tcPr>
            <w:tcW w:w="1167" w:type="dxa"/>
            <w:noWrap w:val="0"/>
            <w:vAlign w:val="center"/>
          </w:tcPr>
          <w:p>
            <w:pPr>
              <w:pStyle w:val="14"/>
            </w:pPr>
            <w:r>
              <w:t>8</w:t>
            </w:r>
          </w:p>
        </w:tc>
        <w:tc>
          <w:tcPr>
            <w:tcW w:w="4881" w:type="dxa"/>
            <w:noWrap w:val="0"/>
            <w:vAlign w:val="center"/>
          </w:tcPr>
          <w:p>
            <w:pPr>
              <w:pStyle w:val="13"/>
            </w:pPr>
            <w:r>
              <w:t>三、公务接待费</w:t>
            </w:r>
          </w:p>
        </w:tc>
        <w:tc>
          <w:tcPr>
            <w:tcW w:w="1764" w:type="dxa"/>
            <w:gridSpan w:val="2"/>
            <w:noWrap w:val="0"/>
            <w:vAlign w:val="center"/>
          </w:tcPr>
          <w:p>
            <w:pPr>
              <w:pStyle w:val="12"/>
            </w:pPr>
          </w:p>
        </w:tc>
        <w:tc>
          <w:tcPr>
            <w:tcW w:w="2816" w:type="dxa"/>
            <w:gridSpan w:val="2"/>
            <w:noWrap w:val="0"/>
            <w:vAlign w:val="center"/>
          </w:tcPr>
          <w:p>
            <w:pPr>
              <w:pStyle w:val="12"/>
            </w:pPr>
          </w:p>
        </w:tc>
        <w:tc>
          <w:tcPr>
            <w:tcW w:w="1643" w:type="dxa"/>
            <w:noWrap w:val="0"/>
            <w:vAlign w:val="center"/>
          </w:tcPr>
          <w:p>
            <w:pPr>
              <w:pStyle w:val="12"/>
            </w:pPr>
          </w:p>
        </w:tc>
        <w:tc>
          <w:tcPr>
            <w:tcW w:w="1643" w:type="dxa"/>
            <w:noWrap w:val="0"/>
            <w:vAlign w:val="center"/>
          </w:tcPr>
          <w:p>
            <w:pPr>
              <w:pStyle w:val="12"/>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青龙满族自治县林业局2025年部门预算信息公开情况说明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按照《中华人民共和国预算法》、《地方预决算公开操作规程》和《关于进一步推进预算公开工作的实施意见》规定，现将青龙满族自治县林业局2025年部门预算公开如下：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青龙满族自治县林业局职能配置、内设机构和人员编制规定》，青龙满族自治县林业局的主要职责是：(一)负责全县林业及其生态保护修复的监督管理。贯彻执行国家、省、市关于林业及其生态保护修复的政策、规划、地方标准，起草相关政府规章草案。组织开展全县森林、草原、湿地和陆生野生动植物资源动态监测与评价。</w:t>
      </w:r>
    </w:p>
    <w:p>
      <w:pPr>
        <w:pStyle w:val="18"/>
      </w:pPr>
      <w:r>
        <w:t>(二)组织全县林业生态保护修复和造林绿化工作。组织实施林业重点生态保护修复工程，指导公益林和商品林的培育，指导林业有应对气候变化的相关工作。</w:t>
      </w:r>
    </w:p>
    <w:p>
      <w:pPr>
        <w:pStyle w:val="18"/>
      </w:pPr>
      <w:r>
        <w:t>(三)负责全县森林、草原、湿地资源的监督管理。组织编制森林采伐限额,经县政府同意并按程序上报,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18"/>
      </w:pPr>
      <w:r>
        <w:t>(四)负责监督管理全县荒漠化防治工作。组织开展荒漠调查，组织拟订全县防沙治沙及沙化土地封禁保护区建设规划，贯彻实施上级相关地方标准和规定，监督管理沙化土地的开发利用，组织沙尘暴灾害预测预报和应急处置。</w:t>
      </w:r>
    </w:p>
    <w:p>
      <w:pPr>
        <w:pStyle w:val="18"/>
      </w:pPr>
      <w:r>
        <w:t>(五)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18"/>
      </w:pPr>
      <w:r>
        <w:t>(六)负责监督管理全县各类自然保护地。拟订全县各类自然保护地规划和相关地方标准。负责自然保护地的自然资源资产管理和国土空间用途管制。提出新建、调整各类县级以上自然保护地的审核建议并按程序报批，组织审核世界自然遗产的申报，会同有关部门审核世界自然与文化双重遗产的申报。负责全县生物多样性保护相关工作。</w:t>
      </w:r>
    </w:p>
    <w:p>
      <w:pPr>
        <w:pStyle w:val="18"/>
      </w:pPr>
      <w:r>
        <w:t>（七）负责推进全县林业改革相关工作。拟订集体林权制度、大改革意见并监督实施。拟订农村林业发展、维护林业经营者合法权益的政策措施,指导监督农村林地承包经营工作。开展退耕还林，负责天然林保护工作。</w:t>
      </w:r>
    </w:p>
    <w:p>
      <w:pPr>
        <w:pStyle w:val="18"/>
      </w:pPr>
      <w:r>
        <w:t>(八)拟订全县林业资源优化配置及木材利用政策，拟订相关林业产业地方标准并监督实施，组织、指导林产品质量监督，指导巩固生态、林业产业脱贫成果衔接乡村振兴相关工作。</w:t>
      </w:r>
    </w:p>
    <w:p>
      <w:pPr>
        <w:pStyle w:val="18"/>
      </w:pPr>
      <w:r>
        <w:t>(九)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18"/>
      </w:pPr>
      <w:r>
        <w:t>(十)负责全县经济林(水果除外，下同)、桑柞蚕、花卉行业的管理工作。负责经济林、桑柞蚕、花卉行业的结构调整和相关基地建设，负责经济林、桑柞蚕、花卉的品种改良、品质提高和标准化生产工作。监督管理果品质量安全，负责果品生产环节监管和果品质量安全检测。</w:t>
      </w:r>
    </w:p>
    <w:p>
      <w:pPr>
        <w:pStyle w:val="18"/>
      </w:pPr>
      <w:r>
        <w:t>(十一)负责林业适用技术应用和科技成果推广工作。负责谋划林下经济等林业产业项目，指导全县林业系统多种经营，推动林业产业发展。</w:t>
      </w:r>
    </w:p>
    <w:p>
      <w:pPr>
        <w:pStyle w:val="18"/>
      </w:pPr>
      <w:r>
        <w:t>(十二)负责相关行政执法监管工作。拟订林业和草原系统行政执法的政策法规，协调、监督、指导全县林业和草原行政综合执法工作。负责所属国有林场和自然保护区的行政综合执法工作，协调与属地乡镇行政综合执法关系，组织指导林业和草原生态环境损害赔偿工作。</w:t>
      </w:r>
    </w:p>
    <w:p>
      <w:pPr>
        <w:pStyle w:val="18"/>
      </w:pPr>
      <w:r>
        <w:t>(十三)负责落实行业管理责任,指导全县落实林木所有者、经营者主体责任，组织指导林业系统开展森林防火宣传教育和林木管护工作。负责落实国有林场和自然保护地综合防灾减灾规划相关要求，组织指导国有林场和自然保护地森林火灾防治规划编制并监督实施，贯彻落实相关防护标准，指导国有林场和自然保护地开展防火巡护、火源管理、防火设施建设等工作。组织指导国有林场和自然保护地森林防火宣传教育、预警监测、督促检查等防火工作。</w:t>
      </w:r>
    </w:p>
    <w:p>
      <w:pPr>
        <w:pStyle w:val="18"/>
      </w:pPr>
      <w:r>
        <w:t>(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18"/>
      </w:pPr>
      <w:r>
        <w:t>(十五)负责全县林业科技、教育和外事工作，指导全县林业人才队伍建设，组织实施林业国际交流与合作事务。</w:t>
      </w:r>
    </w:p>
    <w:p>
      <w:pPr>
        <w:pStyle w:val="18"/>
      </w:pPr>
      <w:r>
        <w:t>(十六)负责全面推行林长制有关工作。</w:t>
      </w:r>
    </w:p>
    <w:p>
      <w:pPr>
        <w:pStyle w:val="18"/>
      </w:pPr>
      <w:r>
        <w:t>(十七)落实行业主管部门的安全生产监管职责，各股室落实各自分管领域的安全生产监管职责。</w:t>
      </w:r>
    </w:p>
    <w:p>
      <w:pPr>
        <w:pStyle w:val="18"/>
      </w:pPr>
      <w:r>
        <w:t>行业招商引资和项目建设工作。</w:t>
      </w:r>
    </w:p>
    <w:p>
      <w:pPr>
        <w:pStyle w:val="18"/>
        <w:numPr>
          <w:ilvl w:val="0"/>
          <w:numId w:val="1"/>
        </w:numPr>
      </w:pPr>
      <w:r>
        <w:t>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青龙满族自治县林业局本级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青龙满族自治县森林病虫害防治检疫站</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青龙满族自治县林木种苗服务中心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青龙满族自治县都山林场</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财政性资金定额或定项补助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青龙满族自治县祖山林场</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按照预算管理有关规定，目前部门预算的编制实行综合预算管理，即全部收入和支出都反映在预算中。青龙满族自治县林业局机关及所属事业单位的收支包含在部门预算中。</w:t>
      </w:r>
    </w:p>
    <w:p>
      <w:pPr>
        <w:pStyle w:val="19"/>
      </w:pPr>
      <w:r>
        <w:t>1、收入说明</w:t>
      </w:r>
    </w:p>
    <w:p>
      <w:pPr>
        <w:pStyle w:val="19"/>
      </w:pPr>
      <w:r>
        <w:t>反映本部门当年全部收入。2025年预算收入17007.30万元，其中：一般公共预算收入9218.85万元，基金预算收入243.40万元，国有资本经营预算收入0.00万元，财政专户核拨收入0.00万元，单位资金收入0.00万元，上年结转结余7545.06万元。</w:t>
      </w:r>
    </w:p>
    <w:p>
      <w:pPr>
        <w:pStyle w:val="19"/>
      </w:pPr>
      <w:r>
        <w:t>2、支出说明</w:t>
      </w:r>
    </w:p>
    <w:p>
      <w:pPr>
        <w:pStyle w:val="19"/>
      </w:pPr>
      <w:r>
        <w:t>收支预算总表支出栏、基本支出表、项目支出表按经济分类和支出功能分类科目编制，反映青龙满族自治县林业局年度部门预算中支出预算的总体情况。2025年支出预算17007.30万元，其中基本支出2459.57万元，包括人员经费2283.69万元和日常公用经费175.89万元；项目支出14547.73万元，主要为林业局2024年5月成立，2025年为全年预算。人员经费为在职及离退休人员工资及保险，日常公用经费为办公费、印刷费、公车运行维护费、水电暖等费用；项目支出为防火经费、义务植树费、野生动植物保护等支出。</w:t>
      </w:r>
    </w:p>
    <w:p>
      <w:pPr>
        <w:pStyle w:val="19"/>
      </w:pPr>
      <w:r>
        <w:t>3、比上年增减情况</w:t>
      </w:r>
    </w:p>
    <w:p>
      <w:pPr>
        <w:pStyle w:val="19"/>
      </w:pPr>
      <w:r>
        <w:t>2025年预算收支安排17007.30万元，较2024年预算增加17007.30万元，其中：基本支出增加2459.57万元，主要为林业局2024年5月成立，2025年为全年预算。人员经费工资保险基数调整，缴费金额上涨，日常经费按人头核准总额。项目支出增加14547.73万元，主要为林业局2024年5月成立，2025年为全年预算。增加的原因一部分是预算为全年预算。另一部分原因是森防站、种子站、都山林场、祖山林场为林业局下属单位。</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hint="default"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2025年，我部门机关运行经费共计安排175.89万元，主要用于</w:t>
      </w:r>
      <w:r>
        <w:rPr>
          <w:rFonts w:hint="eastAsia" w:ascii="Times New Roman" w:hAnsi="Times New Roman" w:eastAsia="方正仿宋_GBK" w:cs="Times New Roman"/>
          <w:sz w:val="28"/>
          <w:szCs w:val="24"/>
          <w:lang w:val="en-US" w:eastAsia="zh-CN" w:bidi="ar-SA"/>
        </w:rPr>
        <w:t>办公费39.37万元，印刷费11.30万元，手续费0.01万元，水费3.12万元，电费32.91万元，邮电费2.06万元，取暖费14.10万元，差旅费18.12万元，维修（护）费1.99万元，专用材料费0.45万元，专用燃料费0.30万元，劳务费11.00万元，委托业务费2.09万元，公务用车运行维护费29.80万元，其他交通费用7.98万元，其他商品和服务支出1.20万元，办公设备购置0.09万元。</w:t>
      </w:r>
    </w:p>
    <w:p>
      <w:pPr>
        <w:numPr>
          <w:ilvl w:val="0"/>
          <w:numId w:val="3"/>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numPr>
          <w:ilvl w:val="0"/>
          <w:numId w:val="0"/>
        </w:numPr>
        <w:spacing w:before="10" w:after="10" w:line="360" w:lineRule="auto"/>
        <w:ind w:firstLine="480" w:firstLineChars="200"/>
        <w:jc w:val="left"/>
        <w:outlineLvl w:val="2"/>
      </w:pPr>
      <w:r>
        <w:t>202</w:t>
      </w:r>
      <w:r>
        <w:rPr>
          <w:rFonts w:hint="eastAsia"/>
          <w:lang w:val="en-US" w:eastAsia="zh-CN"/>
        </w:rPr>
        <w:t>5</w:t>
      </w:r>
      <w:r>
        <w:t>年，我</w:t>
      </w:r>
      <w:r>
        <w:rPr>
          <w:rFonts w:hint="eastAsia" w:eastAsia="宋体"/>
          <w:lang w:val="en-US" w:eastAsia="zh-CN"/>
        </w:rPr>
        <w:t>部门</w:t>
      </w:r>
      <w:r>
        <w:t>财政拨款“三公”经费预算安排</w:t>
      </w:r>
      <w:r>
        <w:rPr>
          <w:rFonts w:hint="eastAsia"/>
          <w:lang w:val="en-US" w:eastAsia="zh-CN"/>
        </w:rPr>
        <w:t>29.80</w:t>
      </w:r>
      <w:r>
        <w:t>万元，其中因公出国（境）费0.00万元</w:t>
      </w:r>
      <w:r>
        <w:rPr>
          <w:rFonts w:hint="eastAsia"/>
          <w:lang w:eastAsia="zh-CN"/>
        </w:rPr>
        <w:t>，</w:t>
      </w:r>
      <w:r>
        <w:rPr>
          <w:rFonts w:hint="eastAsia"/>
          <w:lang w:val="en-US" w:eastAsia="zh-CN"/>
        </w:rPr>
        <w:t>同比无变化，原因是无因公出国（境）安排</w:t>
      </w:r>
      <w:r>
        <w:t>；公务用车购置及运维费</w:t>
      </w:r>
      <w:r>
        <w:rPr>
          <w:rFonts w:hint="eastAsia"/>
          <w:lang w:val="en-US" w:eastAsia="zh-CN"/>
        </w:rPr>
        <w:t>29.80</w:t>
      </w:r>
      <w:r>
        <w:t>万元（其中：公务用车购置费为0.00万元，公务用车运维费</w:t>
      </w:r>
      <w:r>
        <w:rPr>
          <w:rFonts w:hint="eastAsia"/>
          <w:lang w:val="en-US" w:eastAsia="zh-CN"/>
        </w:rPr>
        <w:t>29.80</w:t>
      </w:r>
      <w:r>
        <w:t>万元)</w:t>
      </w:r>
      <w:r>
        <w:rPr>
          <w:rFonts w:hint="eastAsia"/>
          <w:lang w:eastAsia="zh-CN"/>
        </w:rPr>
        <w:t>，</w:t>
      </w:r>
      <w:r>
        <w:rPr>
          <w:rFonts w:hint="eastAsia"/>
          <w:lang w:val="en-US" w:eastAsia="zh-CN"/>
        </w:rPr>
        <w:t>同比无变化，因为是我部门2024年5月成立，为新成立部门，上年无预算。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一 ） 负责全县林业及其生态保护修复的监督管理。</w:t>
      </w:r>
    </w:p>
    <w:p>
      <w:pPr>
        <w:pStyle w:val="22"/>
      </w:pPr>
      <w:r>
        <w:t>（ 二 ） 组织全县林业生态保护修复和造林绿化工作 。</w:t>
      </w:r>
    </w:p>
    <w:p>
      <w:pPr>
        <w:pStyle w:val="22"/>
      </w:pPr>
      <w:r>
        <w:t>（ 三 ） 负责全县森林、草原 、湿地资源的监督管理。</w:t>
      </w:r>
    </w:p>
    <w:p>
      <w:pPr>
        <w:pStyle w:val="22"/>
      </w:pPr>
      <w:r>
        <w:t>（ 四） 负责监督管理全县荒漠化防治工作 。</w:t>
      </w:r>
    </w:p>
    <w:p>
      <w:pPr>
        <w:pStyle w:val="22"/>
      </w:pPr>
      <w:r>
        <w:t>（ 五 ） 负责全县陆生野生动植物资源监督管理。</w:t>
      </w:r>
    </w:p>
    <w:p>
      <w:pPr>
        <w:pStyle w:val="22"/>
      </w:pPr>
      <w:r>
        <w:t>（ 六 ） 负责监督管理全县各类自然保护地 。</w:t>
      </w:r>
    </w:p>
    <w:p>
      <w:pPr>
        <w:pStyle w:val="22"/>
      </w:pPr>
      <w:r>
        <w:t>（ 七 ）负责推进全县林业改革相关工作。</w:t>
      </w:r>
    </w:p>
    <w:p>
      <w:pPr>
        <w:pStyle w:val="22"/>
      </w:pPr>
      <w:r>
        <w:t>（ 八 ） 拟订全县林业资源优化配置及木材利用政策 ，拟订相 关林业产业地方标准并监督实施 ，组织 、指导林产品质量监督， 指导巩固生态、林业产业脱贫成果衔接乡村振兴相关工作 。</w:t>
      </w:r>
    </w:p>
    <w:p>
      <w:pPr>
        <w:pStyle w:val="22"/>
      </w:pPr>
      <w:r>
        <w:t>（ 九 ） 指导全县固有林场基本建设和发展，组织开展林木种 子种质资源普查，组 织建立种质资源库 ，负责良种选育推广 ，管 理林木种苗生产经营行为监管林木种苗质量。监督管理林业 生 物种质资源、转基因生物安全 、植物新品种保护 。</w:t>
      </w:r>
    </w:p>
    <w:p>
      <w:pPr>
        <w:pStyle w:val="22"/>
      </w:pPr>
      <w:r>
        <w:t>（ 十 ） 负责全县经济林 （ 水果除外 ，下同 ）、桑样蚕、花卉行业的管理工作 。负责经济林 、桑样蚕、花卉行业的结构调整和相关基地建设，负责经济林、桑样蚕、花卉的品种 改良、品质提 高和标准化 生产工作 。监督管理果品质量安全，负责果品 生产环节监管和果品质量安全检测。</w:t>
      </w:r>
    </w:p>
    <w:p>
      <w:pPr>
        <w:pStyle w:val="22"/>
      </w:pPr>
      <w:r>
        <w:t>（ 十一 ） 负责林业适用技术应用和科技成果推广工作。负责 谋划林下经济等林业产业项目 ，指导全县林业系统多种经营 推动林业产业发展。</w:t>
      </w:r>
    </w:p>
    <w:p>
      <w:pPr>
        <w:pStyle w:val="22"/>
      </w:pPr>
      <w:r>
        <w:t>（ 十二 ） 负责相关行政执法监管工作 。</w:t>
      </w:r>
    </w:p>
    <w:p>
      <w:pPr>
        <w:pStyle w:val="22"/>
      </w:pPr>
      <w:r>
        <w:t>（ 十三 ）负责落实行业管理责任 ，指导全县落实林木所有者 、 经营者主体责任，组织指导林业系统开展森林防火宣传教育和林木管护工作 。</w:t>
      </w:r>
    </w:p>
    <w:p>
      <w:pPr>
        <w:pStyle w:val="22"/>
      </w:pPr>
      <w:r>
        <w:t>（ 十四 ） 监督管理林业中央 、省、市、县级资金及国有资产 ，提出全县林业预算内投资、中央和省、市、县级财政性资金安排 建议，按权限审核规划内和年度计划内投资 项目 。</w:t>
      </w:r>
    </w:p>
    <w:p>
      <w:pPr>
        <w:pStyle w:val="22"/>
      </w:pPr>
      <w:r>
        <w:t>（ 十五 ） 负责全面推行林长制有关工作 。</w:t>
      </w:r>
    </w:p>
    <w:p>
      <w:pPr>
        <w:pStyle w:val="22"/>
      </w:pPr>
      <w:r>
        <w:t>（十六）落实行业主管部门的安全生产监管职责室落实各自安全生产监管职责。</w:t>
      </w:r>
    </w:p>
    <w:p>
      <w:pPr>
        <w:pStyle w:val="22"/>
      </w:pPr>
      <w:r>
        <w:t>（十七）按照“管行业必须管招商抓项目”要求，组织开展行业招商引资和项目建设工作。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造林绿化和产业发展，负责造林绿化空间规划工作，起草国土绿化重大政策措施，综合管理重点生态保护修复工程，指导植树造林、封山育林。指导林业有害生物防治、检疫和预测预报。承担古树名木保护、林业应对气候变化相关工作。指导监督全民义务植树、城乡绿化、部门绿化工作。监督管理林业生物种质资源、植物新品种保护。负责全县经济林（水果除外）、桑蚕、花卉行业管理工作。指导林业产业和林下经济发展。森林资源和自然保护地管理。承担全县森林、草原、湿地资源动态监测与评价工作。拟订全县森林资源保护发展的政策措施，编制全县森林采伐限额，承担林地相关管理工作，组织编制林地保护利用规划并监督实施。指导编制森林经营规划和森林经营方案并监督实施。指导农村林地林木承包经营、流转管理。指导全县草原保护工作，监督管理草原的开发利用。监督管理全县自然保护区、风景名胜区、地质公园、自然遗产、森林公园、湿地公园等各类自然保护地，组织实施全县各类自然保护地资源调查、保护建设、生态修复、监测评价工作。提出新建、调整各类县级以上自然保护地的审核建议并按程序报批。负责县级以上风景名胜区的审查报批和监督管理。承办世界自然遗产项目申报，会同有关部门承办世界自然与文化双重遗产项目的申报工作。承办全县生物多样性保护相关工作。指导森林旅游工作。参与编制并组织实施祖山景区总体规划和详细规划。</w:t>
      </w:r>
    </w:p>
    <w:p>
      <w:pPr>
        <w:pStyle w:val="23"/>
      </w:pPr>
      <w:r>
        <w:t>监督管理全县陆生野生动植物保护工作。组织开展陆生野生动物疫源疫病监测、防控工作。</w:t>
      </w:r>
    </w:p>
    <w:p>
      <w:pPr>
        <w:pStyle w:val="23"/>
      </w:pPr>
      <w:r>
        <w:t>林长制工作办公室(森林防火股)。负责林长制日常工作。负责向总林长、副总林长、林长报告森林草原资源保护发展情况，提请研究、协调、解决重点难点问题。</w:t>
      </w:r>
    </w:p>
    <w:p>
      <w:pPr>
        <w:pStyle w:val="23"/>
      </w:pPr>
      <w:r>
        <w:t>林业执法监察，负责全县林业行政执法监管工作,负责查处全县非法占用林地、乱采滥挖野生植物、违法野外用火、违法收购运输盗伐滥伐林木及桃林口库区内滥伐盗伐林木案件。负责查处除生态环境保护综合执法以外破坏各类自然保护地的违法行为。负责林木种苗、森林病虫害防治检疫执法工作。负责森林和草原督查卫片执法工作。负责所属固有林场和自然保护区的行政综合执法工作，协调与属地乡镇行政综合执法关系。组织指导林业和草原生态环境损害赔偿工作。负责协调林业管理领域违法案件的调查处理，并对执行情况进行监督检查。组织专项法律、法规的宣传教育及培训工作。负责违法案件移送移交工作。负责本系统行政复议、应诉、听证工作。负责机关及所属事业单位内部审计工作。负责调处职责范围内信访案件纠纷。</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sectPr>
          <w:pgSz w:w="16840" w:h="11900" w:orient="landscape"/>
          <w:pgMar w:top="1361" w:right="1020" w:bottom="1361" w:left="1020" w:header="720" w:footer="720" w:gutter="0"/>
          <w:cols w:space="720" w:num="1"/>
        </w:sectPr>
      </w:pPr>
      <w:r>
        <w:t>县林业局切实加大生态系统保护力度，实施重要生态系统保护和修复工程，加强对森林、草原、湿地和陆生野生动植物资源监督管理的统筹协调，大力推进国土绿化，保证全县生态安全。依法加强全县各类自然保护地的管理，加快建立健全自然保护地管理体系。全面加强林长制、森林防火、国家森林城市创建、深化集体林权制度改革，以板栗为主的林业产业发展等重点工作，推进现代林业强县建设，促进农民增收，助力乡村振兴。积极践行“两山”理论，大力发展森林旅游产业，实现生态美、百姓富有的有机统一。</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1、2021-2024年造林绿化验收资金绩效目标表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13032125P00329910001B</w:t>
            </w:r>
          </w:p>
        </w:tc>
        <w:tc>
          <w:tcPr>
            <w:tcW w:w="2835" w:type="dxa"/>
            <w:vAlign w:val="center"/>
          </w:tcPr>
          <w:p>
            <w:pPr>
              <w:pStyle w:val="11"/>
            </w:pPr>
            <w:r>
              <w:t>项目名称</w:t>
            </w:r>
          </w:p>
        </w:tc>
        <w:tc>
          <w:tcPr>
            <w:tcW w:w="6095" w:type="dxa"/>
            <w:gridSpan w:val="3"/>
            <w:vAlign w:val="center"/>
          </w:tcPr>
          <w:p>
            <w:pPr>
              <w:pStyle w:val="13"/>
            </w:pPr>
            <w:r>
              <w:t>2021-2024年造林绿化验收资金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34.70</w:t>
            </w:r>
          </w:p>
        </w:tc>
        <w:tc>
          <w:tcPr>
            <w:tcW w:w="2835" w:type="dxa"/>
            <w:vAlign w:val="center"/>
          </w:tcPr>
          <w:p>
            <w:pPr>
              <w:pStyle w:val="11"/>
            </w:pPr>
            <w:r>
              <w:t>其中：财政    资金</w:t>
            </w:r>
          </w:p>
        </w:tc>
        <w:tc>
          <w:tcPr>
            <w:tcW w:w="2551" w:type="dxa"/>
            <w:vAlign w:val="center"/>
          </w:tcPr>
          <w:p>
            <w:pPr>
              <w:pStyle w:val="13"/>
            </w:pPr>
            <w:r>
              <w:t>34.70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项目金额34.7万元，其中财政拨款34.7万元，主要用于开展造林绿化验收工作，达到为发放造林绿化补助提供依据的效果。</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1.通过开展造林绿化验收工作，达到为发放造林绿化补助提供依据的效果。</w:t>
            </w:r>
            <w:r>
              <w:tab/>
            </w:r>
            <w:r>
              <w:tab/>
            </w:r>
            <w:r>
              <w:tab/>
            </w:r>
            <w:r>
              <w:tab/>
            </w:r>
          </w:p>
          <w:p>
            <w:pPr>
              <w:pStyle w:val="13"/>
            </w:pPr>
            <w:r>
              <w:t>2.通过开展造林绿化验收工作，达到监控造林绿化成果，保证造林绿化面积的效果。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验收人工造林亩数</w:t>
            </w:r>
          </w:p>
        </w:tc>
        <w:tc>
          <w:tcPr>
            <w:tcW w:w="5386" w:type="dxa"/>
            <w:vAlign w:val="center"/>
          </w:tcPr>
          <w:p>
            <w:pPr>
              <w:pStyle w:val="13"/>
            </w:pPr>
            <w:r>
              <w:t>验收2023年度造林绿化亩数(第二次)，验收2024年人工造林（第一次）</w:t>
            </w:r>
          </w:p>
        </w:tc>
        <w:tc>
          <w:tcPr>
            <w:tcW w:w="2268" w:type="dxa"/>
            <w:vAlign w:val="center"/>
          </w:tcPr>
          <w:p>
            <w:pPr>
              <w:pStyle w:val="13"/>
            </w:pPr>
            <w:r>
              <w:t>3.9万亩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验收封山育林亩数</w:t>
            </w:r>
          </w:p>
        </w:tc>
        <w:tc>
          <w:tcPr>
            <w:tcW w:w="5386" w:type="dxa"/>
            <w:vAlign w:val="center"/>
          </w:tcPr>
          <w:p>
            <w:pPr>
              <w:pStyle w:val="13"/>
            </w:pPr>
            <w:r>
              <w:t>验收2024年封山育林亩数</w:t>
            </w:r>
          </w:p>
        </w:tc>
        <w:tc>
          <w:tcPr>
            <w:tcW w:w="2268" w:type="dxa"/>
            <w:vAlign w:val="center"/>
          </w:tcPr>
          <w:p>
            <w:pPr>
              <w:pStyle w:val="13"/>
            </w:pPr>
            <w:r>
              <w:t>4万亩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造林密度</w:t>
            </w:r>
          </w:p>
        </w:tc>
        <w:tc>
          <w:tcPr>
            <w:tcW w:w="5386" w:type="dxa"/>
            <w:vAlign w:val="center"/>
          </w:tcPr>
          <w:p>
            <w:pPr>
              <w:pStyle w:val="13"/>
            </w:pPr>
            <w:r>
              <w:t>反映每亩苗木株数</w:t>
            </w:r>
          </w:p>
        </w:tc>
        <w:tc>
          <w:tcPr>
            <w:tcW w:w="2268" w:type="dxa"/>
            <w:vAlign w:val="center"/>
          </w:tcPr>
          <w:p>
            <w:pPr>
              <w:pStyle w:val="13"/>
            </w:pPr>
            <w:r>
              <w:t>≥56株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苗木成活率</w:t>
            </w:r>
          </w:p>
        </w:tc>
        <w:tc>
          <w:tcPr>
            <w:tcW w:w="5386" w:type="dxa"/>
            <w:vAlign w:val="center"/>
          </w:tcPr>
          <w:p>
            <w:pPr>
              <w:pStyle w:val="13"/>
            </w:pPr>
            <w:r>
              <w:t>反映造林苗木的成活率</w:t>
            </w:r>
          </w:p>
        </w:tc>
        <w:tc>
          <w:tcPr>
            <w:tcW w:w="2268" w:type="dxa"/>
            <w:vAlign w:val="center"/>
          </w:tcPr>
          <w:p>
            <w:pPr>
              <w:pStyle w:val="13"/>
            </w:pPr>
            <w:r>
              <w:t>≥85百分比</w:t>
            </w:r>
          </w:p>
        </w:tc>
        <w:tc>
          <w:tcPr>
            <w:tcW w:w="1276" w:type="dxa"/>
            <w:vAlign w:val="center"/>
          </w:tcPr>
          <w:p>
            <w:pPr>
              <w:pStyle w:val="13"/>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验收完成时间</w:t>
            </w:r>
          </w:p>
        </w:tc>
        <w:tc>
          <w:tcPr>
            <w:tcW w:w="5386" w:type="dxa"/>
            <w:vAlign w:val="center"/>
          </w:tcPr>
          <w:p>
            <w:pPr>
              <w:pStyle w:val="13"/>
            </w:pPr>
            <w:r>
              <w:t>按合同约定完成验收工作</w:t>
            </w:r>
          </w:p>
        </w:tc>
        <w:tc>
          <w:tcPr>
            <w:tcW w:w="2268" w:type="dxa"/>
            <w:vAlign w:val="center"/>
          </w:tcPr>
          <w:p>
            <w:pPr>
              <w:pStyle w:val="13"/>
            </w:pPr>
            <w:r>
              <w:t>年底前</w:t>
            </w:r>
          </w:p>
        </w:tc>
        <w:tc>
          <w:tcPr>
            <w:tcW w:w="1276" w:type="dxa"/>
            <w:vAlign w:val="center"/>
          </w:tcPr>
          <w:p>
            <w:pPr>
              <w:pStyle w:val="13"/>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按合同付验收费2023年、2024年人工验收费用</w:t>
            </w:r>
          </w:p>
        </w:tc>
        <w:tc>
          <w:tcPr>
            <w:tcW w:w="2268" w:type="dxa"/>
            <w:vAlign w:val="center"/>
          </w:tcPr>
          <w:p>
            <w:pPr>
              <w:pStyle w:val="13"/>
            </w:pPr>
            <w:r>
              <w:t>≤27.3万元</w:t>
            </w:r>
          </w:p>
        </w:tc>
        <w:tc>
          <w:tcPr>
            <w:tcW w:w="1276" w:type="dxa"/>
            <w:vAlign w:val="center"/>
          </w:tcPr>
          <w:p>
            <w:pPr>
              <w:pStyle w:val="13"/>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按合同付2024年封山育林验收费用</w:t>
            </w:r>
          </w:p>
        </w:tc>
        <w:tc>
          <w:tcPr>
            <w:tcW w:w="2268" w:type="dxa"/>
            <w:vAlign w:val="center"/>
          </w:tcPr>
          <w:p>
            <w:pPr>
              <w:pStyle w:val="13"/>
            </w:pPr>
            <w:r>
              <w:t>≤7.4万元</w:t>
            </w:r>
          </w:p>
        </w:tc>
        <w:tc>
          <w:tcPr>
            <w:tcW w:w="1276" w:type="dxa"/>
            <w:vAlign w:val="center"/>
          </w:tcPr>
          <w:p>
            <w:pPr>
              <w:pStyle w:val="13"/>
            </w:pPr>
            <w:r>
              <w:t>项目实施方案及合同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增加林地面积</w:t>
            </w:r>
          </w:p>
        </w:tc>
        <w:tc>
          <w:tcPr>
            <w:tcW w:w="5386" w:type="dxa"/>
            <w:vAlign w:val="center"/>
          </w:tcPr>
          <w:p>
            <w:pPr>
              <w:pStyle w:val="13"/>
            </w:pPr>
            <w:r>
              <w:t>通过验收有利于监控造林绿化成果，保证造林绿化面积</w:t>
            </w:r>
          </w:p>
        </w:tc>
        <w:tc>
          <w:tcPr>
            <w:tcW w:w="2268" w:type="dxa"/>
            <w:vAlign w:val="center"/>
          </w:tcPr>
          <w:p>
            <w:pPr>
              <w:pStyle w:val="13"/>
            </w:pPr>
            <w:r>
              <w:t>7.9万亩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通过验收后提高的提高森林覆盖率</w:t>
            </w:r>
          </w:p>
        </w:tc>
        <w:tc>
          <w:tcPr>
            <w:tcW w:w="2268" w:type="dxa"/>
            <w:vAlign w:val="center"/>
          </w:tcPr>
          <w:p>
            <w:pPr>
              <w:pStyle w:val="13"/>
            </w:pPr>
            <w:r>
              <w:t>≥1.5百分比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群众对当年造林绿化工作的整体满意度</w:t>
            </w:r>
          </w:p>
        </w:tc>
        <w:tc>
          <w:tcPr>
            <w:tcW w:w="2268" w:type="dxa"/>
            <w:vAlign w:val="center"/>
          </w:tcPr>
          <w:p>
            <w:pPr>
              <w:pStyle w:val="13"/>
            </w:pPr>
            <w:r>
              <w:t>≥90百分比</w:t>
            </w:r>
          </w:p>
        </w:tc>
        <w:tc>
          <w:tcPr>
            <w:tcW w:w="1276" w:type="dxa"/>
            <w:vAlign w:val="center"/>
          </w:tcPr>
          <w:p>
            <w:pPr>
              <w:pStyle w:val="13"/>
            </w:pPr>
            <w:r>
              <w:t>调查结果</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2、2022年林草湿综合监测项目资金绩效目标表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13032125P003298100054</w:t>
            </w:r>
          </w:p>
        </w:tc>
        <w:tc>
          <w:tcPr>
            <w:tcW w:w="2835" w:type="dxa"/>
            <w:vAlign w:val="center"/>
          </w:tcPr>
          <w:p>
            <w:pPr>
              <w:pStyle w:val="11"/>
            </w:pPr>
            <w:r>
              <w:t>项目名称</w:t>
            </w:r>
          </w:p>
        </w:tc>
        <w:tc>
          <w:tcPr>
            <w:tcW w:w="6095" w:type="dxa"/>
            <w:gridSpan w:val="3"/>
            <w:vAlign w:val="center"/>
          </w:tcPr>
          <w:p>
            <w:pPr>
              <w:pStyle w:val="13"/>
            </w:pPr>
            <w:r>
              <w:t>2022年林草湿综合监测项目资金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项目金额29万元，其中财政拨款29万元，主要用于对林草湿监测，达到对碳达峰碳中和提供有力支撑。</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1.通过对林草湿监测，达到对碳达峰碳中和提供有力支撑。</w:t>
            </w:r>
            <w:r>
              <w:tab/>
            </w:r>
            <w:r>
              <w:tab/>
            </w:r>
            <w:r>
              <w:tab/>
            </w:r>
            <w:r>
              <w:tab/>
            </w:r>
            <w:r>
              <w:tab/>
            </w:r>
            <w:r>
              <w:tab/>
            </w:r>
          </w:p>
          <w:p>
            <w:pPr>
              <w:pStyle w:val="13"/>
            </w:pPr>
            <w:r>
              <w:t>2.通过动态监测林草湿变化情况，了解实际变化。</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林地图斑数量</w:t>
            </w:r>
          </w:p>
        </w:tc>
        <w:tc>
          <w:tcPr>
            <w:tcW w:w="5386" w:type="dxa"/>
            <w:vAlign w:val="center"/>
          </w:tcPr>
          <w:p>
            <w:pPr>
              <w:pStyle w:val="13"/>
            </w:pPr>
            <w:r>
              <w:t>根据国家任务获得</w:t>
            </w:r>
          </w:p>
        </w:tc>
        <w:tc>
          <w:tcPr>
            <w:tcW w:w="2268" w:type="dxa"/>
            <w:vAlign w:val="center"/>
          </w:tcPr>
          <w:p>
            <w:pPr>
              <w:pStyle w:val="13"/>
            </w:pPr>
            <w:r>
              <w:t>≧678个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草地图斑数量</w:t>
            </w:r>
          </w:p>
        </w:tc>
        <w:tc>
          <w:tcPr>
            <w:tcW w:w="5386" w:type="dxa"/>
            <w:vAlign w:val="center"/>
          </w:tcPr>
          <w:p>
            <w:pPr>
              <w:pStyle w:val="13"/>
            </w:pPr>
            <w:r>
              <w:t>根据国家任务获得</w:t>
            </w:r>
          </w:p>
        </w:tc>
        <w:tc>
          <w:tcPr>
            <w:tcW w:w="2268" w:type="dxa"/>
            <w:vAlign w:val="center"/>
          </w:tcPr>
          <w:p>
            <w:pPr>
              <w:pStyle w:val="13"/>
            </w:pPr>
            <w:r>
              <w:t>≧227个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湿地图斑数量</w:t>
            </w:r>
          </w:p>
        </w:tc>
        <w:tc>
          <w:tcPr>
            <w:tcW w:w="5386" w:type="dxa"/>
            <w:vAlign w:val="center"/>
          </w:tcPr>
          <w:p>
            <w:pPr>
              <w:pStyle w:val="13"/>
            </w:pPr>
            <w:r>
              <w:t>根据国家任务获得</w:t>
            </w:r>
          </w:p>
        </w:tc>
        <w:tc>
          <w:tcPr>
            <w:tcW w:w="2268" w:type="dxa"/>
            <w:vAlign w:val="center"/>
          </w:tcPr>
          <w:p>
            <w:pPr>
              <w:pStyle w:val="13"/>
            </w:pPr>
            <w:r>
              <w:t>≥1个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完成普查任务，验收合格率</w:t>
            </w:r>
          </w:p>
        </w:tc>
        <w:tc>
          <w:tcPr>
            <w:tcW w:w="5386" w:type="dxa"/>
            <w:vAlign w:val="center"/>
          </w:tcPr>
          <w:p>
            <w:pPr>
              <w:pStyle w:val="13"/>
            </w:pPr>
            <w:r>
              <w:t>反映验收标准，通过省级验收</w:t>
            </w:r>
          </w:p>
        </w:tc>
        <w:tc>
          <w:tcPr>
            <w:tcW w:w="2268" w:type="dxa"/>
            <w:vAlign w:val="center"/>
          </w:tcPr>
          <w:p>
            <w:pPr>
              <w:pStyle w:val="13"/>
            </w:pPr>
            <w:r>
              <w:t>100百分比</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项目实施费用</w:t>
            </w:r>
          </w:p>
        </w:tc>
        <w:tc>
          <w:tcPr>
            <w:tcW w:w="5386" w:type="dxa"/>
            <w:vAlign w:val="center"/>
          </w:tcPr>
          <w:p>
            <w:pPr>
              <w:pStyle w:val="13"/>
            </w:pPr>
            <w:r>
              <w:t>满足调查所需的费用</w:t>
            </w:r>
          </w:p>
        </w:tc>
        <w:tc>
          <w:tcPr>
            <w:tcW w:w="2268" w:type="dxa"/>
            <w:vAlign w:val="center"/>
          </w:tcPr>
          <w:p>
            <w:pPr>
              <w:pStyle w:val="13"/>
            </w:pPr>
            <w:r>
              <w:t>≤29万元</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及时性</w:t>
            </w:r>
          </w:p>
        </w:tc>
        <w:tc>
          <w:tcPr>
            <w:tcW w:w="5386" w:type="dxa"/>
            <w:vAlign w:val="center"/>
          </w:tcPr>
          <w:p>
            <w:pPr>
              <w:pStyle w:val="13"/>
            </w:pPr>
            <w:r>
              <w:t>按时完成调查任务</w:t>
            </w:r>
          </w:p>
        </w:tc>
        <w:tc>
          <w:tcPr>
            <w:tcW w:w="2268" w:type="dxa"/>
            <w:vAlign w:val="center"/>
          </w:tcPr>
          <w:p>
            <w:pPr>
              <w:pStyle w:val="13"/>
            </w:pPr>
            <w:r>
              <w:t>及时完成</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科学保护，积极开发</w:t>
            </w:r>
          </w:p>
        </w:tc>
        <w:tc>
          <w:tcPr>
            <w:tcW w:w="5386" w:type="dxa"/>
            <w:vAlign w:val="center"/>
          </w:tcPr>
          <w:p>
            <w:pPr>
              <w:pStyle w:val="13"/>
            </w:pPr>
            <w:r>
              <w:t>实现碳达峰碳中和</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保护林草湿资源</w:t>
            </w:r>
          </w:p>
        </w:tc>
        <w:tc>
          <w:tcPr>
            <w:tcW w:w="5386" w:type="dxa"/>
            <w:vAlign w:val="center"/>
          </w:tcPr>
          <w:p>
            <w:pPr>
              <w:pStyle w:val="13"/>
            </w:pPr>
            <w:r>
              <w:t>实现动态监测效果，掌握变化情况</w:t>
            </w:r>
          </w:p>
        </w:tc>
        <w:tc>
          <w:tcPr>
            <w:tcW w:w="2268" w:type="dxa"/>
            <w:vAlign w:val="center"/>
          </w:tcPr>
          <w:p>
            <w:pPr>
              <w:pStyle w:val="13"/>
            </w:pPr>
            <w:r>
              <w:t>效果明显</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农民满意度</w:t>
            </w:r>
          </w:p>
        </w:tc>
        <w:tc>
          <w:tcPr>
            <w:tcW w:w="5386" w:type="dxa"/>
            <w:vAlign w:val="center"/>
          </w:tcPr>
          <w:p>
            <w:pPr>
              <w:pStyle w:val="13"/>
            </w:pPr>
            <w:r>
              <w:t>满意数量占总数的比例</w:t>
            </w:r>
          </w:p>
        </w:tc>
        <w:tc>
          <w:tcPr>
            <w:tcW w:w="2268" w:type="dxa"/>
            <w:vAlign w:val="center"/>
          </w:tcPr>
          <w:p>
            <w:pPr>
              <w:pStyle w:val="13"/>
            </w:pPr>
            <w:r>
              <w:t xml:space="preserve">≥95百分比 </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3、2023年林草湿综合监测项目资金绩效目标表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13032125P00329810004G</w:t>
            </w:r>
          </w:p>
        </w:tc>
        <w:tc>
          <w:tcPr>
            <w:tcW w:w="2835" w:type="dxa"/>
            <w:vAlign w:val="center"/>
          </w:tcPr>
          <w:p>
            <w:pPr>
              <w:pStyle w:val="11"/>
            </w:pPr>
            <w:r>
              <w:t>项目名称</w:t>
            </w:r>
          </w:p>
        </w:tc>
        <w:tc>
          <w:tcPr>
            <w:tcW w:w="6095" w:type="dxa"/>
            <w:gridSpan w:val="3"/>
            <w:vAlign w:val="center"/>
          </w:tcPr>
          <w:p>
            <w:pPr>
              <w:pStyle w:val="13"/>
            </w:pPr>
            <w:r>
              <w:t>2023年林草湿综合监测项目资金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29.50</w:t>
            </w:r>
          </w:p>
        </w:tc>
        <w:tc>
          <w:tcPr>
            <w:tcW w:w="2835" w:type="dxa"/>
            <w:vAlign w:val="center"/>
          </w:tcPr>
          <w:p>
            <w:pPr>
              <w:pStyle w:val="11"/>
            </w:pPr>
            <w:r>
              <w:t>其中：财政    资金</w:t>
            </w:r>
          </w:p>
        </w:tc>
        <w:tc>
          <w:tcPr>
            <w:tcW w:w="2551" w:type="dxa"/>
            <w:vAlign w:val="center"/>
          </w:tcPr>
          <w:p>
            <w:pPr>
              <w:pStyle w:val="13"/>
            </w:pPr>
            <w:r>
              <w:t>29.50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项目金额29.5万元，其中财政拨款29.5万元，主要用于对林草湿监测，达到对碳达峰碳中和提供有力支撑。</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1.通过对林草湿监测，达到对碳达峰碳中和提供有力支撑。</w:t>
            </w:r>
            <w:r>
              <w:tab/>
            </w:r>
            <w:r>
              <w:tab/>
            </w:r>
            <w:r>
              <w:tab/>
            </w:r>
            <w:r>
              <w:tab/>
            </w:r>
          </w:p>
          <w:p>
            <w:pPr>
              <w:pStyle w:val="13"/>
            </w:pPr>
            <w:r>
              <w:t>2.通过动态监测林草湿变化情况，了解实际变化。</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林地图斑数量</w:t>
            </w:r>
          </w:p>
        </w:tc>
        <w:tc>
          <w:tcPr>
            <w:tcW w:w="5386" w:type="dxa"/>
            <w:vAlign w:val="center"/>
          </w:tcPr>
          <w:p>
            <w:pPr>
              <w:pStyle w:val="13"/>
            </w:pPr>
            <w:r>
              <w:t>根据国家任务获得</w:t>
            </w:r>
          </w:p>
        </w:tc>
        <w:tc>
          <w:tcPr>
            <w:tcW w:w="2268" w:type="dxa"/>
            <w:vAlign w:val="center"/>
          </w:tcPr>
          <w:p>
            <w:pPr>
              <w:pStyle w:val="13"/>
            </w:pPr>
            <w:r>
              <w:t>≧700个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草地图斑数量</w:t>
            </w:r>
          </w:p>
        </w:tc>
        <w:tc>
          <w:tcPr>
            <w:tcW w:w="5386" w:type="dxa"/>
            <w:vAlign w:val="center"/>
          </w:tcPr>
          <w:p>
            <w:pPr>
              <w:pStyle w:val="13"/>
            </w:pPr>
            <w:r>
              <w:t>根据国家任务获得</w:t>
            </w:r>
          </w:p>
        </w:tc>
        <w:tc>
          <w:tcPr>
            <w:tcW w:w="2268" w:type="dxa"/>
            <w:vAlign w:val="center"/>
          </w:tcPr>
          <w:p>
            <w:pPr>
              <w:pStyle w:val="13"/>
            </w:pPr>
            <w:r>
              <w:t>≧251个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湿地图斑数量</w:t>
            </w:r>
          </w:p>
        </w:tc>
        <w:tc>
          <w:tcPr>
            <w:tcW w:w="5386" w:type="dxa"/>
            <w:vAlign w:val="center"/>
          </w:tcPr>
          <w:p>
            <w:pPr>
              <w:pStyle w:val="13"/>
            </w:pPr>
            <w:r>
              <w:t>根据国家任务获得</w:t>
            </w:r>
          </w:p>
        </w:tc>
        <w:tc>
          <w:tcPr>
            <w:tcW w:w="2268" w:type="dxa"/>
            <w:vAlign w:val="center"/>
          </w:tcPr>
          <w:p>
            <w:pPr>
              <w:pStyle w:val="13"/>
            </w:pPr>
            <w:r>
              <w:t>≥1个</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完成普查任务，验收合格率</w:t>
            </w:r>
          </w:p>
        </w:tc>
        <w:tc>
          <w:tcPr>
            <w:tcW w:w="5386" w:type="dxa"/>
            <w:vAlign w:val="center"/>
          </w:tcPr>
          <w:p>
            <w:pPr>
              <w:pStyle w:val="13"/>
            </w:pPr>
            <w:r>
              <w:t>反映验收标准，通过省级验收</w:t>
            </w:r>
          </w:p>
        </w:tc>
        <w:tc>
          <w:tcPr>
            <w:tcW w:w="2268" w:type="dxa"/>
            <w:vAlign w:val="center"/>
          </w:tcPr>
          <w:p>
            <w:pPr>
              <w:pStyle w:val="13"/>
            </w:pPr>
            <w:r>
              <w:t>100百分比</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项目实施费用</w:t>
            </w:r>
          </w:p>
        </w:tc>
        <w:tc>
          <w:tcPr>
            <w:tcW w:w="5386" w:type="dxa"/>
            <w:vAlign w:val="center"/>
          </w:tcPr>
          <w:p>
            <w:pPr>
              <w:pStyle w:val="13"/>
            </w:pPr>
            <w:r>
              <w:t>满足调查所需的费用</w:t>
            </w:r>
          </w:p>
        </w:tc>
        <w:tc>
          <w:tcPr>
            <w:tcW w:w="2268" w:type="dxa"/>
            <w:vAlign w:val="center"/>
          </w:tcPr>
          <w:p>
            <w:pPr>
              <w:pStyle w:val="13"/>
            </w:pPr>
            <w:r>
              <w:t>≤29.5万元</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及时性</w:t>
            </w:r>
          </w:p>
        </w:tc>
        <w:tc>
          <w:tcPr>
            <w:tcW w:w="5386" w:type="dxa"/>
            <w:vAlign w:val="center"/>
          </w:tcPr>
          <w:p>
            <w:pPr>
              <w:pStyle w:val="13"/>
            </w:pPr>
            <w:r>
              <w:t>按时完成调查任务</w:t>
            </w:r>
          </w:p>
        </w:tc>
        <w:tc>
          <w:tcPr>
            <w:tcW w:w="2268" w:type="dxa"/>
            <w:vAlign w:val="center"/>
          </w:tcPr>
          <w:p>
            <w:pPr>
              <w:pStyle w:val="13"/>
            </w:pPr>
            <w:r>
              <w:t>及时完成</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科学保护，积极开发</w:t>
            </w:r>
          </w:p>
        </w:tc>
        <w:tc>
          <w:tcPr>
            <w:tcW w:w="5386" w:type="dxa"/>
            <w:vAlign w:val="center"/>
          </w:tcPr>
          <w:p>
            <w:pPr>
              <w:pStyle w:val="13"/>
            </w:pPr>
            <w:r>
              <w:t>实现碳达峰碳中和</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保护林草湿资源</w:t>
            </w:r>
          </w:p>
        </w:tc>
        <w:tc>
          <w:tcPr>
            <w:tcW w:w="5386" w:type="dxa"/>
            <w:vAlign w:val="center"/>
          </w:tcPr>
          <w:p>
            <w:pPr>
              <w:pStyle w:val="13"/>
            </w:pPr>
            <w:r>
              <w:t>实现动态监测效果，掌握变化情况</w:t>
            </w:r>
          </w:p>
        </w:tc>
        <w:tc>
          <w:tcPr>
            <w:tcW w:w="2268" w:type="dxa"/>
            <w:vAlign w:val="center"/>
          </w:tcPr>
          <w:p>
            <w:pPr>
              <w:pStyle w:val="13"/>
            </w:pPr>
            <w:r>
              <w:t>效果明显</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农民满意度</w:t>
            </w:r>
          </w:p>
        </w:tc>
        <w:tc>
          <w:tcPr>
            <w:tcW w:w="5386" w:type="dxa"/>
            <w:vAlign w:val="center"/>
          </w:tcPr>
          <w:p>
            <w:pPr>
              <w:pStyle w:val="13"/>
            </w:pPr>
            <w:r>
              <w:t>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4、2025年义务植树经费绩效目标表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13032125P00011610015B</w:t>
            </w:r>
          </w:p>
        </w:tc>
        <w:tc>
          <w:tcPr>
            <w:tcW w:w="2835" w:type="dxa"/>
            <w:vAlign w:val="center"/>
          </w:tcPr>
          <w:p>
            <w:pPr>
              <w:pStyle w:val="11"/>
            </w:pPr>
            <w:r>
              <w:t>项目名称</w:t>
            </w:r>
          </w:p>
        </w:tc>
        <w:tc>
          <w:tcPr>
            <w:tcW w:w="6095" w:type="dxa"/>
            <w:gridSpan w:val="3"/>
            <w:vAlign w:val="center"/>
          </w:tcPr>
          <w:p>
            <w:pPr>
              <w:pStyle w:val="13"/>
            </w:pPr>
            <w:r>
              <w:t>2025年义务植树经费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项目金额3万元，其中财政拨款3万元，主要用于开展义务植树活动，实现动员全县适龄公民完成义务植树任务，宣传义务植树意义，生态建设人人有责。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rPr>
                <w:rFonts w:hint="eastAsia"/>
                <w:lang w:val="en-US" w:eastAsia="zh-CN"/>
              </w:rPr>
              <w:t>25</w:t>
            </w:r>
            <w:r>
              <w:t xml:space="preserve"> </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1.通过开展义务植树活动，提高我县城市品位，努力打造生态宜居园林城市，在全县掀起全民义务植树高潮，实现义务植树6000株。</w:t>
            </w:r>
            <w:r>
              <w:tab/>
            </w:r>
            <w:r>
              <w:tab/>
            </w:r>
            <w:r>
              <w:tab/>
            </w:r>
            <w:r>
              <w:tab/>
            </w:r>
          </w:p>
          <w:p>
            <w:pPr>
              <w:pStyle w:val="13"/>
            </w:pPr>
          </w:p>
          <w:p>
            <w:pPr>
              <w:pStyle w:val="13"/>
            </w:pPr>
            <w:r>
              <w:t>2.通过开展义务植树活动，实现动员全县适龄公民完成义务植树任务，宣传义务植树意义，生态建设人人有责。</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义务植树苗木数量</w:t>
            </w:r>
          </w:p>
        </w:tc>
        <w:tc>
          <w:tcPr>
            <w:tcW w:w="5386" w:type="dxa"/>
            <w:vAlign w:val="center"/>
          </w:tcPr>
          <w:p>
            <w:pPr>
              <w:pStyle w:val="13"/>
            </w:pPr>
            <w:r>
              <w:t>用于义务植树苗木树量</w:t>
            </w:r>
          </w:p>
        </w:tc>
        <w:tc>
          <w:tcPr>
            <w:tcW w:w="2268" w:type="dxa"/>
            <w:vAlign w:val="center"/>
          </w:tcPr>
          <w:p>
            <w:pPr>
              <w:pStyle w:val="13"/>
            </w:pPr>
            <w:r>
              <w:t>≥6000株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宣传活动的次数</w:t>
            </w:r>
          </w:p>
        </w:tc>
        <w:tc>
          <w:tcPr>
            <w:tcW w:w="5386" w:type="dxa"/>
            <w:vAlign w:val="center"/>
          </w:tcPr>
          <w:p>
            <w:pPr>
              <w:pStyle w:val="13"/>
            </w:pPr>
            <w:r>
              <w:t>宣传活动的次数</w:t>
            </w:r>
          </w:p>
        </w:tc>
        <w:tc>
          <w:tcPr>
            <w:tcW w:w="2268" w:type="dxa"/>
            <w:vAlign w:val="center"/>
          </w:tcPr>
          <w:p>
            <w:pPr>
              <w:pStyle w:val="13"/>
            </w:pPr>
            <w:r>
              <w:t>≥8次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成活率</w:t>
            </w:r>
          </w:p>
        </w:tc>
        <w:tc>
          <w:tcPr>
            <w:tcW w:w="5386" w:type="dxa"/>
            <w:vAlign w:val="center"/>
          </w:tcPr>
          <w:p>
            <w:pPr>
              <w:pStyle w:val="13"/>
            </w:pPr>
            <w:r>
              <w:t>成活株占义务植树总数的比率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知晓率</w:t>
            </w:r>
          </w:p>
        </w:tc>
        <w:tc>
          <w:tcPr>
            <w:tcW w:w="5386" w:type="dxa"/>
            <w:vAlign w:val="center"/>
          </w:tcPr>
          <w:p>
            <w:pPr>
              <w:pStyle w:val="13"/>
            </w:pPr>
            <w:r>
              <w:t>宣传对象对义务植树活动的知晓率</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义务植树工作的完成时间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树苗的单价</w:t>
            </w:r>
          </w:p>
        </w:tc>
        <w:tc>
          <w:tcPr>
            <w:tcW w:w="2268" w:type="dxa"/>
            <w:vAlign w:val="center"/>
          </w:tcPr>
          <w:p>
            <w:pPr>
              <w:pStyle w:val="13"/>
            </w:pPr>
            <w:r>
              <w:t>≤3元/株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宣传活动的单位成本</w:t>
            </w:r>
          </w:p>
        </w:tc>
        <w:tc>
          <w:tcPr>
            <w:tcW w:w="2268" w:type="dxa"/>
            <w:vAlign w:val="center"/>
          </w:tcPr>
          <w:p>
            <w:pPr>
              <w:pStyle w:val="13"/>
            </w:pPr>
            <w:r>
              <w:t>≤1500元/次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植树面积</w:t>
            </w:r>
          </w:p>
        </w:tc>
        <w:tc>
          <w:tcPr>
            <w:tcW w:w="5386" w:type="dxa"/>
            <w:vAlign w:val="center"/>
          </w:tcPr>
          <w:p>
            <w:pPr>
              <w:pStyle w:val="13"/>
            </w:pPr>
            <w:r>
              <w:t>完成植树面积占总面积比例</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森林覆盖率</w:t>
            </w:r>
          </w:p>
        </w:tc>
        <w:tc>
          <w:tcPr>
            <w:tcW w:w="5386" w:type="dxa"/>
            <w:vAlign w:val="center"/>
          </w:tcPr>
          <w:p>
            <w:pPr>
              <w:pStyle w:val="13"/>
            </w:pPr>
            <w:r>
              <w:t>提高森林覆盖率</w:t>
            </w:r>
          </w:p>
        </w:tc>
        <w:tc>
          <w:tcPr>
            <w:tcW w:w="2268" w:type="dxa"/>
            <w:vAlign w:val="center"/>
          </w:tcPr>
          <w:p>
            <w:pPr>
              <w:pStyle w:val="13"/>
            </w:pPr>
            <w:r>
              <w:t>≥0.01百分比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5、2025野生动物保护救助费用绩效目标表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13032125P00011610016Y</w:t>
            </w:r>
          </w:p>
        </w:tc>
        <w:tc>
          <w:tcPr>
            <w:tcW w:w="2835" w:type="dxa"/>
            <w:vAlign w:val="center"/>
          </w:tcPr>
          <w:p>
            <w:pPr>
              <w:pStyle w:val="11"/>
            </w:pPr>
            <w:r>
              <w:t>项目名称</w:t>
            </w:r>
          </w:p>
        </w:tc>
        <w:tc>
          <w:tcPr>
            <w:tcW w:w="6095" w:type="dxa"/>
            <w:gridSpan w:val="3"/>
            <w:vAlign w:val="center"/>
          </w:tcPr>
          <w:p>
            <w:pPr>
              <w:pStyle w:val="13"/>
            </w:pPr>
            <w:r>
              <w:t>2025野生动物保护救助费用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项目金额5万元，其中财政拨款5万元，主要用于开展境内野生动物的保护救助工作，达到保护受伤或生病的“三有”和濒危的野生动物，维持生态平衡的目的。</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1.通过开展境内野生动物的保护救助工作，达到保护受伤或生病的“三有”和濒危的野生动物，维持生态平衡的目的。</w:t>
            </w:r>
          </w:p>
          <w:p>
            <w:pPr>
              <w:pStyle w:val="13"/>
            </w:pPr>
            <w:r>
              <w:t>2.通过开展境内野生动物的保护救助工作，实现保护野生动物，提升当地居民和游客的生活环境的目的。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全年预计需要救助受伤或生病的野生动物量</w:t>
            </w:r>
          </w:p>
        </w:tc>
        <w:tc>
          <w:tcPr>
            <w:tcW w:w="5386" w:type="dxa"/>
            <w:vAlign w:val="center"/>
          </w:tcPr>
          <w:p>
            <w:pPr>
              <w:pStyle w:val="13"/>
            </w:pPr>
            <w:r>
              <w:t>反映全年预计需要救助受伤生病的野生动物的数量</w:t>
            </w:r>
          </w:p>
        </w:tc>
        <w:tc>
          <w:tcPr>
            <w:tcW w:w="2268" w:type="dxa"/>
            <w:vAlign w:val="center"/>
          </w:tcPr>
          <w:p>
            <w:pPr>
              <w:pStyle w:val="13"/>
            </w:pPr>
            <w:r>
              <w:t>≥25只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印发保护救助教育宣传单量</w:t>
            </w:r>
          </w:p>
        </w:tc>
        <w:tc>
          <w:tcPr>
            <w:tcW w:w="5386" w:type="dxa"/>
            <w:vAlign w:val="center"/>
          </w:tcPr>
          <w:p>
            <w:pPr>
              <w:pStyle w:val="13"/>
            </w:pPr>
            <w:r>
              <w:t>反映全年印发保护救助教育宣传单的数量</w:t>
            </w:r>
          </w:p>
        </w:tc>
        <w:tc>
          <w:tcPr>
            <w:tcW w:w="2268" w:type="dxa"/>
            <w:vAlign w:val="center"/>
          </w:tcPr>
          <w:p>
            <w:pPr>
              <w:pStyle w:val="13"/>
            </w:pPr>
            <w:r>
              <w:t>≥10000张</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全年保护救助教育宣传覆盖情况</w:t>
            </w:r>
          </w:p>
        </w:tc>
        <w:tc>
          <w:tcPr>
            <w:tcW w:w="5386" w:type="dxa"/>
            <w:vAlign w:val="center"/>
          </w:tcPr>
          <w:p>
            <w:pPr>
              <w:pStyle w:val="13"/>
            </w:pPr>
            <w:r>
              <w:t>全年保护救助教育宣传的乡镇单位数</w:t>
            </w:r>
          </w:p>
        </w:tc>
        <w:tc>
          <w:tcPr>
            <w:tcW w:w="2268" w:type="dxa"/>
            <w:vAlign w:val="center"/>
          </w:tcPr>
          <w:p>
            <w:pPr>
              <w:pStyle w:val="13"/>
            </w:pPr>
            <w:r>
              <w:t>≥25个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全年救助对象康复率</w:t>
            </w:r>
          </w:p>
        </w:tc>
        <w:tc>
          <w:tcPr>
            <w:tcW w:w="5386" w:type="dxa"/>
            <w:vAlign w:val="center"/>
          </w:tcPr>
          <w:p>
            <w:pPr>
              <w:pStyle w:val="13"/>
            </w:pPr>
            <w:r>
              <w:t>通过对野生动物的救助，实现救助的康复比例</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救助的及时性</w:t>
            </w:r>
          </w:p>
        </w:tc>
        <w:tc>
          <w:tcPr>
            <w:tcW w:w="5386" w:type="dxa"/>
            <w:vAlign w:val="center"/>
          </w:tcPr>
          <w:p>
            <w:pPr>
              <w:pStyle w:val="13"/>
            </w:pPr>
            <w:r>
              <w:t>接到救助电话24小时内到达现场的及时性</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w:t>
            </w:r>
          </w:p>
        </w:tc>
        <w:tc>
          <w:tcPr>
            <w:tcW w:w="5386" w:type="dxa"/>
            <w:vAlign w:val="center"/>
          </w:tcPr>
          <w:p>
            <w:pPr>
              <w:pStyle w:val="13"/>
            </w:pPr>
            <w:r>
              <w:t>救助保护时所必需的兽用药品、器具、奖励等费用</w:t>
            </w:r>
          </w:p>
        </w:tc>
        <w:tc>
          <w:tcPr>
            <w:tcW w:w="2268" w:type="dxa"/>
            <w:vAlign w:val="center"/>
          </w:tcPr>
          <w:p>
            <w:pPr>
              <w:pStyle w:val="13"/>
            </w:pPr>
            <w:r>
              <w:t>≤20000元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维护全县野生动物的生态平衡</w:t>
            </w:r>
          </w:p>
        </w:tc>
        <w:tc>
          <w:tcPr>
            <w:tcW w:w="5386" w:type="dxa"/>
            <w:vAlign w:val="center"/>
          </w:tcPr>
          <w:p>
            <w:pPr>
              <w:pStyle w:val="13"/>
            </w:pPr>
            <w:r>
              <w:t>通过项目实施有利于保护受伤或生病的三有和濒危的野生动物，维持生态平衡</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保护野生动物资源</w:t>
            </w:r>
          </w:p>
        </w:tc>
        <w:tc>
          <w:tcPr>
            <w:tcW w:w="5386" w:type="dxa"/>
            <w:vAlign w:val="center"/>
          </w:tcPr>
          <w:p>
            <w:pPr>
              <w:pStyle w:val="13"/>
            </w:pPr>
            <w:r>
              <w:t>项目实施有助于保护野生动物，提升当地居民和游客的生活环境</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群众对此项目整体满意度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6、板栗产业宣传费绩效目标表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13032124P000026100644</w:t>
            </w:r>
          </w:p>
        </w:tc>
        <w:tc>
          <w:tcPr>
            <w:tcW w:w="2835" w:type="dxa"/>
            <w:vAlign w:val="center"/>
          </w:tcPr>
          <w:p>
            <w:pPr>
              <w:pStyle w:val="11"/>
            </w:pPr>
            <w:r>
              <w:t>项目名称</w:t>
            </w:r>
          </w:p>
        </w:tc>
        <w:tc>
          <w:tcPr>
            <w:tcW w:w="6095" w:type="dxa"/>
            <w:gridSpan w:val="3"/>
            <w:vAlign w:val="center"/>
          </w:tcPr>
          <w:p>
            <w:pPr>
              <w:pStyle w:val="13"/>
            </w:pPr>
            <w:r>
              <w:t>板栗产业宣传费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项目金额10万元，其中财政拨款10万元，主要推动青龙板栗产业发展，提升板栗产业核心竞争力。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1.通过项目实施，提升青龙板栗知名度。</w:t>
            </w:r>
          </w:p>
          <w:p>
            <w:pPr>
              <w:pStyle w:val="13"/>
            </w:pPr>
            <w:r>
              <w:t>2.通过项目实施，推动青龙板栗产业发展。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书籍数量</w:t>
            </w:r>
          </w:p>
        </w:tc>
        <w:tc>
          <w:tcPr>
            <w:tcW w:w="5386" w:type="dxa"/>
            <w:vAlign w:val="center"/>
          </w:tcPr>
          <w:p>
            <w:pPr>
              <w:pStyle w:val="13"/>
            </w:pPr>
            <w:r>
              <w:t>出版书的数量</w:t>
            </w:r>
          </w:p>
        </w:tc>
        <w:tc>
          <w:tcPr>
            <w:tcW w:w="2268" w:type="dxa"/>
            <w:vAlign w:val="center"/>
          </w:tcPr>
          <w:p>
            <w:pPr>
              <w:pStyle w:val="13"/>
            </w:pPr>
            <w:r>
              <w:t>2000本</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板栗产业销售额</w:t>
            </w:r>
          </w:p>
        </w:tc>
        <w:tc>
          <w:tcPr>
            <w:tcW w:w="5386" w:type="dxa"/>
            <w:vAlign w:val="center"/>
          </w:tcPr>
          <w:p>
            <w:pPr>
              <w:pStyle w:val="13"/>
            </w:pPr>
            <w:r>
              <w:t>提升板栗销售额</w:t>
            </w:r>
          </w:p>
        </w:tc>
        <w:tc>
          <w:tcPr>
            <w:tcW w:w="2268" w:type="dxa"/>
            <w:vAlign w:val="center"/>
          </w:tcPr>
          <w:p>
            <w:pPr>
              <w:pStyle w:val="13"/>
            </w:pPr>
            <w:r>
              <w:t>≥10百分比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书籍质量</w:t>
            </w:r>
          </w:p>
        </w:tc>
        <w:tc>
          <w:tcPr>
            <w:tcW w:w="5386" w:type="dxa"/>
            <w:vAlign w:val="center"/>
          </w:tcPr>
          <w:p>
            <w:pPr>
              <w:pStyle w:val="13"/>
            </w:pPr>
            <w:r>
              <w:t>出版书的合格率</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付款时间</w:t>
            </w:r>
          </w:p>
        </w:tc>
        <w:tc>
          <w:tcPr>
            <w:tcW w:w="5386" w:type="dxa"/>
            <w:vAlign w:val="center"/>
          </w:tcPr>
          <w:p>
            <w:pPr>
              <w:pStyle w:val="13"/>
            </w:pPr>
            <w:r>
              <w:t>按时付款的时间</w:t>
            </w:r>
          </w:p>
        </w:tc>
        <w:tc>
          <w:tcPr>
            <w:tcW w:w="2268" w:type="dxa"/>
            <w:vAlign w:val="center"/>
          </w:tcPr>
          <w:p>
            <w:pPr>
              <w:pStyle w:val="13"/>
            </w:pPr>
            <w:r>
              <w:t>2025年3月底</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书籍的成本</w:t>
            </w:r>
          </w:p>
        </w:tc>
        <w:tc>
          <w:tcPr>
            <w:tcW w:w="2268" w:type="dxa"/>
            <w:vAlign w:val="center"/>
          </w:tcPr>
          <w:p>
            <w:pPr>
              <w:pStyle w:val="13"/>
            </w:pPr>
            <w:r>
              <w:t>≤10万元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带动栗民增收</w:t>
            </w:r>
          </w:p>
        </w:tc>
        <w:tc>
          <w:tcPr>
            <w:tcW w:w="5386" w:type="dxa"/>
            <w:vAlign w:val="center"/>
          </w:tcPr>
          <w:p>
            <w:pPr>
              <w:pStyle w:val="13"/>
            </w:pPr>
            <w:r>
              <w:t>带动栗民增收率</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社会效益显著</w:t>
            </w:r>
          </w:p>
        </w:tc>
        <w:tc>
          <w:tcPr>
            <w:tcW w:w="5386" w:type="dxa"/>
            <w:vAlign w:val="center"/>
          </w:tcPr>
          <w:p>
            <w:pPr>
              <w:pStyle w:val="13"/>
            </w:pPr>
            <w:r>
              <w:t>提升板栗产业知名度</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持续提升板栗产业发展</w:t>
            </w:r>
          </w:p>
        </w:tc>
        <w:tc>
          <w:tcPr>
            <w:tcW w:w="5386" w:type="dxa"/>
            <w:vAlign w:val="center"/>
          </w:tcPr>
          <w:p>
            <w:pPr>
              <w:pStyle w:val="13"/>
            </w:pPr>
            <w:r>
              <w:t>提升板栗产业发展</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群众满意程度</w:t>
            </w:r>
          </w:p>
        </w:tc>
        <w:tc>
          <w:tcPr>
            <w:tcW w:w="2268" w:type="dxa"/>
            <w:vAlign w:val="center"/>
          </w:tcPr>
          <w:p>
            <w:pPr>
              <w:pStyle w:val="13"/>
            </w:pPr>
            <w:r>
              <w:t>≥95百分比</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7、板栗接穗资金绩效目标表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13032124P00002610022D</w:t>
            </w:r>
          </w:p>
        </w:tc>
        <w:tc>
          <w:tcPr>
            <w:tcW w:w="2835" w:type="dxa"/>
            <w:vAlign w:val="center"/>
          </w:tcPr>
          <w:p>
            <w:pPr>
              <w:pStyle w:val="11"/>
            </w:pPr>
            <w:r>
              <w:t>项目名称</w:t>
            </w:r>
          </w:p>
        </w:tc>
        <w:tc>
          <w:tcPr>
            <w:tcW w:w="6095" w:type="dxa"/>
            <w:gridSpan w:val="3"/>
            <w:vAlign w:val="center"/>
          </w:tcPr>
          <w:p>
            <w:pPr>
              <w:pStyle w:val="13"/>
            </w:pPr>
            <w:r>
              <w:t>板栗接穗资金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项目预算15万元，其中财政拨款15万元，主要用于青龙板栗产业。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1.加快青龙板栗品种培优进程、提高青龙板栗品质、商品性和稳产性。</w:t>
            </w:r>
            <w:r>
              <w:tab/>
            </w:r>
          </w:p>
          <w:p>
            <w:pPr>
              <w:pStyle w:val="13"/>
            </w:pPr>
            <w:r>
              <w:t>2.带动栗农增收，巩固脱贫、防贫成果，助力青龙板栗产业不断做大做强。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优质板栗接穗</w:t>
            </w:r>
          </w:p>
        </w:tc>
        <w:tc>
          <w:tcPr>
            <w:tcW w:w="5386" w:type="dxa"/>
            <w:vAlign w:val="center"/>
          </w:tcPr>
          <w:p>
            <w:pPr>
              <w:pStyle w:val="13"/>
            </w:pPr>
            <w:r>
              <w:t>优质板栗接穗的数量</w:t>
            </w:r>
          </w:p>
        </w:tc>
        <w:tc>
          <w:tcPr>
            <w:tcW w:w="2268" w:type="dxa"/>
            <w:vAlign w:val="center"/>
          </w:tcPr>
          <w:p>
            <w:pPr>
              <w:pStyle w:val="13"/>
            </w:pPr>
            <w:r>
              <w:t>≥15万条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接穗的纯度和检疫情况</w:t>
            </w:r>
          </w:p>
        </w:tc>
        <w:tc>
          <w:tcPr>
            <w:tcW w:w="5386" w:type="dxa"/>
            <w:vAlign w:val="center"/>
          </w:tcPr>
          <w:p>
            <w:pPr>
              <w:pStyle w:val="13"/>
            </w:pPr>
            <w:r>
              <w:t>通过专家验收的数量占总量的比值</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适宜嫁接环境采购并发放</w:t>
            </w:r>
          </w:p>
        </w:tc>
        <w:tc>
          <w:tcPr>
            <w:tcW w:w="5386" w:type="dxa"/>
            <w:vAlign w:val="center"/>
          </w:tcPr>
          <w:p>
            <w:pPr>
              <w:pStyle w:val="13"/>
            </w:pPr>
            <w:r>
              <w:t>适宜嫁接环境采购并发放的完成时间</w:t>
            </w:r>
          </w:p>
        </w:tc>
        <w:tc>
          <w:tcPr>
            <w:tcW w:w="2268" w:type="dxa"/>
            <w:vAlign w:val="center"/>
          </w:tcPr>
          <w:p>
            <w:pPr>
              <w:pStyle w:val="13"/>
            </w:pPr>
            <w:r>
              <w:t>月底</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接穗的成本</w:t>
            </w:r>
          </w:p>
        </w:tc>
        <w:tc>
          <w:tcPr>
            <w:tcW w:w="5386" w:type="dxa"/>
            <w:vAlign w:val="center"/>
          </w:tcPr>
          <w:p>
            <w:pPr>
              <w:pStyle w:val="13"/>
            </w:pPr>
            <w:r>
              <w:t>接穗的成本费用</w:t>
            </w:r>
          </w:p>
        </w:tc>
        <w:tc>
          <w:tcPr>
            <w:tcW w:w="2268" w:type="dxa"/>
            <w:vAlign w:val="center"/>
          </w:tcPr>
          <w:p>
            <w:pPr>
              <w:pStyle w:val="13"/>
            </w:pPr>
            <w:r>
              <w:t>≤15万元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促进板栗产业高质量发展</w:t>
            </w:r>
          </w:p>
        </w:tc>
        <w:tc>
          <w:tcPr>
            <w:tcW w:w="5386" w:type="dxa"/>
            <w:vAlign w:val="center"/>
          </w:tcPr>
          <w:p>
            <w:pPr>
              <w:pStyle w:val="13"/>
            </w:pPr>
            <w:r>
              <w:t>全县各乡镇</w:t>
            </w:r>
          </w:p>
        </w:tc>
        <w:tc>
          <w:tcPr>
            <w:tcW w:w="2268" w:type="dxa"/>
            <w:vAlign w:val="center"/>
          </w:tcPr>
          <w:p>
            <w:pPr>
              <w:pStyle w:val="13"/>
            </w:pPr>
            <w:r>
              <w:t>≦24个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促进栗农增产增收</w:t>
            </w:r>
          </w:p>
        </w:tc>
        <w:tc>
          <w:tcPr>
            <w:tcW w:w="5386" w:type="dxa"/>
            <w:vAlign w:val="center"/>
          </w:tcPr>
          <w:p>
            <w:pPr>
              <w:pStyle w:val="13"/>
            </w:pPr>
            <w:r>
              <w:t>全县各乡镇</w:t>
            </w:r>
          </w:p>
        </w:tc>
        <w:tc>
          <w:tcPr>
            <w:tcW w:w="2268" w:type="dxa"/>
            <w:vAlign w:val="center"/>
          </w:tcPr>
          <w:p>
            <w:pPr>
              <w:pStyle w:val="13"/>
            </w:pPr>
            <w:r>
              <w:t>≦24个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受益群众满意、基本满意数量占总数的比例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8、保护地发展规划（都山自然保护区、青龙湖国家湿地公园、南山森林公园）绩效目标表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13032125P00329910003J</w:t>
            </w:r>
          </w:p>
        </w:tc>
        <w:tc>
          <w:tcPr>
            <w:tcW w:w="2835" w:type="dxa"/>
            <w:vAlign w:val="center"/>
          </w:tcPr>
          <w:p>
            <w:pPr>
              <w:pStyle w:val="11"/>
            </w:pPr>
            <w:r>
              <w:t>项目名称</w:t>
            </w:r>
          </w:p>
        </w:tc>
        <w:tc>
          <w:tcPr>
            <w:tcW w:w="6095" w:type="dxa"/>
            <w:gridSpan w:val="3"/>
            <w:vAlign w:val="center"/>
          </w:tcPr>
          <w:p>
            <w:pPr>
              <w:pStyle w:val="13"/>
            </w:pPr>
            <w:r>
              <w:t>保护地发展规划（都山自然保护区、青龙湖国家湿地公园、南山森林公园）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项目金额100万元，其中财政拨款100万元，主要用于开展此项活动，有效地开发利用都山自然保护区、青龙湖国家湿地公园、南山森林公园等保护地资源。</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1.通过开展此项活动，有效地开发利用都山自然保护区、青龙湖国家湿地公园、南山森林公园等保护地资源。</w:t>
            </w:r>
          </w:p>
          <w:p>
            <w:pPr>
              <w:pStyle w:val="13"/>
            </w:pPr>
            <w:r>
              <w:t>2.通过开展此项活动，有效地保护都山自然保护区、青龙湖国家湿地公园、南山森林公园等保护地。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编制调查面积</w:t>
            </w:r>
          </w:p>
        </w:tc>
        <w:tc>
          <w:tcPr>
            <w:tcW w:w="5386" w:type="dxa"/>
            <w:vAlign w:val="center"/>
          </w:tcPr>
          <w:p>
            <w:pPr>
              <w:pStyle w:val="13"/>
            </w:pPr>
            <w:r>
              <w:t>编制调查面积</w:t>
            </w:r>
          </w:p>
        </w:tc>
        <w:tc>
          <w:tcPr>
            <w:tcW w:w="2268" w:type="dxa"/>
            <w:vAlign w:val="center"/>
          </w:tcPr>
          <w:p>
            <w:pPr>
              <w:pStyle w:val="13"/>
            </w:pPr>
            <w:r>
              <w:t>≥4705公顷</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规划编制成果数量</w:t>
            </w:r>
          </w:p>
        </w:tc>
        <w:tc>
          <w:tcPr>
            <w:tcW w:w="5386" w:type="dxa"/>
            <w:vAlign w:val="center"/>
          </w:tcPr>
          <w:p>
            <w:pPr>
              <w:pStyle w:val="13"/>
            </w:pPr>
            <w:r>
              <w:t>规划编制成果数量情况</w:t>
            </w:r>
          </w:p>
        </w:tc>
        <w:tc>
          <w:tcPr>
            <w:tcW w:w="2268" w:type="dxa"/>
            <w:vAlign w:val="center"/>
          </w:tcPr>
          <w:p>
            <w:pPr>
              <w:pStyle w:val="13"/>
            </w:pPr>
            <w:r>
              <w:t>≥1本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规划成果验收合格率</w:t>
            </w:r>
          </w:p>
        </w:tc>
        <w:tc>
          <w:tcPr>
            <w:tcW w:w="5386" w:type="dxa"/>
            <w:vAlign w:val="center"/>
          </w:tcPr>
          <w:p>
            <w:pPr>
              <w:pStyle w:val="13"/>
            </w:pPr>
            <w:r>
              <w:t>反映规划成果验收合格情况</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规划编制时间</w:t>
            </w:r>
          </w:p>
        </w:tc>
        <w:tc>
          <w:tcPr>
            <w:tcW w:w="5386" w:type="dxa"/>
            <w:vAlign w:val="center"/>
          </w:tcPr>
          <w:p>
            <w:pPr>
              <w:pStyle w:val="13"/>
            </w:pPr>
            <w:r>
              <w:t>总体规划编制成果完成时间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规划编制费</w:t>
            </w:r>
          </w:p>
        </w:tc>
        <w:tc>
          <w:tcPr>
            <w:tcW w:w="5386" w:type="dxa"/>
            <w:vAlign w:val="center"/>
          </w:tcPr>
          <w:p>
            <w:pPr>
              <w:pStyle w:val="13"/>
            </w:pPr>
            <w:r>
              <w:t>聘请第三方机构规划编制费用</w:t>
            </w:r>
          </w:p>
        </w:tc>
        <w:tc>
          <w:tcPr>
            <w:tcW w:w="2268" w:type="dxa"/>
            <w:vAlign w:val="center"/>
          </w:tcPr>
          <w:p>
            <w:pPr>
              <w:pStyle w:val="13"/>
            </w:pPr>
            <w:r>
              <w:t>≤100万元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自然保护区后续发展指导性</w:t>
            </w:r>
          </w:p>
        </w:tc>
        <w:tc>
          <w:tcPr>
            <w:tcW w:w="5386" w:type="dxa"/>
            <w:vAlign w:val="center"/>
          </w:tcPr>
          <w:p>
            <w:pPr>
              <w:pStyle w:val="13"/>
            </w:pPr>
            <w:r>
              <w:t>自然保护区后续发展指导作用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规划期蓄积增长量</w:t>
            </w:r>
          </w:p>
        </w:tc>
        <w:tc>
          <w:tcPr>
            <w:tcW w:w="5386" w:type="dxa"/>
            <w:vAlign w:val="center"/>
          </w:tcPr>
          <w:p>
            <w:pPr>
              <w:pStyle w:val="13"/>
            </w:pPr>
            <w:r>
              <w:t>规划期林木蓄积增长量</w:t>
            </w:r>
          </w:p>
        </w:tc>
        <w:tc>
          <w:tcPr>
            <w:tcW w:w="2268" w:type="dxa"/>
            <w:vAlign w:val="center"/>
          </w:tcPr>
          <w:p>
            <w:pPr>
              <w:pStyle w:val="13"/>
            </w:pPr>
            <w:r>
              <w:t>≥155531立方</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通过问卷调查。满意和比较满意的对象占比率</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9、创建国家森林城市项目资金绩效目标表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13032125P00329810009J</w:t>
            </w:r>
          </w:p>
        </w:tc>
        <w:tc>
          <w:tcPr>
            <w:tcW w:w="2835" w:type="dxa"/>
            <w:vAlign w:val="center"/>
          </w:tcPr>
          <w:p>
            <w:pPr>
              <w:pStyle w:val="11"/>
            </w:pPr>
            <w:r>
              <w:t>项目名称</w:t>
            </w:r>
          </w:p>
        </w:tc>
        <w:tc>
          <w:tcPr>
            <w:tcW w:w="6095" w:type="dxa"/>
            <w:gridSpan w:val="3"/>
            <w:vAlign w:val="center"/>
          </w:tcPr>
          <w:p>
            <w:pPr>
              <w:pStyle w:val="13"/>
            </w:pPr>
            <w:r>
              <w:t>创建国家森林城市项目资金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项目金额30万元，其中财政拨款30万元，主要用于易地搬迁复垦工作，达到完成易地扶贫搬迁土地复垦完成补充耕地数量，严格控制耕地非粮化的效果。</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1.通过开展青龙满族自治县易地搬迁复垦工作，达到完成易地扶贫搬迁土地复垦完成补充耕地数量，严格控制耕地非粮化的效果。</w:t>
            </w:r>
            <w:r>
              <w:tab/>
            </w:r>
            <w:r>
              <w:tab/>
            </w:r>
            <w:r>
              <w:tab/>
            </w:r>
            <w:r>
              <w:tab/>
            </w:r>
            <w:r>
              <w:tab/>
            </w:r>
            <w:r>
              <w:tab/>
            </w:r>
          </w:p>
          <w:p>
            <w:pPr>
              <w:pStyle w:val="13"/>
            </w:pPr>
            <w:r>
              <w:t>2.通过开展青龙满族自治县易地搬迁复垦工作，达到完成易地扶贫搬迁土地复垦完成补充耕地数量，达到占补平衡的效果。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规划编制</w:t>
            </w:r>
          </w:p>
        </w:tc>
        <w:tc>
          <w:tcPr>
            <w:tcW w:w="5386" w:type="dxa"/>
            <w:vAlign w:val="center"/>
          </w:tcPr>
          <w:p>
            <w:pPr>
              <w:pStyle w:val="13"/>
            </w:pPr>
            <w:r>
              <w:t>编制《国家森林城市建设总体规划编制》</w:t>
            </w:r>
          </w:p>
        </w:tc>
        <w:tc>
          <w:tcPr>
            <w:tcW w:w="2268" w:type="dxa"/>
            <w:vAlign w:val="center"/>
          </w:tcPr>
          <w:p>
            <w:pPr>
              <w:pStyle w:val="13"/>
            </w:pPr>
            <w:r>
              <w:t>1份</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宣传活动的次数</w:t>
            </w:r>
          </w:p>
        </w:tc>
        <w:tc>
          <w:tcPr>
            <w:tcW w:w="5386" w:type="dxa"/>
            <w:vAlign w:val="center"/>
          </w:tcPr>
          <w:p>
            <w:pPr>
              <w:pStyle w:val="13"/>
            </w:pPr>
            <w:r>
              <w:t>对创建森林城市的宣传活动次数</w:t>
            </w:r>
          </w:p>
        </w:tc>
        <w:tc>
          <w:tcPr>
            <w:tcW w:w="2268" w:type="dxa"/>
            <w:vAlign w:val="center"/>
          </w:tcPr>
          <w:p>
            <w:pPr>
              <w:pStyle w:val="13"/>
            </w:pPr>
            <w:r>
              <w:t>5次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验收考核完成时间</w:t>
            </w:r>
          </w:p>
        </w:tc>
        <w:tc>
          <w:tcPr>
            <w:tcW w:w="5386" w:type="dxa"/>
            <w:vAlign w:val="center"/>
          </w:tcPr>
          <w:p>
            <w:pPr>
              <w:pStyle w:val="13"/>
            </w:pPr>
            <w:r>
              <w:t>国家验收考核完成</w:t>
            </w:r>
          </w:p>
        </w:tc>
        <w:tc>
          <w:tcPr>
            <w:tcW w:w="2268" w:type="dxa"/>
            <w:vAlign w:val="center"/>
          </w:tcPr>
          <w:p>
            <w:pPr>
              <w:pStyle w:val="13"/>
            </w:pPr>
            <w:r>
              <w:t>2025年12月底前</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宣传活动完成率</w:t>
            </w:r>
          </w:p>
        </w:tc>
        <w:tc>
          <w:tcPr>
            <w:tcW w:w="5386" w:type="dxa"/>
            <w:vAlign w:val="center"/>
          </w:tcPr>
          <w:p>
            <w:pPr>
              <w:pStyle w:val="13"/>
            </w:pPr>
            <w:r>
              <w:t>宣传活动完成率</w:t>
            </w:r>
          </w:p>
        </w:tc>
        <w:tc>
          <w:tcPr>
            <w:tcW w:w="2268" w:type="dxa"/>
            <w:vAlign w:val="center"/>
          </w:tcPr>
          <w:p>
            <w:pPr>
              <w:pStyle w:val="13"/>
            </w:pPr>
            <w:r>
              <w:t>100百分比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按创建国家和省级森林城市所需公开招标成本</w:t>
            </w:r>
          </w:p>
        </w:tc>
        <w:tc>
          <w:tcPr>
            <w:tcW w:w="5386" w:type="dxa"/>
            <w:vAlign w:val="center"/>
          </w:tcPr>
          <w:p>
            <w:pPr>
              <w:pStyle w:val="13"/>
            </w:pPr>
            <w:r>
              <w:t>反映创建国家和省级森林城市所需公开招标成本</w:t>
            </w:r>
          </w:p>
        </w:tc>
        <w:tc>
          <w:tcPr>
            <w:tcW w:w="2268" w:type="dxa"/>
            <w:vAlign w:val="center"/>
          </w:tcPr>
          <w:p>
            <w:pPr>
              <w:pStyle w:val="13"/>
            </w:pPr>
            <w:r>
              <w:t>≤30万元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覆盖率</w:t>
            </w:r>
          </w:p>
        </w:tc>
        <w:tc>
          <w:tcPr>
            <w:tcW w:w="5386" w:type="dxa"/>
            <w:vAlign w:val="center"/>
          </w:tcPr>
          <w:p>
            <w:pPr>
              <w:pStyle w:val="13"/>
            </w:pPr>
            <w:r>
              <w:t>全县林木覆盖率</w:t>
            </w:r>
          </w:p>
        </w:tc>
        <w:tc>
          <w:tcPr>
            <w:tcW w:w="2268" w:type="dxa"/>
            <w:vAlign w:val="center"/>
          </w:tcPr>
          <w:p>
            <w:pPr>
              <w:pStyle w:val="13"/>
            </w:pPr>
            <w:r>
              <w:t>≥72.45百分比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绿化率</w:t>
            </w:r>
          </w:p>
        </w:tc>
        <w:tc>
          <w:tcPr>
            <w:tcW w:w="5386" w:type="dxa"/>
            <w:vAlign w:val="center"/>
          </w:tcPr>
          <w:p>
            <w:pPr>
              <w:pStyle w:val="13"/>
            </w:pPr>
            <w:r>
              <w:t>城区绿化覆盖率</w:t>
            </w:r>
          </w:p>
        </w:tc>
        <w:tc>
          <w:tcPr>
            <w:tcW w:w="2268" w:type="dxa"/>
            <w:vAlign w:val="center"/>
          </w:tcPr>
          <w:p>
            <w:pPr>
              <w:pStyle w:val="13"/>
            </w:pPr>
            <w:r>
              <w:t>≥42.89百分比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建设生态宜居县城</w:t>
            </w:r>
          </w:p>
        </w:tc>
        <w:tc>
          <w:tcPr>
            <w:tcW w:w="5386" w:type="dxa"/>
            <w:vAlign w:val="center"/>
          </w:tcPr>
          <w:p>
            <w:pPr>
              <w:pStyle w:val="13"/>
            </w:pPr>
            <w:r>
              <w:t>改善人居环境，实施乡村振兴，建设生态宜居县城</w:t>
            </w:r>
          </w:p>
        </w:tc>
        <w:tc>
          <w:tcPr>
            <w:tcW w:w="2268" w:type="dxa"/>
            <w:vAlign w:val="center"/>
          </w:tcPr>
          <w:p>
            <w:pPr>
              <w:pStyle w:val="13"/>
            </w:pPr>
            <w:r>
              <w:t>≥85百分比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知晓率、支持率、满意度</w:t>
            </w:r>
          </w:p>
        </w:tc>
        <w:tc>
          <w:tcPr>
            <w:tcW w:w="5386" w:type="dxa"/>
            <w:vAlign w:val="center"/>
          </w:tcPr>
          <w:p>
            <w:pPr>
              <w:pStyle w:val="13"/>
            </w:pPr>
            <w:r>
              <w:t>公众对森林城市建设的知晓率、支持率和满意度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10、盗伐林木代为补植费绩效目标表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13032124P00002610034G</w:t>
            </w:r>
          </w:p>
        </w:tc>
        <w:tc>
          <w:tcPr>
            <w:tcW w:w="2835" w:type="dxa"/>
            <w:vAlign w:val="center"/>
          </w:tcPr>
          <w:p>
            <w:pPr>
              <w:pStyle w:val="11"/>
            </w:pPr>
            <w:r>
              <w:t>项目名称</w:t>
            </w:r>
          </w:p>
        </w:tc>
        <w:tc>
          <w:tcPr>
            <w:tcW w:w="6095" w:type="dxa"/>
            <w:gridSpan w:val="3"/>
            <w:vAlign w:val="center"/>
          </w:tcPr>
          <w:p>
            <w:pPr>
              <w:pStyle w:val="13"/>
            </w:pPr>
            <w:r>
              <w:t>盗伐林木代为补植费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项目预算10万元，其中财政拨款10万元，主要用于开展盗伐林木代为补植工作，达到补植树木，改善自然环境，维持林地面积的效果。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1.通过开展盗伐林木代为补植工作，达到补植树木，改善自然环境，维持林地面积的效果。</w:t>
            </w:r>
            <w:r>
              <w:tab/>
            </w:r>
            <w:r>
              <w:tab/>
            </w:r>
            <w:r>
              <w:tab/>
            </w:r>
            <w:r>
              <w:tab/>
            </w:r>
            <w:r>
              <w:tab/>
            </w:r>
            <w:r>
              <w:tab/>
            </w:r>
          </w:p>
          <w:p>
            <w:pPr>
              <w:pStyle w:val="13"/>
            </w:pPr>
            <w:r>
              <w:t>2.通过开展盗伐林木代为补植工作，达到补植板栗树，增加农民收入的效果。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种植株数</w:t>
            </w:r>
          </w:p>
        </w:tc>
        <w:tc>
          <w:tcPr>
            <w:tcW w:w="5386" w:type="dxa"/>
            <w:vAlign w:val="center"/>
          </w:tcPr>
          <w:p>
            <w:pPr>
              <w:pStyle w:val="13"/>
            </w:pPr>
            <w:r>
              <w:t>种植树种的株数</w:t>
            </w:r>
          </w:p>
        </w:tc>
        <w:tc>
          <w:tcPr>
            <w:tcW w:w="2268" w:type="dxa"/>
            <w:vAlign w:val="center"/>
          </w:tcPr>
          <w:p>
            <w:pPr>
              <w:pStyle w:val="13"/>
            </w:pPr>
            <w:r>
              <w:t>≥3.3万株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种植的面积数</w:t>
            </w:r>
          </w:p>
        </w:tc>
        <w:tc>
          <w:tcPr>
            <w:tcW w:w="5386" w:type="dxa"/>
            <w:vAlign w:val="center"/>
          </w:tcPr>
          <w:p>
            <w:pPr>
              <w:pStyle w:val="13"/>
            </w:pPr>
            <w:r>
              <w:t>补植的面积数</w:t>
            </w:r>
          </w:p>
        </w:tc>
        <w:tc>
          <w:tcPr>
            <w:tcW w:w="2268" w:type="dxa"/>
            <w:vAlign w:val="center"/>
          </w:tcPr>
          <w:p>
            <w:pPr>
              <w:pStyle w:val="13"/>
            </w:pPr>
            <w:r>
              <w:t>≥39万平方米</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成活率</w:t>
            </w:r>
          </w:p>
        </w:tc>
        <w:tc>
          <w:tcPr>
            <w:tcW w:w="5386" w:type="dxa"/>
            <w:vAlign w:val="center"/>
          </w:tcPr>
          <w:p>
            <w:pPr>
              <w:pStyle w:val="13"/>
            </w:pPr>
            <w:r>
              <w:t>成活树木占补植总数的比率</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造林密度</w:t>
            </w:r>
          </w:p>
        </w:tc>
        <w:tc>
          <w:tcPr>
            <w:tcW w:w="5386" w:type="dxa"/>
            <w:vAlign w:val="center"/>
          </w:tcPr>
          <w:p>
            <w:pPr>
              <w:pStyle w:val="13"/>
            </w:pPr>
            <w:r>
              <w:t>每亩地造林的株数</w:t>
            </w:r>
          </w:p>
        </w:tc>
        <w:tc>
          <w:tcPr>
            <w:tcW w:w="2268" w:type="dxa"/>
            <w:vAlign w:val="center"/>
          </w:tcPr>
          <w:p>
            <w:pPr>
              <w:pStyle w:val="13"/>
            </w:pPr>
            <w:r>
              <w:t>≥56株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完成补植的时间</w:t>
            </w:r>
          </w:p>
        </w:tc>
        <w:tc>
          <w:tcPr>
            <w:tcW w:w="5386" w:type="dxa"/>
            <w:vAlign w:val="center"/>
          </w:tcPr>
          <w:p>
            <w:pPr>
              <w:pStyle w:val="13"/>
            </w:pPr>
            <w:r>
              <w:t>完成补植的时间</w:t>
            </w:r>
          </w:p>
        </w:tc>
        <w:tc>
          <w:tcPr>
            <w:tcW w:w="2268" w:type="dxa"/>
            <w:vAlign w:val="center"/>
          </w:tcPr>
          <w:p>
            <w:pPr>
              <w:pStyle w:val="13"/>
            </w:pPr>
            <w:r>
              <w:t>2023年6月底前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反应活动投入情况</w:t>
            </w:r>
          </w:p>
        </w:tc>
        <w:tc>
          <w:tcPr>
            <w:tcW w:w="2268" w:type="dxa"/>
            <w:vAlign w:val="center"/>
          </w:tcPr>
          <w:p>
            <w:pPr>
              <w:pStyle w:val="13"/>
            </w:pPr>
            <w:r>
              <w:t>≤4.5元/株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增加绿地覆盖率</w:t>
            </w:r>
          </w:p>
        </w:tc>
        <w:tc>
          <w:tcPr>
            <w:tcW w:w="5386" w:type="dxa"/>
            <w:vAlign w:val="center"/>
          </w:tcPr>
          <w:p>
            <w:pPr>
              <w:pStyle w:val="13"/>
            </w:pPr>
            <w:r>
              <w:t>增加绿地覆盖率</w:t>
            </w:r>
          </w:p>
        </w:tc>
        <w:tc>
          <w:tcPr>
            <w:tcW w:w="2268" w:type="dxa"/>
            <w:vAlign w:val="center"/>
          </w:tcPr>
          <w:p>
            <w:pPr>
              <w:pStyle w:val="13"/>
            </w:pPr>
            <w:r>
              <w:t>≥1万分比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预期经济效益</w:t>
            </w:r>
          </w:p>
        </w:tc>
        <w:tc>
          <w:tcPr>
            <w:tcW w:w="5386" w:type="dxa"/>
            <w:vAlign w:val="center"/>
          </w:tcPr>
          <w:p>
            <w:pPr>
              <w:pStyle w:val="13"/>
            </w:pPr>
            <w:r>
              <w:t>预期每亩每年增加农民收入</w:t>
            </w:r>
          </w:p>
        </w:tc>
        <w:tc>
          <w:tcPr>
            <w:tcW w:w="2268" w:type="dxa"/>
            <w:vAlign w:val="center"/>
          </w:tcPr>
          <w:p>
            <w:pPr>
              <w:pStyle w:val="13"/>
            </w:pPr>
            <w:r>
              <w:t>≥2500元/亩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11、都阳河沿河健身步道项目-绿化项目资金绩效目标表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13032125P00329810010X</w:t>
            </w:r>
          </w:p>
        </w:tc>
        <w:tc>
          <w:tcPr>
            <w:tcW w:w="2835" w:type="dxa"/>
            <w:vAlign w:val="center"/>
          </w:tcPr>
          <w:p>
            <w:pPr>
              <w:pStyle w:val="11"/>
            </w:pPr>
            <w:r>
              <w:t>项目名称</w:t>
            </w:r>
          </w:p>
        </w:tc>
        <w:tc>
          <w:tcPr>
            <w:tcW w:w="6095" w:type="dxa"/>
            <w:gridSpan w:val="3"/>
            <w:vAlign w:val="center"/>
          </w:tcPr>
          <w:p>
            <w:pPr>
              <w:pStyle w:val="13"/>
            </w:pPr>
            <w:r>
              <w:t>都阳河沿河健身步道项目-绿化项目资金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项目金额100万元，其中财政拨款100万元，主要用于争取尽快完成创建全国5A级景区的目标任务，为将祖山打造成为中国北方著名的康养度假胜地。</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1.通过项目实施，有助于树立城市新形象，增强人民体质，加快县城康养健身场地，增加当地的就业机会。</w:t>
            </w:r>
          </w:p>
          <w:p>
            <w:pPr>
              <w:pStyle w:val="13"/>
            </w:pPr>
            <w:r>
              <w:t>2.通过项目实施，有助于保障市民安全出行的同时将大大提高生活环境质量，为广大市民提供良好的全民健身环境。</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绿化面积</w:t>
            </w:r>
          </w:p>
        </w:tc>
        <w:tc>
          <w:tcPr>
            <w:tcW w:w="5386" w:type="dxa"/>
            <w:vAlign w:val="center"/>
          </w:tcPr>
          <w:p>
            <w:pPr>
              <w:pStyle w:val="13"/>
            </w:pPr>
            <w:r>
              <w:t>道路两侧绿化面积</w:t>
            </w:r>
          </w:p>
        </w:tc>
        <w:tc>
          <w:tcPr>
            <w:tcW w:w="2268" w:type="dxa"/>
            <w:vAlign w:val="center"/>
          </w:tcPr>
          <w:p>
            <w:pPr>
              <w:pStyle w:val="13"/>
            </w:pPr>
            <w:r>
              <w:t>≥4400平方米</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栽植乔木</w:t>
            </w:r>
          </w:p>
        </w:tc>
        <w:tc>
          <w:tcPr>
            <w:tcW w:w="5386" w:type="dxa"/>
            <w:vAlign w:val="center"/>
          </w:tcPr>
          <w:p>
            <w:pPr>
              <w:pStyle w:val="13"/>
            </w:pPr>
            <w:r>
              <w:t>乔木棵树</w:t>
            </w:r>
          </w:p>
        </w:tc>
        <w:tc>
          <w:tcPr>
            <w:tcW w:w="2268" w:type="dxa"/>
            <w:vAlign w:val="center"/>
          </w:tcPr>
          <w:p>
            <w:pPr>
              <w:pStyle w:val="13"/>
            </w:pPr>
            <w:r>
              <w:t>≥8000棵</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成活率</w:t>
            </w:r>
          </w:p>
        </w:tc>
        <w:tc>
          <w:tcPr>
            <w:tcW w:w="5386" w:type="dxa"/>
            <w:vAlign w:val="center"/>
          </w:tcPr>
          <w:p>
            <w:pPr>
              <w:pStyle w:val="13"/>
            </w:pPr>
            <w:r>
              <w:t>乔木成活率</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外部验收合格率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开工及时性</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按成本控制价</w:t>
            </w:r>
          </w:p>
        </w:tc>
        <w:tc>
          <w:tcPr>
            <w:tcW w:w="2268" w:type="dxa"/>
            <w:vAlign w:val="center"/>
          </w:tcPr>
          <w:p>
            <w:pPr>
              <w:pStyle w:val="13"/>
            </w:pPr>
            <w:r>
              <w:t>≤100万元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全民健身</w:t>
            </w:r>
          </w:p>
        </w:tc>
        <w:tc>
          <w:tcPr>
            <w:tcW w:w="5386" w:type="dxa"/>
            <w:vAlign w:val="center"/>
          </w:tcPr>
          <w:p>
            <w:pPr>
              <w:pStyle w:val="13"/>
            </w:pPr>
            <w:r>
              <w:t>提升县城居民方便出行，满足全民分健身，改善生活环境</w:t>
            </w:r>
          </w:p>
        </w:tc>
        <w:tc>
          <w:tcPr>
            <w:tcW w:w="2268" w:type="dxa"/>
            <w:vAlign w:val="center"/>
          </w:tcPr>
          <w:p>
            <w:pPr>
              <w:pStyle w:val="13"/>
            </w:pPr>
            <w:r>
              <w:t>≥80000人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达到可持续影响</w:t>
            </w:r>
          </w:p>
        </w:tc>
        <w:tc>
          <w:tcPr>
            <w:tcW w:w="5386" w:type="dxa"/>
            <w:vAlign w:val="center"/>
          </w:tcPr>
          <w:p>
            <w:pPr>
              <w:pStyle w:val="13"/>
            </w:pPr>
            <w:r>
              <w:t>工程完工后，方便居民出行，提升到健身率</w:t>
            </w:r>
          </w:p>
        </w:tc>
        <w:tc>
          <w:tcPr>
            <w:tcW w:w="2268" w:type="dxa"/>
            <w:vAlign w:val="center"/>
          </w:tcPr>
          <w:p>
            <w:pPr>
              <w:pStyle w:val="13"/>
            </w:pPr>
            <w:r>
              <w:t>≥80百分比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社会公众或服务对象对项目实施效果的满意度</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13032124P000026100354</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14.20</w:t>
            </w:r>
          </w:p>
        </w:tc>
        <w:tc>
          <w:tcPr>
            <w:tcW w:w="2835" w:type="dxa"/>
            <w:vAlign w:val="center"/>
          </w:tcPr>
          <w:p>
            <w:pPr>
              <w:pStyle w:val="11"/>
            </w:pPr>
            <w:r>
              <w:t>其中：财政    资金</w:t>
            </w:r>
          </w:p>
        </w:tc>
        <w:tc>
          <w:tcPr>
            <w:tcW w:w="2551" w:type="dxa"/>
            <w:vAlign w:val="center"/>
          </w:tcPr>
          <w:p>
            <w:pPr>
              <w:pStyle w:val="13"/>
            </w:pPr>
            <w:r>
              <w:t>14.20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项目预算14.199851万元，其中财政拨款14.199851万元，主要用于开展防火工作，对森林防火设施的维修及保养，保证防火设施的正常运转，达到将火灾隐患降到最低的效果。</w:t>
            </w:r>
            <w:r>
              <w:tab/>
            </w:r>
            <w:r>
              <w:tab/>
            </w:r>
            <w:r>
              <w:tab/>
            </w:r>
            <w:r>
              <w:tab/>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1.通过开展防火工作，对森林防火设施的维修及保养，保证防火设施的正常运转，达到将火灾隐患降到最低的效果。  </w:t>
            </w:r>
          </w:p>
          <w:p>
            <w:pPr>
              <w:pStyle w:val="13"/>
            </w:pPr>
            <w:r>
              <w:t>2.通过开展防火工作，进行宣传、培训，达到提高群众防火意识和队员扑火技能，提升工作效率的效果。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气象因子监测维护点位</w:t>
            </w:r>
          </w:p>
        </w:tc>
        <w:tc>
          <w:tcPr>
            <w:tcW w:w="5386" w:type="dxa"/>
            <w:vAlign w:val="center"/>
          </w:tcPr>
          <w:p>
            <w:pPr>
              <w:pStyle w:val="13"/>
            </w:pPr>
            <w:r>
              <w:t>气象因子监测维护点位个数</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视频监控维保和光纤租赁费</w:t>
            </w:r>
          </w:p>
        </w:tc>
        <w:tc>
          <w:tcPr>
            <w:tcW w:w="5386" w:type="dxa"/>
            <w:vAlign w:val="center"/>
          </w:tcPr>
          <w:p>
            <w:pPr>
              <w:pStyle w:val="13"/>
            </w:pPr>
            <w:r>
              <w:t>视频监控维保和光纤租赁费</w:t>
            </w:r>
          </w:p>
        </w:tc>
        <w:tc>
          <w:tcPr>
            <w:tcW w:w="2268" w:type="dxa"/>
            <w:vAlign w:val="center"/>
          </w:tcPr>
          <w:p>
            <w:pPr>
              <w:pStyle w:val="13"/>
            </w:pPr>
            <w:r>
              <w:t>≥22个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防火车辆数量</w:t>
            </w:r>
          </w:p>
        </w:tc>
        <w:tc>
          <w:tcPr>
            <w:tcW w:w="5386" w:type="dxa"/>
            <w:vAlign w:val="center"/>
          </w:tcPr>
          <w:p>
            <w:pPr>
              <w:pStyle w:val="13"/>
            </w:pPr>
            <w:r>
              <w:t>维修保养防火车辆数量</w:t>
            </w:r>
          </w:p>
        </w:tc>
        <w:tc>
          <w:tcPr>
            <w:tcW w:w="2268" w:type="dxa"/>
            <w:vAlign w:val="center"/>
          </w:tcPr>
          <w:p>
            <w:pPr>
              <w:pStyle w:val="13"/>
            </w:pPr>
            <w:r>
              <w:t>≥11辆</w:t>
            </w:r>
          </w:p>
        </w:tc>
        <w:tc>
          <w:tcPr>
            <w:tcW w:w="1276" w:type="dxa"/>
            <w:vAlign w:val="center"/>
          </w:tcPr>
          <w:p>
            <w:pPr>
              <w:pStyle w:val="13"/>
            </w:pPr>
            <w:r>
              <w:t>青政常纪【2012】10号方及【2016】17号文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宣传覆盖的乡镇数的比率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需要重新喷字粉刷防火碑牌验收合格率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参训率</w:t>
            </w:r>
          </w:p>
        </w:tc>
        <w:tc>
          <w:tcPr>
            <w:tcW w:w="5386" w:type="dxa"/>
            <w:vAlign w:val="center"/>
          </w:tcPr>
          <w:p>
            <w:pPr>
              <w:pStyle w:val="13"/>
            </w:pPr>
            <w:r>
              <w:t>实际参加培训人数/应参加人数</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2023年年底前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气象因子监测维护的单位使用成本</w:t>
            </w:r>
          </w:p>
        </w:tc>
        <w:tc>
          <w:tcPr>
            <w:tcW w:w="5386" w:type="dxa"/>
            <w:vAlign w:val="center"/>
          </w:tcPr>
          <w:p>
            <w:pPr>
              <w:pStyle w:val="13"/>
            </w:pPr>
            <w:r>
              <w:t>气象因子监测维护的单位使用成本</w:t>
            </w:r>
          </w:p>
        </w:tc>
        <w:tc>
          <w:tcPr>
            <w:tcW w:w="2268" w:type="dxa"/>
            <w:vAlign w:val="center"/>
          </w:tcPr>
          <w:p>
            <w:pPr>
              <w:pStyle w:val="13"/>
            </w:pPr>
            <w:r>
              <w:t>≤0.1万元/个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视频监控维保和光纤租赁费成本</w:t>
            </w:r>
          </w:p>
        </w:tc>
        <w:tc>
          <w:tcPr>
            <w:tcW w:w="5386" w:type="dxa"/>
            <w:vAlign w:val="center"/>
          </w:tcPr>
          <w:p>
            <w:pPr>
              <w:pStyle w:val="13"/>
            </w:pPr>
            <w:r>
              <w:t>视频监控维保和光纤租赁费成本</w:t>
            </w:r>
          </w:p>
        </w:tc>
        <w:tc>
          <w:tcPr>
            <w:tcW w:w="2268" w:type="dxa"/>
            <w:vAlign w:val="center"/>
          </w:tcPr>
          <w:p>
            <w:pPr>
              <w:pStyle w:val="13"/>
            </w:pPr>
            <w:r>
              <w:t>≤20000元/个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13032124P00002610060M</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45.24</w:t>
            </w:r>
          </w:p>
        </w:tc>
        <w:tc>
          <w:tcPr>
            <w:tcW w:w="2835" w:type="dxa"/>
            <w:vAlign w:val="center"/>
          </w:tcPr>
          <w:p>
            <w:pPr>
              <w:pStyle w:val="11"/>
            </w:pPr>
            <w:r>
              <w:t>其中：财政    资金</w:t>
            </w:r>
          </w:p>
        </w:tc>
        <w:tc>
          <w:tcPr>
            <w:tcW w:w="2551" w:type="dxa"/>
            <w:vAlign w:val="center"/>
          </w:tcPr>
          <w:p>
            <w:pPr>
              <w:pStyle w:val="13"/>
            </w:pPr>
            <w:r>
              <w:t>45.24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项目资金45.242025万元，其中财政拨款45.242025万元，用于扑火车辆维修维护及宣传等。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1.通过项目实施，加强督导检查，推进扑火基础设施建设。</w:t>
            </w:r>
          </w:p>
          <w:p>
            <w:pPr>
              <w:pStyle w:val="13"/>
            </w:pPr>
            <w:r>
              <w:t>2.通过项目实施，加强引导宣传，消除火灾隐患。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购置防火宣传单、宣传品、刀旗等</w:t>
            </w:r>
          </w:p>
        </w:tc>
        <w:tc>
          <w:tcPr>
            <w:tcW w:w="5386" w:type="dxa"/>
            <w:vAlign w:val="center"/>
          </w:tcPr>
          <w:p>
            <w:pPr>
              <w:pStyle w:val="13"/>
            </w:pPr>
            <w:r>
              <w:t>购置防火宣传单、宣传品、刀旗等</w:t>
            </w:r>
          </w:p>
        </w:tc>
        <w:tc>
          <w:tcPr>
            <w:tcW w:w="2268" w:type="dxa"/>
            <w:vAlign w:val="center"/>
          </w:tcPr>
          <w:p>
            <w:pPr>
              <w:pStyle w:val="13"/>
            </w:pPr>
            <w:r>
              <w:t>≥10000个</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防火物品质量合格率</w:t>
            </w:r>
          </w:p>
        </w:tc>
        <w:tc>
          <w:tcPr>
            <w:tcW w:w="5386" w:type="dxa"/>
            <w:vAlign w:val="center"/>
          </w:tcPr>
          <w:p>
            <w:pPr>
              <w:pStyle w:val="13"/>
            </w:pPr>
            <w:r>
              <w:t>防火物品质量合格率</w:t>
            </w:r>
          </w:p>
        </w:tc>
        <w:tc>
          <w:tcPr>
            <w:tcW w:w="2268" w:type="dxa"/>
            <w:vAlign w:val="center"/>
          </w:tcPr>
          <w:p>
            <w:pPr>
              <w:pStyle w:val="13"/>
            </w:pPr>
            <w:r>
              <w:t>100百分比</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支付时间</w:t>
            </w:r>
          </w:p>
        </w:tc>
        <w:tc>
          <w:tcPr>
            <w:tcW w:w="5386" w:type="dxa"/>
            <w:vAlign w:val="center"/>
          </w:tcPr>
          <w:p>
            <w:pPr>
              <w:pStyle w:val="13"/>
            </w:pPr>
            <w:r>
              <w:t>按时支付</w:t>
            </w:r>
          </w:p>
        </w:tc>
        <w:tc>
          <w:tcPr>
            <w:tcW w:w="2268" w:type="dxa"/>
            <w:vAlign w:val="center"/>
          </w:tcPr>
          <w:p>
            <w:pPr>
              <w:pStyle w:val="13"/>
            </w:pPr>
            <w:r>
              <w:t>2024年底</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严格控制成本，预算合理规划</w:t>
            </w:r>
          </w:p>
        </w:tc>
        <w:tc>
          <w:tcPr>
            <w:tcW w:w="2268" w:type="dxa"/>
            <w:vAlign w:val="center"/>
          </w:tcPr>
          <w:p>
            <w:pPr>
              <w:pStyle w:val="13"/>
            </w:pPr>
            <w:r>
              <w:t>≤90万元</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通过项目实施，年度火灾发生率</w:t>
            </w:r>
          </w:p>
        </w:tc>
        <w:tc>
          <w:tcPr>
            <w:tcW w:w="2268" w:type="dxa"/>
            <w:vAlign w:val="center"/>
          </w:tcPr>
          <w:p>
            <w:pPr>
              <w:pStyle w:val="13"/>
            </w:pPr>
            <w:r>
              <w:t>≤1百分比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火灾发生次数</w:t>
            </w:r>
          </w:p>
        </w:tc>
        <w:tc>
          <w:tcPr>
            <w:tcW w:w="5386" w:type="dxa"/>
            <w:vAlign w:val="center"/>
          </w:tcPr>
          <w:p>
            <w:pPr>
              <w:pStyle w:val="13"/>
            </w:pPr>
            <w:r>
              <w:t>减少资源损失率</w:t>
            </w:r>
          </w:p>
        </w:tc>
        <w:tc>
          <w:tcPr>
            <w:tcW w:w="2268" w:type="dxa"/>
            <w:vAlign w:val="center"/>
          </w:tcPr>
          <w:p>
            <w:pPr>
              <w:pStyle w:val="13"/>
            </w:pPr>
            <w:r>
              <w:t>≤1百分比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对林场发展影响</w:t>
            </w:r>
          </w:p>
        </w:tc>
        <w:tc>
          <w:tcPr>
            <w:tcW w:w="5386" w:type="dxa"/>
            <w:vAlign w:val="center"/>
          </w:tcPr>
          <w:p>
            <w:pPr>
              <w:pStyle w:val="13"/>
            </w:pPr>
            <w:r>
              <w:t>森林资源发展绿化率</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13032125P003306100038</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项目金额150万元，其中财政拨款150万元，主要用于开展防火工作，进行宣传、培训，达到提高群众防火意识和队员扑火技能，提升工作效率的效果。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1.通过开展防火工作，进行宣传、培训，达到提高群众防火意识和队员扑火技能，提升工作效率的效果。</w:t>
            </w:r>
            <w:r>
              <w:tab/>
            </w:r>
            <w:r>
              <w:tab/>
            </w:r>
          </w:p>
          <w:p>
            <w:pPr>
              <w:pStyle w:val="13"/>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培训次数</w:t>
            </w:r>
          </w:p>
        </w:tc>
        <w:tc>
          <w:tcPr>
            <w:tcW w:w="5386" w:type="dxa"/>
            <w:vAlign w:val="center"/>
          </w:tcPr>
          <w:p>
            <w:pPr>
              <w:pStyle w:val="13"/>
            </w:pPr>
            <w:r>
              <w:t>对森林消防队员培训的次数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对群众进行防火宣传的次数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宣传覆盖的乡镇数的比率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需要重新喷字粉刷防火碑牌验收合格率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2025年年底前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视频监控维保和光纤租赁费成本</w:t>
            </w:r>
          </w:p>
        </w:tc>
        <w:tc>
          <w:tcPr>
            <w:tcW w:w="5386" w:type="dxa"/>
            <w:vAlign w:val="center"/>
          </w:tcPr>
          <w:p>
            <w:pPr>
              <w:pStyle w:val="13"/>
            </w:pPr>
            <w:r>
              <w:t>视频监控维保和光纤租赁费成本</w:t>
            </w:r>
          </w:p>
        </w:tc>
        <w:tc>
          <w:tcPr>
            <w:tcW w:w="2268" w:type="dxa"/>
            <w:vAlign w:val="center"/>
          </w:tcPr>
          <w:p>
            <w:pPr>
              <w:pStyle w:val="13"/>
            </w:pPr>
            <w:r>
              <w:t>≤20000元/个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15、购买森林防火视频监控系统服务费绩效目标表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13032125P00330610005F</w:t>
            </w:r>
          </w:p>
        </w:tc>
        <w:tc>
          <w:tcPr>
            <w:tcW w:w="2835" w:type="dxa"/>
            <w:vAlign w:val="center"/>
          </w:tcPr>
          <w:p>
            <w:pPr>
              <w:pStyle w:val="11"/>
            </w:pPr>
            <w:r>
              <w:t>项目名称</w:t>
            </w:r>
          </w:p>
        </w:tc>
        <w:tc>
          <w:tcPr>
            <w:tcW w:w="6095" w:type="dxa"/>
            <w:gridSpan w:val="3"/>
            <w:vAlign w:val="center"/>
          </w:tcPr>
          <w:p>
            <w:pPr>
              <w:pStyle w:val="13"/>
            </w:pPr>
            <w:r>
              <w:t>购买森林防火视频监控系统服务费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项目金额100万元，其中财政拨款100万元，主要用于视频监控系统服务，提高日常火灾预警能力，达到降低火灾损失的效果。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1.通过开展此项工作，视频监控系统服务，提高日常火灾预警能力，达到降低火灾损失的效果。</w:t>
            </w:r>
            <w:r>
              <w:tab/>
            </w:r>
            <w:r>
              <w:tab/>
            </w:r>
            <w:r>
              <w:tab/>
            </w:r>
            <w:r>
              <w:tab/>
            </w:r>
            <w:r>
              <w:tab/>
            </w:r>
            <w:r>
              <w:tab/>
            </w:r>
            <w:r>
              <w:tab/>
            </w:r>
            <w:r>
              <w:tab/>
            </w:r>
            <w:r>
              <w:tab/>
            </w:r>
            <w:r>
              <w:tab/>
            </w:r>
          </w:p>
          <w:p>
            <w:pPr>
              <w:pStyle w:val="13"/>
            </w:pPr>
            <w:r>
              <w:t xml:space="preserve">2.通过开展此项工作，购买森林防火视频监控系统服务，在全县范围内进行林业防火监控，实现及时发现火情。   </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服务的企业数</w:t>
            </w:r>
          </w:p>
        </w:tc>
        <w:tc>
          <w:tcPr>
            <w:tcW w:w="5386" w:type="dxa"/>
            <w:vAlign w:val="center"/>
          </w:tcPr>
          <w:p>
            <w:pPr>
              <w:pStyle w:val="13"/>
            </w:pPr>
            <w:r>
              <w:t>用于提供森林防火视频监控系统服务企业数</w:t>
            </w:r>
          </w:p>
        </w:tc>
        <w:tc>
          <w:tcPr>
            <w:tcW w:w="2268" w:type="dxa"/>
            <w:vAlign w:val="center"/>
          </w:tcPr>
          <w:p>
            <w:pPr>
              <w:pStyle w:val="13"/>
            </w:pPr>
            <w:r>
              <w:t>1家</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建设监控系统数</w:t>
            </w:r>
          </w:p>
        </w:tc>
        <w:tc>
          <w:tcPr>
            <w:tcW w:w="5386" w:type="dxa"/>
            <w:vAlign w:val="center"/>
          </w:tcPr>
          <w:p>
            <w:pPr>
              <w:pStyle w:val="13"/>
            </w:pPr>
            <w:r>
              <w:t>用于提供森林防火视频监控系统服务的数量</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提供防火视频监控系统合格率</w:t>
            </w:r>
          </w:p>
        </w:tc>
        <w:tc>
          <w:tcPr>
            <w:tcW w:w="5386" w:type="dxa"/>
            <w:vAlign w:val="center"/>
          </w:tcPr>
          <w:p>
            <w:pPr>
              <w:pStyle w:val="13"/>
            </w:pPr>
            <w:r>
              <w:t>提供防火视频监控系统合格率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2025年10月底前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≤100万元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及时发现火情</w:t>
            </w:r>
          </w:p>
        </w:tc>
        <w:tc>
          <w:tcPr>
            <w:tcW w:w="5386" w:type="dxa"/>
            <w:vAlign w:val="center"/>
          </w:tcPr>
          <w:p>
            <w:pPr>
              <w:pStyle w:val="13"/>
            </w:pPr>
            <w:r>
              <w:t>减少出现较大以上火灾</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避免伤亡事故</w:t>
            </w:r>
          </w:p>
        </w:tc>
        <w:tc>
          <w:tcPr>
            <w:tcW w:w="5386" w:type="dxa"/>
            <w:vAlign w:val="center"/>
          </w:tcPr>
          <w:p>
            <w:pPr>
              <w:pStyle w:val="13"/>
            </w:pPr>
            <w:r>
              <w:t>避免出现重大伤亡事故</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16、关于提前下达2024年省级风景名胜资源保护资金的通知（冀财资环【2023】103号-秦皇岛北戴河国家风景名胜区祖山景区提升改造项目（一期）景区防火通道修缮拓宽项目绩效目标表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13032124P00002610008B</w:t>
            </w:r>
          </w:p>
        </w:tc>
        <w:tc>
          <w:tcPr>
            <w:tcW w:w="2835" w:type="dxa"/>
            <w:vAlign w:val="center"/>
          </w:tcPr>
          <w:p>
            <w:pPr>
              <w:pStyle w:val="11"/>
            </w:pPr>
            <w:r>
              <w:t>项目名称</w:t>
            </w:r>
          </w:p>
        </w:tc>
        <w:tc>
          <w:tcPr>
            <w:tcW w:w="6095" w:type="dxa"/>
            <w:gridSpan w:val="3"/>
            <w:vAlign w:val="center"/>
          </w:tcPr>
          <w:p>
            <w:pPr>
              <w:pStyle w:val="13"/>
            </w:pPr>
            <w:r>
              <w:t>关于提前下达2024年省级风景名胜资源保护资金的通知（冀财资环【2023】103号-秦皇岛北戴河国家风景名胜区祖山景区提升改造项目（一期）景区防火通道修缮拓宽项目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项目预算70万元，其中财政拨款70万元，主要用于祖山景区防火通道修缮拓宽，提升景区综合防火能力。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1.通过祖山景区防火通道修缮拓宽，提升景区综合防火能力。</w:t>
            </w:r>
            <w:r>
              <w:tab/>
            </w:r>
            <w:r>
              <w:tab/>
            </w:r>
            <w:r>
              <w:tab/>
            </w:r>
            <w:r>
              <w:tab/>
            </w:r>
            <w:r>
              <w:tab/>
            </w:r>
          </w:p>
          <w:p>
            <w:pPr>
              <w:pStyle w:val="13"/>
            </w:pPr>
            <w:r>
              <w:t>2.通过祖山景区防火通道修缮拓宽，提高保护风景名胜区内林业资源能力。</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通道路面宽度</w:t>
            </w:r>
          </w:p>
        </w:tc>
        <w:tc>
          <w:tcPr>
            <w:tcW w:w="5386" w:type="dxa"/>
            <w:vAlign w:val="center"/>
          </w:tcPr>
          <w:p>
            <w:pPr>
              <w:pStyle w:val="13"/>
            </w:pPr>
            <w:r>
              <w:t>通道路面宽度</w:t>
            </w:r>
          </w:p>
        </w:tc>
        <w:tc>
          <w:tcPr>
            <w:tcW w:w="2268" w:type="dxa"/>
            <w:vAlign w:val="center"/>
          </w:tcPr>
          <w:p>
            <w:pPr>
              <w:pStyle w:val="13"/>
            </w:pPr>
            <w:r>
              <w:t>≥4米</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反映工程中符合质量验收标准的数量占总量的比值</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反映项目完成时间</w:t>
            </w:r>
          </w:p>
        </w:tc>
        <w:tc>
          <w:tcPr>
            <w:tcW w:w="2268" w:type="dxa"/>
            <w:vAlign w:val="center"/>
          </w:tcPr>
          <w:p>
            <w:pPr>
              <w:pStyle w:val="13"/>
            </w:pPr>
            <w:r>
              <w:t>2025年5月前</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工程款费用</w:t>
            </w:r>
          </w:p>
        </w:tc>
        <w:tc>
          <w:tcPr>
            <w:tcW w:w="5386" w:type="dxa"/>
            <w:vAlign w:val="center"/>
          </w:tcPr>
          <w:p>
            <w:pPr>
              <w:pStyle w:val="13"/>
            </w:pPr>
            <w:r>
              <w:t>反映项目资金用于支付防火通道工程专款金额</w:t>
            </w:r>
          </w:p>
        </w:tc>
        <w:tc>
          <w:tcPr>
            <w:tcW w:w="2268" w:type="dxa"/>
            <w:vAlign w:val="center"/>
          </w:tcPr>
          <w:p>
            <w:pPr>
              <w:pStyle w:val="13"/>
            </w:pPr>
            <w:r>
              <w:t>≤70万元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火灾发生次数</w:t>
            </w:r>
          </w:p>
        </w:tc>
        <w:tc>
          <w:tcPr>
            <w:tcW w:w="5386" w:type="dxa"/>
            <w:vAlign w:val="center"/>
          </w:tcPr>
          <w:p>
            <w:pPr>
              <w:pStyle w:val="13"/>
            </w:pPr>
            <w:r>
              <w:t>通过项目实施，生态环境质量逐渐提升，降低发生火灾比率</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减少财产损失威胁</w:t>
            </w:r>
          </w:p>
        </w:tc>
        <w:tc>
          <w:tcPr>
            <w:tcW w:w="5386" w:type="dxa"/>
            <w:vAlign w:val="center"/>
          </w:tcPr>
          <w:p>
            <w:pPr>
              <w:pStyle w:val="13"/>
            </w:pPr>
            <w:r>
              <w:t>通过项目实施，减少游客财产损失，不发生较大财产损失事件</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游客增长率</w:t>
            </w:r>
          </w:p>
        </w:tc>
        <w:tc>
          <w:tcPr>
            <w:tcW w:w="5386" w:type="dxa"/>
            <w:vAlign w:val="center"/>
          </w:tcPr>
          <w:p>
            <w:pPr>
              <w:pStyle w:val="13"/>
            </w:pPr>
            <w:r>
              <w:t>通过项目实施，游客数量逐渐提升的比率</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受益群众满意、基本满意数量占总数的比例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17、关于提前下达2024年省级林业改革发展补助资金的通知（冀财资环【2023】107号）—村庄绿化提升村绩效目标表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13032124P00002610009Y</w:t>
            </w:r>
          </w:p>
        </w:tc>
        <w:tc>
          <w:tcPr>
            <w:tcW w:w="2835" w:type="dxa"/>
            <w:vAlign w:val="center"/>
          </w:tcPr>
          <w:p>
            <w:pPr>
              <w:pStyle w:val="11"/>
            </w:pPr>
            <w:r>
              <w:t>项目名称</w:t>
            </w:r>
          </w:p>
        </w:tc>
        <w:tc>
          <w:tcPr>
            <w:tcW w:w="6095" w:type="dxa"/>
            <w:gridSpan w:val="3"/>
            <w:vAlign w:val="center"/>
          </w:tcPr>
          <w:p>
            <w:pPr>
              <w:pStyle w:val="13"/>
            </w:pPr>
            <w:r>
              <w:t>关于提前下达2024年省级林业改革发展补助资金的通知（冀财资环【2023】107号）—村庄绿化提升村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项目预算24万元，其中财政拨款24万元，主要用于造林绿化，达到促进国土绿化进程，改善生态环境。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1.通过造林绿化，达到促进国土绿化进程，改善生态环境</w:t>
            </w:r>
          </w:p>
          <w:p>
            <w:pPr>
              <w:pStyle w:val="13"/>
            </w:pPr>
            <w:r>
              <w:t>2.通过造林绿化，达到支付造林绿化工程补助支出的目的</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村庄数</w:t>
            </w:r>
          </w:p>
        </w:tc>
        <w:tc>
          <w:tcPr>
            <w:tcW w:w="5386" w:type="dxa"/>
            <w:vAlign w:val="center"/>
          </w:tcPr>
          <w:p>
            <w:pPr>
              <w:pStyle w:val="13"/>
            </w:pPr>
            <w:r>
              <w:t>完成省级下达全部任务村庄数</w:t>
            </w:r>
          </w:p>
        </w:tc>
        <w:tc>
          <w:tcPr>
            <w:tcW w:w="2268" w:type="dxa"/>
            <w:vAlign w:val="center"/>
          </w:tcPr>
          <w:p>
            <w:pPr>
              <w:pStyle w:val="13"/>
            </w:pPr>
            <w:r>
              <w:t>12个</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种植苗木数</w:t>
            </w:r>
          </w:p>
        </w:tc>
        <w:tc>
          <w:tcPr>
            <w:tcW w:w="5386" w:type="dxa"/>
            <w:vAlign w:val="center"/>
          </w:tcPr>
          <w:p>
            <w:pPr>
              <w:pStyle w:val="13"/>
            </w:pPr>
            <w:r>
              <w:t>项目所需种植苗木数</w:t>
            </w:r>
          </w:p>
        </w:tc>
        <w:tc>
          <w:tcPr>
            <w:tcW w:w="2268" w:type="dxa"/>
            <w:vAlign w:val="center"/>
          </w:tcPr>
          <w:p>
            <w:pPr>
              <w:pStyle w:val="13"/>
            </w:pPr>
            <w:r>
              <w:t>≥100棵</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苗木成活率</w:t>
            </w:r>
          </w:p>
        </w:tc>
        <w:tc>
          <w:tcPr>
            <w:tcW w:w="5386" w:type="dxa"/>
            <w:vAlign w:val="center"/>
          </w:tcPr>
          <w:p>
            <w:pPr>
              <w:pStyle w:val="13"/>
            </w:pPr>
            <w:r>
              <w:t>种植苗木成活率</w:t>
            </w:r>
          </w:p>
        </w:tc>
        <w:tc>
          <w:tcPr>
            <w:tcW w:w="2268" w:type="dxa"/>
            <w:vAlign w:val="center"/>
          </w:tcPr>
          <w:p>
            <w:pPr>
              <w:pStyle w:val="13"/>
            </w:pPr>
            <w:r>
              <w:t>≥90%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当年完成任务时间</w:t>
            </w:r>
          </w:p>
        </w:tc>
        <w:tc>
          <w:tcPr>
            <w:tcW w:w="2268" w:type="dxa"/>
            <w:vAlign w:val="center"/>
          </w:tcPr>
          <w:p>
            <w:pPr>
              <w:pStyle w:val="13"/>
            </w:pPr>
            <w:r>
              <w:t>5月前</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2万元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≤2万元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增加造林面积，改善人居环境</w:t>
            </w:r>
          </w:p>
        </w:tc>
        <w:tc>
          <w:tcPr>
            <w:tcW w:w="5386" w:type="dxa"/>
            <w:vAlign w:val="center"/>
          </w:tcPr>
          <w:p>
            <w:pPr>
              <w:pStyle w:val="13"/>
            </w:pPr>
            <w:r>
              <w:t>提高村庄绿化率</w:t>
            </w:r>
          </w:p>
        </w:tc>
        <w:tc>
          <w:tcPr>
            <w:tcW w:w="2268" w:type="dxa"/>
            <w:vAlign w:val="center"/>
          </w:tcPr>
          <w:p>
            <w:pPr>
              <w:pStyle w:val="13"/>
            </w:pPr>
            <w:r>
              <w:t>≥10%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就业数量</w:t>
            </w:r>
          </w:p>
        </w:tc>
        <w:tc>
          <w:tcPr>
            <w:tcW w:w="5386" w:type="dxa"/>
            <w:vAlign w:val="center"/>
          </w:tcPr>
          <w:p>
            <w:pPr>
              <w:pStyle w:val="13"/>
            </w:pPr>
            <w:r>
              <w:t>带动数业人次</w:t>
            </w:r>
          </w:p>
        </w:tc>
        <w:tc>
          <w:tcPr>
            <w:tcW w:w="2268" w:type="dxa"/>
            <w:vAlign w:val="center"/>
          </w:tcPr>
          <w:p>
            <w:pPr>
              <w:pStyle w:val="13"/>
            </w:pPr>
            <w:r>
              <w:t>≥2000人</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18、关于提前下达2024年省级林业改革发展补助资金的通知（冀财资环【2023】107号）—森林质量精准提升绩效目标表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13032124P00002610031M</w:t>
            </w:r>
          </w:p>
        </w:tc>
        <w:tc>
          <w:tcPr>
            <w:tcW w:w="2835" w:type="dxa"/>
            <w:vAlign w:val="center"/>
          </w:tcPr>
          <w:p>
            <w:pPr>
              <w:pStyle w:val="11"/>
            </w:pPr>
            <w:r>
              <w:t>项目名称</w:t>
            </w:r>
          </w:p>
        </w:tc>
        <w:tc>
          <w:tcPr>
            <w:tcW w:w="6095" w:type="dxa"/>
            <w:gridSpan w:val="3"/>
            <w:vAlign w:val="center"/>
          </w:tcPr>
          <w:p>
            <w:pPr>
              <w:pStyle w:val="13"/>
            </w:pPr>
            <w:r>
              <w:t>关于提前下达2024年省级林业改革发展补助资金的通知（冀财资环【2023】107号）—森林质量精准提升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项目预算500万元，其中财政拨款500万元，主要用于森林抚育，达到支付造林绿化工程补助支出的目的。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1.通过森林抚育2.5万亩，达到水土保持，促进国土绿化进程，改善生态环境。</w:t>
            </w:r>
          </w:p>
          <w:p>
            <w:pPr>
              <w:pStyle w:val="13"/>
            </w:pPr>
            <w:r>
              <w:t>2.通过森林抚育，达到支付造林绿化工程补助支出的目的。</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抚育面积</w:t>
            </w:r>
          </w:p>
        </w:tc>
        <w:tc>
          <w:tcPr>
            <w:tcW w:w="5386" w:type="dxa"/>
            <w:vAlign w:val="center"/>
          </w:tcPr>
          <w:p>
            <w:pPr>
              <w:pStyle w:val="13"/>
            </w:pPr>
            <w:r>
              <w:t>完成抚育面积</w:t>
            </w:r>
          </w:p>
        </w:tc>
        <w:tc>
          <w:tcPr>
            <w:tcW w:w="2268" w:type="dxa"/>
            <w:vAlign w:val="center"/>
          </w:tcPr>
          <w:p>
            <w:pPr>
              <w:pStyle w:val="13"/>
            </w:pPr>
            <w:r>
              <w:t>2.5万亩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≥75%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2024年8月底前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造林验收时间</w:t>
            </w:r>
          </w:p>
        </w:tc>
        <w:tc>
          <w:tcPr>
            <w:tcW w:w="5386" w:type="dxa"/>
            <w:vAlign w:val="center"/>
          </w:tcPr>
          <w:p>
            <w:pPr>
              <w:pStyle w:val="13"/>
            </w:pPr>
            <w:r>
              <w:t>聘请第三方进行验收</w:t>
            </w:r>
          </w:p>
        </w:tc>
        <w:tc>
          <w:tcPr>
            <w:tcW w:w="2268" w:type="dxa"/>
            <w:vAlign w:val="center"/>
          </w:tcPr>
          <w:p>
            <w:pPr>
              <w:pStyle w:val="13"/>
            </w:pPr>
            <w:r>
              <w:t>2024年12月底前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亩造林补助标准</w:t>
            </w:r>
          </w:p>
        </w:tc>
        <w:tc>
          <w:tcPr>
            <w:tcW w:w="5386" w:type="dxa"/>
            <w:vAlign w:val="center"/>
          </w:tcPr>
          <w:p>
            <w:pPr>
              <w:pStyle w:val="13"/>
            </w:pPr>
            <w:r>
              <w:t>人工造林每亩补助标准</w:t>
            </w:r>
          </w:p>
        </w:tc>
        <w:tc>
          <w:tcPr>
            <w:tcW w:w="2268" w:type="dxa"/>
            <w:vAlign w:val="center"/>
          </w:tcPr>
          <w:p>
            <w:pPr>
              <w:pStyle w:val="13"/>
            </w:pPr>
            <w:r>
              <w:t>200元/亩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直接受益农户数</w:t>
            </w:r>
          </w:p>
        </w:tc>
        <w:tc>
          <w:tcPr>
            <w:tcW w:w="5386" w:type="dxa"/>
            <w:vAlign w:val="center"/>
          </w:tcPr>
          <w:p>
            <w:pPr>
              <w:pStyle w:val="13"/>
            </w:pPr>
            <w:r>
              <w:t>造林工程农户打工或林木产出受益户</w:t>
            </w:r>
          </w:p>
        </w:tc>
        <w:tc>
          <w:tcPr>
            <w:tcW w:w="2268" w:type="dxa"/>
            <w:vAlign w:val="center"/>
          </w:tcPr>
          <w:p>
            <w:pPr>
              <w:pStyle w:val="13"/>
            </w:pPr>
            <w:r>
              <w:t>≥6000户</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森林覆盖率</w:t>
            </w:r>
          </w:p>
        </w:tc>
        <w:tc>
          <w:tcPr>
            <w:tcW w:w="5386" w:type="dxa"/>
            <w:vAlign w:val="center"/>
          </w:tcPr>
          <w:p>
            <w:pPr>
              <w:pStyle w:val="13"/>
            </w:pPr>
            <w:r>
              <w:t>森林覆盖率提升标准</w:t>
            </w:r>
          </w:p>
        </w:tc>
        <w:tc>
          <w:tcPr>
            <w:tcW w:w="2268" w:type="dxa"/>
            <w:vAlign w:val="center"/>
          </w:tcPr>
          <w:p>
            <w:pPr>
              <w:pStyle w:val="13"/>
            </w:pPr>
            <w:r>
              <w:t>≥0.5%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19、关于提前下达2024年省级林业改革发展补助资金的通知（冀财资环【2023】107号）—省级森林乡村奖补绩效目标表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13032124P00002610010A</w:t>
            </w:r>
          </w:p>
        </w:tc>
        <w:tc>
          <w:tcPr>
            <w:tcW w:w="2835" w:type="dxa"/>
            <w:vAlign w:val="center"/>
          </w:tcPr>
          <w:p>
            <w:pPr>
              <w:pStyle w:val="11"/>
            </w:pPr>
            <w:r>
              <w:t>项目名称</w:t>
            </w:r>
          </w:p>
        </w:tc>
        <w:tc>
          <w:tcPr>
            <w:tcW w:w="6095" w:type="dxa"/>
            <w:gridSpan w:val="3"/>
            <w:vAlign w:val="center"/>
          </w:tcPr>
          <w:p>
            <w:pPr>
              <w:pStyle w:val="13"/>
            </w:pPr>
            <w:r>
              <w:t>关于提前下达2024年省级林业改革发展补助资金的通知（冀财资环【2023】107号）—省级森林乡村奖补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项目预算30万元，其中财政拨款30万元，主要用于提高创建森林乡村，达到打造适宜人居环境的效果。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1.通过提高创建森林乡村，达到打造适宜人居环境的效果</w:t>
            </w:r>
            <w:r>
              <w:tab/>
            </w:r>
            <w:r>
              <w:tab/>
            </w:r>
          </w:p>
          <w:p>
            <w:pPr>
              <w:pStyle w:val="13"/>
            </w:pPr>
            <w:r>
              <w:t>2.提高实施乡村振兴，确保提高人民群众幸福指数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w:t>
            </w:r>
          </w:p>
        </w:tc>
        <w:tc>
          <w:tcPr>
            <w:tcW w:w="5386" w:type="dxa"/>
            <w:vAlign w:val="center"/>
          </w:tcPr>
          <w:p>
            <w:pPr>
              <w:pStyle w:val="13"/>
            </w:pPr>
            <w:r>
              <w:t>完成省级全部任务村庄数</w:t>
            </w:r>
          </w:p>
        </w:tc>
        <w:tc>
          <w:tcPr>
            <w:tcW w:w="2268" w:type="dxa"/>
            <w:vAlign w:val="center"/>
          </w:tcPr>
          <w:p>
            <w:pPr>
              <w:pStyle w:val="13"/>
            </w:pPr>
            <w:r>
              <w:t>3个</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种植苗木数</w:t>
            </w:r>
          </w:p>
        </w:tc>
        <w:tc>
          <w:tcPr>
            <w:tcW w:w="5386" w:type="dxa"/>
            <w:vAlign w:val="center"/>
          </w:tcPr>
          <w:p>
            <w:pPr>
              <w:pStyle w:val="13"/>
            </w:pPr>
            <w:r>
              <w:t>完成任务所需苗木数</w:t>
            </w:r>
          </w:p>
        </w:tc>
        <w:tc>
          <w:tcPr>
            <w:tcW w:w="2268" w:type="dxa"/>
            <w:vAlign w:val="center"/>
          </w:tcPr>
          <w:p>
            <w:pPr>
              <w:pStyle w:val="13"/>
            </w:pPr>
            <w:r>
              <w:t>≥100棵</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苗木成活率</w:t>
            </w:r>
          </w:p>
        </w:tc>
        <w:tc>
          <w:tcPr>
            <w:tcW w:w="5386" w:type="dxa"/>
            <w:vAlign w:val="center"/>
          </w:tcPr>
          <w:p>
            <w:pPr>
              <w:pStyle w:val="13"/>
            </w:pPr>
            <w:r>
              <w:t>种植苗木成活率</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100%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10万元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≤10万元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提升森林乡村品质</w:t>
            </w:r>
          </w:p>
        </w:tc>
        <w:tc>
          <w:tcPr>
            <w:tcW w:w="5386" w:type="dxa"/>
            <w:vAlign w:val="center"/>
          </w:tcPr>
          <w:p>
            <w:pPr>
              <w:pStyle w:val="13"/>
            </w:pPr>
            <w:r>
              <w:t>有效提高乡村绿化率</w:t>
            </w:r>
          </w:p>
        </w:tc>
        <w:tc>
          <w:tcPr>
            <w:tcW w:w="2268" w:type="dxa"/>
            <w:vAlign w:val="center"/>
          </w:tcPr>
          <w:p>
            <w:pPr>
              <w:pStyle w:val="13"/>
            </w:pPr>
            <w:r>
              <w:t>≥20%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增加就业人口数</w:t>
            </w:r>
          </w:p>
        </w:tc>
        <w:tc>
          <w:tcPr>
            <w:tcW w:w="5386" w:type="dxa"/>
            <w:vAlign w:val="center"/>
          </w:tcPr>
          <w:p>
            <w:pPr>
              <w:pStyle w:val="13"/>
            </w:pPr>
            <w:r>
              <w:t>带动劳动力人品数量</w:t>
            </w:r>
          </w:p>
        </w:tc>
        <w:tc>
          <w:tcPr>
            <w:tcW w:w="2268" w:type="dxa"/>
            <w:vAlign w:val="center"/>
          </w:tcPr>
          <w:p>
            <w:pPr>
              <w:pStyle w:val="13"/>
            </w:pPr>
            <w:r>
              <w:t>≥1000人</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20、关于提前下达2024年省级林业改革发展补助资金的通知（冀财资环【2023】107号）—现代林果花卉建设项目绩效目标表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13032124P00002610011X</w:t>
            </w:r>
          </w:p>
        </w:tc>
        <w:tc>
          <w:tcPr>
            <w:tcW w:w="2835" w:type="dxa"/>
            <w:vAlign w:val="center"/>
          </w:tcPr>
          <w:p>
            <w:pPr>
              <w:pStyle w:val="11"/>
            </w:pPr>
            <w:r>
              <w:t>项目名称</w:t>
            </w:r>
          </w:p>
        </w:tc>
        <w:tc>
          <w:tcPr>
            <w:tcW w:w="6095" w:type="dxa"/>
            <w:gridSpan w:val="3"/>
            <w:vAlign w:val="center"/>
          </w:tcPr>
          <w:p>
            <w:pPr>
              <w:pStyle w:val="13"/>
            </w:pPr>
            <w:r>
              <w:t>关于提前下达2024年省级林业改革发展补助资金的通知（冀财资环【2023】107号）—现代林果花卉建设项目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项目预算50万元，其中财政拨款50万元，主要用于林下经济项目，发展优质高产高效高标准中草药生产基地400亩。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1.通过林下经济项目，发展优质高产高效高标准中草药生产基地400亩。</w:t>
            </w:r>
            <w:r>
              <w:tab/>
            </w:r>
            <w:r>
              <w:tab/>
            </w:r>
            <w:r>
              <w:tab/>
            </w:r>
            <w:r>
              <w:tab/>
            </w:r>
            <w:r>
              <w:tab/>
            </w:r>
            <w:r>
              <w:tab/>
            </w:r>
            <w:r>
              <w:tab/>
            </w:r>
            <w:r>
              <w:tab/>
            </w:r>
            <w:r>
              <w:tab/>
            </w:r>
            <w:r>
              <w:tab/>
            </w:r>
          </w:p>
          <w:p>
            <w:pPr>
              <w:pStyle w:val="13"/>
            </w:pPr>
            <w:r>
              <w:t>2.通过林下经济项目，带动部分附近劳动力就业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种植黄精面积</w:t>
            </w:r>
          </w:p>
        </w:tc>
        <w:tc>
          <w:tcPr>
            <w:tcW w:w="5386" w:type="dxa"/>
            <w:vAlign w:val="center"/>
          </w:tcPr>
          <w:p>
            <w:pPr>
              <w:pStyle w:val="13"/>
            </w:pPr>
            <w:r>
              <w:t>反映种植黄精面积</w:t>
            </w:r>
          </w:p>
        </w:tc>
        <w:tc>
          <w:tcPr>
            <w:tcW w:w="2268" w:type="dxa"/>
            <w:vAlign w:val="center"/>
          </w:tcPr>
          <w:p>
            <w:pPr>
              <w:pStyle w:val="13"/>
            </w:pPr>
            <w:r>
              <w:t>≥40亩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种植黄芩面积</w:t>
            </w:r>
          </w:p>
        </w:tc>
        <w:tc>
          <w:tcPr>
            <w:tcW w:w="5386" w:type="dxa"/>
            <w:vAlign w:val="center"/>
          </w:tcPr>
          <w:p>
            <w:pPr>
              <w:pStyle w:val="13"/>
            </w:pPr>
            <w:r>
              <w:t>反映种植黄芩面积</w:t>
            </w:r>
          </w:p>
        </w:tc>
        <w:tc>
          <w:tcPr>
            <w:tcW w:w="2268" w:type="dxa"/>
            <w:vAlign w:val="center"/>
          </w:tcPr>
          <w:p>
            <w:pPr>
              <w:pStyle w:val="13"/>
            </w:pPr>
            <w:r>
              <w:t>≥360亩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技术推广培训次数</w:t>
            </w:r>
          </w:p>
        </w:tc>
        <w:tc>
          <w:tcPr>
            <w:tcW w:w="5386" w:type="dxa"/>
            <w:vAlign w:val="center"/>
          </w:tcPr>
          <w:p>
            <w:pPr>
              <w:pStyle w:val="13"/>
            </w:pPr>
            <w:r>
              <w:t>反映技术推广培训次数</w:t>
            </w:r>
          </w:p>
        </w:tc>
        <w:tc>
          <w:tcPr>
            <w:tcW w:w="2268" w:type="dxa"/>
            <w:vAlign w:val="center"/>
          </w:tcPr>
          <w:p>
            <w:pPr>
              <w:pStyle w:val="13"/>
            </w:pPr>
            <w:r>
              <w:t>≥4次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反映项目验收合格率</w:t>
            </w:r>
          </w:p>
        </w:tc>
        <w:tc>
          <w:tcPr>
            <w:tcW w:w="2268" w:type="dxa"/>
            <w:vAlign w:val="center"/>
          </w:tcPr>
          <w:p>
            <w:pPr>
              <w:pStyle w:val="13"/>
            </w:pPr>
            <w:r>
              <w:t>100百分比</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反映工作完成及时性</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种苗费标准</w:t>
            </w:r>
          </w:p>
        </w:tc>
        <w:tc>
          <w:tcPr>
            <w:tcW w:w="5386" w:type="dxa"/>
            <w:vAlign w:val="center"/>
          </w:tcPr>
          <w:p>
            <w:pPr>
              <w:pStyle w:val="13"/>
            </w:pPr>
            <w:r>
              <w:t>反映种苗费标准</w:t>
            </w:r>
          </w:p>
        </w:tc>
        <w:tc>
          <w:tcPr>
            <w:tcW w:w="2268" w:type="dxa"/>
            <w:vAlign w:val="center"/>
          </w:tcPr>
          <w:p>
            <w:pPr>
              <w:pStyle w:val="13"/>
            </w:pPr>
            <w:r>
              <w:t>≤750元/亩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亩增经济效益</w:t>
            </w:r>
          </w:p>
        </w:tc>
        <w:tc>
          <w:tcPr>
            <w:tcW w:w="5386" w:type="dxa"/>
            <w:vAlign w:val="center"/>
          </w:tcPr>
          <w:p>
            <w:pPr>
              <w:pStyle w:val="13"/>
            </w:pPr>
            <w:r>
              <w:t>反映亩增经济效益</w:t>
            </w:r>
          </w:p>
        </w:tc>
        <w:tc>
          <w:tcPr>
            <w:tcW w:w="2268" w:type="dxa"/>
            <w:vAlign w:val="center"/>
          </w:tcPr>
          <w:p>
            <w:pPr>
              <w:pStyle w:val="13"/>
            </w:pPr>
            <w:r>
              <w:t>≥500元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带动就业人数（人）</w:t>
            </w:r>
          </w:p>
        </w:tc>
        <w:tc>
          <w:tcPr>
            <w:tcW w:w="5386" w:type="dxa"/>
            <w:vAlign w:val="center"/>
          </w:tcPr>
          <w:p>
            <w:pPr>
              <w:pStyle w:val="13"/>
            </w:pPr>
            <w:r>
              <w:t>反映带动就业人数（人）</w:t>
            </w:r>
          </w:p>
        </w:tc>
        <w:tc>
          <w:tcPr>
            <w:tcW w:w="2268" w:type="dxa"/>
            <w:vAlign w:val="center"/>
          </w:tcPr>
          <w:p>
            <w:pPr>
              <w:pStyle w:val="13"/>
            </w:pPr>
            <w:r>
              <w:t>≥100人</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反映服务对象满意度</w:t>
            </w:r>
          </w:p>
        </w:tc>
        <w:tc>
          <w:tcPr>
            <w:tcW w:w="2268" w:type="dxa"/>
            <w:vAlign w:val="center"/>
          </w:tcPr>
          <w:p>
            <w:pPr>
              <w:pStyle w:val="13"/>
            </w:pPr>
            <w:r>
              <w:t>≥90百分比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21、关于提前下达2024年中央财政林业草原生态保护恢复资金预算的通知书（冀财资环【2023】88号）-古树名木抢救复壮绩效目标表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13032124P00002610012H</w:t>
            </w:r>
          </w:p>
        </w:tc>
        <w:tc>
          <w:tcPr>
            <w:tcW w:w="2835" w:type="dxa"/>
            <w:vAlign w:val="center"/>
          </w:tcPr>
          <w:p>
            <w:pPr>
              <w:pStyle w:val="11"/>
            </w:pPr>
            <w:r>
              <w:t>项目名称</w:t>
            </w:r>
          </w:p>
        </w:tc>
        <w:tc>
          <w:tcPr>
            <w:tcW w:w="6095" w:type="dxa"/>
            <w:gridSpan w:val="3"/>
            <w:vAlign w:val="center"/>
          </w:tcPr>
          <w:p>
            <w:pPr>
              <w:pStyle w:val="13"/>
            </w:pPr>
            <w:r>
              <w:t>关于提前下达2024年中央财政林业草原生态保护恢复资金预算的通知书（冀财资环【2023】88号）-古树名木抢救复壮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项目预算15万元，其中财政拨款15万元，主要用于古树名木保护工作的开展，保护珍贵野生植物，古树生长的地方，对其我县人民生产、生活和健康具有保护作用。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1.通过古树名木保护工作的开展，保护珍贵野生植物，古树生长的地方，对其我县人民生产、生活和健康具有保护作用</w:t>
            </w:r>
            <w:r>
              <w:tab/>
            </w:r>
          </w:p>
          <w:p>
            <w:pPr>
              <w:pStyle w:val="13"/>
            </w:pPr>
            <w:r>
              <w:t>2.通过对名木古树进行抚育、修缮，减少古树濒临死亡，恢复和提高观赏价值，为城市带来优美的园林景观。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名木古树保护修株数</w:t>
            </w:r>
          </w:p>
        </w:tc>
        <w:tc>
          <w:tcPr>
            <w:tcW w:w="5386" w:type="dxa"/>
            <w:vAlign w:val="center"/>
          </w:tcPr>
          <w:p>
            <w:pPr>
              <w:pStyle w:val="13"/>
            </w:pPr>
            <w:r>
              <w:t>用于全县古树群修缮数量</w:t>
            </w:r>
          </w:p>
        </w:tc>
        <w:tc>
          <w:tcPr>
            <w:tcW w:w="2268" w:type="dxa"/>
            <w:vAlign w:val="center"/>
          </w:tcPr>
          <w:p>
            <w:pPr>
              <w:pStyle w:val="13"/>
            </w:pPr>
            <w:r>
              <w:t>10棵</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古树挂牌株数</w:t>
            </w:r>
          </w:p>
        </w:tc>
        <w:tc>
          <w:tcPr>
            <w:tcW w:w="5386" w:type="dxa"/>
            <w:vAlign w:val="center"/>
          </w:tcPr>
          <w:p>
            <w:pPr>
              <w:pStyle w:val="13"/>
            </w:pPr>
            <w:r>
              <w:t>用于古树名木挂牌</w:t>
            </w:r>
          </w:p>
        </w:tc>
        <w:tc>
          <w:tcPr>
            <w:tcW w:w="2268" w:type="dxa"/>
            <w:vAlign w:val="center"/>
          </w:tcPr>
          <w:p>
            <w:pPr>
              <w:pStyle w:val="13"/>
            </w:pPr>
            <w:r>
              <w:t>≥1000棵</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任务完成率</w:t>
            </w:r>
          </w:p>
        </w:tc>
        <w:tc>
          <w:tcPr>
            <w:tcW w:w="5386" w:type="dxa"/>
            <w:vAlign w:val="center"/>
          </w:tcPr>
          <w:p>
            <w:pPr>
              <w:pStyle w:val="13"/>
            </w:pPr>
            <w:r>
              <w:t>完成的棵数占需要完成棵数的比率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完成项目产品质量的合格比率</w:t>
            </w:r>
          </w:p>
        </w:tc>
        <w:tc>
          <w:tcPr>
            <w:tcW w:w="2268" w:type="dxa"/>
            <w:vAlign w:val="center"/>
          </w:tcPr>
          <w:p>
            <w:pPr>
              <w:pStyle w:val="13"/>
            </w:pPr>
            <w:r>
              <w:t>≥85百分比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年度投资计划完成率</w:t>
            </w:r>
          </w:p>
        </w:tc>
        <w:tc>
          <w:tcPr>
            <w:tcW w:w="5386" w:type="dxa"/>
            <w:vAlign w:val="center"/>
          </w:tcPr>
          <w:p>
            <w:pPr>
              <w:pStyle w:val="13"/>
            </w:pPr>
            <w:r>
              <w:t>完成年度投资计划的比率</w:t>
            </w:r>
          </w:p>
        </w:tc>
        <w:tc>
          <w:tcPr>
            <w:tcW w:w="2268" w:type="dxa"/>
            <w:vAlign w:val="center"/>
          </w:tcPr>
          <w:p>
            <w:pPr>
              <w:pStyle w:val="13"/>
            </w:pPr>
            <w:r>
              <w:t>≥60百分比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保护修缮成功率</w:t>
            </w:r>
          </w:p>
        </w:tc>
        <w:tc>
          <w:tcPr>
            <w:tcW w:w="5386" w:type="dxa"/>
            <w:vAlign w:val="center"/>
          </w:tcPr>
          <w:p>
            <w:pPr>
              <w:pStyle w:val="13"/>
            </w:pPr>
            <w:r>
              <w:t>完成保护修缮成功的比率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古树群抚育、修善完成时间</w:t>
            </w:r>
          </w:p>
        </w:tc>
        <w:tc>
          <w:tcPr>
            <w:tcW w:w="2268" w:type="dxa"/>
            <w:vAlign w:val="center"/>
          </w:tcPr>
          <w:p>
            <w:pPr>
              <w:pStyle w:val="13"/>
            </w:pPr>
            <w:r>
              <w:t>≥9月底前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补助资金数额</w:t>
            </w:r>
          </w:p>
        </w:tc>
        <w:tc>
          <w:tcPr>
            <w:tcW w:w="5386" w:type="dxa"/>
            <w:vAlign w:val="center"/>
          </w:tcPr>
          <w:p>
            <w:pPr>
              <w:pStyle w:val="13"/>
            </w:pPr>
            <w:r>
              <w:t>完成补助资金的数额</w:t>
            </w:r>
          </w:p>
        </w:tc>
        <w:tc>
          <w:tcPr>
            <w:tcW w:w="2268" w:type="dxa"/>
            <w:vAlign w:val="center"/>
          </w:tcPr>
          <w:p>
            <w:pPr>
              <w:pStyle w:val="13"/>
            </w:pPr>
            <w:r>
              <w:t>≥15万元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试点建设效果</w:t>
            </w:r>
          </w:p>
        </w:tc>
        <w:tc>
          <w:tcPr>
            <w:tcW w:w="5386" w:type="dxa"/>
            <w:vAlign w:val="center"/>
          </w:tcPr>
          <w:p>
            <w:pPr>
              <w:pStyle w:val="13"/>
            </w:pPr>
            <w:r>
              <w:t>对古树名木保护具有历史、科学、文化、旅游、生态价值</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对古树名木保护具有历史、科学、文化、旅游、生态价值</w:t>
            </w:r>
          </w:p>
        </w:tc>
        <w:tc>
          <w:tcPr>
            <w:tcW w:w="5386" w:type="dxa"/>
            <w:vAlign w:val="center"/>
          </w:tcPr>
          <w:p>
            <w:pPr>
              <w:pStyle w:val="13"/>
            </w:pPr>
            <w:r>
              <w:t>对古树名木保护具有历史、科学、文化、旅游、生态价值</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古树生长可持续影响</w:t>
            </w:r>
          </w:p>
        </w:tc>
        <w:tc>
          <w:tcPr>
            <w:tcW w:w="5386" w:type="dxa"/>
            <w:vAlign w:val="center"/>
          </w:tcPr>
          <w:p>
            <w:pPr>
              <w:pStyle w:val="13"/>
            </w:pPr>
            <w:r>
              <w:t>通过对古树名木的抚育修缮，促进古树更好生长的可持续</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林区群众满意度（%）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22、关于提前下达2024年中央财政林业草原生态保护恢复资金预算的通知书（冀财资环【2023】88号）-森林保护恢复支出绩效目标表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13032124P000026100135</w:t>
            </w:r>
          </w:p>
        </w:tc>
        <w:tc>
          <w:tcPr>
            <w:tcW w:w="2835" w:type="dxa"/>
            <w:vAlign w:val="center"/>
          </w:tcPr>
          <w:p>
            <w:pPr>
              <w:pStyle w:val="11"/>
            </w:pPr>
            <w:r>
              <w:t>项目名称</w:t>
            </w:r>
          </w:p>
        </w:tc>
        <w:tc>
          <w:tcPr>
            <w:tcW w:w="6095" w:type="dxa"/>
            <w:gridSpan w:val="3"/>
            <w:vAlign w:val="center"/>
          </w:tcPr>
          <w:p>
            <w:pPr>
              <w:pStyle w:val="13"/>
            </w:pPr>
            <w:r>
              <w:t>关于提前下达2024年中央财政林业草原生态保护恢复资金预算的通知书（冀财资环【2023】88号）-森林保护恢复支出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411.09</w:t>
            </w:r>
          </w:p>
        </w:tc>
        <w:tc>
          <w:tcPr>
            <w:tcW w:w="2835" w:type="dxa"/>
            <w:vAlign w:val="center"/>
          </w:tcPr>
          <w:p>
            <w:pPr>
              <w:pStyle w:val="11"/>
            </w:pPr>
            <w:r>
              <w:t>其中：财政    资金</w:t>
            </w:r>
          </w:p>
        </w:tc>
        <w:tc>
          <w:tcPr>
            <w:tcW w:w="2551" w:type="dxa"/>
            <w:vAlign w:val="center"/>
          </w:tcPr>
          <w:p>
            <w:pPr>
              <w:pStyle w:val="13"/>
            </w:pPr>
            <w:r>
              <w:t>411.09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项目预算411.09084万元，其中财政拨款411.09084万元，主要用于公益林管护,确保森林资源系统生态安全和物种多样性。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1.通过公益林管护,确保森林资源系统生态安全和物种多样性。</w:t>
            </w:r>
          </w:p>
          <w:p>
            <w:pPr>
              <w:pStyle w:val="13"/>
            </w:pPr>
            <w:r>
              <w:t>2.通过开展公益林管护，促进全县林业经济健康发展。</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国家公益林专职管护人员管护费</w:t>
            </w:r>
          </w:p>
        </w:tc>
        <w:tc>
          <w:tcPr>
            <w:tcW w:w="2268" w:type="dxa"/>
            <w:vAlign w:val="center"/>
          </w:tcPr>
          <w:p>
            <w:pPr>
              <w:pStyle w:val="13"/>
            </w:pPr>
            <w:r>
              <w:t>≥275人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≥30.38万亩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护林员工资达标率</w:t>
            </w:r>
          </w:p>
        </w:tc>
        <w:tc>
          <w:tcPr>
            <w:tcW w:w="5386" w:type="dxa"/>
            <w:vAlign w:val="center"/>
          </w:tcPr>
          <w:p>
            <w:pPr>
              <w:pStyle w:val="13"/>
            </w:pPr>
            <w:r>
              <w:t>实际支付国家公益林专职管护人员管护费与应支付国家公益林专职管护人员管护费的比率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集体及个人补助标准达标率</w:t>
            </w:r>
          </w:p>
        </w:tc>
        <w:tc>
          <w:tcPr>
            <w:tcW w:w="5386" w:type="dxa"/>
            <w:vAlign w:val="center"/>
          </w:tcPr>
          <w:p>
            <w:pPr>
              <w:pStyle w:val="13"/>
            </w:pPr>
            <w:r>
              <w:t>集体及个人补助标准达标率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护林员工资发放时间</w:t>
            </w:r>
          </w:p>
        </w:tc>
        <w:tc>
          <w:tcPr>
            <w:tcW w:w="5386" w:type="dxa"/>
            <w:vAlign w:val="center"/>
          </w:tcPr>
          <w:p>
            <w:pPr>
              <w:pStyle w:val="13"/>
            </w:pPr>
            <w:r>
              <w:t>护林员工资发放时间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集体及个人补助拨付时间</w:t>
            </w:r>
          </w:p>
        </w:tc>
        <w:tc>
          <w:tcPr>
            <w:tcW w:w="5386" w:type="dxa"/>
            <w:vAlign w:val="center"/>
          </w:tcPr>
          <w:p>
            <w:pPr>
              <w:pStyle w:val="13"/>
            </w:pPr>
            <w:r>
              <w:t>集体及个人补助拨付时间</w:t>
            </w:r>
          </w:p>
        </w:tc>
        <w:tc>
          <w:tcPr>
            <w:tcW w:w="2268" w:type="dxa"/>
            <w:vAlign w:val="center"/>
          </w:tcPr>
          <w:p>
            <w:pPr>
              <w:pStyle w:val="13"/>
            </w:pPr>
            <w:r>
              <w:t>2024年每半年一次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≤6.15元/亩</w:t>
            </w:r>
          </w:p>
        </w:tc>
        <w:tc>
          <w:tcPr>
            <w:tcW w:w="1276" w:type="dxa"/>
            <w:vAlign w:val="center"/>
          </w:tcPr>
          <w:p>
            <w:pPr>
              <w:pStyle w:val="13"/>
            </w:pPr>
            <w:r>
              <w:t>购买服务合同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集体及个人补助标准</w:t>
            </w:r>
          </w:p>
        </w:tc>
        <w:tc>
          <w:tcPr>
            <w:tcW w:w="5386" w:type="dxa"/>
            <w:vAlign w:val="center"/>
          </w:tcPr>
          <w:p>
            <w:pPr>
              <w:pStyle w:val="13"/>
            </w:pPr>
            <w:r>
              <w:t>支付林权权利人每亩生态补偿补助费用</w:t>
            </w:r>
          </w:p>
        </w:tc>
        <w:tc>
          <w:tcPr>
            <w:tcW w:w="2268" w:type="dxa"/>
            <w:vAlign w:val="center"/>
          </w:tcPr>
          <w:p>
            <w:pPr>
              <w:pStyle w:val="13"/>
            </w:pPr>
            <w:r>
              <w:t>≤9.6元/亩（集体和个人）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通过发放生态补助费用，带动当地社会经济的发展，解决专职管护人员的就地就业的脱贫问题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23、关于提前下达2024年中央财政林业改革发展资金预算的通知（冀财资环[2023]90号）-林业有害生物防治</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13032124P00002610015C</w:t>
            </w:r>
          </w:p>
        </w:tc>
        <w:tc>
          <w:tcPr>
            <w:tcW w:w="2835" w:type="dxa"/>
            <w:vAlign w:val="center"/>
          </w:tcPr>
          <w:p>
            <w:pPr>
              <w:pStyle w:val="11"/>
            </w:pPr>
            <w:r>
              <w:t>项目名称</w:t>
            </w:r>
          </w:p>
        </w:tc>
        <w:tc>
          <w:tcPr>
            <w:tcW w:w="6095" w:type="dxa"/>
            <w:gridSpan w:val="3"/>
            <w:vAlign w:val="center"/>
          </w:tcPr>
          <w:p>
            <w:pPr>
              <w:pStyle w:val="13"/>
            </w:pPr>
            <w:r>
              <w:t>关于提前下达2024年中央财政林业改革发展资金预算的通知（冀财资环[2023]90号）-林业有害生物防治</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项目预算20万元，其中财政拨款20万元，主要用于开展全县美国白蛾调查防治、松树松材线虫病普查防控、名木古树调查防治等林业有害生物防治。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1.通过开展全县美国白蛾调查防治、松树松材线虫病普查防控、名木古树调查防治等林业有害生物防治。</w:t>
            </w:r>
            <w:r>
              <w:tab/>
            </w:r>
            <w:r>
              <w:tab/>
            </w:r>
            <w:r>
              <w:tab/>
            </w:r>
            <w:r>
              <w:tab/>
            </w:r>
            <w:r>
              <w:tab/>
            </w:r>
            <w:r>
              <w:tab/>
            </w:r>
          </w:p>
          <w:p>
            <w:pPr>
              <w:pStyle w:val="13"/>
            </w:pPr>
            <w:r>
              <w:t>2.通过开展林业有害生物防治，促进林业健康发展，保障林业生态安全。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美国白蛾发生2.8万亩</w:t>
            </w:r>
          </w:p>
        </w:tc>
        <w:tc>
          <w:tcPr>
            <w:tcW w:w="5386" w:type="dxa"/>
            <w:vAlign w:val="center"/>
          </w:tcPr>
          <w:p>
            <w:pPr>
              <w:pStyle w:val="13"/>
            </w:pPr>
            <w:r>
              <w:t>完成防治4万亩</w:t>
            </w:r>
          </w:p>
        </w:tc>
        <w:tc>
          <w:tcPr>
            <w:tcW w:w="2268" w:type="dxa"/>
            <w:vAlign w:val="center"/>
          </w:tcPr>
          <w:p>
            <w:pPr>
              <w:pStyle w:val="13"/>
            </w:pPr>
            <w:r>
              <w:t>≥4万亩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松树松材线虫病普查</w:t>
            </w:r>
          </w:p>
        </w:tc>
        <w:tc>
          <w:tcPr>
            <w:tcW w:w="5386" w:type="dxa"/>
            <w:vAlign w:val="center"/>
          </w:tcPr>
          <w:p>
            <w:pPr>
              <w:pStyle w:val="13"/>
            </w:pPr>
            <w:r>
              <w:t>完成43.01万亩普查</w:t>
            </w:r>
          </w:p>
        </w:tc>
        <w:tc>
          <w:tcPr>
            <w:tcW w:w="2268" w:type="dxa"/>
            <w:vAlign w:val="center"/>
          </w:tcPr>
          <w:p>
            <w:pPr>
              <w:pStyle w:val="13"/>
            </w:pPr>
            <w:r>
              <w:t>≥43.01万亩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名木古树调查防治</w:t>
            </w:r>
          </w:p>
        </w:tc>
        <w:tc>
          <w:tcPr>
            <w:tcW w:w="5386" w:type="dxa"/>
            <w:vAlign w:val="center"/>
          </w:tcPr>
          <w:p>
            <w:pPr>
              <w:pStyle w:val="13"/>
            </w:pPr>
            <w:r>
              <w:t>完成2590株调查防治</w:t>
            </w:r>
          </w:p>
        </w:tc>
        <w:tc>
          <w:tcPr>
            <w:tcW w:w="2268" w:type="dxa"/>
            <w:vAlign w:val="center"/>
          </w:tcPr>
          <w:p>
            <w:pPr>
              <w:pStyle w:val="13"/>
            </w:pPr>
            <w:r>
              <w:t>≥2590株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无公害防治百分比</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松材线虫病普查率</w:t>
            </w:r>
          </w:p>
        </w:tc>
        <w:tc>
          <w:tcPr>
            <w:tcW w:w="5386" w:type="dxa"/>
            <w:vAlign w:val="center"/>
          </w:tcPr>
          <w:p>
            <w:pPr>
              <w:pStyle w:val="13"/>
            </w:pPr>
            <w:r>
              <w:t>普查百分比</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美国白蛾防治完成时间</w:t>
            </w:r>
          </w:p>
        </w:tc>
        <w:tc>
          <w:tcPr>
            <w:tcW w:w="5386" w:type="dxa"/>
            <w:vAlign w:val="center"/>
          </w:tcPr>
          <w:p>
            <w:pPr>
              <w:pStyle w:val="13"/>
            </w:pPr>
            <w:r>
              <w:t>防治完成时间</w:t>
            </w:r>
          </w:p>
        </w:tc>
        <w:tc>
          <w:tcPr>
            <w:tcW w:w="2268" w:type="dxa"/>
            <w:vAlign w:val="center"/>
          </w:tcPr>
          <w:p>
            <w:pPr>
              <w:pStyle w:val="13"/>
            </w:pPr>
            <w:r>
              <w:t>2024年10月底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松材线虫病普查完成时间</w:t>
            </w:r>
          </w:p>
        </w:tc>
        <w:tc>
          <w:tcPr>
            <w:tcW w:w="5386" w:type="dxa"/>
            <w:vAlign w:val="center"/>
          </w:tcPr>
          <w:p>
            <w:pPr>
              <w:pStyle w:val="13"/>
            </w:pPr>
            <w:r>
              <w:t>普查完成时间</w:t>
            </w:r>
          </w:p>
        </w:tc>
        <w:tc>
          <w:tcPr>
            <w:tcW w:w="2268" w:type="dxa"/>
            <w:vAlign w:val="center"/>
          </w:tcPr>
          <w:p>
            <w:pPr>
              <w:pStyle w:val="13"/>
            </w:pPr>
            <w:r>
              <w:t>2024年12月底前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防治用工费</w:t>
            </w:r>
          </w:p>
        </w:tc>
        <w:tc>
          <w:tcPr>
            <w:tcW w:w="5386" w:type="dxa"/>
            <w:vAlign w:val="center"/>
          </w:tcPr>
          <w:p>
            <w:pPr>
              <w:pStyle w:val="13"/>
            </w:pPr>
            <w:r>
              <w:t>220.00元天/人</w:t>
            </w:r>
          </w:p>
        </w:tc>
        <w:tc>
          <w:tcPr>
            <w:tcW w:w="2268" w:type="dxa"/>
            <w:vAlign w:val="center"/>
          </w:tcPr>
          <w:p>
            <w:pPr>
              <w:pStyle w:val="13"/>
            </w:pPr>
            <w:r>
              <w:t>2024年10月底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购置灭幼脲</w:t>
            </w:r>
          </w:p>
        </w:tc>
        <w:tc>
          <w:tcPr>
            <w:tcW w:w="5386" w:type="dxa"/>
            <w:vAlign w:val="center"/>
          </w:tcPr>
          <w:p>
            <w:pPr>
              <w:pStyle w:val="13"/>
            </w:pPr>
            <w:r>
              <w:t>3万/吨</w:t>
            </w:r>
          </w:p>
        </w:tc>
        <w:tc>
          <w:tcPr>
            <w:tcW w:w="2268" w:type="dxa"/>
            <w:vAlign w:val="center"/>
          </w:tcPr>
          <w:p>
            <w:pPr>
              <w:pStyle w:val="13"/>
            </w:pPr>
            <w:r>
              <w:t>2024年10月底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无公害防治成效</w:t>
            </w:r>
          </w:p>
        </w:tc>
        <w:tc>
          <w:tcPr>
            <w:tcW w:w="5386" w:type="dxa"/>
            <w:vAlign w:val="center"/>
          </w:tcPr>
          <w:p>
            <w:pPr>
              <w:pStyle w:val="13"/>
            </w:pPr>
            <w:r>
              <w:t>通过开展林业有害生物防治，成效明显。</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森林火灾面积与森林面积的比率</w:t>
            </w:r>
          </w:p>
        </w:tc>
        <w:tc>
          <w:tcPr>
            <w:tcW w:w="2268" w:type="dxa"/>
            <w:vAlign w:val="center"/>
          </w:tcPr>
          <w:p>
            <w:pPr>
              <w:pStyle w:val="13"/>
            </w:pPr>
            <w:r>
              <w:t>≤0.09百分比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≥85百分比</w:t>
            </w:r>
          </w:p>
        </w:tc>
        <w:tc>
          <w:tcPr>
            <w:tcW w:w="1276" w:type="dxa"/>
            <w:vAlign w:val="center"/>
          </w:tcPr>
          <w:p>
            <w:pPr>
              <w:pStyle w:val="13"/>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24、关于提前下达2025年森林草原防火视频监控服务采购省级补助资金的通知-（冀财资环[2024]99号）绩效目标表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13032124P00330610001J</w:t>
            </w:r>
          </w:p>
        </w:tc>
        <w:tc>
          <w:tcPr>
            <w:tcW w:w="2835" w:type="dxa"/>
            <w:vAlign w:val="center"/>
          </w:tcPr>
          <w:p>
            <w:pPr>
              <w:pStyle w:val="11"/>
            </w:pPr>
            <w:r>
              <w:t>项目名称</w:t>
            </w:r>
          </w:p>
        </w:tc>
        <w:tc>
          <w:tcPr>
            <w:tcW w:w="6095" w:type="dxa"/>
            <w:gridSpan w:val="3"/>
            <w:vAlign w:val="center"/>
          </w:tcPr>
          <w:p>
            <w:pPr>
              <w:pStyle w:val="13"/>
            </w:pPr>
            <w:r>
              <w:t>关于提前下达2025年森林草原防火视频监控服务采购省级补助资金的通知-（冀财资环[2024]99号）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244.00</w:t>
            </w:r>
          </w:p>
        </w:tc>
        <w:tc>
          <w:tcPr>
            <w:tcW w:w="2835" w:type="dxa"/>
            <w:vAlign w:val="center"/>
          </w:tcPr>
          <w:p>
            <w:pPr>
              <w:pStyle w:val="11"/>
            </w:pPr>
            <w:r>
              <w:t>其中：财政    资金</w:t>
            </w:r>
          </w:p>
        </w:tc>
        <w:tc>
          <w:tcPr>
            <w:tcW w:w="2551" w:type="dxa"/>
            <w:vAlign w:val="center"/>
          </w:tcPr>
          <w:p>
            <w:pPr>
              <w:pStyle w:val="13"/>
            </w:pPr>
            <w:r>
              <w:t>244.00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项目金额244万元，其中财政拨款244万元，主要用于视频监控系统服务，提高日常火灾预警能力，达到降低火灾损失的效果。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1.通过开展此项工作，视频监控系统服务，提高日常火灾预警能力，达到降低火灾损失的效果。</w:t>
            </w:r>
            <w:r>
              <w:tab/>
            </w:r>
            <w:r>
              <w:tab/>
            </w:r>
            <w:r>
              <w:tab/>
            </w:r>
            <w:r>
              <w:tab/>
            </w:r>
            <w:r>
              <w:tab/>
            </w:r>
            <w:r>
              <w:tab/>
            </w:r>
            <w:r>
              <w:tab/>
            </w:r>
            <w:r>
              <w:tab/>
            </w:r>
            <w:r>
              <w:tab/>
            </w:r>
            <w:r>
              <w:tab/>
            </w:r>
          </w:p>
          <w:p>
            <w:pPr>
              <w:pStyle w:val="13"/>
            </w:pPr>
            <w:r>
              <w:t>2.通过开展此项工作，购买森林防火视频监控系统服务，在全县范围内进行林业防火监控，实现及时发现火情。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服务的企业数</w:t>
            </w:r>
          </w:p>
        </w:tc>
        <w:tc>
          <w:tcPr>
            <w:tcW w:w="5386" w:type="dxa"/>
            <w:vAlign w:val="center"/>
          </w:tcPr>
          <w:p>
            <w:pPr>
              <w:pStyle w:val="13"/>
            </w:pPr>
            <w:r>
              <w:t>用于提供森林防火视频监控系统服务企业数</w:t>
            </w:r>
          </w:p>
        </w:tc>
        <w:tc>
          <w:tcPr>
            <w:tcW w:w="2268" w:type="dxa"/>
            <w:vAlign w:val="center"/>
          </w:tcPr>
          <w:p>
            <w:pPr>
              <w:pStyle w:val="13"/>
            </w:pPr>
            <w:r>
              <w:t>1家</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建设监控系统数</w:t>
            </w:r>
          </w:p>
        </w:tc>
        <w:tc>
          <w:tcPr>
            <w:tcW w:w="5386" w:type="dxa"/>
            <w:vAlign w:val="center"/>
          </w:tcPr>
          <w:p>
            <w:pPr>
              <w:pStyle w:val="13"/>
            </w:pPr>
            <w:r>
              <w:t>用于提供森林防火视频监控系统服务的数量</w:t>
            </w:r>
          </w:p>
        </w:tc>
        <w:tc>
          <w:tcPr>
            <w:tcW w:w="2268" w:type="dxa"/>
            <w:vAlign w:val="center"/>
          </w:tcPr>
          <w:p>
            <w:pPr>
              <w:pStyle w:val="13"/>
            </w:pPr>
            <w:r>
              <w:t>174套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提供防火视频监控系统合格率</w:t>
            </w:r>
          </w:p>
        </w:tc>
        <w:tc>
          <w:tcPr>
            <w:tcW w:w="5386" w:type="dxa"/>
            <w:vAlign w:val="center"/>
          </w:tcPr>
          <w:p>
            <w:pPr>
              <w:pStyle w:val="13"/>
            </w:pPr>
            <w:r>
              <w:t>提供防火视频监控系统合格率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2023年10月底前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≤500万元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及时发现火情</w:t>
            </w:r>
          </w:p>
        </w:tc>
        <w:tc>
          <w:tcPr>
            <w:tcW w:w="5386" w:type="dxa"/>
            <w:vAlign w:val="center"/>
          </w:tcPr>
          <w:p>
            <w:pPr>
              <w:pStyle w:val="13"/>
            </w:pPr>
            <w:r>
              <w:t>减少出现较大以上火灾</w:t>
            </w:r>
          </w:p>
        </w:tc>
        <w:tc>
          <w:tcPr>
            <w:tcW w:w="2268" w:type="dxa"/>
            <w:vAlign w:val="center"/>
          </w:tcPr>
          <w:p>
            <w:pPr>
              <w:pStyle w:val="13"/>
            </w:pPr>
            <w:r>
              <w:t>≤1500亩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避免伤亡事故</w:t>
            </w:r>
          </w:p>
        </w:tc>
        <w:tc>
          <w:tcPr>
            <w:tcW w:w="5386" w:type="dxa"/>
            <w:vAlign w:val="center"/>
          </w:tcPr>
          <w:p>
            <w:pPr>
              <w:pStyle w:val="13"/>
            </w:pPr>
            <w:r>
              <w:t>避免出现重大伤亡事故</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25、关于提前下达2025年省级风景名胜资源保护资金的通知-秦皇岛北戴河风景名胜区祖山景区提升改造（一期）天女峰分景区设施环境综合整治项目（冀财资环[2024]98号）绩效目标表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13032124P00329810002T</w:t>
            </w:r>
          </w:p>
        </w:tc>
        <w:tc>
          <w:tcPr>
            <w:tcW w:w="2835" w:type="dxa"/>
            <w:vAlign w:val="center"/>
          </w:tcPr>
          <w:p>
            <w:pPr>
              <w:pStyle w:val="11"/>
            </w:pPr>
            <w:r>
              <w:t>项目名称</w:t>
            </w:r>
          </w:p>
        </w:tc>
        <w:tc>
          <w:tcPr>
            <w:tcW w:w="6095" w:type="dxa"/>
            <w:gridSpan w:val="3"/>
            <w:vAlign w:val="center"/>
          </w:tcPr>
          <w:p>
            <w:pPr>
              <w:pStyle w:val="13"/>
            </w:pPr>
            <w:r>
              <w:t>关于提前下达2025年省级风景名胜资源保护资金的通知-秦皇岛北戴河风景名胜区祖山景区提升改造（一期）天女峰分景区设施环境综合整治项目（冀财资环[2024]98号）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项目金额80万元，其中财政拨款80万元，主要用于祖山景区防火通道修缮拓宽，提高保护风景名胜区内林业资源能力。</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1.通过祖山景区防火通道修缮拓宽，提高保护风景名胜区内林业资源能力。</w:t>
            </w:r>
            <w:r>
              <w:tab/>
            </w:r>
            <w:r>
              <w:tab/>
            </w:r>
            <w:r>
              <w:tab/>
            </w:r>
            <w:r>
              <w:tab/>
            </w:r>
            <w:r>
              <w:tab/>
            </w:r>
          </w:p>
          <w:p>
            <w:pPr>
              <w:pStyle w:val="13"/>
            </w:pPr>
            <w:r>
              <w:t>2.通过祖山景区防火通道修缮拓宽，提升景区综合防火能力。</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通道路面宽度</w:t>
            </w:r>
          </w:p>
        </w:tc>
        <w:tc>
          <w:tcPr>
            <w:tcW w:w="5386" w:type="dxa"/>
            <w:vAlign w:val="center"/>
          </w:tcPr>
          <w:p>
            <w:pPr>
              <w:pStyle w:val="13"/>
            </w:pPr>
            <w:r>
              <w:t>通道路面宽度</w:t>
            </w:r>
          </w:p>
        </w:tc>
        <w:tc>
          <w:tcPr>
            <w:tcW w:w="2268" w:type="dxa"/>
            <w:vAlign w:val="center"/>
          </w:tcPr>
          <w:p>
            <w:pPr>
              <w:pStyle w:val="13"/>
            </w:pPr>
            <w:r>
              <w:t>≥5公里</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反映工程中符合质量验收标准的数量占总量的比值</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反映项目完成时间</w:t>
            </w:r>
          </w:p>
        </w:tc>
        <w:tc>
          <w:tcPr>
            <w:tcW w:w="2268" w:type="dxa"/>
            <w:vAlign w:val="center"/>
          </w:tcPr>
          <w:p>
            <w:pPr>
              <w:pStyle w:val="13"/>
            </w:pPr>
            <w:r>
              <w:t>2025年5月前</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工程款费用</w:t>
            </w:r>
          </w:p>
        </w:tc>
        <w:tc>
          <w:tcPr>
            <w:tcW w:w="5386" w:type="dxa"/>
            <w:vAlign w:val="center"/>
          </w:tcPr>
          <w:p>
            <w:pPr>
              <w:pStyle w:val="13"/>
            </w:pPr>
            <w:r>
              <w:t>反映项目资金用于支付防火通道工程专款金额</w:t>
            </w:r>
          </w:p>
        </w:tc>
        <w:tc>
          <w:tcPr>
            <w:tcW w:w="2268" w:type="dxa"/>
            <w:vAlign w:val="center"/>
          </w:tcPr>
          <w:p>
            <w:pPr>
              <w:pStyle w:val="13"/>
            </w:pPr>
            <w:r>
              <w:t>≤80万元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火灾发生次数</w:t>
            </w:r>
          </w:p>
        </w:tc>
        <w:tc>
          <w:tcPr>
            <w:tcW w:w="5386" w:type="dxa"/>
            <w:vAlign w:val="center"/>
          </w:tcPr>
          <w:p>
            <w:pPr>
              <w:pStyle w:val="13"/>
            </w:pPr>
            <w:r>
              <w:t>通过项目实施，生态环境质量逐渐提升，降低发生火灾比率</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减少财产损失威胁</w:t>
            </w:r>
          </w:p>
        </w:tc>
        <w:tc>
          <w:tcPr>
            <w:tcW w:w="5386" w:type="dxa"/>
            <w:vAlign w:val="center"/>
          </w:tcPr>
          <w:p>
            <w:pPr>
              <w:pStyle w:val="13"/>
            </w:pPr>
            <w:r>
              <w:t>通过项目实施，减少游客财产损失，不发生较大财产损失事件</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游客增长率</w:t>
            </w:r>
          </w:p>
        </w:tc>
        <w:tc>
          <w:tcPr>
            <w:tcW w:w="5386" w:type="dxa"/>
            <w:vAlign w:val="center"/>
          </w:tcPr>
          <w:p>
            <w:pPr>
              <w:pStyle w:val="13"/>
            </w:pPr>
            <w:r>
              <w:t>通过项目实施，游客数量逐渐提升的比率</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受益群众满意、基本满意数量占总数的比例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26、关于提前下达2025年省级林业改革发展补助资金的通知-林果花卉产业发展补助（冀财资环[2024]113号）绩效目标表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13032125P003299100169</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关于提前下达2025年省级林业改革发展补助资金的通知-林果花卉产业发展补助（冀财资环[2024]113号）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127.00</w:t>
            </w:r>
          </w:p>
        </w:tc>
        <w:tc>
          <w:tcPr>
            <w:tcW w:w="2835" w:type="dxa"/>
            <w:vAlign w:val="center"/>
          </w:tcPr>
          <w:p>
            <w:pPr>
              <w:pStyle w:val="11"/>
            </w:pPr>
            <w:r>
              <w:t>其中：财政    资金</w:t>
            </w:r>
          </w:p>
        </w:tc>
        <w:tc>
          <w:tcPr>
            <w:tcW w:w="2551" w:type="dxa"/>
            <w:vAlign w:val="center"/>
          </w:tcPr>
          <w:p>
            <w:pPr>
              <w:pStyle w:val="13"/>
            </w:pPr>
            <w:r>
              <w:t>127.00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项目金额127万元，其中财政拨款127万元，主要用于生态栗园建设项目，发展优质高产高效高标准生态栗园示范基地1270亩。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1.通过生态栗园建设项目，带动部分附近劳动力就业。</w:t>
            </w:r>
          </w:p>
          <w:p>
            <w:pPr>
              <w:pStyle w:val="13"/>
            </w:pPr>
            <w:r>
              <w:t>2.通过生态栗园建设项目，发展优质高产高效高标准生态栗园示范基地1270亩。</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经营主体数量</w:t>
            </w:r>
          </w:p>
        </w:tc>
        <w:tc>
          <w:tcPr>
            <w:tcW w:w="5386" w:type="dxa"/>
            <w:vAlign w:val="center"/>
          </w:tcPr>
          <w:p>
            <w:pPr>
              <w:pStyle w:val="13"/>
            </w:pPr>
            <w:r>
              <w:t>项目扶持的经营主体数量</w:t>
            </w:r>
          </w:p>
          <w:p>
            <w:pPr>
              <w:pStyle w:val="13"/>
            </w:pPr>
          </w:p>
        </w:tc>
        <w:tc>
          <w:tcPr>
            <w:tcW w:w="2268" w:type="dxa"/>
            <w:vAlign w:val="center"/>
          </w:tcPr>
          <w:p>
            <w:pPr>
              <w:pStyle w:val="13"/>
            </w:pPr>
            <w:r>
              <w:t>≥5个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建设规模</w:t>
            </w:r>
          </w:p>
        </w:tc>
        <w:tc>
          <w:tcPr>
            <w:tcW w:w="5386" w:type="dxa"/>
            <w:vAlign w:val="center"/>
          </w:tcPr>
          <w:p>
            <w:pPr>
              <w:pStyle w:val="13"/>
            </w:pPr>
            <w:r>
              <w:t>项目新（改）建总体规模</w:t>
            </w:r>
          </w:p>
        </w:tc>
        <w:tc>
          <w:tcPr>
            <w:tcW w:w="2268" w:type="dxa"/>
            <w:vAlign w:val="center"/>
          </w:tcPr>
          <w:p>
            <w:pPr>
              <w:pStyle w:val="13"/>
            </w:pPr>
            <w:r>
              <w:t>≥1698亩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技术推广培训次数</w:t>
            </w:r>
          </w:p>
        </w:tc>
        <w:tc>
          <w:tcPr>
            <w:tcW w:w="5386" w:type="dxa"/>
            <w:vAlign w:val="center"/>
          </w:tcPr>
          <w:p>
            <w:pPr>
              <w:pStyle w:val="13"/>
            </w:pPr>
            <w:r>
              <w:t>反映技术推广培训次数</w:t>
            </w:r>
          </w:p>
        </w:tc>
        <w:tc>
          <w:tcPr>
            <w:tcW w:w="2268" w:type="dxa"/>
            <w:vAlign w:val="center"/>
          </w:tcPr>
          <w:p>
            <w:pPr>
              <w:pStyle w:val="13"/>
            </w:pPr>
            <w:r>
              <w:t>≥5次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建设任务完成率</w:t>
            </w:r>
          </w:p>
        </w:tc>
        <w:tc>
          <w:tcPr>
            <w:tcW w:w="5386" w:type="dxa"/>
            <w:vAlign w:val="center"/>
          </w:tcPr>
          <w:p>
            <w:pPr>
              <w:pStyle w:val="13"/>
            </w:pPr>
            <w:r>
              <w:t>反应建设任务完成率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反映项目验收合格率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反映工作完成及时性</w:t>
            </w:r>
          </w:p>
        </w:tc>
        <w:tc>
          <w:tcPr>
            <w:tcW w:w="2268" w:type="dxa"/>
            <w:vAlign w:val="center"/>
          </w:tcPr>
          <w:p>
            <w:pPr>
              <w:pStyle w:val="13"/>
            </w:pPr>
            <w:r>
              <w:t>≤12月</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每亩投资的成本</w:t>
            </w:r>
          </w:p>
        </w:tc>
        <w:tc>
          <w:tcPr>
            <w:tcW w:w="5386" w:type="dxa"/>
            <w:vAlign w:val="center"/>
          </w:tcPr>
          <w:p>
            <w:pPr>
              <w:pStyle w:val="13"/>
            </w:pPr>
            <w:r>
              <w:t>反映每亩投资的成本</w:t>
            </w:r>
          </w:p>
        </w:tc>
        <w:tc>
          <w:tcPr>
            <w:tcW w:w="2268" w:type="dxa"/>
            <w:vAlign w:val="center"/>
          </w:tcPr>
          <w:p>
            <w:pPr>
              <w:pStyle w:val="13"/>
            </w:pPr>
            <w:r>
              <w:t>≥2000元/亩</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亩增经济效益</w:t>
            </w:r>
          </w:p>
        </w:tc>
        <w:tc>
          <w:tcPr>
            <w:tcW w:w="5386" w:type="dxa"/>
            <w:vAlign w:val="center"/>
          </w:tcPr>
          <w:p>
            <w:pPr>
              <w:pStyle w:val="13"/>
            </w:pPr>
            <w:r>
              <w:t>反映亩增经济效益</w:t>
            </w:r>
          </w:p>
        </w:tc>
        <w:tc>
          <w:tcPr>
            <w:tcW w:w="2268" w:type="dxa"/>
            <w:vAlign w:val="center"/>
          </w:tcPr>
          <w:p>
            <w:pPr>
              <w:pStyle w:val="13"/>
            </w:pPr>
            <w:r>
              <w:t>≥300元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带动就业人数（人）</w:t>
            </w:r>
          </w:p>
        </w:tc>
        <w:tc>
          <w:tcPr>
            <w:tcW w:w="5386" w:type="dxa"/>
            <w:vAlign w:val="center"/>
          </w:tcPr>
          <w:p>
            <w:pPr>
              <w:pStyle w:val="13"/>
            </w:pPr>
            <w:r>
              <w:t>反映带动就业人数（人）</w:t>
            </w:r>
          </w:p>
        </w:tc>
        <w:tc>
          <w:tcPr>
            <w:tcW w:w="2268" w:type="dxa"/>
            <w:vAlign w:val="center"/>
          </w:tcPr>
          <w:p>
            <w:pPr>
              <w:pStyle w:val="13"/>
            </w:pPr>
            <w:r>
              <w:t>≥1000人</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27、关于提前下达2025年省级林业改革发展补助资金的通知-省级林业有害生物防治补助（冀财资环[2024]113号）绩效目标表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13032125P003299100142</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关于提前下达2025年省级林业改革发展补助资金的通知-省级林业有害生物防治补助（冀财资环[2024]113号）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项目金额2万元，其中财政拨款2万元，主要用于开展林业有害生物监测调查，为科学防治打下坚实基础，促进林业健康发展，保障林业生态安全。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1.通过开展林业有害生物监测调查，为科学防治打下坚实基础，促进林业健康发展，保障林业生态安全。</w:t>
            </w:r>
          </w:p>
          <w:p>
            <w:pPr>
              <w:pStyle w:val="13"/>
            </w:pPr>
            <w:r>
              <w:t>2.通过开展全县美国白蛾、松毛虫、松褐天牛等其它重大林业有害生物监测调查。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美国白蛾监测点6个</w:t>
            </w:r>
          </w:p>
        </w:tc>
        <w:tc>
          <w:tcPr>
            <w:tcW w:w="5386" w:type="dxa"/>
            <w:vAlign w:val="center"/>
          </w:tcPr>
          <w:p>
            <w:pPr>
              <w:pStyle w:val="13"/>
            </w:pPr>
            <w:r>
              <w:t>完成6个监测点监测调查</w:t>
            </w:r>
          </w:p>
        </w:tc>
        <w:tc>
          <w:tcPr>
            <w:tcW w:w="2268" w:type="dxa"/>
            <w:vAlign w:val="center"/>
          </w:tcPr>
          <w:p>
            <w:pPr>
              <w:pStyle w:val="13"/>
            </w:pPr>
            <w:r>
              <w:t>≥6个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松褐天牛监测点5个</w:t>
            </w:r>
          </w:p>
        </w:tc>
        <w:tc>
          <w:tcPr>
            <w:tcW w:w="5386" w:type="dxa"/>
            <w:vAlign w:val="center"/>
          </w:tcPr>
          <w:p>
            <w:pPr>
              <w:pStyle w:val="13"/>
            </w:pPr>
            <w:r>
              <w:t>完成5个监测点监测调查</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松毛虫监测点3个</w:t>
            </w:r>
          </w:p>
        </w:tc>
        <w:tc>
          <w:tcPr>
            <w:tcW w:w="5386" w:type="dxa"/>
            <w:vAlign w:val="center"/>
          </w:tcPr>
          <w:p>
            <w:pPr>
              <w:pStyle w:val="13"/>
            </w:pPr>
            <w:r>
              <w:t>完成3个监测点监测调查</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监测率</w:t>
            </w:r>
          </w:p>
        </w:tc>
        <w:tc>
          <w:tcPr>
            <w:tcW w:w="5386" w:type="dxa"/>
            <w:vAlign w:val="center"/>
          </w:tcPr>
          <w:p>
            <w:pPr>
              <w:pStyle w:val="13"/>
            </w:pPr>
            <w:r>
              <w:t>监测百分比</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松褐天牛监测率</w:t>
            </w:r>
          </w:p>
        </w:tc>
        <w:tc>
          <w:tcPr>
            <w:tcW w:w="5386" w:type="dxa"/>
            <w:vAlign w:val="center"/>
          </w:tcPr>
          <w:p>
            <w:pPr>
              <w:pStyle w:val="13"/>
            </w:pPr>
            <w:r>
              <w:t>监测百分比</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美国白蛾监测完成时间</w:t>
            </w:r>
          </w:p>
        </w:tc>
        <w:tc>
          <w:tcPr>
            <w:tcW w:w="5386" w:type="dxa"/>
            <w:vAlign w:val="center"/>
          </w:tcPr>
          <w:p>
            <w:pPr>
              <w:pStyle w:val="13"/>
            </w:pPr>
            <w:r>
              <w:t>监测完成时间</w:t>
            </w:r>
          </w:p>
        </w:tc>
        <w:tc>
          <w:tcPr>
            <w:tcW w:w="2268" w:type="dxa"/>
            <w:vAlign w:val="center"/>
          </w:tcPr>
          <w:p>
            <w:pPr>
              <w:pStyle w:val="13"/>
            </w:pPr>
            <w:r>
              <w:t>2025年9月底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松褐天牛监测完成时间</w:t>
            </w:r>
          </w:p>
        </w:tc>
        <w:tc>
          <w:tcPr>
            <w:tcW w:w="5386" w:type="dxa"/>
            <w:vAlign w:val="center"/>
          </w:tcPr>
          <w:p>
            <w:pPr>
              <w:pStyle w:val="13"/>
            </w:pPr>
            <w:r>
              <w:t>监测完成时间</w:t>
            </w:r>
          </w:p>
        </w:tc>
        <w:tc>
          <w:tcPr>
            <w:tcW w:w="2268" w:type="dxa"/>
            <w:vAlign w:val="center"/>
          </w:tcPr>
          <w:p>
            <w:pPr>
              <w:pStyle w:val="13"/>
            </w:pPr>
            <w:r>
              <w:t>2025年9月底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监测调查费</w:t>
            </w:r>
          </w:p>
        </w:tc>
        <w:tc>
          <w:tcPr>
            <w:tcW w:w="5386" w:type="dxa"/>
            <w:vAlign w:val="center"/>
          </w:tcPr>
          <w:p>
            <w:pPr>
              <w:pStyle w:val="13"/>
            </w:pPr>
            <w:r>
              <w:t>100.00元天/人</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购置诱捕器</w:t>
            </w:r>
          </w:p>
        </w:tc>
        <w:tc>
          <w:tcPr>
            <w:tcW w:w="5386" w:type="dxa"/>
            <w:vAlign w:val="center"/>
          </w:tcPr>
          <w:p>
            <w:pPr>
              <w:pStyle w:val="13"/>
            </w:pPr>
            <w:r>
              <w:t>100元/套</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监测成效</w:t>
            </w:r>
          </w:p>
        </w:tc>
        <w:tc>
          <w:tcPr>
            <w:tcW w:w="5386" w:type="dxa"/>
            <w:vAlign w:val="center"/>
          </w:tcPr>
          <w:p>
            <w:pPr>
              <w:pStyle w:val="13"/>
            </w:pPr>
            <w:r>
              <w:t>通过开展林业有害生物监测，为防治提供依据。</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保障林业生态安全</w:t>
            </w:r>
          </w:p>
        </w:tc>
        <w:tc>
          <w:tcPr>
            <w:tcW w:w="5386" w:type="dxa"/>
            <w:vAlign w:val="center"/>
          </w:tcPr>
          <w:p>
            <w:pPr>
              <w:pStyle w:val="13"/>
            </w:pPr>
            <w:r>
              <w:t>保障林业生态安全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≥85%</w:t>
            </w:r>
          </w:p>
        </w:tc>
        <w:tc>
          <w:tcPr>
            <w:tcW w:w="1276" w:type="dxa"/>
            <w:vAlign w:val="center"/>
          </w:tcPr>
          <w:p>
            <w:pPr>
              <w:pStyle w:val="13"/>
            </w:pPr>
            <w:r>
              <w:t>群众满意度调查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28、关于提前下达2025年省级林业改革发展补助资金的通知-省级自然保护区补助（冀财资环[2024]113号）绩效目标表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13032125P00329910015M</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关于提前下达2025年省级林业改革发展补助资金的通知-省级自然保护区补助（冀财资环[2024]113号）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项目金额40万元，其中财政拨款40万元，主要用于提高保护区综合保护治理能力。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1.通过开展项目，提高保护区综合保护治理能力。</w:t>
            </w:r>
          </w:p>
          <w:p>
            <w:pPr>
              <w:pStyle w:val="13"/>
            </w:pPr>
            <w:r>
              <w:t>2.完成河北青龙都山省级自然保护区设备购置与宣传教育建设项目。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标识牌块数</w:t>
            </w:r>
          </w:p>
        </w:tc>
        <w:tc>
          <w:tcPr>
            <w:tcW w:w="5386" w:type="dxa"/>
            <w:vAlign w:val="center"/>
          </w:tcPr>
          <w:p>
            <w:pPr>
              <w:pStyle w:val="13"/>
            </w:pPr>
            <w:r>
              <w:t>金属展板功能区标识牌</w:t>
            </w:r>
          </w:p>
        </w:tc>
        <w:tc>
          <w:tcPr>
            <w:tcW w:w="2268" w:type="dxa"/>
            <w:vAlign w:val="center"/>
          </w:tcPr>
          <w:p>
            <w:pPr>
              <w:pStyle w:val="13"/>
            </w:pPr>
            <w:r>
              <w:t>≥50块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无人机</w:t>
            </w:r>
          </w:p>
        </w:tc>
        <w:tc>
          <w:tcPr>
            <w:tcW w:w="5386" w:type="dxa"/>
            <w:vAlign w:val="center"/>
          </w:tcPr>
          <w:p>
            <w:pPr>
              <w:pStyle w:val="13"/>
            </w:pPr>
            <w:r>
              <w:t>大疆经纬M30T无人机</w:t>
            </w:r>
          </w:p>
        </w:tc>
        <w:tc>
          <w:tcPr>
            <w:tcW w:w="2268" w:type="dxa"/>
            <w:vAlign w:val="center"/>
          </w:tcPr>
          <w:p>
            <w:pPr>
              <w:pStyle w:val="13"/>
            </w:pPr>
            <w:r>
              <w:t>1台</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红外监测仪管理系统</w:t>
            </w:r>
          </w:p>
        </w:tc>
        <w:tc>
          <w:tcPr>
            <w:tcW w:w="5386" w:type="dxa"/>
            <w:vAlign w:val="center"/>
          </w:tcPr>
          <w:p>
            <w:pPr>
              <w:pStyle w:val="13"/>
            </w:pPr>
            <w:r>
              <w:t>4G红外实时数据回传相机</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完成设备购置</w:t>
            </w:r>
          </w:p>
        </w:tc>
        <w:tc>
          <w:tcPr>
            <w:tcW w:w="5386" w:type="dxa"/>
            <w:vAlign w:val="center"/>
          </w:tcPr>
          <w:p>
            <w:pPr>
              <w:pStyle w:val="13"/>
            </w:pPr>
            <w:r>
              <w:t>设备合格率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项目完成时间 </w:t>
            </w:r>
          </w:p>
        </w:tc>
        <w:tc>
          <w:tcPr>
            <w:tcW w:w="5386" w:type="dxa"/>
            <w:vAlign w:val="center"/>
          </w:tcPr>
          <w:p>
            <w:pPr>
              <w:pStyle w:val="13"/>
            </w:pPr>
            <w:r>
              <w:t xml:space="preserve">项目完成时间 </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w:t>
            </w:r>
          </w:p>
        </w:tc>
        <w:tc>
          <w:tcPr>
            <w:tcW w:w="5386" w:type="dxa"/>
            <w:vAlign w:val="center"/>
          </w:tcPr>
          <w:p>
            <w:pPr>
              <w:pStyle w:val="13"/>
            </w:pPr>
            <w:r>
              <w:t>设施设备购置费</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 xml:space="preserve">推动生态文明教育 </w:t>
            </w:r>
          </w:p>
        </w:tc>
        <w:tc>
          <w:tcPr>
            <w:tcW w:w="5386" w:type="dxa"/>
            <w:vAlign w:val="center"/>
          </w:tcPr>
          <w:p>
            <w:pPr>
              <w:pStyle w:val="13"/>
            </w:pPr>
            <w:r>
              <w:t xml:space="preserve">推动生态文明教育 </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 xml:space="preserve">有利于自然保护区保护 </w:t>
            </w:r>
          </w:p>
        </w:tc>
        <w:tc>
          <w:tcPr>
            <w:tcW w:w="5386" w:type="dxa"/>
            <w:vAlign w:val="center"/>
          </w:tcPr>
          <w:p>
            <w:pPr>
              <w:pStyle w:val="13"/>
            </w:pPr>
            <w:r>
              <w:t xml:space="preserve">有利于促进生物多样性保护 </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 xml:space="preserve">对保护区发展影响 </w:t>
            </w:r>
          </w:p>
        </w:tc>
        <w:tc>
          <w:tcPr>
            <w:tcW w:w="5386" w:type="dxa"/>
            <w:vAlign w:val="center"/>
          </w:tcPr>
          <w:p>
            <w:pPr>
              <w:pStyle w:val="13"/>
            </w:pPr>
            <w:r>
              <w:t xml:space="preserve">对保护区发展影响 </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29、关于提前下达2025年省级林业改革发展补助资金的通知-造林绿化重点工程奖补-村庄绿化提升村（冀财资环[2024]113号）绩效目标表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13032125P00329910013E</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关于提前下达2025年省级林业改革发展补助资金的通知-造林绿化重点工程奖补-村庄绿化提升村（冀财资环[2024]113号）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项目金额24万元，其中财政拨款24万元，主要用于提升村庄绿化质量，打造适宜人居环境。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1.实施乡村振兴，提高人民群众幸福指数。</w:t>
            </w:r>
          </w:p>
          <w:p>
            <w:pPr>
              <w:pStyle w:val="13"/>
            </w:pPr>
            <w:r>
              <w:t>2.提升村庄绿化质量，打造适宜人居环境。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任务完成率</w:t>
            </w:r>
          </w:p>
        </w:tc>
        <w:tc>
          <w:tcPr>
            <w:tcW w:w="5386" w:type="dxa"/>
            <w:vAlign w:val="center"/>
          </w:tcPr>
          <w:p>
            <w:pPr>
              <w:pStyle w:val="13"/>
            </w:pPr>
            <w:r>
              <w:t>完成省级下达12个村全部任务</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苗木成活率</w:t>
            </w:r>
          </w:p>
        </w:tc>
        <w:tc>
          <w:tcPr>
            <w:tcW w:w="5386" w:type="dxa"/>
            <w:vAlign w:val="center"/>
          </w:tcPr>
          <w:p>
            <w:pPr>
              <w:pStyle w:val="13"/>
            </w:pPr>
            <w:r>
              <w:t>反映绿化质量</w:t>
            </w:r>
          </w:p>
        </w:tc>
        <w:tc>
          <w:tcPr>
            <w:tcW w:w="2268" w:type="dxa"/>
            <w:vAlign w:val="center"/>
          </w:tcPr>
          <w:p>
            <w:pPr>
              <w:pStyle w:val="13"/>
            </w:pPr>
            <w:r>
              <w:t>≥85%</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涉及全县12个村</w:t>
            </w:r>
          </w:p>
        </w:tc>
        <w:tc>
          <w:tcPr>
            <w:tcW w:w="2268" w:type="dxa"/>
            <w:vAlign w:val="center"/>
          </w:tcPr>
          <w:p>
            <w:pPr>
              <w:pStyle w:val="13"/>
            </w:pPr>
            <w:r>
              <w:t>≥100%</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村庄绿化质量显著提升</w:t>
            </w:r>
          </w:p>
        </w:tc>
        <w:tc>
          <w:tcPr>
            <w:tcW w:w="5386" w:type="dxa"/>
            <w:vAlign w:val="center"/>
          </w:tcPr>
          <w:p>
            <w:pPr>
              <w:pStyle w:val="13"/>
            </w:pPr>
            <w:r>
              <w:t>增加村庄绿化面积和质量</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增加造林面积，改善人居环境</w:t>
            </w:r>
          </w:p>
        </w:tc>
        <w:tc>
          <w:tcPr>
            <w:tcW w:w="5386" w:type="dxa"/>
            <w:vAlign w:val="center"/>
          </w:tcPr>
          <w:p>
            <w:pPr>
              <w:pStyle w:val="13"/>
            </w:pPr>
            <w:r>
              <w:t>提高村庄绿化率</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提高人民群众幸福指数</w:t>
            </w:r>
          </w:p>
        </w:tc>
        <w:tc>
          <w:tcPr>
            <w:tcW w:w="5386" w:type="dxa"/>
            <w:vAlign w:val="center"/>
          </w:tcPr>
          <w:p>
            <w:pPr>
              <w:pStyle w:val="13"/>
            </w:pPr>
            <w:r>
              <w:t>提高人民群众幸福指数</w:t>
            </w:r>
          </w:p>
        </w:tc>
        <w:tc>
          <w:tcPr>
            <w:tcW w:w="2268" w:type="dxa"/>
            <w:vAlign w:val="center"/>
          </w:tcPr>
          <w:p>
            <w:pPr>
              <w:pStyle w:val="13"/>
            </w:pPr>
            <w:r>
              <w:t>≥90%</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30、关于提前下达2025年省级林业改革发展补助资金的通知-造林绿化重点工程奖补-古树名木抢救复壮（冀财资环[2024]113号）绩效目标表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13032125P003299100117</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关于提前下达2025年省级林业改革发展补助资金的通知-造林绿化重点工程奖补-古树名木抢救复壮（冀财资环[2024]113号）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项目金额18万元，其中财政拨款18万元，主要用于开展古树名木复壮抢救工作，促进古树正常生长。</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1.通过开展古树名木复壮抢救工作，提升人民幸福感。</w:t>
            </w:r>
          </w:p>
          <w:p>
            <w:pPr>
              <w:pStyle w:val="13"/>
            </w:pPr>
            <w:r>
              <w:t>2.通过开展古树名木复壮抢救工作，促进古树正常生长。</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≥4株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5万/株</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3万/株</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w:t>
            </w:r>
          </w:p>
        </w:tc>
        <w:tc>
          <w:tcPr>
            <w:tcW w:w="1276" w:type="dxa"/>
            <w:vAlign w:val="center"/>
          </w:tcPr>
          <w:p>
            <w:pPr>
              <w:pStyle w:val="13"/>
            </w:pPr>
            <w:r>
              <w:t>年度工作计划</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31、关于提前下达2025年省级林业改革发展补助资金的通知-造林绿化重点工程奖补-省级森林乡村奖补（冀财资环[2024]113号）绩效目标表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13032125P00329910012T</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关于提前下达2025年省级林业改革发展补助资金的通知-造林绿化重点工程奖补-省级森林乡村奖补（冀财资环[2024]113号）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项目金额60万元，其中财政拨款60万元，主要用于创建森林乡村，打造适宜人居环境。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1.实施乡村振兴，提高人民群众幸福指数。</w:t>
            </w:r>
          </w:p>
          <w:p>
            <w:pPr>
              <w:pStyle w:val="13"/>
            </w:pPr>
            <w:r>
              <w:t>2.创建森林乡村，打造适宜人居环境。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任务完成率</w:t>
            </w:r>
          </w:p>
        </w:tc>
        <w:tc>
          <w:tcPr>
            <w:tcW w:w="5386" w:type="dxa"/>
            <w:vAlign w:val="center"/>
          </w:tcPr>
          <w:p>
            <w:pPr>
              <w:pStyle w:val="13"/>
            </w:pPr>
            <w:r>
              <w:t>完成省级下达6个村全部任务</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苗木成活率</w:t>
            </w:r>
          </w:p>
        </w:tc>
        <w:tc>
          <w:tcPr>
            <w:tcW w:w="5386" w:type="dxa"/>
            <w:vAlign w:val="center"/>
          </w:tcPr>
          <w:p>
            <w:pPr>
              <w:pStyle w:val="13"/>
            </w:pPr>
            <w:r>
              <w:t>反映绿化质量</w:t>
            </w:r>
          </w:p>
        </w:tc>
        <w:tc>
          <w:tcPr>
            <w:tcW w:w="2268" w:type="dxa"/>
            <w:vAlign w:val="center"/>
          </w:tcPr>
          <w:p>
            <w:pPr>
              <w:pStyle w:val="13"/>
            </w:pPr>
            <w:r>
              <w:t>≥85%</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涉及全县3个村</w:t>
            </w:r>
          </w:p>
        </w:tc>
        <w:tc>
          <w:tcPr>
            <w:tcW w:w="2268" w:type="dxa"/>
            <w:vAlign w:val="center"/>
          </w:tcPr>
          <w:p>
            <w:pPr>
              <w:pStyle w:val="13"/>
            </w:pPr>
            <w:r>
              <w:t>≥100%</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提升乡村绿化面积和质量</w:t>
            </w:r>
          </w:p>
        </w:tc>
        <w:tc>
          <w:tcPr>
            <w:tcW w:w="5386" w:type="dxa"/>
            <w:vAlign w:val="center"/>
          </w:tcPr>
          <w:p>
            <w:pPr>
              <w:pStyle w:val="13"/>
            </w:pPr>
            <w:r>
              <w:t>增加林地面积</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10万元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≤10万元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提升森林乡村品质</w:t>
            </w:r>
          </w:p>
        </w:tc>
        <w:tc>
          <w:tcPr>
            <w:tcW w:w="5386" w:type="dxa"/>
            <w:vAlign w:val="center"/>
          </w:tcPr>
          <w:p>
            <w:pPr>
              <w:pStyle w:val="13"/>
            </w:pPr>
            <w:r>
              <w:t>有效提高乡村绿化率</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提高人民群众幸福指数</w:t>
            </w:r>
          </w:p>
        </w:tc>
        <w:tc>
          <w:tcPr>
            <w:tcW w:w="5386" w:type="dxa"/>
            <w:vAlign w:val="center"/>
          </w:tcPr>
          <w:p>
            <w:pPr>
              <w:pStyle w:val="13"/>
            </w:pPr>
            <w:r>
              <w:t>提高人民群众幸福指数</w:t>
            </w:r>
          </w:p>
        </w:tc>
        <w:tc>
          <w:tcPr>
            <w:tcW w:w="2268" w:type="dxa"/>
            <w:vAlign w:val="center"/>
          </w:tcPr>
          <w:p>
            <w:pPr>
              <w:pStyle w:val="13"/>
            </w:pPr>
            <w:r>
              <w:t>≥90%</w:t>
            </w:r>
          </w:p>
        </w:tc>
        <w:tc>
          <w:tcPr>
            <w:tcW w:w="1276" w:type="dxa"/>
            <w:vAlign w:val="center"/>
          </w:tcPr>
          <w:p>
            <w:pPr>
              <w:pStyle w:val="13"/>
            </w:pPr>
            <w:r>
              <w:t>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32、关于提前下达2025年省级林业改革发展补助资金的通知-造林绿化重点工程奖补-省重点工程奖补（冀财资环[2024]113号）绩效目标表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13032125P00329910010K</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关于提前下达2025年省级林业改革发展补助资金的通知-造林绿化重点工程奖补-省重点工程奖补（冀财资环[2024]113号）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2100.00</w:t>
            </w:r>
          </w:p>
        </w:tc>
        <w:tc>
          <w:tcPr>
            <w:tcW w:w="2835" w:type="dxa"/>
            <w:vAlign w:val="center"/>
          </w:tcPr>
          <w:p>
            <w:pPr>
              <w:pStyle w:val="11"/>
            </w:pPr>
            <w:r>
              <w:t>其中：财政    资金</w:t>
            </w:r>
          </w:p>
        </w:tc>
        <w:tc>
          <w:tcPr>
            <w:tcW w:w="2551" w:type="dxa"/>
            <w:vAlign w:val="center"/>
          </w:tcPr>
          <w:p>
            <w:pPr>
              <w:pStyle w:val="13"/>
            </w:pPr>
            <w:r>
              <w:t>2100.00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项目金额2100万元，其中财政拨款2100万元，主要用于开展植树造林工作，提高森林覆盖率，改善生态环境。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1.通过开展植树造林工作，提高森林覆盖率，改善生态环境。</w:t>
            </w:r>
          </w:p>
          <w:p>
            <w:pPr>
              <w:pStyle w:val="13"/>
            </w:pPr>
            <w:r>
              <w:t>2.通过开展植树造林工作，造林绿化1.4万亩，达到水土保持，促进国土绿化进程。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植树造林面积</w:t>
            </w:r>
          </w:p>
        </w:tc>
        <w:tc>
          <w:tcPr>
            <w:tcW w:w="5386" w:type="dxa"/>
            <w:vAlign w:val="center"/>
          </w:tcPr>
          <w:p>
            <w:pPr>
              <w:pStyle w:val="13"/>
            </w:pPr>
            <w:r>
              <w:t>完成植树面积</w:t>
            </w:r>
          </w:p>
        </w:tc>
        <w:tc>
          <w:tcPr>
            <w:tcW w:w="2268" w:type="dxa"/>
            <w:vAlign w:val="center"/>
          </w:tcPr>
          <w:p>
            <w:pPr>
              <w:pStyle w:val="13"/>
            </w:pPr>
            <w:r>
              <w:t>≥1.4万亩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造林验收时间</w:t>
            </w:r>
          </w:p>
        </w:tc>
        <w:tc>
          <w:tcPr>
            <w:tcW w:w="5386" w:type="dxa"/>
            <w:vAlign w:val="center"/>
          </w:tcPr>
          <w:p>
            <w:pPr>
              <w:pStyle w:val="13"/>
            </w:pPr>
            <w:r>
              <w:t>第三验收完成时间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亩造林补助标准</w:t>
            </w:r>
          </w:p>
        </w:tc>
        <w:tc>
          <w:tcPr>
            <w:tcW w:w="5386" w:type="dxa"/>
            <w:vAlign w:val="center"/>
          </w:tcPr>
          <w:p>
            <w:pPr>
              <w:pStyle w:val="13"/>
            </w:pPr>
            <w:r>
              <w:t>人工造林每亩补助标准</w:t>
            </w:r>
          </w:p>
        </w:tc>
        <w:tc>
          <w:tcPr>
            <w:tcW w:w="2268" w:type="dxa"/>
            <w:vAlign w:val="center"/>
          </w:tcPr>
          <w:p>
            <w:pPr>
              <w:pStyle w:val="13"/>
            </w:pPr>
            <w:r>
              <w:t>1500元/亩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通过开展植树造林工作，提高森林覆盖率</w:t>
            </w:r>
          </w:p>
        </w:tc>
        <w:tc>
          <w:tcPr>
            <w:tcW w:w="2268" w:type="dxa"/>
            <w:vAlign w:val="center"/>
          </w:tcPr>
          <w:p>
            <w:pPr>
              <w:pStyle w:val="13"/>
            </w:pPr>
            <w:r>
              <w:t>≥0.49%</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33、关于提前下达2025年中央财政林业草原改革发展资金预算的通知-林业有害生物防治-（冀财资环[2024]106号）绩效目标表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13032125P00329810019E</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关于提前下达2025年中央财政林业草原改革发展资金预算的通知-林业有害生物防治-（冀财资环[2024]106号）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项目金额35万元，其中财政拨款35万元，主要用于开展林业有害生物监测调查，为科学防治打下坚实基础，促进林业健康发展，保障林业生态安全。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1.通过开展林业有害生物监测调查，为科学防治打下坚实基础，促进林业健康发展，保障林业生态安全。</w:t>
            </w:r>
          </w:p>
          <w:p>
            <w:pPr>
              <w:pStyle w:val="13"/>
            </w:pPr>
            <w:r>
              <w:t>2.通过开展全县美国白蛾、松毛虫、松褐天牛等其它重大林业有害生物监测调查。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美国白蛾监测点6个</w:t>
            </w:r>
          </w:p>
        </w:tc>
        <w:tc>
          <w:tcPr>
            <w:tcW w:w="5386" w:type="dxa"/>
            <w:vAlign w:val="center"/>
          </w:tcPr>
          <w:p>
            <w:pPr>
              <w:pStyle w:val="13"/>
            </w:pPr>
            <w:r>
              <w:t>完成6个监测点监测调查</w:t>
            </w:r>
          </w:p>
        </w:tc>
        <w:tc>
          <w:tcPr>
            <w:tcW w:w="2268" w:type="dxa"/>
            <w:vAlign w:val="center"/>
          </w:tcPr>
          <w:p>
            <w:pPr>
              <w:pStyle w:val="13"/>
            </w:pPr>
            <w:r>
              <w:t>≥6个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松褐天牛监测点5个</w:t>
            </w:r>
          </w:p>
        </w:tc>
        <w:tc>
          <w:tcPr>
            <w:tcW w:w="5386" w:type="dxa"/>
            <w:vAlign w:val="center"/>
          </w:tcPr>
          <w:p>
            <w:pPr>
              <w:pStyle w:val="13"/>
            </w:pPr>
            <w:r>
              <w:t>完成5个监测点监测调查</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松毛虫监测点3个</w:t>
            </w:r>
          </w:p>
        </w:tc>
        <w:tc>
          <w:tcPr>
            <w:tcW w:w="5386" w:type="dxa"/>
            <w:vAlign w:val="center"/>
          </w:tcPr>
          <w:p>
            <w:pPr>
              <w:pStyle w:val="13"/>
            </w:pPr>
            <w:r>
              <w:t>完成3个监测点监测调查</w:t>
            </w:r>
          </w:p>
        </w:tc>
        <w:tc>
          <w:tcPr>
            <w:tcW w:w="2268" w:type="dxa"/>
            <w:vAlign w:val="center"/>
          </w:tcPr>
          <w:p>
            <w:pPr>
              <w:pStyle w:val="13"/>
            </w:pPr>
            <w:r>
              <w:t>≥3个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监测率</w:t>
            </w:r>
          </w:p>
        </w:tc>
        <w:tc>
          <w:tcPr>
            <w:tcW w:w="5386" w:type="dxa"/>
            <w:vAlign w:val="center"/>
          </w:tcPr>
          <w:p>
            <w:pPr>
              <w:pStyle w:val="13"/>
            </w:pPr>
            <w:r>
              <w:t>监测百分比</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松褐天牛监测率</w:t>
            </w:r>
          </w:p>
        </w:tc>
        <w:tc>
          <w:tcPr>
            <w:tcW w:w="5386" w:type="dxa"/>
            <w:vAlign w:val="center"/>
          </w:tcPr>
          <w:p>
            <w:pPr>
              <w:pStyle w:val="13"/>
            </w:pPr>
            <w:r>
              <w:t>监测百分比</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美国白蛾监测完成时间</w:t>
            </w:r>
          </w:p>
        </w:tc>
        <w:tc>
          <w:tcPr>
            <w:tcW w:w="5386" w:type="dxa"/>
            <w:vAlign w:val="center"/>
          </w:tcPr>
          <w:p>
            <w:pPr>
              <w:pStyle w:val="13"/>
            </w:pPr>
            <w:r>
              <w:t>监测完成时间</w:t>
            </w:r>
          </w:p>
        </w:tc>
        <w:tc>
          <w:tcPr>
            <w:tcW w:w="2268" w:type="dxa"/>
            <w:vAlign w:val="center"/>
          </w:tcPr>
          <w:p>
            <w:pPr>
              <w:pStyle w:val="13"/>
            </w:pPr>
            <w:r>
              <w:t>2025年9月底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松褐天牛监测完成时间</w:t>
            </w:r>
          </w:p>
        </w:tc>
        <w:tc>
          <w:tcPr>
            <w:tcW w:w="5386" w:type="dxa"/>
            <w:vAlign w:val="center"/>
          </w:tcPr>
          <w:p>
            <w:pPr>
              <w:pStyle w:val="13"/>
            </w:pPr>
            <w:r>
              <w:t>监测完成时间</w:t>
            </w:r>
          </w:p>
        </w:tc>
        <w:tc>
          <w:tcPr>
            <w:tcW w:w="2268" w:type="dxa"/>
            <w:vAlign w:val="center"/>
          </w:tcPr>
          <w:p>
            <w:pPr>
              <w:pStyle w:val="13"/>
            </w:pPr>
            <w:r>
              <w:t>2025年9月底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监测调查费</w:t>
            </w:r>
          </w:p>
        </w:tc>
        <w:tc>
          <w:tcPr>
            <w:tcW w:w="5386" w:type="dxa"/>
            <w:vAlign w:val="center"/>
          </w:tcPr>
          <w:p>
            <w:pPr>
              <w:pStyle w:val="13"/>
            </w:pPr>
            <w:r>
              <w:t>100.00元天/人</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购置诱捕器</w:t>
            </w:r>
          </w:p>
        </w:tc>
        <w:tc>
          <w:tcPr>
            <w:tcW w:w="5386" w:type="dxa"/>
            <w:vAlign w:val="center"/>
          </w:tcPr>
          <w:p>
            <w:pPr>
              <w:pStyle w:val="13"/>
            </w:pPr>
            <w:r>
              <w:t>100元/套</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监测成效</w:t>
            </w:r>
          </w:p>
        </w:tc>
        <w:tc>
          <w:tcPr>
            <w:tcW w:w="5386" w:type="dxa"/>
            <w:vAlign w:val="center"/>
          </w:tcPr>
          <w:p>
            <w:pPr>
              <w:pStyle w:val="13"/>
            </w:pPr>
            <w:r>
              <w:t>通过开展林业有害生物监测，为防治提供依据。</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促进林业健康发展</w:t>
            </w:r>
          </w:p>
        </w:tc>
        <w:tc>
          <w:tcPr>
            <w:tcW w:w="5386" w:type="dxa"/>
            <w:vAlign w:val="center"/>
          </w:tcPr>
          <w:p>
            <w:pPr>
              <w:pStyle w:val="13"/>
            </w:pPr>
            <w:r>
              <w:t>促进林业健康发展</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≥90群众满意度调查</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34、关于提前下达2025年中央财政林业草原改革发展资金预算的通知-全国性林草湿荒监测（普查）（冀财资环[2024]106号）绩效目标表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13032124P003298100190</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关于提前下达2025年中央财政林业草原改革发展资金预算的通知-全国性林草湿荒监测（普查）（冀财资环[2024]106号）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22.25</w:t>
            </w:r>
          </w:p>
        </w:tc>
        <w:tc>
          <w:tcPr>
            <w:tcW w:w="2835" w:type="dxa"/>
            <w:vAlign w:val="center"/>
          </w:tcPr>
          <w:p>
            <w:pPr>
              <w:pStyle w:val="11"/>
            </w:pPr>
            <w:r>
              <w:t>其中：财政    资金</w:t>
            </w:r>
          </w:p>
        </w:tc>
        <w:tc>
          <w:tcPr>
            <w:tcW w:w="2551" w:type="dxa"/>
            <w:vAlign w:val="center"/>
          </w:tcPr>
          <w:p>
            <w:pPr>
              <w:pStyle w:val="13"/>
            </w:pPr>
            <w:r>
              <w:t>22.25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项目金额22.25万元，其中财政拨款22.25万元，主要用于通过项目实施，对碳达峰碳中和提供有力支撑。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1.通过项目实施，对碳达峰碳中和提供有力支撑。</w:t>
            </w:r>
          </w:p>
          <w:p>
            <w:pPr>
              <w:pStyle w:val="13"/>
            </w:pPr>
            <w:r>
              <w:t>2.通过项目实施，对碳达峰碳中和提供有力支撑。</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地类对接</w:t>
            </w:r>
          </w:p>
        </w:tc>
        <w:tc>
          <w:tcPr>
            <w:tcW w:w="5386" w:type="dxa"/>
            <w:vAlign w:val="center"/>
          </w:tcPr>
          <w:p>
            <w:pPr>
              <w:pStyle w:val="13"/>
            </w:pPr>
            <w:r>
              <w:t>根据下发任务获得</w:t>
            </w:r>
          </w:p>
        </w:tc>
        <w:tc>
          <w:tcPr>
            <w:tcW w:w="2268" w:type="dxa"/>
            <w:vAlign w:val="center"/>
          </w:tcPr>
          <w:p>
            <w:pPr>
              <w:pStyle w:val="13"/>
            </w:pPr>
            <w:r>
              <w:t>102149个</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外业举证</w:t>
            </w:r>
          </w:p>
        </w:tc>
        <w:tc>
          <w:tcPr>
            <w:tcW w:w="5386" w:type="dxa"/>
            <w:vAlign w:val="center"/>
          </w:tcPr>
          <w:p>
            <w:pPr>
              <w:pStyle w:val="13"/>
            </w:pPr>
            <w:r>
              <w:t>根据下发任务获得</w:t>
            </w:r>
          </w:p>
        </w:tc>
        <w:tc>
          <w:tcPr>
            <w:tcW w:w="2268" w:type="dxa"/>
            <w:vAlign w:val="center"/>
          </w:tcPr>
          <w:p>
            <w:pPr>
              <w:pStyle w:val="13"/>
            </w:pPr>
            <w:r>
              <w:t>≥376个</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数据库建设</w:t>
            </w:r>
          </w:p>
        </w:tc>
        <w:tc>
          <w:tcPr>
            <w:tcW w:w="5386" w:type="dxa"/>
            <w:vAlign w:val="center"/>
          </w:tcPr>
          <w:p>
            <w:pPr>
              <w:pStyle w:val="13"/>
            </w:pPr>
            <w:r>
              <w:t>根据下发任务获得</w:t>
            </w:r>
          </w:p>
        </w:tc>
        <w:tc>
          <w:tcPr>
            <w:tcW w:w="2268" w:type="dxa"/>
            <w:vAlign w:val="center"/>
          </w:tcPr>
          <w:p>
            <w:pPr>
              <w:pStyle w:val="13"/>
            </w:pPr>
            <w:r>
              <w:t>≥1项</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通过省市级审核通过率</w:t>
            </w:r>
          </w:p>
        </w:tc>
        <w:tc>
          <w:tcPr>
            <w:tcW w:w="5386" w:type="dxa"/>
            <w:vAlign w:val="center"/>
          </w:tcPr>
          <w:p>
            <w:pPr>
              <w:pStyle w:val="13"/>
            </w:pPr>
            <w:r>
              <w:t>通过省市级审核</w:t>
            </w:r>
          </w:p>
        </w:tc>
        <w:tc>
          <w:tcPr>
            <w:tcW w:w="2268" w:type="dxa"/>
            <w:vAlign w:val="center"/>
          </w:tcPr>
          <w:p>
            <w:pPr>
              <w:pStyle w:val="13"/>
            </w:pPr>
            <w:r>
              <w:t>≥100百分比</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现势性、真实性、准确性</w:t>
            </w:r>
          </w:p>
        </w:tc>
        <w:tc>
          <w:tcPr>
            <w:tcW w:w="5386" w:type="dxa"/>
            <w:vAlign w:val="center"/>
          </w:tcPr>
          <w:p>
            <w:pPr>
              <w:pStyle w:val="13"/>
            </w:pPr>
            <w:r>
              <w:t>按时完成任务</w:t>
            </w:r>
          </w:p>
        </w:tc>
        <w:tc>
          <w:tcPr>
            <w:tcW w:w="2268" w:type="dxa"/>
            <w:vAlign w:val="center"/>
          </w:tcPr>
          <w:p>
            <w:pPr>
              <w:pStyle w:val="13"/>
            </w:pPr>
            <w:r>
              <w:t>及时完成</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项目预算费用</w:t>
            </w:r>
          </w:p>
        </w:tc>
        <w:tc>
          <w:tcPr>
            <w:tcW w:w="5386" w:type="dxa"/>
            <w:vAlign w:val="center"/>
          </w:tcPr>
          <w:p>
            <w:pPr>
              <w:pStyle w:val="13"/>
            </w:pPr>
            <w:r>
              <w:t>满足项目所需费用</w:t>
            </w:r>
          </w:p>
        </w:tc>
        <w:tc>
          <w:tcPr>
            <w:tcW w:w="2268" w:type="dxa"/>
            <w:vAlign w:val="center"/>
          </w:tcPr>
          <w:p>
            <w:pPr>
              <w:pStyle w:val="13"/>
            </w:pPr>
            <w:r>
              <w:t>≤150万元</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科学保护、数据共享</w:t>
            </w:r>
          </w:p>
        </w:tc>
        <w:tc>
          <w:tcPr>
            <w:tcW w:w="5386" w:type="dxa"/>
            <w:vAlign w:val="center"/>
          </w:tcPr>
          <w:p>
            <w:pPr>
              <w:pStyle w:val="13"/>
            </w:pPr>
            <w:r>
              <w:t>实现碳达峰碳中和</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保护林草湿资源</w:t>
            </w:r>
          </w:p>
        </w:tc>
        <w:tc>
          <w:tcPr>
            <w:tcW w:w="5386" w:type="dxa"/>
            <w:vAlign w:val="center"/>
          </w:tcPr>
          <w:p>
            <w:pPr>
              <w:pStyle w:val="13"/>
            </w:pPr>
            <w:r>
              <w:t>实现动态监测掌握变化情况</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35、关于提前下达2025年中央财政林业草原生态保护恢复资金预算的通知-非国有林管护补助-国家级公益林-（冀财资环[2024]84号）绩效目标表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13032124P00329810014X</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关于提前下达2025年中央财政林业草原生态保护恢复资金预算的通知-非国有林管护补助-国家级公益林-（冀财资环[2024]84号）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764.19</w:t>
            </w:r>
          </w:p>
        </w:tc>
        <w:tc>
          <w:tcPr>
            <w:tcW w:w="2835" w:type="dxa"/>
            <w:vAlign w:val="center"/>
          </w:tcPr>
          <w:p>
            <w:pPr>
              <w:pStyle w:val="11"/>
            </w:pPr>
            <w:r>
              <w:t>其中：财政    资金</w:t>
            </w:r>
          </w:p>
        </w:tc>
        <w:tc>
          <w:tcPr>
            <w:tcW w:w="2551" w:type="dxa"/>
            <w:vAlign w:val="center"/>
          </w:tcPr>
          <w:p>
            <w:pPr>
              <w:pStyle w:val="13"/>
            </w:pPr>
            <w:r>
              <w:t>764.19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项目金额764.19万元，其中财政拨款764.19万元，主要用于通过项目实施，开展公益林管护，促进全县林业经济健康发展。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1.通过项目实施，开展公益林管护，促进全县林业经济健康发展。</w:t>
            </w:r>
          </w:p>
          <w:p>
            <w:pPr>
              <w:pStyle w:val="13"/>
            </w:pPr>
            <w:r>
              <w:t>2.通过项目实施，开展公益林管护,确保森林资源系统生态安全和物种多样性。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国家公益林专职管护人员管护费</w:t>
            </w:r>
          </w:p>
        </w:tc>
        <w:tc>
          <w:tcPr>
            <w:tcW w:w="2268" w:type="dxa"/>
            <w:vAlign w:val="center"/>
          </w:tcPr>
          <w:p>
            <w:pPr>
              <w:pStyle w:val="13"/>
            </w:pPr>
            <w:r>
              <w:t>≥295人</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≥47.76万亩</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护林员工资达标率</w:t>
            </w:r>
          </w:p>
        </w:tc>
        <w:tc>
          <w:tcPr>
            <w:tcW w:w="5386" w:type="dxa"/>
            <w:vAlign w:val="center"/>
          </w:tcPr>
          <w:p>
            <w:pPr>
              <w:pStyle w:val="13"/>
            </w:pPr>
            <w:r>
              <w:t>实际支付国家公益林专职管护人员管护费与应支付国家公益林专职管护人员管护费的比率</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集体及个人补助标准达标率</w:t>
            </w:r>
          </w:p>
        </w:tc>
        <w:tc>
          <w:tcPr>
            <w:tcW w:w="5386" w:type="dxa"/>
            <w:vAlign w:val="center"/>
          </w:tcPr>
          <w:p>
            <w:pPr>
              <w:pStyle w:val="13"/>
            </w:pPr>
            <w:r>
              <w:t>集体及个人补助标准达标率</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护林员工资发放时间</w:t>
            </w:r>
          </w:p>
        </w:tc>
        <w:tc>
          <w:tcPr>
            <w:tcW w:w="5386" w:type="dxa"/>
            <w:vAlign w:val="center"/>
          </w:tcPr>
          <w:p>
            <w:pPr>
              <w:pStyle w:val="13"/>
            </w:pPr>
            <w:r>
              <w:t>护林员工资发放时间</w:t>
            </w:r>
          </w:p>
        </w:tc>
        <w:tc>
          <w:tcPr>
            <w:tcW w:w="2268" w:type="dxa"/>
            <w:vAlign w:val="center"/>
          </w:tcPr>
          <w:p>
            <w:pPr>
              <w:pStyle w:val="13"/>
            </w:pPr>
            <w:r>
              <w:t>每月一次</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集体及个人补助拨付时间</w:t>
            </w:r>
          </w:p>
        </w:tc>
        <w:tc>
          <w:tcPr>
            <w:tcW w:w="5386" w:type="dxa"/>
            <w:vAlign w:val="center"/>
          </w:tcPr>
          <w:p>
            <w:pPr>
              <w:pStyle w:val="13"/>
            </w:pPr>
            <w:r>
              <w:t>集体及个人补助拨付时间</w:t>
            </w:r>
          </w:p>
        </w:tc>
        <w:tc>
          <w:tcPr>
            <w:tcW w:w="2268" w:type="dxa"/>
            <w:vAlign w:val="center"/>
          </w:tcPr>
          <w:p>
            <w:pPr>
              <w:pStyle w:val="13"/>
            </w:pPr>
            <w:r>
              <w:t>2025年每半年一次</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集体及个人补助标准</w:t>
            </w:r>
          </w:p>
        </w:tc>
        <w:tc>
          <w:tcPr>
            <w:tcW w:w="5386" w:type="dxa"/>
            <w:vAlign w:val="center"/>
          </w:tcPr>
          <w:p>
            <w:pPr>
              <w:pStyle w:val="13"/>
            </w:pPr>
            <w:r>
              <w:t>支付林权权利人每亩生态补偿补助费用</w:t>
            </w:r>
          </w:p>
        </w:tc>
        <w:tc>
          <w:tcPr>
            <w:tcW w:w="2268" w:type="dxa"/>
            <w:vAlign w:val="center"/>
          </w:tcPr>
          <w:p>
            <w:pPr>
              <w:pStyle w:val="13"/>
            </w:pPr>
            <w:r>
              <w:t>≤9.6元/亩（集体和个人）</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36、关于提前下达2025年中央财政林业草原生态保护恢复资金预算的通知-非国有林管护补助-天然商品林-（冀财资环[2024]84号）绩效目标表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13032124P00329810015H</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关于提前下达2025年中央财政林业草原生态保护恢复资金预算的通知-非国有林管护补助-天然商品林-（冀财资环[2024]84号）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315.14</w:t>
            </w:r>
          </w:p>
        </w:tc>
        <w:tc>
          <w:tcPr>
            <w:tcW w:w="2835" w:type="dxa"/>
            <w:vAlign w:val="center"/>
          </w:tcPr>
          <w:p>
            <w:pPr>
              <w:pStyle w:val="11"/>
            </w:pPr>
            <w:r>
              <w:t>其中：财政    资金</w:t>
            </w:r>
          </w:p>
        </w:tc>
        <w:tc>
          <w:tcPr>
            <w:tcW w:w="2551" w:type="dxa"/>
            <w:vAlign w:val="center"/>
          </w:tcPr>
          <w:p>
            <w:pPr>
              <w:pStyle w:val="13"/>
            </w:pPr>
            <w:r>
              <w:t>315.14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项目金额315.14万元，其中财政拨款315.14万元，主要用于通过项目实施，实施天然林保护工程，提高全县森林覆盖率。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1.通过项目实施，实施天然林保护工程，提高全县森林覆盖率。</w:t>
            </w:r>
          </w:p>
          <w:p>
            <w:pPr>
              <w:pStyle w:val="13"/>
            </w:pPr>
            <w:r>
              <w:t>2.通过项目实施，实施天然林保护工程，有效促进林业产业结构优化，维持生态平衡。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管护天然林面积</w:t>
            </w:r>
          </w:p>
        </w:tc>
        <w:tc>
          <w:tcPr>
            <w:tcW w:w="5386" w:type="dxa"/>
            <w:vAlign w:val="center"/>
          </w:tcPr>
          <w:p>
            <w:pPr>
              <w:pStyle w:val="13"/>
            </w:pPr>
            <w:r>
              <w:t>需要购买管护服务及建设的亩数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经济补偿亩数</w:t>
            </w:r>
          </w:p>
        </w:tc>
        <w:tc>
          <w:tcPr>
            <w:tcW w:w="5386" w:type="dxa"/>
            <w:vAlign w:val="center"/>
          </w:tcPr>
          <w:p>
            <w:pPr>
              <w:pStyle w:val="13"/>
            </w:pPr>
            <w:r>
              <w:t>需要经济补偿亩数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护林员人数</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天然林管护达标率</w:t>
            </w:r>
          </w:p>
        </w:tc>
        <w:tc>
          <w:tcPr>
            <w:tcW w:w="5386" w:type="dxa"/>
            <w:vAlign w:val="center"/>
          </w:tcPr>
          <w:p>
            <w:pPr>
              <w:pStyle w:val="13"/>
            </w:pPr>
            <w:r>
              <w:t>天然林管护达标率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护林员工作考核达标率</w:t>
            </w:r>
          </w:p>
        </w:tc>
        <w:tc>
          <w:tcPr>
            <w:tcW w:w="5386" w:type="dxa"/>
            <w:vAlign w:val="center"/>
          </w:tcPr>
          <w:p>
            <w:pPr>
              <w:pStyle w:val="13"/>
            </w:pPr>
            <w:r>
              <w:t>护林员工作考核达标率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补助发放合规达标率</w:t>
            </w:r>
          </w:p>
        </w:tc>
        <w:tc>
          <w:tcPr>
            <w:tcW w:w="5386" w:type="dxa"/>
            <w:vAlign w:val="center"/>
          </w:tcPr>
          <w:p>
            <w:pPr>
              <w:pStyle w:val="13"/>
            </w:pPr>
            <w:r>
              <w:t>合法合规准确进行补助资金的发放</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管护工作完成及时性</w:t>
            </w:r>
          </w:p>
        </w:tc>
        <w:tc>
          <w:tcPr>
            <w:tcW w:w="5386" w:type="dxa"/>
            <w:vAlign w:val="center"/>
          </w:tcPr>
          <w:p>
            <w:pPr>
              <w:pStyle w:val="13"/>
            </w:pPr>
            <w:r>
              <w:t>按计划及时完成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补偿的单位成本</w:t>
            </w:r>
          </w:p>
        </w:tc>
        <w:tc>
          <w:tcPr>
            <w:tcW w:w="5386" w:type="dxa"/>
            <w:vAlign w:val="center"/>
          </w:tcPr>
          <w:p>
            <w:pPr>
              <w:pStyle w:val="13"/>
            </w:pPr>
            <w:r>
              <w:t>补偿的单位成本，其中桃林口库区的补助资金为15.75元/亩，其他为9.6元/亩</w:t>
            </w:r>
          </w:p>
        </w:tc>
        <w:tc>
          <w:tcPr>
            <w:tcW w:w="2268" w:type="dxa"/>
            <w:vAlign w:val="center"/>
          </w:tcPr>
          <w:p>
            <w:pPr>
              <w:pStyle w:val="13"/>
            </w:pPr>
            <w:r>
              <w:t>≤16元/亩（集体和个人）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全县森林覆盖率</w:t>
            </w:r>
          </w:p>
        </w:tc>
        <w:tc>
          <w:tcPr>
            <w:tcW w:w="5386" w:type="dxa"/>
            <w:vAlign w:val="center"/>
          </w:tcPr>
          <w:p>
            <w:pPr>
              <w:pStyle w:val="13"/>
            </w:pPr>
            <w:r>
              <w:t>全县森林覆盖率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37、关于提前下达2025年中央财政林业草原生态保护恢复资金预算的通知-古树名木抢救复壮补助-（冀财资环[2024]84号）绩效目标表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13032124P00329810017Q</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关于提前下达2025年中央财政林业草原生态保护恢复资金预算的通知-古树名木抢救复壮补助-（冀财资环[2024]84号）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项目金额12万元，其中财政拨款12万元，主要用于开展古树名木复壮抢救工作，提升人民幸福感。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1.通过开展古树名木复壮抢救工作，提升人民幸福感。</w:t>
            </w:r>
          </w:p>
          <w:p>
            <w:pPr>
              <w:pStyle w:val="13"/>
            </w:pPr>
            <w:r>
              <w:t>2.通过开展古树名木复壮抢救工作，促进古树正常生长。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≥2株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6万/株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38、关于提前下达2025年中央财政林业草原生态保护恢复资金预算的通知-国有林管护补助-国家级公益林-（冀财资环[2024]84号）绩效目标表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13032124P003298100017</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关于提前下达2025年中央财政林业草原生态保护恢复资金预算的通知-国有林管护补助-国家级公益林-（冀财资环[2024]84号）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106.22</w:t>
            </w:r>
          </w:p>
        </w:tc>
        <w:tc>
          <w:tcPr>
            <w:tcW w:w="2835" w:type="dxa"/>
            <w:vAlign w:val="center"/>
          </w:tcPr>
          <w:p>
            <w:pPr>
              <w:pStyle w:val="11"/>
            </w:pPr>
            <w:r>
              <w:t>其中：财政    资金</w:t>
            </w:r>
          </w:p>
        </w:tc>
        <w:tc>
          <w:tcPr>
            <w:tcW w:w="2551" w:type="dxa"/>
            <w:vAlign w:val="center"/>
          </w:tcPr>
          <w:p>
            <w:pPr>
              <w:pStyle w:val="13"/>
            </w:pPr>
            <w:r>
              <w:t>106.22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项目金额106.22万元，其中财政拨款106.22万元，主要用于通过项目实施，开展公益林管护，促进国有林场持续健康发展。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1.通过项目实施，开展公益林管护，促进国有林场持续健康发展。</w:t>
            </w:r>
          </w:p>
          <w:p>
            <w:pPr>
              <w:pStyle w:val="13"/>
            </w:pPr>
            <w:r>
              <w:t>2.通过项目实施，开展公益林管护,确保森林资源系统生态安全和物种多样性得到保护。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≥10.62万亩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巡查管护及时性</w:t>
            </w:r>
          </w:p>
        </w:tc>
        <w:tc>
          <w:tcPr>
            <w:tcW w:w="5386" w:type="dxa"/>
            <w:vAlign w:val="center"/>
          </w:tcPr>
          <w:p>
            <w:pPr>
              <w:pStyle w:val="13"/>
            </w:pPr>
            <w:r>
              <w:t>按照文件要求及工作计划开展巡查管护工作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保障林区巡查、巡护能力和减少火灾隐患</w:t>
            </w:r>
          </w:p>
        </w:tc>
        <w:tc>
          <w:tcPr>
            <w:tcW w:w="5386" w:type="dxa"/>
            <w:vAlign w:val="center"/>
          </w:tcPr>
          <w:p>
            <w:pPr>
              <w:pStyle w:val="13"/>
            </w:pPr>
            <w:r>
              <w:t>维修防火通道、塌方治理、六清营林房改造及营林区用品</w:t>
            </w:r>
          </w:p>
        </w:tc>
        <w:tc>
          <w:tcPr>
            <w:tcW w:w="2268" w:type="dxa"/>
            <w:vAlign w:val="center"/>
          </w:tcPr>
          <w:p>
            <w:pPr>
              <w:pStyle w:val="13"/>
            </w:pPr>
            <w:r>
              <w:t>≥106.22万元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保障森林防火安全</w:t>
            </w:r>
          </w:p>
        </w:tc>
        <w:tc>
          <w:tcPr>
            <w:tcW w:w="5386" w:type="dxa"/>
            <w:vAlign w:val="center"/>
          </w:tcPr>
          <w:p>
            <w:pPr>
              <w:pStyle w:val="13"/>
            </w:pPr>
            <w:r>
              <w:t>保障森林防火安全，保障森林绿化成果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保障国有林绿化成果</w:t>
            </w:r>
          </w:p>
        </w:tc>
        <w:tc>
          <w:tcPr>
            <w:tcW w:w="5386" w:type="dxa"/>
            <w:vAlign w:val="center"/>
          </w:tcPr>
          <w:p>
            <w:pPr>
              <w:pStyle w:val="13"/>
            </w:pPr>
            <w:r>
              <w:t>保障营林区森林绿化成果和林业生态安全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w:t>
            </w:r>
          </w:p>
        </w:tc>
        <w:tc>
          <w:tcPr>
            <w:tcW w:w="5386" w:type="dxa"/>
            <w:vAlign w:val="center"/>
          </w:tcPr>
          <w:p>
            <w:pPr>
              <w:pStyle w:val="13"/>
            </w:pPr>
            <w:r>
              <w:t>有效遏制重大森林火灾的发生和蔓延</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39、关于提前下达2025年中央财政林业草原生态保护恢复资金预算的通知-全面停止天然林商业性采伐补助-（冀财资环[2024]84号）绩效目标表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13032124P003298100165</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关于提前下达2025年中央财政林业草原生态保护恢复资金预算的通知-全面停止天然林商业性采伐补助-（冀财资环[2024]84号）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251.58</w:t>
            </w:r>
          </w:p>
        </w:tc>
        <w:tc>
          <w:tcPr>
            <w:tcW w:w="2835" w:type="dxa"/>
            <w:vAlign w:val="center"/>
          </w:tcPr>
          <w:p>
            <w:pPr>
              <w:pStyle w:val="11"/>
            </w:pPr>
            <w:r>
              <w:t>其中：财政    资金</w:t>
            </w:r>
          </w:p>
        </w:tc>
        <w:tc>
          <w:tcPr>
            <w:tcW w:w="2551" w:type="dxa"/>
            <w:vAlign w:val="center"/>
          </w:tcPr>
          <w:p>
            <w:pPr>
              <w:pStyle w:val="13"/>
            </w:pPr>
            <w:r>
              <w:t>251.58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项目金额251.58万元，其中财政拨款251.58万元，主要用于通过项目实施，加强天然林系统修复，解决项目人工、机械和材料等费用支出。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1.通过项目实施，加强天然林系统修复，解决项目人工、机械和材料等费用支出。</w:t>
            </w:r>
          </w:p>
          <w:p>
            <w:pPr>
              <w:pStyle w:val="13"/>
            </w:pPr>
            <w:r>
              <w:t>2.通过项目实施，加强天然林保护管理，提高森林覆盖率，改善生态环境。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天然林保护管理和天然林系统修复费用支出占比</w:t>
            </w:r>
          </w:p>
        </w:tc>
        <w:tc>
          <w:tcPr>
            <w:tcW w:w="5386" w:type="dxa"/>
            <w:vAlign w:val="center"/>
          </w:tcPr>
          <w:p>
            <w:pPr>
              <w:pStyle w:val="13"/>
            </w:pPr>
            <w:r>
              <w:t>用于天然林保护管理和天然林林系统修复费用支出占总资金的比例</w:t>
            </w:r>
          </w:p>
        </w:tc>
        <w:tc>
          <w:tcPr>
            <w:tcW w:w="2268" w:type="dxa"/>
            <w:vAlign w:val="center"/>
          </w:tcPr>
          <w:p>
            <w:pPr>
              <w:pStyle w:val="13"/>
            </w:pPr>
            <w:r>
              <w:t>≥100百分比</w:t>
            </w:r>
          </w:p>
        </w:tc>
        <w:tc>
          <w:tcPr>
            <w:tcW w:w="1276" w:type="dxa"/>
            <w:vAlign w:val="center"/>
          </w:tcPr>
          <w:p>
            <w:pPr>
              <w:pStyle w:val="13"/>
            </w:pPr>
            <w:r>
              <w:t>管护方案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实际完成工程量占计划完成工程量的比率</w:t>
            </w:r>
          </w:p>
        </w:tc>
        <w:tc>
          <w:tcPr>
            <w:tcW w:w="2268" w:type="dxa"/>
            <w:vAlign w:val="center"/>
          </w:tcPr>
          <w:p>
            <w:pPr>
              <w:pStyle w:val="13"/>
            </w:pPr>
            <w:r>
              <w:t>≥98百分比</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国有天然林停伐蓄积</w:t>
            </w:r>
          </w:p>
        </w:tc>
        <w:tc>
          <w:tcPr>
            <w:tcW w:w="5386" w:type="dxa"/>
            <w:vAlign w:val="center"/>
          </w:tcPr>
          <w:p>
            <w:pPr>
              <w:pStyle w:val="13"/>
            </w:pPr>
            <w:r>
              <w:t>两个国有林场停伐蓄积</w:t>
            </w:r>
          </w:p>
        </w:tc>
        <w:tc>
          <w:tcPr>
            <w:tcW w:w="2268" w:type="dxa"/>
            <w:vAlign w:val="center"/>
          </w:tcPr>
          <w:p>
            <w:pPr>
              <w:pStyle w:val="13"/>
            </w:pPr>
            <w:r>
              <w:t>3372立方米</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停伐补贴达标率</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及时发放天然林停伐管护补助给两个林场</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反映按招标文件及招标合同金额控制在预算范围内</w:t>
            </w:r>
          </w:p>
        </w:tc>
        <w:tc>
          <w:tcPr>
            <w:tcW w:w="2268" w:type="dxa"/>
            <w:vAlign w:val="center"/>
          </w:tcPr>
          <w:p>
            <w:pPr>
              <w:pStyle w:val="13"/>
            </w:pPr>
            <w:r>
              <w:t>≤251.58万元</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提高就业</w:t>
            </w:r>
          </w:p>
        </w:tc>
        <w:tc>
          <w:tcPr>
            <w:tcW w:w="5386" w:type="dxa"/>
            <w:vAlign w:val="center"/>
          </w:tcPr>
          <w:p>
            <w:pPr>
              <w:pStyle w:val="13"/>
            </w:pPr>
            <w:r>
              <w:t>提高就业率，解决群众就业问题</w:t>
            </w:r>
          </w:p>
        </w:tc>
        <w:tc>
          <w:tcPr>
            <w:tcW w:w="2268" w:type="dxa"/>
            <w:vAlign w:val="center"/>
          </w:tcPr>
          <w:p>
            <w:pPr>
              <w:pStyle w:val="13"/>
            </w:pPr>
            <w:r>
              <w:t>100百分比</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通过天然林停伐补助,确保森林资源系统生态安全和物种多样性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≥95百分比</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40、关于提前下达2025年中央财政林业草原生态保护恢复资金预算的通知-生态护林员补助-（冀财资环[2024]84号）绩效目标表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13032125P00329910017W</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关于提前下达2025年中央财政林业草原生态保护恢复资金预算的通知-生态护林员补助-（冀财资环[2024]84号）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760.00</w:t>
            </w:r>
          </w:p>
        </w:tc>
        <w:tc>
          <w:tcPr>
            <w:tcW w:w="2835" w:type="dxa"/>
            <w:vAlign w:val="center"/>
          </w:tcPr>
          <w:p>
            <w:pPr>
              <w:pStyle w:val="11"/>
            </w:pPr>
            <w:r>
              <w:t>其中：财政    资金</w:t>
            </w:r>
          </w:p>
        </w:tc>
        <w:tc>
          <w:tcPr>
            <w:tcW w:w="2551" w:type="dxa"/>
            <w:vAlign w:val="center"/>
          </w:tcPr>
          <w:p>
            <w:pPr>
              <w:pStyle w:val="13"/>
            </w:pPr>
            <w:r>
              <w:t>760.00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项目金额760万元，其中财政拨款760万元，主要用于加强森林资源保护预期目标。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1.加强森林资源保护预期目标</w:t>
            </w:r>
          </w:p>
          <w:p>
            <w:pPr>
              <w:pStyle w:val="13"/>
            </w:pPr>
            <w:r>
              <w:t>2.项目助推脱贫攻坚,避免规模性返贫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聘用生态护林员</w:t>
            </w:r>
          </w:p>
        </w:tc>
        <w:tc>
          <w:tcPr>
            <w:tcW w:w="5386" w:type="dxa"/>
            <w:vAlign w:val="center"/>
          </w:tcPr>
          <w:p>
            <w:pPr>
              <w:pStyle w:val="13"/>
            </w:pPr>
            <w:r>
              <w:t>反映治理地质灾害隐患点数量</w:t>
            </w:r>
          </w:p>
        </w:tc>
        <w:tc>
          <w:tcPr>
            <w:tcW w:w="2268" w:type="dxa"/>
            <w:vAlign w:val="center"/>
          </w:tcPr>
          <w:p>
            <w:pPr>
              <w:pStyle w:val="13"/>
            </w:pPr>
            <w:r>
              <w:t>≥2303人</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生态护林员选聘合格率</w:t>
            </w:r>
          </w:p>
        </w:tc>
        <w:tc>
          <w:tcPr>
            <w:tcW w:w="2268" w:type="dxa"/>
            <w:vAlign w:val="center"/>
          </w:tcPr>
          <w:p>
            <w:pPr>
              <w:pStyle w:val="13"/>
            </w:pPr>
            <w:r>
              <w:t>≥100%</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生态护林员工资</w:t>
            </w:r>
          </w:p>
        </w:tc>
        <w:tc>
          <w:tcPr>
            <w:tcW w:w="5386" w:type="dxa"/>
            <w:vAlign w:val="center"/>
          </w:tcPr>
          <w:p>
            <w:pPr>
              <w:pStyle w:val="13"/>
            </w:pPr>
            <w:r>
              <w:t>全部用于生态护林员工资支出</w:t>
            </w:r>
          </w:p>
        </w:tc>
        <w:tc>
          <w:tcPr>
            <w:tcW w:w="2268" w:type="dxa"/>
            <w:vAlign w:val="center"/>
          </w:tcPr>
          <w:p>
            <w:pPr>
              <w:pStyle w:val="13"/>
            </w:pPr>
            <w:r>
              <w:t>≥760万元</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每季度发放一次，全部用于工资支出</w:t>
            </w:r>
          </w:p>
        </w:tc>
        <w:tc>
          <w:tcPr>
            <w:tcW w:w="2268" w:type="dxa"/>
            <w:vAlign w:val="center"/>
          </w:tcPr>
          <w:p>
            <w:pPr>
              <w:pStyle w:val="13"/>
            </w:pPr>
            <w:r>
              <w:t>≥100%</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帮助建档立卡脱贫家庭户稳定增收</w:t>
            </w:r>
          </w:p>
        </w:tc>
        <w:tc>
          <w:tcPr>
            <w:tcW w:w="5386" w:type="dxa"/>
            <w:vAlign w:val="center"/>
          </w:tcPr>
          <w:p>
            <w:pPr>
              <w:pStyle w:val="13"/>
            </w:pPr>
            <w:r>
              <w:t>生态护林员年人均增收 ≥3300元</w:t>
            </w:r>
          </w:p>
        </w:tc>
        <w:tc>
          <w:tcPr>
            <w:tcW w:w="2268" w:type="dxa"/>
            <w:vAlign w:val="center"/>
          </w:tcPr>
          <w:p>
            <w:pPr>
              <w:pStyle w:val="13"/>
            </w:pPr>
            <w:r>
              <w:t>≥3300元</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森林管护和护林防火工作起到了一定作用</w:t>
            </w:r>
          </w:p>
        </w:tc>
        <w:tc>
          <w:tcPr>
            <w:tcW w:w="5386" w:type="dxa"/>
            <w:vAlign w:val="center"/>
          </w:tcPr>
          <w:p>
            <w:pPr>
              <w:pStyle w:val="13"/>
            </w:pPr>
            <w:r>
              <w:t>覆盖森林管护和护林防火工作</w:t>
            </w:r>
          </w:p>
        </w:tc>
        <w:tc>
          <w:tcPr>
            <w:tcW w:w="2268" w:type="dxa"/>
            <w:vAlign w:val="center"/>
          </w:tcPr>
          <w:p>
            <w:pPr>
              <w:pStyle w:val="13"/>
            </w:pPr>
            <w:r>
              <w:t>≥90%</w:t>
            </w:r>
          </w:p>
        </w:tc>
        <w:tc>
          <w:tcPr>
            <w:tcW w:w="1276" w:type="dxa"/>
            <w:vAlign w:val="center"/>
          </w:tcPr>
          <w:p>
            <w:pPr>
              <w:pStyle w:val="13"/>
            </w:pPr>
            <w:r>
              <w:t>项目实施方案</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5386" w:type="dxa"/>
            <w:vAlign w:val="center"/>
          </w:tcPr>
          <w:p>
            <w:pPr>
              <w:pStyle w:val="13"/>
            </w:pPr>
            <w:r>
              <w:t>受益群众满意、基本满意数量占总数的比例</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41、关于下达2024年超长期特别国债支出[三北工程]预算[第二批]的通知-秦皇岛市燕山山地生态综合治理项目-（冀财资环【2024】65号）绩效目标表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13032124P00010410002K</w:t>
            </w:r>
          </w:p>
        </w:tc>
        <w:tc>
          <w:tcPr>
            <w:tcW w:w="2835" w:type="dxa"/>
            <w:vAlign w:val="center"/>
          </w:tcPr>
          <w:p>
            <w:pPr>
              <w:pStyle w:val="11"/>
            </w:pPr>
            <w:r>
              <w:t>项目名称</w:t>
            </w:r>
          </w:p>
        </w:tc>
        <w:tc>
          <w:tcPr>
            <w:tcW w:w="6095" w:type="dxa"/>
            <w:gridSpan w:val="3"/>
            <w:vAlign w:val="center"/>
          </w:tcPr>
          <w:p>
            <w:pPr>
              <w:pStyle w:val="13"/>
            </w:pPr>
            <w:r>
              <w:t>关于下达2024年超长期特别国债支出[三北工程]预算[第二批]的通知-秦皇岛市燕山山地生态综合治理项目-（冀财资环【2024】65号）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3720.00</w:t>
            </w:r>
          </w:p>
        </w:tc>
        <w:tc>
          <w:tcPr>
            <w:tcW w:w="2835" w:type="dxa"/>
            <w:vAlign w:val="center"/>
          </w:tcPr>
          <w:p>
            <w:pPr>
              <w:pStyle w:val="11"/>
            </w:pPr>
            <w:r>
              <w:t>其中：财政    资金</w:t>
            </w:r>
          </w:p>
        </w:tc>
        <w:tc>
          <w:tcPr>
            <w:tcW w:w="2551" w:type="dxa"/>
            <w:vAlign w:val="center"/>
          </w:tcPr>
          <w:p>
            <w:pPr>
              <w:pStyle w:val="13"/>
            </w:pPr>
            <w:r>
              <w:t>3720.00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1.涉密涉密涉密涉密涉密涉密</w:t>
            </w:r>
          </w:p>
          <w:p>
            <w:pPr>
              <w:pStyle w:val="13"/>
            </w:pPr>
            <w:r>
              <w:t>2.涉密涉密涉密涉密涉密涉密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涉密涉密涉密涉密涉密涉密</w:t>
            </w:r>
          </w:p>
        </w:tc>
        <w:tc>
          <w:tcPr>
            <w:tcW w:w="5386" w:type="dxa"/>
            <w:vAlign w:val="center"/>
          </w:tcPr>
          <w:p>
            <w:pPr>
              <w:pStyle w:val="13"/>
            </w:pPr>
            <w:r>
              <w:t>涉密涉密涉密涉密涉密涉密</w:t>
            </w:r>
          </w:p>
        </w:tc>
        <w:tc>
          <w:tcPr>
            <w:tcW w:w="2268" w:type="dxa"/>
            <w:vAlign w:val="center"/>
          </w:tcPr>
          <w:p>
            <w:pPr>
              <w:pStyle w:val="13"/>
            </w:pPr>
            <w:r>
              <w:t>≥1涉密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42、关于下达2024年第一批省预算内基建投资预算的通知（冀财建【2024】79号）绩效目标表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13032124P000024100178</w:t>
            </w:r>
          </w:p>
        </w:tc>
        <w:tc>
          <w:tcPr>
            <w:tcW w:w="2835" w:type="dxa"/>
            <w:vAlign w:val="center"/>
          </w:tcPr>
          <w:p>
            <w:pPr>
              <w:pStyle w:val="11"/>
            </w:pPr>
            <w:r>
              <w:t>项目名称</w:t>
            </w:r>
          </w:p>
        </w:tc>
        <w:tc>
          <w:tcPr>
            <w:tcW w:w="6095" w:type="dxa"/>
            <w:gridSpan w:val="3"/>
            <w:vAlign w:val="center"/>
          </w:tcPr>
          <w:p>
            <w:pPr>
              <w:pStyle w:val="13"/>
            </w:pPr>
            <w:r>
              <w:t>关于下达2024年第一批省预算内基建投资预算的通知（冀财建【2024】79号）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w:t>
            </w:r>
          </w:p>
        </w:tc>
        <w:tc>
          <w:tcPr>
            <w:tcW w:w="2835" w:type="dxa"/>
            <w:vAlign w:val="center"/>
          </w:tcPr>
          <w:p>
            <w:pPr>
              <w:pStyle w:val="11"/>
            </w:pPr>
            <w:r>
              <w:t>其中：财政    资金</w:t>
            </w:r>
          </w:p>
        </w:tc>
        <w:tc>
          <w:tcPr>
            <w:tcW w:w="2551" w:type="dxa"/>
            <w:vAlign w:val="center"/>
          </w:tcPr>
          <w:p>
            <w:pPr>
              <w:pStyle w:val="13"/>
            </w:pPr>
            <w:r>
              <w:t>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项目预算400万，其中财政拨款400万元，主要用于植树造林工作，造林绿化2万亩，达到水土保持，促进国土绿化进程。</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1.通过开展植树造林工作，造林绿化2万亩，达到水土保持，促进国土绿化进程。</w:t>
            </w:r>
            <w:r>
              <w:tab/>
            </w:r>
            <w:r>
              <w:tab/>
            </w:r>
            <w:r>
              <w:tab/>
            </w:r>
            <w:r>
              <w:tab/>
            </w:r>
            <w:r>
              <w:tab/>
            </w:r>
          </w:p>
          <w:p>
            <w:pPr>
              <w:pStyle w:val="13"/>
            </w:pPr>
            <w:r>
              <w:t>2.通过开展植树造林工作，提高森林覆盖率，改善生态环境。</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植树造林面积</w:t>
            </w:r>
          </w:p>
        </w:tc>
        <w:tc>
          <w:tcPr>
            <w:tcW w:w="5386" w:type="dxa"/>
            <w:vAlign w:val="center"/>
          </w:tcPr>
          <w:p>
            <w:pPr>
              <w:pStyle w:val="13"/>
            </w:pPr>
            <w:r>
              <w:t>完成植树面积</w:t>
            </w:r>
          </w:p>
        </w:tc>
        <w:tc>
          <w:tcPr>
            <w:tcW w:w="2268" w:type="dxa"/>
            <w:vAlign w:val="center"/>
          </w:tcPr>
          <w:p>
            <w:pPr>
              <w:pStyle w:val="13"/>
            </w:pPr>
            <w:r>
              <w:t>≥2万亩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≥85百分比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2024年10月底前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造林验收时间</w:t>
            </w:r>
          </w:p>
        </w:tc>
        <w:tc>
          <w:tcPr>
            <w:tcW w:w="5386" w:type="dxa"/>
            <w:vAlign w:val="center"/>
          </w:tcPr>
          <w:p>
            <w:pPr>
              <w:pStyle w:val="13"/>
            </w:pPr>
            <w:r>
              <w:t>第三验收完成时间</w:t>
            </w:r>
          </w:p>
        </w:tc>
        <w:tc>
          <w:tcPr>
            <w:tcW w:w="2268" w:type="dxa"/>
            <w:vAlign w:val="center"/>
          </w:tcPr>
          <w:p>
            <w:pPr>
              <w:pStyle w:val="13"/>
            </w:pPr>
            <w:r>
              <w:t>2024年12月底前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亩造林补助标准</w:t>
            </w:r>
          </w:p>
        </w:tc>
        <w:tc>
          <w:tcPr>
            <w:tcW w:w="5386" w:type="dxa"/>
            <w:vAlign w:val="center"/>
          </w:tcPr>
          <w:p>
            <w:pPr>
              <w:pStyle w:val="13"/>
            </w:pPr>
            <w:r>
              <w:t>人工造林每亩补助标准</w:t>
            </w:r>
          </w:p>
        </w:tc>
        <w:tc>
          <w:tcPr>
            <w:tcW w:w="2268" w:type="dxa"/>
            <w:vAlign w:val="center"/>
          </w:tcPr>
          <w:p>
            <w:pPr>
              <w:pStyle w:val="13"/>
            </w:pPr>
            <w:r>
              <w:t>200元/亩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通过开展植树造林工作，提高森林覆盖率</w:t>
            </w:r>
          </w:p>
        </w:tc>
        <w:tc>
          <w:tcPr>
            <w:tcW w:w="2268" w:type="dxa"/>
            <w:vAlign w:val="center"/>
          </w:tcPr>
          <w:p>
            <w:pPr>
              <w:pStyle w:val="13"/>
            </w:pPr>
            <w:r>
              <w:t>≥0.49百分比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森林火灾受害控制率（%）</w:t>
            </w:r>
          </w:p>
        </w:tc>
        <w:tc>
          <w:tcPr>
            <w:tcW w:w="5386" w:type="dxa"/>
            <w:vAlign w:val="center"/>
          </w:tcPr>
          <w:p>
            <w:pPr>
              <w:pStyle w:val="13"/>
            </w:pPr>
            <w:r>
              <w:t>森林火灾受害控制率（%）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43、关于下达2024年中央财政林业草原生态保护恢复资金预算的通知-非国有林生态保护补偿-国有国家级公益林-冀财资环【2024】117号绩效目标表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13032124P003298100236</w:t>
            </w:r>
          </w:p>
        </w:tc>
        <w:tc>
          <w:tcPr>
            <w:tcW w:w="2835" w:type="dxa"/>
            <w:vAlign w:val="center"/>
          </w:tcPr>
          <w:p>
            <w:pPr>
              <w:pStyle w:val="11"/>
            </w:pPr>
            <w:r>
              <w:t>项目名称</w:t>
            </w:r>
          </w:p>
        </w:tc>
        <w:tc>
          <w:tcPr>
            <w:tcW w:w="6095" w:type="dxa"/>
            <w:gridSpan w:val="3"/>
            <w:vAlign w:val="center"/>
          </w:tcPr>
          <w:p>
            <w:pPr>
              <w:pStyle w:val="13"/>
            </w:pPr>
            <w:r>
              <w:t>关于下达2024年中央财政林业草原生态保护恢复资金预算的通知-非国有林生态保护补偿-国有国家级公益林-冀财资环【2024】117号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1347.03</w:t>
            </w:r>
          </w:p>
        </w:tc>
        <w:tc>
          <w:tcPr>
            <w:tcW w:w="2835" w:type="dxa"/>
            <w:vAlign w:val="center"/>
          </w:tcPr>
          <w:p>
            <w:pPr>
              <w:pStyle w:val="11"/>
            </w:pPr>
            <w:r>
              <w:t>其中：财政    资金</w:t>
            </w:r>
          </w:p>
        </w:tc>
        <w:tc>
          <w:tcPr>
            <w:tcW w:w="2551" w:type="dxa"/>
            <w:vAlign w:val="center"/>
          </w:tcPr>
          <w:p>
            <w:pPr>
              <w:pStyle w:val="13"/>
            </w:pPr>
            <w:r>
              <w:t>1347.03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项目金额1347.03万元，其中财政拨款1347.03万元，主要用于公益林管护，促进全县林业经济健康发展。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1.通过开展公益林管护，促进全县林业经济健康发展。</w:t>
            </w:r>
          </w:p>
          <w:p>
            <w:pPr>
              <w:pStyle w:val="13"/>
            </w:pPr>
            <w:r>
              <w:t>2.通过开展公益林管护,确保森林资源系统生态安全和物种多样性。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国家公益林专职管护人员管护费</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≥47.76万亩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护林员工资达标率</w:t>
            </w:r>
          </w:p>
        </w:tc>
        <w:tc>
          <w:tcPr>
            <w:tcW w:w="5386" w:type="dxa"/>
            <w:vAlign w:val="center"/>
          </w:tcPr>
          <w:p>
            <w:pPr>
              <w:pStyle w:val="13"/>
            </w:pPr>
            <w:r>
              <w:t>实际支付国家公益林专职管护人员管护费与应支付国家公益林专职管护人员管护费的比率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集体及个人补助标准达标率</w:t>
            </w:r>
          </w:p>
        </w:tc>
        <w:tc>
          <w:tcPr>
            <w:tcW w:w="5386" w:type="dxa"/>
            <w:vAlign w:val="center"/>
          </w:tcPr>
          <w:p>
            <w:pPr>
              <w:pStyle w:val="13"/>
            </w:pPr>
            <w:r>
              <w:t>集体及个人补助标准达标率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护林员工资发放时间</w:t>
            </w:r>
          </w:p>
        </w:tc>
        <w:tc>
          <w:tcPr>
            <w:tcW w:w="5386" w:type="dxa"/>
            <w:vAlign w:val="center"/>
          </w:tcPr>
          <w:p>
            <w:pPr>
              <w:pStyle w:val="13"/>
            </w:pPr>
            <w:r>
              <w:t>护林员工资发放时间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集体及个人补助拨付时间</w:t>
            </w:r>
          </w:p>
        </w:tc>
        <w:tc>
          <w:tcPr>
            <w:tcW w:w="5386" w:type="dxa"/>
            <w:vAlign w:val="center"/>
          </w:tcPr>
          <w:p>
            <w:pPr>
              <w:pStyle w:val="13"/>
            </w:pPr>
            <w:r>
              <w:t>集体及个人补助拨付时间</w:t>
            </w:r>
          </w:p>
        </w:tc>
        <w:tc>
          <w:tcPr>
            <w:tcW w:w="2268" w:type="dxa"/>
            <w:vAlign w:val="center"/>
          </w:tcPr>
          <w:p>
            <w:pPr>
              <w:pStyle w:val="13"/>
            </w:pPr>
            <w:r>
              <w:t>2025年每半年一次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集体及个人补助标准</w:t>
            </w:r>
          </w:p>
        </w:tc>
        <w:tc>
          <w:tcPr>
            <w:tcW w:w="5386" w:type="dxa"/>
            <w:vAlign w:val="center"/>
          </w:tcPr>
          <w:p>
            <w:pPr>
              <w:pStyle w:val="13"/>
            </w:pPr>
            <w:r>
              <w:t>支付林权权利人每亩生态补偿补助费用</w:t>
            </w:r>
          </w:p>
        </w:tc>
        <w:tc>
          <w:tcPr>
            <w:tcW w:w="2268" w:type="dxa"/>
            <w:vAlign w:val="center"/>
          </w:tcPr>
          <w:p>
            <w:pPr>
              <w:pStyle w:val="13"/>
            </w:pPr>
            <w:r>
              <w:t>≤9.6元/亩（集体和个人）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44、关于下达2024年中央财政林业草原生态保护恢复资金预算的通知-非国有林生态保护补偿-国有天然商品林-冀财资环【2024】117号绩效目标表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13032124P00329810022J</w:t>
            </w:r>
          </w:p>
        </w:tc>
        <w:tc>
          <w:tcPr>
            <w:tcW w:w="2835" w:type="dxa"/>
            <w:vAlign w:val="center"/>
          </w:tcPr>
          <w:p>
            <w:pPr>
              <w:pStyle w:val="11"/>
            </w:pPr>
            <w:r>
              <w:t>项目名称</w:t>
            </w:r>
          </w:p>
        </w:tc>
        <w:tc>
          <w:tcPr>
            <w:tcW w:w="6095" w:type="dxa"/>
            <w:gridSpan w:val="3"/>
            <w:vAlign w:val="center"/>
          </w:tcPr>
          <w:p>
            <w:pPr>
              <w:pStyle w:val="13"/>
            </w:pPr>
            <w:r>
              <w:t>关于下达2024年中央财政林业草原生态保护恢复资金预算的通知-非国有林生态保护补偿-国有天然商品林-冀财资环【2024】117号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547.63</w:t>
            </w:r>
          </w:p>
        </w:tc>
        <w:tc>
          <w:tcPr>
            <w:tcW w:w="2835" w:type="dxa"/>
            <w:vAlign w:val="center"/>
          </w:tcPr>
          <w:p>
            <w:pPr>
              <w:pStyle w:val="11"/>
            </w:pPr>
            <w:r>
              <w:t>其中：财政    资金</w:t>
            </w:r>
          </w:p>
        </w:tc>
        <w:tc>
          <w:tcPr>
            <w:tcW w:w="2551" w:type="dxa"/>
            <w:vAlign w:val="center"/>
          </w:tcPr>
          <w:p>
            <w:pPr>
              <w:pStyle w:val="13"/>
            </w:pPr>
            <w:r>
              <w:t>547.63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项目金额547.63万元，其中财政拨款547.63万元，主要用于实施天然林保护工程，有效促进林业产业结构优化，维持生态平衡。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1.通过实施天然林保护工程，有效促进林业产业结构优化，维持生态平衡。</w:t>
            </w:r>
          </w:p>
          <w:p>
            <w:pPr>
              <w:pStyle w:val="13"/>
            </w:pPr>
            <w:r>
              <w:t>2.通过实施天然林保护工程，提高全县森林覆盖率。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管护天然林面积</w:t>
            </w:r>
          </w:p>
        </w:tc>
        <w:tc>
          <w:tcPr>
            <w:tcW w:w="5386" w:type="dxa"/>
            <w:vAlign w:val="center"/>
          </w:tcPr>
          <w:p>
            <w:pPr>
              <w:pStyle w:val="13"/>
            </w:pPr>
            <w:r>
              <w:t>需要购买管护服务及建设的亩数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经济补偿亩数</w:t>
            </w:r>
          </w:p>
        </w:tc>
        <w:tc>
          <w:tcPr>
            <w:tcW w:w="5386" w:type="dxa"/>
            <w:vAlign w:val="center"/>
          </w:tcPr>
          <w:p>
            <w:pPr>
              <w:pStyle w:val="13"/>
            </w:pPr>
            <w:r>
              <w:t>需要经济补偿亩数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护林员人数</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天然林管护达标率</w:t>
            </w:r>
          </w:p>
        </w:tc>
        <w:tc>
          <w:tcPr>
            <w:tcW w:w="5386" w:type="dxa"/>
            <w:vAlign w:val="center"/>
          </w:tcPr>
          <w:p>
            <w:pPr>
              <w:pStyle w:val="13"/>
            </w:pPr>
            <w:r>
              <w:t>天然林管护达标率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护林员工作考核达标率</w:t>
            </w:r>
          </w:p>
        </w:tc>
        <w:tc>
          <w:tcPr>
            <w:tcW w:w="5386" w:type="dxa"/>
            <w:vAlign w:val="center"/>
          </w:tcPr>
          <w:p>
            <w:pPr>
              <w:pStyle w:val="13"/>
            </w:pPr>
            <w:r>
              <w:t>护林员工作考核达标率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补助发放合规达标率</w:t>
            </w:r>
          </w:p>
        </w:tc>
        <w:tc>
          <w:tcPr>
            <w:tcW w:w="5386" w:type="dxa"/>
            <w:vAlign w:val="center"/>
          </w:tcPr>
          <w:p>
            <w:pPr>
              <w:pStyle w:val="13"/>
            </w:pPr>
            <w:r>
              <w:t>合法合规准确进行补助资金的发放</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管护工作完成及时性</w:t>
            </w:r>
          </w:p>
        </w:tc>
        <w:tc>
          <w:tcPr>
            <w:tcW w:w="5386" w:type="dxa"/>
            <w:vAlign w:val="center"/>
          </w:tcPr>
          <w:p>
            <w:pPr>
              <w:pStyle w:val="13"/>
            </w:pPr>
            <w:r>
              <w:t>按计划及时完成</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补偿的单位成本</w:t>
            </w:r>
          </w:p>
        </w:tc>
        <w:tc>
          <w:tcPr>
            <w:tcW w:w="5386" w:type="dxa"/>
            <w:vAlign w:val="center"/>
          </w:tcPr>
          <w:p>
            <w:pPr>
              <w:pStyle w:val="13"/>
            </w:pPr>
            <w:r>
              <w:t>补偿的单位成本，其中桃林口库区的补助资金为15.75元/亩，其他为9.6元/亩</w:t>
            </w:r>
          </w:p>
        </w:tc>
        <w:tc>
          <w:tcPr>
            <w:tcW w:w="2268" w:type="dxa"/>
            <w:vAlign w:val="center"/>
          </w:tcPr>
          <w:p>
            <w:pPr>
              <w:pStyle w:val="13"/>
            </w:pPr>
            <w:r>
              <w:t>≤16元/亩（集体和个人）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提高全县森林覆盖率</w:t>
            </w:r>
          </w:p>
        </w:tc>
        <w:tc>
          <w:tcPr>
            <w:tcW w:w="5386" w:type="dxa"/>
            <w:vAlign w:val="center"/>
          </w:tcPr>
          <w:p>
            <w:pPr>
              <w:pStyle w:val="13"/>
            </w:pPr>
            <w:r>
              <w:t>提高全县森林覆盖率</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45、关于下达2024年中央财政林业草原生态保护恢复资金预算的通知-全面停止天然林商业性采伐补助-冀财资环【2024】117号绩效目标表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13032124P00329810021Y</w:t>
            </w:r>
          </w:p>
        </w:tc>
        <w:tc>
          <w:tcPr>
            <w:tcW w:w="2835" w:type="dxa"/>
            <w:vAlign w:val="center"/>
          </w:tcPr>
          <w:p>
            <w:pPr>
              <w:pStyle w:val="11"/>
            </w:pPr>
            <w:r>
              <w:t>项目名称</w:t>
            </w:r>
          </w:p>
        </w:tc>
        <w:tc>
          <w:tcPr>
            <w:tcW w:w="6095" w:type="dxa"/>
            <w:gridSpan w:val="3"/>
            <w:vAlign w:val="center"/>
          </w:tcPr>
          <w:p>
            <w:pPr>
              <w:pStyle w:val="13"/>
            </w:pPr>
            <w:r>
              <w:t>关于下达2024年中央财政林业草原生态保护恢复资金预算的通知-全面停止天然林商业性采伐补助-冀财资环【2024】117号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91.07</w:t>
            </w:r>
          </w:p>
        </w:tc>
        <w:tc>
          <w:tcPr>
            <w:tcW w:w="2835" w:type="dxa"/>
            <w:vAlign w:val="center"/>
          </w:tcPr>
          <w:p>
            <w:pPr>
              <w:pStyle w:val="11"/>
            </w:pPr>
            <w:r>
              <w:t>其中：财政    资金</w:t>
            </w:r>
          </w:p>
        </w:tc>
        <w:tc>
          <w:tcPr>
            <w:tcW w:w="2551" w:type="dxa"/>
            <w:vAlign w:val="center"/>
          </w:tcPr>
          <w:p>
            <w:pPr>
              <w:pStyle w:val="13"/>
            </w:pPr>
            <w:r>
              <w:t>91.07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项目金额91.07万元，其中财政拨款91.07万元，主要用于加强天然林系统修复，解决项目人工、机械和材料等费用支出。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1.加强天然林系统修复，解决项目人工、机械和材料等费用支出。</w:t>
            </w:r>
          </w:p>
          <w:p>
            <w:pPr>
              <w:pStyle w:val="13"/>
            </w:pPr>
            <w:r>
              <w:t>2.加强天然林保护管理，提高森林覆盖率，改善生态环境。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天然林保护管理和天然林系统修复费用支出占比</w:t>
            </w:r>
          </w:p>
        </w:tc>
        <w:tc>
          <w:tcPr>
            <w:tcW w:w="5386" w:type="dxa"/>
            <w:vAlign w:val="center"/>
          </w:tcPr>
          <w:p>
            <w:pPr>
              <w:pStyle w:val="13"/>
            </w:pPr>
            <w:r>
              <w:t>用于天然林保护管理和天然林林系统修复费用支出占总资金的比例</w:t>
            </w:r>
          </w:p>
        </w:tc>
        <w:tc>
          <w:tcPr>
            <w:tcW w:w="2268" w:type="dxa"/>
            <w:vAlign w:val="center"/>
          </w:tcPr>
          <w:p>
            <w:pPr>
              <w:pStyle w:val="13"/>
            </w:pPr>
            <w:r>
              <w:t>≥100%</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实际完成工程量占计划完成工程量的比率</w:t>
            </w:r>
          </w:p>
        </w:tc>
        <w:tc>
          <w:tcPr>
            <w:tcW w:w="2268" w:type="dxa"/>
            <w:vAlign w:val="center"/>
          </w:tcPr>
          <w:p>
            <w:pPr>
              <w:pStyle w:val="13"/>
            </w:pPr>
            <w:r>
              <w:t>≥98%</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国有天然林停伐蓄积</w:t>
            </w:r>
          </w:p>
        </w:tc>
        <w:tc>
          <w:tcPr>
            <w:tcW w:w="5386" w:type="dxa"/>
            <w:vAlign w:val="center"/>
          </w:tcPr>
          <w:p>
            <w:pPr>
              <w:pStyle w:val="13"/>
            </w:pPr>
            <w:r>
              <w:t>两个国有林场停伐蓄积</w:t>
            </w:r>
          </w:p>
        </w:tc>
        <w:tc>
          <w:tcPr>
            <w:tcW w:w="2268" w:type="dxa"/>
            <w:vAlign w:val="center"/>
          </w:tcPr>
          <w:p>
            <w:pPr>
              <w:pStyle w:val="13"/>
            </w:pPr>
            <w:r>
              <w:t>3372立方米</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停伐补贴达标率</w:t>
            </w:r>
          </w:p>
        </w:tc>
        <w:tc>
          <w:tcPr>
            <w:tcW w:w="2268" w:type="dxa"/>
            <w:vAlign w:val="center"/>
          </w:tcPr>
          <w:p>
            <w:pPr>
              <w:pStyle w:val="13"/>
            </w:pPr>
            <w:r>
              <w:t>≥99%</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及时发放天然林停伐管护补助给两个林场</w:t>
            </w:r>
          </w:p>
        </w:tc>
        <w:tc>
          <w:tcPr>
            <w:tcW w:w="2268" w:type="dxa"/>
            <w:vAlign w:val="center"/>
          </w:tcPr>
          <w:p>
            <w:pPr>
              <w:pStyle w:val="13"/>
            </w:pPr>
            <w:r>
              <w:t>≥99%</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反映按招标文件及招标合同金额控制在预算范围内</w:t>
            </w:r>
          </w:p>
        </w:tc>
        <w:tc>
          <w:tcPr>
            <w:tcW w:w="2268" w:type="dxa"/>
            <w:vAlign w:val="center"/>
          </w:tcPr>
          <w:p>
            <w:pPr>
              <w:pStyle w:val="13"/>
            </w:pPr>
            <w:r>
              <w:t>≤251.58万元</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提高就业</w:t>
            </w:r>
          </w:p>
        </w:tc>
        <w:tc>
          <w:tcPr>
            <w:tcW w:w="5386" w:type="dxa"/>
            <w:vAlign w:val="center"/>
          </w:tcPr>
          <w:p>
            <w:pPr>
              <w:pStyle w:val="13"/>
            </w:pPr>
            <w:r>
              <w:t>提高就业率，解决群众就业问题</w:t>
            </w:r>
          </w:p>
        </w:tc>
        <w:tc>
          <w:tcPr>
            <w:tcW w:w="2268" w:type="dxa"/>
            <w:vAlign w:val="center"/>
          </w:tcPr>
          <w:p>
            <w:pPr>
              <w:pStyle w:val="13"/>
            </w:pPr>
            <w:r>
              <w:t>100%</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通过天然林停伐补助,确保森林资源系统生态安全和物种多样性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w:t>
            </w:r>
          </w:p>
        </w:tc>
        <w:tc>
          <w:tcPr>
            <w:tcW w:w="1276" w:type="dxa"/>
            <w:vAlign w:val="center"/>
          </w:tcPr>
          <w:p>
            <w:pPr>
              <w:pStyle w:val="13"/>
            </w:pPr>
            <w:r>
              <w:t>管护方案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46、国家级风景名胜区管理经费绩效目标表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13032125P003299100098</w:t>
            </w:r>
          </w:p>
        </w:tc>
        <w:tc>
          <w:tcPr>
            <w:tcW w:w="2835" w:type="dxa"/>
            <w:vAlign w:val="center"/>
          </w:tcPr>
          <w:p>
            <w:pPr>
              <w:pStyle w:val="11"/>
            </w:pPr>
            <w:r>
              <w:t>项目名称</w:t>
            </w:r>
          </w:p>
        </w:tc>
        <w:tc>
          <w:tcPr>
            <w:tcW w:w="6095" w:type="dxa"/>
            <w:gridSpan w:val="3"/>
            <w:vAlign w:val="center"/>
          </w:tcPr>
          <w:p>
            <w:pPr>
              <w:pStyle w:val="13"/>
            </w:pPr>
            <w:r>
              <w:t>国家级风景名胜区管理经费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项目金额5万元，其中财政拨款5万元，主要用于争取尽快完成创建全国5A级景区的目标任务，为将祖山打造成为中国北方著名的康养度假胜地。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1.通过策划、推广祖山旅游产品及旅游线路，开展旅游市场促销工作，更好指导支持祖山旅游市场开发工作。</w:t>
            </w:r>
          </w:p>
          <w:p>
            <w:pPr>
              <w:pStyle w:val="13"/>
            </w:pPr>
            <w:r>
              <w:t>2.通过协助配合祖山新绎公司，尽快整合收购景区内四家酒店。</w:t>
            </w:r>
          </w:p>
          <w:p>
            <w:pPr>
              <w:pStyle w:val="13"/>
            </w:pPr>
            <w:r>
              <w:t>3.通过项目实施，争取尽快完成创建全国5A级景区的目标任务，为将祖山打造成为中国北方著名的康养度假胜地。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报告的印刷</w:t>
            </w:r>
          </w:p>
        </w:tc>
        <w:tc>
          <w:tcPr>
            <w:tcW w:w="5386" w:type="dxa"/>
            <w:vAlign w:val="center"/>
          </w:tcPr>
          <w:p>
            <w:pPr>
              <w:pStyle w:val="13"/>
            </w:pPr>
            <w:r>
              <w:t>报告的印刷册数</w:t>
            </w:r>
          </w:p>
        </w:tc>
        <w:tc>
          <w:tcPr>
            <w:tcW w:w="2268" w:type="dxa"/>
            <w:vAlign w:val="center"/>
          </w:tcPr>
          <w:p>
            <w:pPr>
              <w:pStyle w:val="13"/>
            </w:pPr>
            <w:r>
              <w:t>≥300册</w:t>
            </w:r>
          </w:p>
        </w:tc>
        <w:tc>
          <w:tcPr>
            <w:tcW w:w="1276" w:type="dxa"/>
            <w:vAlign w:val="center"/>
          </w:tcPr>
          <w:p>
            <w:pPr>
              <w:pStyle w:val="13"/>
            </w:pPr>
            <w:r>
              <w:t>历史数据及年初工作计划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整合酒店数量</w:t>
            </w:r>
          </w:p>
        </w:tc>
        <w:tc>
          <w:tcPr>
            <w:tcW w:w="5386" w:type="dxa"/>
            <w:vAlign w:val="center"/>
          </w:tcPr>
          <w:p>
            <w:pPr>
              <w:pStyle w:val="13"/>
            </w:pPr>
            <w:r>
              <w:t>本年驻地整合酒店的数量</w:t>
            </w:r>
          </w:p>
        </w:tc>
        <w:tc>
          <w:tcPr>
            <w:tcW w:w="2268" w:type="dxa"/>
            <w:vAlign w:val="center"/>
          </w:tcPr>
          <w:p>
            <w:pPr>
              <w:pStyle w:val="13"/>
            </w:pPr>
            <w:r>
              <w:t>≤4家</w:t>
            </w:r>
          </w:p>
        </w:tc>
        <w:tc>
          <w:tcPr>
            <w:tcW w:w="1276" w:type="dxa"/>
            <w:vAlign w:val="center"/>
          </w:tcPr>
          <w:p>
            <w:pPr>
              <w:pStyle w:val="13"/>
            </w:pPr>
            <w:r>
              <w:t>历史数据及年初工作计划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采购数量</w:t>
            </w:r>
          </w:p>
        </w:tc>
        <w:tc>
          <w:tcPr>
            <w:tcW w:w="5386" w:type="dxa"/>
            <w:vAlign w:val="center"/>
          </w:tcPr>
          <w:p>
            <w:pPr>
              <w:pStyle w:val="13"/>
            </w:pPr>
            <w:r>
              <w:t>采购办公设备台数</w:t>
            </w:r>
          </w:p>
        </w:tc>
        <w:tc>
          <w:tcPr>
            <w:tcW w:w="2268" w:type="dxa"/>
            <w:vAlign w:val="center"/>
          </w:tcPr>
          <w:p>
            <w:pPr>
              <w:pStyle w:val="13"/>
            </w:pPr>
            <w:r>
              <w:t>≤8台</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办公设备合格率</w:t>
            </w:r>
          </w:p>
        </w:tc>
        <w:tc>
          <w:tcPr>
            <w:tcW w:w="5386" w:type="dxa"/>
            <w:vAlign w:val="center"/>
          </w:tcPr>
          <w:p>
            <w:pPr>
              <w:pStyle w:val="13"/>
            </w:pPr>
            <w:r>
              <w:t>采购设备内部验收合格率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印刷品合格率</w:t>
            </w:r>
          </w:p>
        </w:tc>
        <w:tc>
          <w:tcPr>
            <w:tcW w:w="5386" w:type="dxa"/>
            <w:vAlign w:val="center"/>
          </w:tcPr>
          <w:p>
            <w:pPr>
              <w:pStyle w:val="13"/>
            </w:pPr>
            <w:r>
              <w:t>印刷品质量内部验收合格率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预计完成时间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设备采购支出</w:t>
            </w:r>
          </w:p>
        </w:tc>
        <w:tc>
          <w:tcPr>
            <w:tcW w:w="5386" w:type="dxa"/>
            <w:vAlign w:val="center"/>
          </w:tcPr>
          <w:p>
            <w:pPr>
              <w:pStyle w:val="13"/>
            </w:pPr>
            <w:r>
              <w:t>设备采购成本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资料印刷支出</w:t>
            </w:r>
          </w:p>
        </w:tc>
        <w:tc>
          <w:tcPr>
            <w:tcW w:w="5386" w:type="dxa"/>
            <w:vAlign w:val="center"/>
          </w:tcPr>
          <w:p>
            <w:pPr>
              <w:pStyle w:val="13"/>
            </w:pPr>
            <w:r>
              <w:t>印刷品采购成本</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其他支出</w:t>
            </w:r>
          </w:p>
        </w:tc>
        <w:tc>
          <w:tcPr>
            <w:tcW w:w="5386" w:type="dxa"/>
            <w:vAlign w:val="center"/>
          </w:tcPr>
          <w:p>
            <w:pPr>
              <w:pStyle w:val="13"/>
            </w:pPr>
            <w:r>
              <w:t>其他日常公用支出</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提高景区的管理水平，增加旅游人员的舒适度，促进经济发展。</w:t>
            </w:r>
          </w:p>
        </w:tc>
        <w:tc>
          <w:tcPr>
            <w:tcW w:w="2268" w:type="dxa"/>
            <w:vAlign w:val="center"/>
          </w:tcPr>
          <w:p>
            <w:pPr>
              <w:pStyle w:val="13"/>
            </w:pPr>
            <w:r>
              <w:t>效果明显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保证景区不断优化，持续增加旅游收入</w:t>
            </w:r>
          </w:p>
        </w:tc>
        <w:tc>
          <w:tcPr>
            <w:tcW w:w="2268" w:type="dxa"/>
            <w:vAlign w:val="center"/>
          </w:tcPr>
          <w:p>
            <w:pPr>
              <w:pStyle w:val="13"/>
            </w:pPr>
            <w:r>
              <w:t>效果明显</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47、解决大龙腰果场遗留问题资金绩效目标表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13032124P00002610038Y</w:t>
            </w:r>
          </w:p>
        </w:tc>
        <w:tc>
          <w:tcPr>
            <w:tcW w:w="2835" w:type="dxa"/>
            <w:vAlign w:val="center"/>
          </w:tcPr>
          <w:p>
            <w:pPr>
              <w:pStyle w:val="11"/>
            </w:pPr>
            <w:r>
              <w:t>项目名称</w:t>
            </w:r>
          </w:p>
        </w:tc>
        <w:tc>
          <w:tcPr>
            <w:tcW w:w="6095" w:type="dxa"/>
            <w:gridSpan w:val="3"/>
            <w:vAlign w:val="center"/>
          </w:tcPr>
          <w:p>
            <w:pPr>
              <w:pStyle w:val="13"/>
            </w:pPr>
            <w:r>
              <w:t>解决大龙腰果场遗留问题资金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0.19</w:t>
            </w:r>
          </w:p>
        </w:tc>
        <w:tc>
          <w:tcPr>
            <w:tcW w:w="2835" w:type="dxa"/>
            <w:vAlign w:val="center"/>
          </w:tcPr>
          <w:p>
            <w:pPr>
              <w:pStyle w:val="11"/>
            </w:pPr>
            <w:r>
              <w:t>其中：财政    资金</w:t>
            </w:r>
          </w:p>
        </w:tc>
        <w:tc>
          <w:tcPr>
            <w:tcW w:w="2551" w:type="dxa"/>
            <w:vAlign w:val="center"/>
          </w:tcPr>
          <w:p>
            <w:pPr>
              <w:pStyle w:val="13"/>
            </w:pPr>
            <w:r>
              <w:t>0.19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项目预算0.1908万元，其中财政拨款0.1908万元，主要用于发放大龙腰果场遗留问题资金，实现解决在职人员各项保险缴费。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1.通过发放大龙腰果场遗留问题资金，实现解决在职人员各项保险缴费。</w:t>
            </w:r>
            <w:r>
              <w:tab/>
            </w:r>
            <w:r>
              <w:tab/>
            </w:r>
          </w:p>
          <w:p>
            <w:pPr>
              <w:pStyle w:val="13"/>
            </w:pPr>
            <w:r>
              <w:t>2.通过发放大龙腰果场遗留问题资金，实现解决退休人员退休费的支出。</w:t>
            </w:r>
          </w:p>
          <w:p>
            <w:pPr>
              <w:pStyle w:val="13"/>
            </w:pPr>
            <w:r>
              <w:t>3.通过发放大龙腰果场遗留问题资金，实现解决遗属人员的补助支出。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在职人员人数</w:t>
            </w:r>
          </w:p>
        </w:tc>
        <w:tc>
          <w:tcPr>
            <w:tcW w:w="5386" w:type="dxa"/>
            <w:vAlign w:val="center"/>
          </w:tcPr>
          <w:p>
            <w:pPr>
              <w:pStyle w:val="13"/>
            </w:pPr>
            <w:r>
              <w:t>用于在职人员保险费支出的人数</w:t>
            </w:r>
          </w:p>
        </w:tc>
        <w:tc>
          <w:tcPr>
            <w:tcW w:w="2268" w:type="dxa"/>
            <w:vAlign w:val="center"/>
          </w:tcPr>
          <w:p>
            <w:pPr>
              <w:pStyle w:val="13"/>
            </w:pPr>
            <w:r>
              <w:t>2人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退休人员人数</w:t>
            </w:r>
          </w:p>
        </w:tc>
        <w:tc>
          <w:tcPr>
            <w:tcW w:w="5386" w:type="dxa"/>
            <w:vAlign w:val="center"/>
          </w:tcPr>
          <w:p>
            <w:pPr>
              <w:pStyle w:val="13"/>
            </w:pPr>
            <w:r>
              <w:t>用于退休人员退休费支出的人数</w:t>
            </w:r>
          </w:p>
        </w:tc>
        <w:tc>
          <w:tcPr>
            <w:tcW w:w="2268" w:type="dxa"/>
            <w:vAlign w:val="center"/>
          </w:tcPr>
          <w:p>
            <w:pPr>
              <w:pStyle w:val="13"/>
            </w:pPr>
            <w:r>
              <w:t>5人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遗属人数</w:t>
            </w:r>
          </w:p>
        </w:tc>
        <w:tc>
          <w:tcPr>
            <w:tcW w:w="5386" w:type="dxa"/>
            <w:vAlign w:val="center"/>
          </w:tcPr>
          <w:p>
            <w:pPr>
              <w:pStyle w:val="13"/>
            </w:pPr>
            <w:r>
              <w:t>用于遗属补助的人数</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反映各项支出计算的准确率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各项支出缴纳、发放的及时率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在职人员保险费支出</w:t>
            </w:r>
          </w:p>
        </w:tc>
        <w:tc>
          <w:tcPr>
            <w:tcW w:w="5386" w:type="dxa"/>
            <w:vAlign w:val="center"/>
          </w:tcPr>
          <w:p>
            <w:pPr>
              <w:pStyle w:val="13"/>
            </w:pPr>
            <w:r>
              <w:t>用于在职人员保险费的支出</w:t>
            </w:r>
          </w:p>
        </w:tc>
        <w:tc>
          <w:tcPr>
            <w:tcW w:w="2268" w:type="dxa"/>
            <w:vAlign w:val="center"/>
          </w:tcPr>
          <w:p>
            <w:pPr>
              <w:pStyle w:val="13"/>
            </w:pPr>
            <w:r>
              <w:t>≤3.93万元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退休人员退休费支出</w:t>
            </w:r>
          </w:p>
        </w:tc>
        <w:tc>
          <w:tcPr>
            <w:tcW w:w="5386" w:type="dxa"/>
            <w:vAlign w:val="center"/>
          </w:tcPr>
          <w:p>
            <w:pPr>
              <w:pStyle w:val="13"/>
            </w:pPr>
            <w:r>
              <w:t>用于退休人员退休费的支出</w:t>
            </w:r>
          </w:p>
        </w:tc>
        <w:tc>
          <w:tcPr>
            <w:tcW w:w="2268" w:type="dxa"/>
            <w:vAlign w:val="center"/>
          </w:tcPr>
          <w:p>
            <w:pPr>
              <w:pStyle w:val="13"/>
            </w:pPr>
            <w:r>
              <w:t>≤0.98万元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遗属补助支出</w:t>
            </w:r>
          </w:p>
        </w:tc>
        <w:tc>
          <w:tcPr>
            <w:tcW w:w="5386" w:type="dxa"/>
            <w:vAlign w:val="center"/>
          </w:tcPr>
          <w:p>
            <w:pPr>
              <w:pStyle w:val="13"/>
            </w:pPr>
            <w:r>
              <w:t>用于遗属补助支出</w:t>
            </w:r>
          </w:p>
        </w:tc>
        <w:tc>
          <w:tcPr>
            <w:tcW w:w="2268" w:type="dxa"/>
            <w:vAlign w:val="center"/>
          </w:tcPr>
          <w:p>
            <w:pPr>
              <w:pStyle w:val="13"/>
            </w:pPr>
            <w:r>
              <w:t>≤0.88万元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持续开展工作运转率</w:t>
            </w:r>
          </w:p>
        </w:tc>
        <w:tc>
          <w:tcPr>
            <w:tcW w:w="5386" w:type="dxa"/>
            <w:vAlign w:val="center"/>
          </w:tcPr>
          <w:p>
            <w:pPr>
              <w:pStyle w:val="13"/>
            </w:pPr>
            <w:r>
              <w:t>持续开展工作运转率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社会保障制度更加公平可持续</w:t>
            </w:r>
          </w:p>
        </w:tc>
        <w:tc>
          <w:tcPr>
            <w:tcW w:w="5386" w:type="dxa"/>
            <w:vAlign w:val="center"/>
          </w:tcPr>
          <w:p>
            <w:pPr>
              <w:pStyle w:val="13"/>
            </w:pPr>
            <w:r>
              <w:t>社会保障制度更加公平可持续</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48、解决大龙腰果场遗留问题资金绩效目标表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13032125P00011310002K</w:t>
            </w:r>
          </w:p>
        </w:tc>
        <w:tc>
          <w:tcPr>
            <w:tcW w:w="2835" w:type="dxa"/>
            <w:vAlign w:val="center"/>
          </w:tcPr>
          <w:p>
            <w:pPr>
              <w:pStyle w:val="11"/>
            </w:pPr>
            <w:r>
              <w:t>项目名称</w:t>
            </w:r>
          </w:p>
        </w:tc>
        <w:tc>
          <w:tcPr>
            <w:tcW w:w="6095" w:type="dxa"/>
            <w:gridSpan w:val="3"/>
            <w:vAlign w:val="center"/>
          </w:tcPr>
          <w:p>
            <w:pPr>
              <w:pStyle w:val="13"/>
            </w:pPr>
            <w:r>
              <w:t>解决大龙腰果场遗留问题资金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6.77</w:t>
            </w:r>
          </w:p>
        </w:tc>
        <w:tc>
          <w:tcPr>
            <w:tcW w:w="2835" w:type="dxa"/>
            <w:vAlign w:val="center"/>
          </w:tcPr>
          <w:p>
            <w:pPr>
              <w:pStyle w:val="11"/>
            </w:pPr>
            <w:r>
              <w:t>其中：财政    资金</w:t>
            </w:r>
          </w:p>
        </w:tc>
        <w:tc>
          <w:tcPr>
            <w:tcW w:w="2551" w:type="dxa"/>
            <w:vAlign w:val="center"/>
          </w:tcPr>
          <w:p>
            <w:pPr>
              <w:pStyle w:val="13"/>
            </w:pPr>
            <w:r>
              <w:t>6.77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项目金额6.77万元，其中财政拨款6.77万元，主要用于发放大龙腰果场遗留问题资金，实现解决人员各项支出。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1.通过发放大龙腰果场遗留问题资金，实现解决退休人员退休费的支出。</w:t>
            </w:r>
          </w:p>
          <w:p>
            <w:pPr>
              <w:pStyle w:val="13"/>
            </w:pPr>
            <w:r>
              <w:t>2.通过发放大龙腰果场遗留问题资金，实现解决遗属人员的补助支出。</w:t>
            </w:r>
          </w:p>
          <w:p>
            <w:pPr>
              <w:pStyle w:val="13"/>
            </w:pPr>
            <w:r>
              <w:t>3.通过发放大龙腰果场遗留问题资金，实现解决在职人员各项保险缴费。</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在职人员人数</w:t>
            </w:r>
          </w:p>
        </w:tc>
        <w:tc>
          <w:tcPr>
            <w:tcW w:w="5386" w:type="dxa"/>
            <w:vAlign w:val="center"/>
          </w:tcPr>
          <w:p>
            <w:pPr>
              <w:pStyle w:val="13"/>
            </w:pPr>
            <w:r>
              <w:t>用于在职人员保险费支出的人数</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退休人员人数</w:t>
            </w:r>
          </w:p>
        </w:tc>
        <w:tc>
          <w:tcPr>
            <w:tcW w:w="5386" w:type="dxa"/>
            <w:vAlign w:val="center"/>
          </w:tcPr>
          <w:p>
            <w:pPr>
              <w:pStyle w:val="13"/>
            </w:pPr>
            <w:r>
              <w:t>用于退休人员退休费支出的人数</w:t>
            </w:r>
          </w:p>
        </w:tc>
        <w:tc>
          <w:tcPr>
            <w:tcW w:w="2268" w:type="dxa"/>
            <w:vAlign w:val="center"/>
          </w:tcPr>
          <w:p>
            <w:pPr>
              <w:pStyle w:val="13"/>
            </w:pPr>
            <w:r>
              <w:t>6人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遗属人数</w:t>
            </w:r>
          </w:p>
        </w:tc>
        <w:tc>
          <w:tcPr>
            <w:tcW w:w="5386" w:type="dxa"/>
            <w:vAlign w:val="center"/>
          </w:tcPr>
          <w:p>
            <w:pPr>
              <w:pStyle w:val="13"/>
            </w:pPr>
            <w:r>
              <w:t>用于遗属补助的人数</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反映各项支出计算的准确率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各项支出缴纳、发放的及时率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遗属补助支出</w:t>
            </w:r>
          </w:p>
        </w:tc>
        <w:tc>
          <w:tcPr>
            <w:tcW w:w="5386" w:type="dxa"/>
            <w:vAlign w:val="center"/>
          </w:tcPr>
          <w:p>
            <w:pPr>
              <w:pStyle w:val="13"/>
            </w:pPr>
            <w:r>
              <w:t>用于遗属补助支出</w:t>
            </w:r>
          </w:p>
        </w:tc>
        <w:tc>
          <w:tcPr>
            <w:tcW w:w="2268" w:type="dxa"/>
            <w:vAlign w:val="center"/>
          </w:tcPr>
          <w:p>
            <w:pPr>
              <w:pStyle w:val="13"/>
            </w:pPr>
            <w:r>
              <w:t>≤0.94万元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持续开展工作运转率</w:t>
            </w:r>
          </w:p>
        </w:tc>
        <w:tc>
          <w:tcPr>
            <w:tcW w:w="5386" w:type="dxa"/>
            <w:vAlign w:val="center"/>
          </w:tcPr>
          <w:p>
            <w:pPr>
              <w:pStyle w:val="13"/>
            </w:pPr>
            <w:r>
              <w:t>持续开展工作运转率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社会保障制度更加公平可持续</w:t>
            </w:r>
          </w:p>
        </w:tc>
        <w:tc>
          <w:tcPr>
            <w:tcW w:w="5386" w:type="dxa"/>
            <w:vAlign w:val="center"/>
          </w:tcPr>
          <w:p>
            <w:pPr>
              <w:pStyle w:val="13"/>
            </w:pPr>
            <w:r>
              <w:t>社会保障制度更加公平可持续</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49、解决祖山景区经营体制改革遗留问题资金绩效目标表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13032125P000113100037</w:t>
            </w:r>
          </w:p>
        </w:tc>
        <w:tc>
          <w:tcPr>
            <w:tcW w:w="2835" w:type="dxa"/>
            <w:vAlign w:val="center"/>
          </w:tcPr>
          <w:p>
            <w:pPr>
              <w:pStyle w:val="11"/>
            </w:pPr>
            <w:r>
              <w:t>项目名称</w:t>
            </w:r>
          </w:p>
        </w:tc>
        <w:tc>
          <w:tcPr>
            <w:tcW w:w="6095" w:type="dxa"/>
            <w:gridSpan w:val="3"/>
            <w:vAlign w:val="center"/>
          </w:tcPr>
          <w:p>
            <w:pPr>
              <w:pStyle w:val="13"/>
            </w:pPr>
            <w:r>
              <w:t>解决祖山景区经营体制改革遗留问题资金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项目金额50万元，其中财政拨款50万元，主要用于及时解决索道项目遗留问题。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1.通过项目实施，及时解决索道项目遗留问题。</w:t>
            </w:r>
          </w:p>
          <w:p>
            <w:pPr>
              <w:pStyle w:val="13"/>
            </w:pPr>
            <w:r>
              <w:t>2.通过项目实施，完成祖山景区1条索道所有权购买。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索道的长度</w:t>
            </w:r>
          </w:p>
        </w:tc>
        <w:tc>
          <w:tcPr>
            <w:tcW w:w="5386" w:type="dxa"/>
            <w:vAlign w:val="center"/>
          </w:tcPr>
          <w:p>
            <w:pPr>
              <w:pStyle w:val="13"/>
            </w:pPr>
            <w:r>
              <w:t>所购1条索道的公里数</w:t>
            </w:r>
          </w:p>
        </w:tc>
        <w:tc>
          <w:tcPr>
            <w:tcW w:w="2268" w:type="dxa"/>
            <w:vAlign w:val="center"/>
          </w:tcPr>
          <w:p>
            <w:pPr>
              <w:pStyle w:val="13"/>
            </w:pPr>
            <w:r>
              <w:t>5公里</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购买索道的条数</w:t>
            </w:r>
          </w:p>
        </w:tc>
        <w:tc>
          <w:tcPr>
            <w:tcW w:w="5386" w:type="dxa"/>
            <w:vAlign w:val="center"/>
          </w:tcPr>
          <w:p>
            <w:pPr>
              <w:pStyle w:val="13"/>
            </w:pPr>
            <w:r>
              <w:t>购买索道的数量</w:t>
            </w:r>
          </w:p>
        </w:tc>
        <w:tc>
          <w:tcPr>
            <w:tcW w:w="2268" w:type="dxa"/>
            <w:vAlign w:val="center"/>
          </w:tcPr>
          <w:p>
            <w:pPr>
              <w:pStyle w:val="13"/>
            </w:pPr>
            <w:r>
              <w:t>1条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按时支付相关人员费用</w:t>
            </w:r>
          </w:p>
        </w:tc>
        <w:tc>
          <w:tcPr>
            <w:tcW w:w="2268" w:type="dxa"/>
            <w:vAlign w:val="center"/>
          </w:tcPr>
          <w:p>
            <w:pPr>
              <w:pStyle w:val="13"/>
            </w:pPr>
            <w:r>
              <w:t>250万元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购买索道支付的准确率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完成尾款支付时限</w:t>
            </w:r>
          </w:p>
        </w:tc>
        <w:tc>
          <w:tcPr>
            <w:tcW w:w="2268" w:type="dxa"/>
            <w:vAlign w:val="center"/>
          </w:tcPr>
          <w:p>
            <w:pPr>
              <w:pStyle w:val="13"/>
            </w:pPr>
            <w:r>
              <w:t>年底前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按预算进行成本控制，并按预算计划进行资金的拨付。</w:t>
            </w:r>
          </w:p>
        </w:tc>
        <w:tc>
          <w:tcPr>
            <w:tcW w:w="2268" w:type="dxa"/>
            <w:vAlign w:val="center"/>
          </w:tcPr>
          <w:p>
            <w:pPr>
              <w:pStyle w:val="13"/>
            </w:pPr>
            <w:r>
              <w:t>≤120万元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经济影响</w:t>
            </w:r>
          </w:p>
        </w:tc>
        <w:tc>
          <w:tcPr>
            <w:tcW w:w="5386" w:type="dxa"/>
            <w:vAlign w:val="center"/>
          </w:tcPr>
          <w:p>
            <w:pPr>
              <w:pStyle w:val="13"/>
            </w:pPr>
            <w:r>
              <w:t>通过所有权的购买，统一了所有权，提高了景区索道经济收入，游客人数增加比列</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w:t>
            </w:r>
          </w:p>
        </w:tc>
        <w:tc>
          <w:tcPr>
            <w:tcW w:w="5386" w:type="dxa"/>
            <w:vAlign w:val="center"/>
          </w:tcPr>
          <w:p>
            <w:pPr>
              <w:pStyle w:val="13"/>
            </w:pPr>
            <w:r>
              <w:t>统一了所有权，有利于经营管理，提高了景区的服务水平。</w:t>
            </w:r>
          </w:p>
        </w:tc>
        <w:tc>
          <w:tcPr>
            <w:tcW w:w="2268" w:type="dxa"/>
            <w:vAlign w:val="center"/>
          </w:tcPr>
          <w:p>
            <w:pPr>
              <w:pStyle w:val="13"/>
            </w:pPr>
            <w:r>
              <w:t>≥90提高服务水平</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≥90百分比</w:t>
            </w:r>
          </w:p>
        </w:tc>
        <w:tc>
          <w:tcPr>
            <w:tcW w:w="1276" w:type="dxa"/>
            <w:vAlign w:val="center"/>
          </w:tcPr>
          <w:p>
            <w:pPr>
              <w:pStyle w:val="13"/>
            </w:pPr>
            <w:r>
              <w:t>社会调查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50、开办费绩效目标表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13032124P00002610058N</w:t>
            </w:r>
          </w:p>
        </w:tc>
        <w:tc>
          <w:tcPr>
            <w:tcW w:w="2835" w:type="dxa"/>
            <w:vAlign w:val="center"/>
          </w:tcPr>
          <w:p>
            <w:pPr>
              <w:pStyle w:val="11"/>
            </w:pPr>
            <w:r>
              <w:t>项目名称</w:t>
            </w:r>
          </w:p>
        </w:tc>
        <w:tc>
          <w:tcPr>
            <w:tcW w:w="6095" w:type="dxa"/>
            <w:gridSpan w:val="3"/>
            <w:vAlign w:val="center"/>
          </w:tcPr>
          <w:p>
            <w:pPr>
              <w:pStyle w:val="13"/>
            </w:pPr>
            <w:r>
              <w:t>开办费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44.89</w:t>
            </w:r>
          </w:p>
        </w:tc>
        <w:tc>
          <w:tcPr>
            <w:tcW w:w="2835" w:type="dxa"/>
            <w:vAlign w:val="center"/>
          </w:tcPr>
          <w:p>
            <w:pPr>
              <w:pStyle w:val="11"/>
            </w:pPr>
            <w:r>
              <w:t>其中：财政    资金</w:t>
            </w:r>
          </w:p>
        </w:tc>
        <w:tc>
          <w:tcPr>
            <w:tcW w:w="2551" w:type="dxa"/>
            <w:vAlign w:val="center"/>
          </w:tcPr>
          <w:p>
            <w:pPr>
              <w:pStyle w:val="13"/>
            </w:pPr>
            <w:r>
              <w:t>44.89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项目金额44.8857万元，其中财政拨款44.8857万元，主要用于改善工作环境，购置办公设备等费用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1.通过项目实施，改善工作环境，提升职员的幸福感。</w:t>
            </w:r>
          </w:p>
          <w:p>
            <w:pPr>
              <w:pStyle w:val="13"/>
            </w:pPr>
            <w:r>
              <w:t>2.通过项目实施，尽快完成房屋修缮及维修维护等费用的支出。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房屋修缮</w:t>
            </w:r>
          </w:p>
        </w:tc>
        <w:tc>
          <w:tcPr>
            <w:tcW w:w="5386" w:type="dxa"/>
            <w:vAlign w:val="center"/>
          </w:tcPr>
          <w:p>
            <w:pPr>
              <w:pStyle w:val="13"/>
            </w:pPr>
            <w:r>
              <w:t>房屋粉刷、卫生间改造等</w:t>
            </w:r>
          </w:p>
        </w:tc>
        <w:tc>
          <w:tcPr>
            <w:tcW w:w="2268" w:type="dxa"/>
            <w:vAlign w:val="center"/>
          </w:tcPr>
          <w:p>
            <w:pPr>
              <w:pStyle w:val="13"/>
            </w:pPr>
            <w:r>
              <w:t>≥1500平米</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电梯维护</w:t>
            </w:r>
          </w:p>
        </w:tc>
        <w:tc>
          <w:tcPr>
            <w:tcW w:w="5386" w:type="dxa"/>
            <w:vAlign w:val="center"/>
          </w:tcPr>
          <w:p>
            <w:pPr>
              <w:pStyle w:val="13"/>
            </w:pPr>
            <w:r>
              <w:t>电梯维修</w:t>
            </w:r>
          </w:p>
        </w:tc>
        <w:tc>
          <w:tcPr>
            <w:tcW w:w="2268" w:type="dxa"/>
            <w:vAlign w:val="center"/>
          </w:tcPr>
          <w:p>
            <w:pPr>
              <w:pStyle w:val="13"/>
            </w:pPr>
            <w:r>
              <w:t>2台</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设备正常运转</w:t>
            </w:r>
          </w:p>
        </w:tc>
        <w:tc>
          <w:tcPr>
            <w:tcW w:w="5386" w:type="dxa"/>
            <w:vAlign w:val="center"/>
          </w:tcPr>
          <w:p>
            <w:pPr>
              <w:pStyle w:val="13"/>
            </w:pPr>
            <w:r>
              <w:t>用房正常使用、电梯正常运转</w:t>
            </w:r>
          </w:p>
        </w:tc>
        <w:tc>
          <w:tcPr>
            <w:tcW w:w="2268" w:type="dxa"/>
            <w:vAlign w:val="center"/>
          </w:tcPr>
          <w:p>
            <w:pPr>
              <w:pStyle w:val="13"/>
            </w:pPr>
            <w:r>
              <w:t>≥95百分比</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完工时效</w:t>
            </w:r>
          </w:p>
        </w:tc>
        <w:tc>
          <w:tcPr>
            <w:tcW w:w="5386" w:type="dxa"/>
            <w:vAlign w:val="center"/>
          </w:tcPr>
          <w:p>
            <w:pPr>
              <w:pStyle w:val="13"/>
            </w:pPr>
            <w:r>
              <w:t>修缮完工时间</w:t>
            </w:r>
          </w:p>
        </w:tc>
        <w:tc>
          <w:tcPr>
            <w:tcW w:w="2268" w:type="dxa"/>
            <w:vAlign w:val="center"/>
          </w:tcPr>
          <w:p>
            <w:pPr>
              <w:pStyle w:val="13"/>
            </w:pPr>
            <w:r>
              <w:t>2024年6月底</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≤70万元</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提高工作效率</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办公用房设备安全影响</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房屋设备可持续性服务</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职工的满意度</w:t>
            </w:r>
          </w:p>
        </w:tc>
        <w:tc>
          <w:tcPr>
            <w:tcW w:w="5386" w:type="dxa"/>
            <w:vAlign w:val="center"/>
          </w:tcPr>
          <w:p>
            <w:pPr>
              <w:pStyle w:val="13"/>
            </w:pPr>
            <w:r>
              <w:t>职工的满意度</w:t>
            </w:r>
          </w:p>
        </w:tc>
        <w:tc>
          <w:tcPr>
            <w:tcW w:w="2268" w:type="dxa"/>
            <w:vAlign w:val="center"/>
          </w:tcPr>
          <w:p>
            <w:pPr>
              <w:pStyle w:val="13"/>
            </w:pPr>
            <w:r>
              <w:t>≥95百分比</w:t>
            </w:r>
          </w:p>
        </w:tc>
        <w:tc>
          <w:tcPr>
            <w:tcW w:w="1276" w:type="dxa"/>
            <w:vAlign w:val="center"/>
          </w:tcPr>
          <w:p>
            <w:pPr>
              <w:pStyle w:val="13"/>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51、林长制工作经费绩效目标表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13032125P003285100021</w:t>
            </w:r>
          </w:p>
        </w:tc>
        <w:tc>
          <w:tcPr>
            <w:tcW w:w="2835" w:type="dxa"/>
            <w:vAlign w:val="center"/>
          </w:tcPr>
          <w:p>
            <w:pPr>
              <w:pStyle w:val="11"/>
            </w:pPr>
            <w:r>
              <w:t>项目名称</w:t>
            </w:r>
          </w:p>
        </w:tc>
        <w:tc>
          <w:tcPr>
            <w:tcW w:w="6095" w:type="dxa"/>
            <w:gridSpan w:val="3"/>
            <w:vAlign w:val="center"/>
          </w:tcPr>
          <w:p>
            <w:pPr>
              <w:pStyle w:val="13"/>
            </w:pPr>
            <w:r>
              <w:t>林长制工作经费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项目金额20万元，其中财政拨款20万元，主要用于开展全面推行林长制工作，森林生态环境显著改善，森林资源管理能力和水平规模提升，基本实现保护优先，协调发展，绿色惠民的目标。</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1.通过开展全面推行林长制工作，森林生态环境显著改善，森林资源管理能力和水平规模提升，基本实现保护优先，协调发展，绿色惠民的目标。</w:t>
            </w:r>
            <w:r>
              <w:tab/>
            </w:r>
            <w:r>
              <w:tab/>
            </w:r>
            <w:r>
              <w:tab/>
            </w:r>
            <w:r>
              <w:tab/>
            </w:r>
            <w:r>
              <w:tab/>
            </w:r>
            <w:r>
              <w:tab/>
            </w:r>
          </w:p>
          <w:p>
            <w:pPr>
              <w:pStyle w:val="13"/>
            </w:pPr>
            <w:r>
              <w:t>2.通过开展全面推行林长制工作，全面完成林业增绿增效行动计划，实现森林面积和蓄积量持续稳定增长，森林资源得到有效保护和合理利用，基本形成布局合理，结构优化，功能完善的森林生态体系。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国家、省、市林长制考核</w:t>
            </w:r>
          </w:p>
        </w:tc>
        <w:tc>
          <w:tcPr>
            <w:tcW w:w="5386" w:type="dxa"/>
            <w:vAlign w:val="center"/>
          </w:tcPr>
          <w:p>
            <w:pPr>
              <w:pStyle w:val="13"/>
            </w:pPr>
            <w:r>
              <w:t>反映国家、省、市林长制考核检查次数</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396个行政村县乡三级林长制监管平台、信息发布平台</w:t>
            </w:r>
          </w:p>
        </w:tc>
        <w:tc>
          <w:tcPr>
            <w:tcW w:w="5386" w:type="dxa"/>
            <w:vAlign w:val="center"/>
          </w:tcPr>
          <w:p>
            <w:pPr>
              <w:pStyle w:val="13"/>
            </w:pPr>
            <w:r>
              <w:t>反映县乡村三级林长制监管平台、信息发布平台建设维护个数</w:t>
            </w:r>
          </w:p>
        </w:tc>
        <w:tc>
          <w:tcPr>
            <w:tcW w:w="2268" w:type="dxa"/>
            <w:vAlign w:val="center"/>
          </w:tcPr>
          <w:p>
            <w:pPr>
              <w:pStyle w:val="13"/>
            </w:pPr>
            <w:r>
              <w:t>≥2个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林草湿资源调查监测</w:t>
            </w:r>
          </w:p>
        </w:tc>
        <w:tc>
          <w:tcPr>
            <w:tcW w:w="5386" w:type="dxa"/>
            <w:vAlign w:val="center"/>
          </w:tcPr>
          <w:p>
            <w:pPr>
              <w:pStyle w:val="13"/>
            </w:pPr>
            <w:r>
              <w:t>反映林草湿资源调查监测次数</w:t>
            </w:r>
          </w:p>
        </w:tc>
        <w:tc>
          <w:tcPr>
            <w:tcW w:w="2268" w:type="dxa"/>
            <w:vAlign w:val="center"/>
          </w:tcPr>
          <w:p>
            <w:pPr>
              <w:pStyle w:val="13"/>
            </w:pPr>
            <w:r>
              <w:t>≥3次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护林员培训</w:t>
            </w:r>
          </w:p>
        </w:tc>
        <w:tc>
          <w:tcPr>
            <w:tcW w:w="5386" w:type="dxa"/>
            <w:vAlign w:val="center"/>
          </w:tcPr>
          <w:p>
            <w:pPr>
              <w:pStyle w:val="13"/>
            </w:pPr>
            <w:r>
              <w:t>反映提升护林员管护水平</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林草资源调查监测完工及时率</w:t>
            </w:r>
          </w:p>
        </w:tc>
        <w:tc>
          <w:tcPr>
            <w:tcW w:w="5386" w:type="dxa"/>
            <w:vAlign w:val="center"/>
          </w:tcPr>
          <w:p>
            <w:pPr>
              <w:pStyle w:val="13"/>
            </w:pPr>
            <w:r>
              <w:t>项目在规定期限内完成的比率</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各级林长、协作单位人员、护林员会议、培训</w:t>
            </w:r>
          </w:p>
        </w:tc>
        <w:tc>
          <w:tcPr>
            <w:tcW w:w="5386" w:type="dxa"/>
            <w:vAlign w:val="center"/>
          </w:tcPr>
          <w:p>
            <w:pPr>
              <w:pStyle w:val="13"/>
            </w:pPr>
            <w:r>
              <w:t>反映各级林长、协作单位人员、护林员会议、培训成本</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县乡两级林长制监管平台、信息发布平台建设维护成本</w:t>
            </w:r>
          </w:p>
        </w:tc>
        <w:tc>
          <w:tcPr>
            <w:tcW w:w="5386" w:type="dxa"/>
            <w:vAlign w:val="center"/>
          </w:tcPr>
          <w:p>
            <w:pPr>
              <w:pStyle w:val="13"/>
            </w:pPr>
            <w:r>
              <w:t>反映县乡两级林长制监管平台、信息发布平台建设维护成本</w:t>
            </w:r>
          </w:p>
        </w:tc>
        <w:tc>
          <w:tcPr>
            <w:tcW w:w="2268" w:type="dxa"/>
            <w:vAlign w:val="center"/>
          </w:tcPr>
          <w:p>
            <w:pPr>
              <w:pStyle w:val="13"/>
            </w:pPr>
            <w:r>
              <w:t>≤18万元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反映全面推行林长制工作对森林资源保护带来的长期效果</w:t>
            </w:r>
          </w:p>
        </w:tc>
        <w:tc>
          <w:tcPr>
            <w:tcW w:w="5386" w:type="dxa"/>
            <w:vAlign w:val="center"/>
          </w:tcPr>
          <w:p>
            <w:pPr>
              <w:pStyle w:val="13"/>
            </w:pPr>
            <w:r>
              <w:t>反映全面推行林长制工作对森林资源保护带来的长期效果</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相关工作人员满意人数占总人数比率</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52、林业管理工作专项经费绩效目标表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13032124P00002610059A</w:t>
            </w:r>
          </w:p>
        </w:tc>
        <w:tc>
          <w:tcPr>
            <w:tcW w:w="2835" w:type="dxa"/>
            <w:vAlign w:val="center"/>
          </w:tcPr>
          <w:p>
            <w:pPr>
              <w:pStyle w:val="11"/>
            </w:pPr>
            <w:r>
              <w:t>项目名称</w:t>
            </w:r>
          </w:p>
        </w:tc>
        <w:tc>
          <w:tcPr>
            <w:tcW w:w="6095" w:type="dxa"/>
            <w:gridSpan w:val="3"/>
            <w:vAlign w:val="center"/>
          </w:tcPr>
          <w:p>
            <w:pPr>
              <w:pStyle w:val="13"/>
            </w:pPr>
            <w:r>
              <w:t>林业管理工作专项经费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8.14</w:t>
            </w:r>
          </w:p>
        </w:tc>
        <w:tc>
          <w:tcPr>
            <w:tcW w:w="2835" w:type="dxa"/>
            <w:vAlign w:val="center"/>
          </w:tcPr>
          <w:p>
            <w:pPr>
              <w:pStyle w:val="11"/>
            </w:pPr>
            <w:r>
              <w:t>其中：财政    资金</w:t>
            </w:r>
          </w:p>
        </w:tc>
        <w:tc>
          <w:tcPr>
            <w:tcW w:w="2551" w:type="dxa"/>
            <w:vAlign w:val="center"/>
          </w:tcPr>
          <w:p>
            <w:pPr>
              <w:pStyle w:val="13"/>
            </w:pPr>
            <w:r>
              <w:t>8.14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项目金额8.139162万元，其中财政拨款8.139162万元，主要用于购置办公固定资产。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1.通过项目实施，及时支付日常办公用品购置费。</w:t>
            </w:r>
          </w:p>
          <w:p>
            <w:pPr>
              <w:pStyle w:val="13"/>
            </w:pPr>
            <w:r>
              <w:t>2.通过项目实施，购置办公固定资产，提升职工工作效率。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空调、办公设备桌椅等</w:t>
            </w:r>
          </w:p>
        </w:tc>
        <w:tc>
          <w:tcPr>
            <w:tcW w:w="5386" w:type="dxa"/>
            <w:vAlign w:val="center"/>
          </w:tcPr>
          <w:p>
            <w:pPr>
              <w:pStyle w:val="13"/>
            </w:pPr>
            <w:r>
              <w:t>安装空调台数、购买办公桌椅、电脑套数</w:t>
            </w:r>
          </w:p>
        </w:tc>
        <w:tc>
          <w:tcPr>
            <w:tcW w:w="2268" w:type="dxa"/>
            <w:vAlign w:val="center"/>
          </w:tcPr>
          <w:p>
            <w:pPr>
              <w:pStyle w:val="13"/>
            </w:pPr>
            <w:r>
              <w:t>≥80套</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日常办公用品</w:t>
            </w:r>
          </w:p>
        </w:tc>
        <w:tc>
          <w:tcPr>
            <w:tcW w:w="5386" w:type="dxa"/>
            <w:vAlign w:val="center"/>
          </w:tcPr>
          <w:p>
            <w:pPr>
              <w:pStyle w:val="13"/>
            </w:pPr>
            <w:r>
              <w:t>购买日常办公用品消耗品</w:t>
            </w:r>
          </w:p>
        </w:tc>
        <w:tc>
          <w:tcPr>
            <w:tcW w:w="2268" w:type="dxa"/>
            <w:vAlign w:val="center"/>
          </w:tcPr>
          <w:p>
            <w:pPr>
              <w:pStyle w:val="13"/>
            </w:pPr>
            <w:r>
              <w:t>100百分比</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产品合格率</w:t>
            </w:r>
          </w:p>
        </w:tc>
        <w:tc>
          <w:tcPr>
            <w:tcW w:w="5386" w:type="dxa"/>
            <w:vAlign w:val="center"/>
          </w:tcPr>
          <w:p>
            <w:pPr>
              <w:pStyle w:val="13"/>
            </w:pPr>
            <w:r>
              <w:t>购买办公用品产品合格率</w:t>
            </w:r>
          </w:p>
        </w:tc>
        <w:tc>
          <w:tcPr>
            <w:tcW w:w="2268" w:type="dxa"/>
            <w:vAlign w:val="center"/>
          </w:tcPr>
          <w:p>
            <w:pPr>
              <w:pStyle w:val="13"/>
            </w:pPr>
            <w:r>
              <w:t>100百分比</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相应工作的完成时间</w:t>
            </w:r>
          </w:p>
        </w:tc>
        <w:tc>
          <w:tcPr>
            <w:tcW w:w="2268" w:type="dxa"/>
            <w:vAlign w:val="center"/>
          </w:tcPr>
          <w:p>
            <w:pPr>
              <w:pStyle w:val="13"/>
            </w:pPr>
            <w:r>
              <w:t>2024年6月底</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支出金额小于等于预算数</w:t>
            </w:r>
          </w:p>
        </w:tc>
        <w:tc>
          <w:tcPr>
            <w:tcW w:w="2268" w:type="dxa"/>
            <w:vAlign w:val="center"/>
          </w:tcPr>
          <w:p>
            <w:pPr>
              <w:pStyle w:val="13"/>
            </w:pPr>
            <w:r>
              <w:t>≤30万元</w:t>
            </w:r>
          </w:p>
        </w:tc>
        <w:tc>
          <w:tcPr>
            <w:tcW w:w="1276" w:type="dxa"/>
            <w:vAlign w:val="center"/>
          </w:tcPr>
          <w:p>
            <w:pPr>
              <w:pStyle w:val="13"/>
            </w:pPr>
            <w:r>
              <w:t>按实际完成值占计划完成值比例计算得分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办公效率提升率</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维护办公环境</w:t>
            </w:r>
          </w:p>
        </w:tc>
        <w:tc>
          <w:tcPr>
            <w:tcW w:w="2268" w:type="dxa"/>
            <w:vAlign w:val="center"/>
          </w:tcPr>
          <w:p>
            <w:pPr>
              <w:pStyle w:val="13"/>
            </w:pPr>
            <w:r>
              <w:t>≥95百分比</w:t>
            </w:r>
          </w:p>
        </w:tc>
        <w:tc>
          <w:tcPr>
            <w:tcW w:w="1276" w:type="dxa"/>
            <w:vAlign w:val="center"/>
          </w:tcPr>
          <w:p>
            <w:pPr>
              <w:pStyle w:val="13"/>
            </w:pPr>
            <w:r>
              <w:t>达到效果明显得满分，效果一般酌情扣分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员工满意度</w:t>
            </w:r>
          </w:p>
        </w:tc>
        <w:tc>
          <w:tcPr>
            <w:tcW w:w="5386" w:type="dxa"/>
            <w:vAlign w:val="center"/>
          </w:tcPr>
          <w:p>
            <w:pPr>
              <w:pStyle w:val="13"/>
            </w:pPr>
            <w:r>
              <w:t>员工满意度</w:t>
            </w:r>
          </w:p>
        </w:tc>
        <w:tc>
          <w:tcPr>
            <w:tcW w:w="2268" w:type="dxa"/>
            <w:vAlign w:val="center"/>
          </w:tcPr>
          <w:p>
            <w:pPr>
              <w:pStyle w:val="13"/>
            </w:pPr>
            <w:r>
              <w:t>≥95百分比</w:t>
            </w:r>
          </w:p>
        </w:tc>
        <w:tc>
          <w:tcPr>
            <w:tcW w:w="1276" w:type="dxa"/>
            <w:vAlign w:val="center"/>
          </w:tcPr>
          <w:p>
            <w:pPr>
              <w:pStyle w:val="13"/>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53、林业执法案件现场勘察费绩效目标表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13032124P00002610068J</w:t>
            </w:r>
          </w:p>
        </w:tc>
        <w:tc>
          <w:tcPr>
            <w:tcW w:w="2835" w:type="dxa"/>
            <w:vAlign w:val="center"/>
          </w:tcPr>
          <w:p>
            <w:pPr>
              <w:pStyle w:val="11"/>
            </w:pPr>
            <w:r>
              <w:t>项目名称</w:t>
            </w:r>
          </w:p>
        </w:tc>
        <w:tc>
          <w:tcPr>
            <w:tcW w:w="6095" w:type="dxa"/>
            <w:gridSpan w:val="3"/>
            <w:vAlign w:val="center"/>
          </w:tcPr>
          <w:p>
            <w:pPr>
              <w:pStyle w:val="13"/>
            </w:pPr>
            <w:r>
              <w:t>林业执法案件现场勘察费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25.44</w:t>
            </w:r>
          </w:p>
        </w:tc>
        <w:tc>
          <w:tcPr>
            <w:tcW w:w="2835" w:type="dxa"/>
            <w:vAlign w:val="center"/>
          </w:tcPr>
          <w:p>
            <w:pPr>
              <w:pStyle w:val="11"/>
            </w:pPr>
            <w:r>
              <w:t>其中：财政    资金</w:t>
            </w:r>
          </w:p>
        </w:tc>
        <w:tc>
          <w:tcPr>
            <w:tcW w:w="2551" w:type="dxa"/>
            <w:vAlign w:val="center"/>
          </w:tcPr>
          <w:p>
            <w:pPr>
              <w:pStyle w:val="13"/>
            </w:pPr>
            <w:r>
              <w:t>25.44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项目金额25.44万元，其中财政拨款25.44万元，主要用于项目实施，减少森林草原破坏，提升森林草原绿化率。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1.通过项目实施，提升执法工作效率。</w:t>
            </w:r>
          </w:p>
          <w:p>
            <w:pPr>
              <w:pStyle w:val="13"/>
            </w:pPr>
            <w:r>
              <w:t>2.通过项目实施，减少森林草原破坏，提升森林草原绿化率。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勘察频次</w:t>
            </w:r>
          </w:p>
        </w:tc>
        <w:tc>
          <w:tcPr>
            <w:tcW w:w="5386" w:type="dxa"/>
            <w:vAlign w:val="center"/>
          </w:tcPr>
          <w:p>
            <w:pPr>
              <w:pStyle w:val="13"/>
            </w:pPr>
            <w:r>
              <w:t>现场勘察频次</w:t>
            </w:r>
          </w:p>
        </w:tc>
        <w:tc>
          <w:tcPr>
            <w:tcW w:w="2268" w:type="dxa"/>
            <w:vAlign w:val="center"/>
          </w:tcPr>
          <w:p>
            <w:pPr>
              <w:pStyle w:val="13"/>
            </w:pPr>
            <w:r>
              <w:t>≥200次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勘察报告</w:t>
            </w:r>
          </w:p>
        </w:tc>
        <w:tc>
          <w:tcPr>
            <w:tcW w:w="5386" w:type="dxa"/>
            <w:vAlign w:val="center"/>
          </w:tcPr>
          <w:p>
            <w:pPr>
              <w:pStyle w:val="13"/>
            </w:pPr>
            <w:r>
              <w:t>完成勘察报告数量</w:t>
            </w:r>
          </w:p>
        </w:tc>
        <w:tc>
          <w:tcPr>
            <w:tcW w:w="2268" w:type="dxa"/>
            <w:vAlign w:val="center"/>
          </w:tcPr>
          <w:p>
            <w:pPr>
              <w:pStyle w:val="13"/>
            </w:pPr>
            <w:r>
              <w:t>≥10次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勘察覆盖率</w:t>
            </w:r>
          </w:p>
        </w:tc>
        <w:tc>
          <w:tcPr>
            <w:tcW w:w="5386" w:type="dxa"/>
            <w:vAlign w:val="center"/>
          </w:tcPr>
          <w:p>
            <w:pPr>
              <w:pStyle w:val="13"/>
            </w:pPr>
            <w:r>
              <w:t>全县勘察覆盖率</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勘察任务按时完成率</w:t>
            </w:r>
          </w:p>
        </w:tc>
        <w:tc>
          <w:tcPr>
            <w:tcW w:w="5386" w:type="dxa"/>
            <w:vAlign w:val="center"/>
          </w:tcPr>
          <w:p>
            <w:pPr>
              <w:pStyle w:val="13"/>
            </w:pPr>
            <w:r>
              <w:t>全县勘察按时完成率</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现场鉴定书</w:t>
            </w:r>
          </w:p>
        </w:tc>
        <w:tc>
          <w:tcPr>
            <w:tcW w:w="5386" w:type="dxa"/>
            <w:vAlign w:val="center"/>
          </w:tcPr>
          <w:p>
            <w:pPr>
              <w:pStyle w:val="13"/>
            </w:pPr>
            <w:r>
              <w:t>第三方出具每个现场鉴定书</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勘察所需差旅费支出</w:t>
            </w:r>
          </w:p>
        </w:tc>
        <w:tc>
          <w:tcPr>
            <w:tcW w:w="2268" w:type="dxa"/>
            <w:vAlign w:val="center"/>
          </w:tcPr>
          <w:p>
            <w:pPr>
              <w:pStyle w:val="13"/>
            </w:pPr>
            <w:r>
              <w:t>≤10万元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组卷完成率</w:t>
            </w:r>
          </w:p>
        </w:tc>
        <w:tc>
          <w:tcPr>
            <w:tcW w:w="5386" w:type="dxa"/>
            <w:vAlign w:val="center"/>
          </w:tcPr>
          <w:p>
            <w:pPr>
              <w:pStyle w:val="13"/>
            </w:pPr>
            <w:r>
              <w:t>行政处罚组卷完成情况</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减少森林草原破坏</w:t>
            </w:r>
          </w:p>
        </w:tc>
        <w:tc>
          <w:tcPr>
            <w:tcW w:w="5386" w:type="dxa"/>
            <w:vAlign w:val="center"/>
          </w:tcPr>
          <w:p>
            <w:pPr>
              <w:pStyle w:val="13"/>
            </w:pPr>
            <w:r>
              <w:t>减少森林草原破坏率</w:t>
            </w:r>
          </w:p>
        </w:tc>
        <w:tc>
          <w:tcPr>
            <w:tcW w:w="2268" w:type="dxa"/>
            <w:vAlign w:val="center"/>
          </w:tcPr>
          <w:p>
            <w:pPr>
              <w:pStyle w:val="13"/>
            </w:pPr>
            <w:r>
              <w:t>≤5百分比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整改情况</w:t>
            </w:r>
          </w:p>
        </w:tc>
        <w:tc>
          <w:tcPr>
            <w:tcW w:w="5386" w:type="dxa"/>
            <w:vAlign w:val="center"/>
          </w:tcPr>
          <w:p>
            <w:pPr>
              <w:pStyle w:val="13"/>
            </w:pPr>
            <w:r>
              <w:t>勘察结果整改情况完成率</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受查群众、企业满意度</w:t>
            </w:r>
          </w:p>
        </w:tc>
        <w:tc>
          <w:tcPr>
            <w:tcW w:w="5386" w:type="dxa"/>
            <w:vAlign w:val="center"/>
          </w:tcPr>
          <w:p>
            <w:pPr>
              <w:pStyle w:val="13"/>
            </w:pPr>
            <w:r>
              <w:t>执法人员投诉情况</w:t>
            </w:r>
          </w:p>
        </w:tc>
        <w:tc>
          <w:tcPr>
            <w:tcW w:w="2268" w:type="dxa"/>
            <w:vAlign w:val="center"/>
          </w:tcPr>
          <w:p>
            <w:pPr>
              <w:pStyle w:val="13"/>
            </w:pPr>
            <w:r>
              <w:t>≤10次</w:t>
            </w:r>
          </w:p>
        </w:tc>
        <w:tc>
          <w:tcPr>
            <w:tcW w:w="1276" w:type="dxa"/>
            <w:vAlign w:val="center"/>
          </w:tcPr>
          <w:p>
            <w:pPr>
              <w:pStyle w:val="13"/>
            </w:pPr>
            <w:r>
              <w:t>按调查结果满意度情况计算得分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54、南山公园管护、养护及设施维修绩效目标表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13032124P000026100619</w:t>
            </w:r>
          </w:p>
        </w:tc>
        <w:tc>
          <w:tcPr>
            <w:tcW w:w="2835" w:type="dxa"/>
            <w:vAlign w:val="center"/>
          </w:tcPr>
          <w:p>
            <w:pPr>
              <w:pStyle w:val="11"/>
            </w:pPr>
            <w:r>
              <w:t>项目名称</w:t>
            </w:r>
          </w:p>
        </w:tc>
        <w:tc>
          <w:tcPr>
            <w:tcW w:w="6095" w:type="dxa"/>
            <w:gridSpan w:val="3"/>
            <w:vAlign w:val="center"/>
          </w:tcPr>
          <w:p>
            <w:pPr>
              <w:pStyle w:val="13"/>
            </w:pPr>
            <w:r>
              <w:t>南山公园管护、养护及设施维修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项目资金60万元，其中财政拨款60万元，主要用于南山公园绿化养护，提升环境美化。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1.通过项目实施，完善南山公园绿化，提升环境美化。</w:t>
            </w:r>
          </w:p>
          <w:p>
            <w:pPr>
              <w:pStyle w:val="13"/>
            </w:pPr>
            <w:r>
              <w:t>2.通过项目实施，提高推广维修南山森林公园基础公共设施，提供良好服务。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维修路灯数量</w:t>
            </w:r>
          </w:p>
        </w:tc>
        <w:tc>
          <w:tcPr>
            <w:tcW w:w="5386" w:type="dxa"/>
            <w:vAlign w:val="center"/>
          </w:tcPr>
          <w:p>
            <w:pPr>
              <w:pStyle w:val="13"/>
            </w:pPr>
            <w:r>
              <w:t>维修路灯数量</w:t>
            </w:r>
          </w:p>
        </w:tc>
        <w:tc>
          <w:tcPr>
            <w:tcW w:w="2268" w:type="dxa"/>
            <w:vAlign w:val="center"/>
          </w:tcPr>
          <w:p>
            <w:pPr>
              <w:pStyle w:val="13"/>
            </w:pPr>
            <w:r>
              <w:t>≥50套</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维修面积</w:t>
            </w:r>
          </w:p>
        </w:tc>
        <w:tc>
          <w:tcPr>
            <w:tcW w:w="5386" w:type="dxa"/>
            <w:vAlign w:val="center"/>
          </w:tcPr>
          <w:p>
            <w:pPr>
              <w:pStyle w:val="13"/>
            </w:pPr>
            <w:r>
              <w:t>维护维修面积</w:t>
            </w:r>
          </w:p>
        </w:tc>
        <w:tc>
          <w:tcPr>
            <w:tcW w:w="2268" w:type="dxa"/>
            <w:vAlign w:val="center"/>
          </w:tcPr>
          <w:p>
            <w:pPr>
              <w:pStyle w:val="13"/>
            </w:pPr>
            <w:r>
              <w:t>≤100平方米</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符合条件审核合格率</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按计划进行</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完成时效性</w:t>
            </w:r>
          </w:p>
        </w:tc>
        <w:tc>
          <w:tcPr>
            <w:tcW w:w="5386" w:type="dxa"/>
            <w:vAlign w:val="center"/>
          </w:tcPr>
          <w:p>
            <w:pPr>
              <w:pStyle w:val="13"/>
            </w:pPr>
            <w:r>
              <w:tab/>
            </w:r>
            <w:r>
              <w:t>及时修复率</w:t>
            </w:r>
          </w:p>
        </w:tc>
        <w:tc>
          <w:tcPr>
            <w:tcW w:w="2268" w:type="dxa"/>
            <w:vAlign w:val="center"/>
          </w:tcPr>
          <w:p>
            <w:pPr>
              <w:pStyle w:val="13"/>
            </w:pPr>
            <w:r>
              <w:t>3个工作日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维修成本</w:t>
            </w:r>
          </w:p>
        </w:tc>
        <w:tc>
          <w:tcPr>
            <w:tcW w:w="5386" w:type="dxa"/>
            <w:vAlign w:val="center"/>
          </w:tcPr>
          <w:p>
            <w:pPr>
              <w:pStyle w:val="13"/>
            </w:pPr>
            <w:r>
              <w:t>对成本进行严格控制</w:t>
            </w:r>
          </w:p>
        </w:tc>
        <w:tc>
          <w:tcPr>
            <w:tcW w:w="2268" w:type="dxa"/>
            <w:vAlign w:val="center"/>
          </w:tcPr>
          <w:p>
            <w:pPr>
              <w:pStyle w:val="13"/>
            </w:pPr>
            <w:r>
              <w:t>≤15百分比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幸福感</w:t>
            </w:r>
          </w:p>
        </w:tc>
        <w:tc>
          <w:tcPr>
            <w:tcW w:w="5386" w:type="dxa"/>
            <w:vAlign w:val="center"/>
          </w:tcPr>
          <w:p>
            <w:pPr>
              <w:pStyle w:val="13"/>
            </w:pPr>
            <w:r>
              <w:t>提幸福感</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提高环境保护性</w:t>
            </w:r>
          </w:p>
        </w:tc>
        <w:tc>
          <w:tcPr>
            <w:tcW w:w="5386" w:type="dxa"/>
            <w:vAlign w:val="center"/>
          </w:tcPr>
          <w:p>
            <w:pPr>
              <w:pStyle w:val="13"/>
            </w:pPr>
            <w:r>
              <w:t>提高生态环境保护管理服务</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符合条件群众满意度</w:t>
            </w:r>
          </w:p>
        </w:tc>
        <w:tc>
          <w:tcPr>
            <w:tcW w:w="2268" w:type="dxa"/>
            <w:vAlign w:val="center"/>
          </w:tcPr>
          <w:p>
            <w:pPr>
              <w:pStyle w:val="13"/>
            </w:pPr>
            <w:r>
              <w:t>≥90百分比</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55、南山公园管护项目资金绩效目标表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13032125P00329810008Y</w:t>
            </w:r>
          </w:p>
        </w:tc>
        <w:tc>
          <w:tcPr>
            <w:tcW w:w="2835" w:type="dxa"/>
            <w:vAlign w:val="center"/>
          </w:tcPr>
          <w:p>
            <w:pPr>
              <w:pStyle w:val="11"/>
            </w:pPr>
            <w:r>
              <w:t>项目名称</w:t>
            </w:r>
          </w:p>
        </w:tc>
        <w:tc>
          <w:tcPr>
            <w:tcW w:w="6095" w:type="dxa"/>
            <w:gridSpan w:val="3"/>
            <w:vAlign w:val="center"/>
          </w:tcPr>
          <w:p>
            <w:pPr>
              <w:pStyle w:val="13"/>
            </w:pPr>
            <w:r>
              <w:t>南山公园管护项目资金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项目金额150万元，其中财政拨款150万元，主要用于对保洁人员费用及时准有发放，有利地保障南山森林公园环境卫生保洁清运服务正常运转。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1.通过对保洁人员费用及时准有发放，有利地保障南山森林公园环境卫生保洁清运服务正常运转。</w:t>
            </w:r>
          </w:p>
          <w:p>
            <w:pPr>
              <w:pStyle w:val="13"/>
            </w:pPr>
            <w:r>
              <w:t>2.通过对服务范围为道路清扫保洁、小广告的清理、4个水冲公厕的卫生保洁、垃圾的收集和清运；保证公园环境卫生干净整洁。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负责清洁人员的数量</w:t>
            </w:r>
          </w:p>
        </w:tc>
        <w:tc>
          <w:tcPr>
            <w:tcW w:w="2268" w:type="dxa"/>
            <w:vAlign w:val="center"/>
          </w:tcPr>
          <w:p>
            <w:pPr>
              <w:pStyle w:val="13"/>
            </w:pPr>
            <w:r>
              <w:t>34人</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南山森林公园的面积</w:t>
            </w:r>
          </w:p>
        </w:tc>
        <w:tc>
          <w:tcPr>
            <w:tcW w:w="5386" w:type="dxa"/>
            <w:vAlign w:val="center"/>
          </w:tcPr>
          <w:p>
            <w:pPr>
              <w:pStyle w:val="13"/>
            </w:pPr>
            <w:r>
              <w:t>主城区的面积</w:t>
            </w:r>
          </w:p>
        </w:tc>
        <w:tc>
          <w:tcPr>
            <w:tcW w:w="2268" w:type="dxa"/>
            <w:vAlign w:val="center"/>
          </w:tcPr>
          <w:p>
            <w:pPr>
              <w:pStyle w:val="13"/>
            </w:pPr>
            <w:r>
              <w:t>≥110万平方米</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水冲公厕的数量</w:t>
            </w:r>
          </w:p>
        </w:tc>
        <w:tc>
          <w:tcPr>
            <w:tcW w:w="5386" w:type="dxa"/>
            <w:vAlign w:val="center"/>
          </w:tcPr>
          <w:p>
            <w:pPr>
              <w:pStyle w:val="13"/>
            </w:pPr>
            <w:r>
              <w:t>水冲公厕的数量</w:t>
            </w:r>
          </w:p>
        </w:tc>
        <w:tc>
          <w:tcPr>
            <w:tcW w:w="2268" w:type="dxa"/>
            <w:vAlign w:val="center"/>
          </w:tcPr>
          <w:p>
            <w:pPr>
              <w:pStyle w:val="13"/>
            </w:pPr>
            <w:r>
              <w:t>4个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正确支付资金的数额占总数额的比</w:t>
            </w:r>
          </w:p>
        </w:tc>
        <w:tc>
          <w:tcPr>
            <w:tcW w:w="2268" w:type="dxa"/>
            <w:vAlign w:val="center"/>
          </w:tcPr>
          <w:p>
            <w:pPr>
              <w:pStyle w:val="13"/>
            </w:pPr>
            <w:r>
              <w:t>≥98百分比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按目标任务按时间节点完成</w:t>
            </w:r>
          </w:p>
        </w:tc>
        <w:tc>
          <w:tcPr>
            <w:tcW w:w="2268" w:type="dxa"/>
            <w:vAlign w:val="center"/>
          </w:tcPr>
          <w:p>
            <w:pPr>
              <w:pStyle w:val="13"/>
            </w:pPr>
            <w:r>
              <w:t>2025年底</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每个服务周期成本控制数</w:t>
            </w:r>
          </w:p>
        </w:tc>
        <w:tc>
          <w:tcPr>
            <w:tcW w:w="2268" w:type="dxa"/>
            <w:vAlign w:val="center"/>
          </w:tcPr>
          <w:p>
            <w:pPr>
              <w:pStyle w:val="13"/>
            </w:pPr>
            <w:r>
              <w:t>≤150万元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减少垃圾污染，提高环境质量</w:t>
            </w:r>
          </w:p>
        </w:tc>
        <w:tc>
          <w:tcPr>
            <w:tcW w:w="5386" w:type="dxa"/>
            <w:vAlign w:val="center"/>
          </w:tcPr>
          <w:p>
            <w:pPr>
              <w:pStyle w:val="13"/>
            </w:pPr>
            <w:r>
              <w:t>减少垃圾污染，提高生活环境质量</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持续改善人居环境，促进农村社会协调发展</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保洁人员满意度</w:t>
            </w:r>
          </w:p>
        </w:tc>
        <w:tc>
          <w:tcPr>
            <w:tcW w:w="5386" w:type="dxa"/>
            <w:vAlign w:val="center"/>
          </w:tcPr>
          <w:p>
            <w:pPr>
              <w:pStyle w:val="13"/>
            </w:pPr>
            <w:r>
              <w:t>保洁人员满意数量占总数的比例。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56、南山森林公园发展规划编制费绩效目标表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13032125P00329910008L</w:t>
            </w:r>
          </w:p>
        </w:tc>
        <w:tc>
          <w:tcPr>
            <w:tcW w:w="2835" w:type="dxa"/>
            <w:vAlign w:val="center"/>
          </w:tcPr>
          <w:p>
            <w:pPr>
              <w:pStyle w:val="11"/>
            </w:pPr>
            <w:r>
              <w:t>项目名称</w:t>
            </w:r>
          </w:p>
        </w:tc>
        <w:tc>
          <w:tcPr>
            <w:tcW w:w="6095" w:type="dxa"/>
            <w:gridSpan w:val="3"/>
            <w:vAlign w:val="center"/>
          </w:tcPr>
          <w:p>
            <w:pPr>
              <w:pStyle w:val="13"/>
            </w:pPr>
            <w:r>
              <w:t>南山森林公园发展规划编制费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w:t>
            </w:r>
          </w:p>
        </w:tc>
        <w:tc>
          <w:tcPr>
            <w:tcW w:w="2835" w:type="dxa"/>
            <w:vAlign w:val="center"/>
          </w:tcPr>
          <w:p>
            <w:pPr>
              <w:pStyle w:val="11"/>
            </w:pPr>
            <w:r>
              <w:t>其中：财政    资金</w:t>
            </w:r>
          </w:p>
        </w:tc>
        <w:tc>
          <w:tcPr>
            <w:tcW w:w="2551" w:type="dxa"/>
            <w:vAlign w:val="center"/>
          </w:tcPr>
          <w:p>
            <w:pPr>
              <w:pStyle w:val="13"/>
            </w:pPr>
            <w:r>
              <w:t>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项目金额5.5万元，其中财政拨款5.5万元，主要用于开展此项活动，有效地保护南山森林公园保护地。</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1.通过开展此项活动，有效地保护南山森林公园保护地。</w:t>
            </w:r>
            <w:r>
              <w:tab/>
            </w:r>
            <w:r>
              <w:tab/>
            </w:r>
            <w:r>
              <w:tab/>
            </w:r>
            <w:r>
              <w:tab/>
            </w:r>
            <w:r>
              <w:tab/>
            </w:r>
            <w:r>
              <w:tab/>
            </w:r>
          </w:p>
          <w:p>
            <w:pPr>
              <w:pStyle w:val="13"/>
            </w:pPr>
          </w:p>
          <w:p>
            <w:pPr>
              <w:pStyle w:val="13"/>
            </w:pPr>
            <w:r>
              <w:t>2.通过开展此项活动，有效地开发利用南山森林公园保护地资源。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编制调查面积</w:t>
            </w:r>
          </w:p>
        </w:tc>
        <w:tc>
          <w:tcPr>
            <w:tcW w:w="5386" w:type="dxa"/>
            <w:vAlign w:val="center"/>
          </w:tcPr>
          <w:p>
            <w:pPr>
              <w:pStyle w:val="13"/>
            </w:pPr>
            <w:r>
              <w:t>编制调查面积</w:t>
            </w:r>
          </w:p>
        </w:tc>
        <w:tc>
          <w:tcPr>
            <w:tcW w:w="2268" w:type="dxa"/>
            <w:vAlign w:val="center"/>
          </w:tcPr>
          <w:p>
            <w:pPr>
              <w:pStyle w:val="13"/>
            </w:pPr>
            <w:r>
              <w:t>≥12.5公顷</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规划编制成果数量</w:t>
            </w:r>
          </w:p>
        </w:tc>
        <w:tc>
          <w:tcPr>
            <w:tcW w:w="5386" w:type="dxa"/>
            <w:vAlign w:val="center"/>
          </w:tcPr>
          <w:p>
            <w:pPr>
              <w:pStyle w:val="13"/>
            </w:pPr>
            <w:r>
              <w:t>规划编制成果数量情况</w:t>
            </w:r>
          </w:p>
        </w:tc>
        <w:tc>
          <w:tcPr>
            <w:tcW w:w="2268" w:type="dxa"/>
            <w:vAlign w:val="center"/>
          </w:tcPr>
          <w:p>
            <w:pPr>
              <w:pStyle w:val="13"/>
            </w:pPr>
            <w:r>
              <w:t>≥1本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规划成果验收合格率</w:t>
            </w:r>
          </w:p>
        </w:tc>
        <w:tc>
          <w:tcPr>
            <w:tcW w:w="5386" w:type="dxa"/>
            <w:vAlign w:val="center"/>
          </w:tcPr>
          <w:p>
            <w:pPr>
              <w:pStyle w:val="13"/>
            </w:pPr>
            <w:r>
              <w:t>反映规划成果验收合格情况</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规划编制时间</w:t>
            </w:r>
          </w:p>
        </w:tc>
        <w:tc>
          <w:tcPr>
            <w:tcW w:w="5386" w:type="dxa"/>
            <w:vAlign w:val="center"/>
          </w:tcPr>
          <w:p>
            <w:pPr>
              <w:pStyle w:val="13"/>
            </w:pPr>
            <w:r>
              <w:t>总体规划编制成果完成时间</w:t>
            </w:r>
          </w:p>
        </w:tc>
        <w:tc>
          <w:tcPr>
            <w:tcW w:w="2268" w:type="dxa"/>
            <w:vAlign w:val="center"/>
          </w:tcPr>
          <w:p>
            <w:pPr>
              <w:pStyle w:val="13"/>
            </w:pPr>
            <w:r>
              <w:t>已完成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规划编制费</w:t>
            </w:r>
          </w:p>
        </w:tc>
        <w:tc>
          <w:tcPr>
            <w:tcW w:w="5386" w:type="dxa"/>
            <w:vAlign w:val="center"/>
          </w:tcPr>
          <w:p>
            <w:pPr>
              <w:pStyle w:val="13"/>
            </w:pPr>
            <w:r>
              <w:t>聘请第三方机构规划编制费用</w:t>
            </w:r>
          </w:p>
        </w:tc>
        <w:tc>
          <w:tcPr>
            <w:tcW w:w="2268" w:type="dxa"/>
            <w:vAlign w:val="center"/>
          </w:tcPr>
          <w:p>
            <w:pPr>
              <w:pStyle w:val="13"/>
            </w:pPr>
            <w:r>
              <w:t>≤5.5万元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自然保护区后续发展指导性</w:t>
            </w:r>
          </w:p>
        </w:tc>
        <w:tc>
          <w:tcPr>
            <w:tcW w:w="5386" w:type="dxa"/>
            <w:vAlign w:val="center"/>
          </w:tcPr>
          <w:p>
            <w:pPr>
              <w:pStyle w:val="13"/>
            </w:pPr>
            <w:r>
              <w:t>自然保护区后续发展指导作用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规划期蓄积增长量</w:t>
            </w:r>
          </w:p>
        </w:tc>
        <w:tc>
          <w:tcPr>
            <w:tcW w:w="5386" w:type="dxa"/>
            <w:vAlign w:val="center"/>
          </w:tcPr>
          <w:p>
            <w:pPr>
              <w:pStyle w:val="13"/>
            </w:pPr>
            <w:r>
              <w:t>规划期林木蓄积增长量</w:t>
            </w:r>
          </w:p>
        </w:tc>
        <w:tc>
          <w:tcPr>
            <w:tcW w:w="2268" w:type="dxa"/>
            <w:vAlign w:val="center"/>
          </w:tcPr>
          <w:p>
            <w:pPr>
              <w:pStyle w:val="13"/>
            </w:pPr>
            <w:r>
              <w:t>≥150立方</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通过问卷调查。满意和比较满意的对象占比率</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57、南山森林公园防火监控及广播服务费绩效目标表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13032125P00330610007N</w:t>
            </w:r>
          </w:p>
        </w:tc>
        <w:tc>
          <w:tcPr>
            <w:tcW w:w="2835" w:type="dxa"/>
            <w:vAlign w:val="center"/>
          </w:tcPr>
          <w:p>
            <w:pPr>
              <w:pStyle w:val="11"/>
            </w:pPr>
            <w:r>
              <w:t>项目名称</w:t>
            </w:r>
          </w:p>
        </w:tc>
        <w:tc>
          <w:tcPr>
            <w:tcW w:w="6095" w:type="dxa"/>
            <w:gridSpan w:val="3"/>
            <w:vAlign w:val="center"/>
          </w:tcPr>
          <w:p>
            <w:pPr>
              <w:pStyle w:val="13"/>
            </w:pPr>
            <w:r>
              <w:t>南山森林公园防火监控及广播服务费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项目金额16万元，其中财政拨款16万元，主要用于购买森林防火视频监控系统服务，在全县范围内进行林业防火监控，实现及时发现火情。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1.通过开展此项工作，购买森林防火视频监控系统服务，在全县范围内进行林业防火监控，实现及时发现火情。</w:t>
            </w:r>
          </w:p>
          <w:p>
            <w:pPr>
              <w:pStyle w:val="13"/>
            </w:pPr>
            <w:r>
              <w:t>2.通过开展此项工作，视频监控系统服务，提高日常火灾预警能力，达到降低火灾损失的效果。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安装广播数</w:t>
            </w:r>
          </w:p>
        </w:tc>
        <w:tc>
          <w:tcPr>
            <w:tcW w:w="5386" w:type="dxa"/>
            <w:vAlign w:val="center"/>
          </w:tcPr>
          <w:p>
            <w:pPr>
              <w:pStyle w:val="13"/>
            </w:pPr>
            <w:r>
              <w:t>用于提供南山森林公园防火宣传广播个数</w:t>
            </w:r>
          </w:p>
        </w:tc>
        <w:tc>
          <w:tcPr>
            <w:tcW w:w="2268" w:type="dxa"/>
            <w:vAlign w:val="center"/>
          </w:tcPr>
          <w:p>
            <w:pPr>
              <w:pStyle w:val="13"/>
            </w:pPr>
            <w:r>
              <w:t>≥250个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安装视频监控数</w:t>
            </w:r>
          </w:p>
        </w:tc>
        <w:tc>
          <w:tcPr>
            <w:tcW w:w="5386" w:type="dxa"/>
            <w:vAlign w:val="center"/>
          </w:tcPr>
          <w:p>
            <w:pPr>
              <w:pStyle w:val="13"/>
            </w:pPr>
            <w:r>
              <w:t>用于提供南山森林公园防火视频监控的数量</w:t>
            </w:r>
          </w:p>
        </w:tc>
        <w:tc>
          <w:tcPr>
            <w:tcW w:w="2268" w:type="dxa"/>
            <w:vAlign w:val="center"/>
          </w:tcPr>
          <w:p>
            <w:pPr>
              <w:pStyle w:val="13"/>
            </w:pPr>
            <w:r>
              <w:t>≥50个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提供防火视频监控系统合格率</w:t>
            </w:r>
          </w:p>
        </w:tc>
        <w:tc>
          <w:tcPr>
            <w:tcW w:w="5386" w:type="dxa"/>
            <w:vAlign w:val="center"/>
          </w:tcPr>
          <w:p>
            <w:pPr>
              <w:pStyle w:val="13"/>
            </w:pPr>
            <w:r>
              <w:t>提供防火视频监控系统合格率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2025年10月底前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≤16万元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及时发现火情</w:t>
            </w:r>
          </w:p>
        </w:tc>
        <w:tc>
          <w:tcPr>
            <w:tcW w:w="5386" w:type="dxa"/>
            <w:vAlign w:val="center"/>
          </w:tcPr>
          <w:p>
            <w:pPr>
              <w:pStyle w:val="13"/>
            </w:pPr>
            <w:r>
              <w:t>减少出现较大以上火灾</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避免伤亡事故</w:t>
            </w:r>
          </w:p>
        </w:tc>
        <w:tc>
          <w:tcPr>
            <w:tcW w:w="5386" w:type="dxa"/>
            <w:vAlign w:val="center"/>
          </w:tcPr>
          <w:p>
            <w:pPr>
              <w:pStyle w:val="13"/>
            </w:pPr>
            <w:r>
              <w:t>避免出现重大伤亡事故</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58、南山森林公园抚育项目绩效目标表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13032124P00002610051D</w:t>
            </w:r>
          </w:p>
        </w:tc>
        <w:tc>
          <w:tcPr>
            <w:tcW w:w="2835" w:type="dxa"/>
            <w:vAlign w:val="center"/>
          </w:tcPr>
          <w:p>
            <w:pPr>
              <w:pStyle w:val="11"/>
            </w:pPr>
            <w:r>
              <w:t>项目名称</w:t>
            </w:r>
          </w:p>
        </w:tc>
        <w:tc>
          <w:tcPr>
            <w:tcW w:w="6095" w:type="dxa"/>
            <w:gridSpan w:val="3"/>
            <w:vAlign w:val="center"/>
          </w:tcPr>
          <w:p>
            <w:pPr>
              <w:pStyle w:val="13"/>
            </w:pPr>
            <w:r>
              <w:t>南山森林公园抚育项目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26.67</w:t>
            </w:r>
          </w:p>
        </w:tc>
        <w:tc>
          <w:tcPr>
            <w:tcW w:w="2835" w:type="dxa"/>
            <w:vAlign w:val="center"/>
          </w:tcPr>
          <w:p>
            <w:pPr>
              <w:pStyle w:val="11"/>
            </w:pPr>
            <w:r>
              <w:t>其中：财政    资金</w:t>
            </w:r>
          </w:p>
        </w:tc>
        <w:tc>
          <w:tcPr>
            <w:tcW w:w="2551" w:type="dxa"/>
            <w:vAlign w:val="center"/>
          </w:tcPr>
          <w:p>
            <w:pPr>
              <w:pStyle w:val="13"/>
            </w:pPr>
            <w:r>
              <w:t>26.67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项目金额26.67万元，其中财政拨款26.67万元，主要用于采取割灌方法除去影响树木生长的灌木，去除周边杂草，消除火灾隐患。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1.通过项目实施，去除枯死树枝，提高树枝成活率，美化环境。</w:t>
            </w:r>
          </w:p>
          <w:p>
            <w:pPr>
              <w:pStyle w:val="13"/>
            </w:pPr>
            <w:r>
              <w:t>2.通过项目实施，采取割灌方法除去影响树木生长的灌木，去除周边杂草，消除火灾隐患。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森林抚育补贴补助标准</w:t>
            </w:r>
          </w:p>
        </w:tc>
        <w:tc>
          <w:tcPr>
            <w:tcW w:w="5386" w:type="dxa"/>
            <w:vAlign w:val="center"/>
          </w:tcPr>
          <w:p>
            <w:pPr>
              <w:pStyle w:val="13"/>
            </w:pPr>
            <w:r>
              <w:t>森林抚育补贴补助标准</w:t>
            </w:r>
          </w:p>
        </w:tc>
        <w:tc>
          <w:tcPr>
            <w:tcW w:w="2268" w:type="dxa"/>
            <w:vAlign w:val="center"/>
          </w:tcPr>
          <w:p>
            <w:pPr>
              <w:pStyle w:val="13"/>
            </w:pPr>
            <w:r>
              <w:t>200元/亩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施工面积</w:t>
            </w:r>
          </w:p>
        </w:tc>
        <w:tc>
          <w:tcPr>
            <w:tcW w:w="5386" w:type="dxa"/>
            <w:vAlign w:val="center"/>
          </w:tcPr>
          <w:p>
            <w:pPr>
              <w:pStyle w:val="13"/>
            </w:pPr>
            <w:r>
              <w:t>抚育施工面积</w:t>
            </w:r>
          </w:p>
        </w:tc>
        <w:tc>
          <w:tcPr>
            <w:tcW w:w="2268" w:type="dxa"/>
            <w:vAlign w:val="center"/>
          </w:tcPr>
          <w:p>
            <w:pPr>
              <w:pStyle w:val="13"/>
            </w:pPr>
            <w:r>
              <w:t>1263亩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质量验收</w:t>
            </w:r>
          </w:p>
        </w:tc>
        <w:tc>
          <w:tcPr>
            <w:tcW w:w="5386" w:type="dxa"/>
            <w:vAlign w:val="center"/>
          </w:tcPr>
          <w:p>
            <w:pPr>
              <w:pStyle w:val="13"/>
            </w:pPr>
            <w:r>
              <w:t>达到验收合格</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付款时间</w:t>
            </w:r>
          </w:p>
        </w:tc>
        <w:tc>
          <w:tcPr>
            <w:tcW w:w="5386" w:type="dxa"/>
            <w:vAlign w:val="center"/>
          </w:tcPr>
          <w:p>
            <w:pPr>
              <w:pStyle w:val="13"/>
            </w:pPr>
            <w:r>
              <w:t>实际付款时间</w:t>
            </w:r>
          </w:p>
        </w:tc>
        <w:tc>
          <w:tcPr>
            <w:tcW w:w="2268" w:type="dxa"/>
            <w:vAlign w:val="center"/>
          </w:tcPr>
          <w:p>
            <w:pPr>
              <w:pStyle w:val="13"/>
            </w:pPr>
            <w:r>
              <w:t>出具验收报告</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≤26.67万元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森林覆盖率</w:t>
            </w:r>
          </w:p>
        </w:tc>
        <w:tc>
          <w:tcPr>
            <w:tcW w:w="5386" w:type="dxa"/>
            <w:vAlign w:val="center"/>
          </w:tcPr>
          <w:p>
            <w:pPr>
              <w:pStyle w:val="13"/>
            </w:pPr>
            <w:r>
              <w:t>美化环境，提升绿色森林覆盖率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火灾发生次数</w:t>
            </w:r>
          </w:p>
        </w:tc>
        <w:tc>
          <w:tcPr>
            <w:tcW w:w="5386" w:type="dxa"/>
            <w:vAlign w:val="center"/>
          </w:tcPr>
          <w:p>
            <w:pPr>
              <w:pStyle w:val="13"/>
            </w:pPr>
            <w:r>
              <w:t>减少火灾发生次数</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59、南山森林公园基础设施维护维修项目绩效目标表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13032124P000026100548</w:t>
            </w:r>
          </w:p>
        </w:tc>
        <w:tc>
          <w:tcPr>
            <w:tcW w:w="2835" w:type="dxa"/>
            <w:vAlign w:val="center"/>
          </w:tcPr>
          <w:p>
            <w:pPr>
              <w:pStyle w:val="11"/>
            </w:pPr>
            <w:r>
              <w:t>项目名称</w:t>
            </w:r>
          </w:p>
        </w:tc>
        <w:tc>
          <w:tcPr>
            <w:tcW w:w="6095" w:type="dxa"/>
            <w:gridSpan w:val="3"/>
            <w:vAlign w:val="center"/>
          </w:tcPr>
          <w:p>
            <w:pPr>
              <w:pStyle w:val="13"/>
            </w:pPr>
            <w:r>
              <w:t>南山森林公园基础设施维护维修项目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4.17</w:t>
            </w:r>
          </w:p>
        </w:tc>
        <w:tc>
          <w:tcPr>
            <w:tcW w:w="2835" w:type="dxa"/>
            <w:vAlign w:val="center"/>
          </w:tcPr>
          <w:p>
            <w:pPr>
              <w:pStyle w:val="11"/>
            </w:pPr>
            <w:r>
              <w:t>其中：财政    资金</w:t>
            </w:r>
          </w:p>
        </w:tc>
        <w:tc>
          <w:tcPr>
            <w:tcW w:w="2551" w:type="dxa"/>
            <w:vAlign w:val="center"/>
          </w:tcPr>
          <w:p>
            <w:pPr>
              <w:pStyle w:val="13"/>
            </w:pPr>
            <w:r>
              <w:t>4.17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项目资金4.170215万元，其中财政拨款4.170215万元，主要用于南山森林公园设备和基础设施维修维护。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1.通过项目实施，维修南山森林公园基础公共设施，提供良好服务。</w:t>
            </w:r>
          </w:p>
          <w:p>
            <w:pPr>
              <w:pStyle w:val="13"/>
            </w:pPr>
            <w:r>
              <w:t>2.通过项目实施，对南山森林公园内设备进行维修，改善南山森林公园环境。</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维修路灯数量</w:t>
            </w:r>
          </w:p>
        </w:tc>
        <w:tc>
          <w:tcPr>
            <w:tcW w:w="5386" w:type="dxa"/>
            <w:vAlign w:val="center"/>
          </w:tcPr>
          <w:p>
            <w:pPr>
              <w:pStyle w:val="13"/>
            </w:pPr>
            <w:r>
              <w:t>维修路灯数量</w:t>
            </w:r>
          </w:p>
        </w:tc>
        <w:tc>
          <w:tcPr>
            <w:tcW w:w="2268" w:type="dxa"/>
            <w:vAlign w:val="center"/>
          </w:tcPr>
          <w:p>
            <w:pPr>
              <w:pStyle w:val="13"/>
            </w:pPr>
            <w:r>
              <w:t>≥50套</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维修面积</w:t>
            </w:r>
          </w:p>
        </w:tc>
        <w:tc>
          <w:tcPr>
            <w:tcW w:w="5386" w:type="dxa"/>
            <w:vAlign w:val="center"/>
          </w:tcPr>
          <w:p>
            <w:pPr>
              <w:pStyle w:val="13"/>
            </w:pPr>
            <w:r>
              <w:t>维护维修面积</w:t>
            </w:r>
          </w:p>
        </w:tc>
        <w:tc>
          <w:tcPr>
            <w:tcW w:w="2268" w:type="dxa"/>
            <w:vAlign w:val="center"/>
          </w:tcPr>
          <w:p>
            <w:pPr>
              <w:pStyle w:val="13"/>
            </w:pPr>
            <w:r>
              <w:t>≤100平方米</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符合条件审核合格率</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按计划进行</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完成时效性</w:t>
            </w:r>
          </w:p>
        </w:tc>
        <w:tc>
          <w:tcPr>
            <w:tcW w:w="5386" w:type="dxa"/>
            <w:vAlign w:val="center"/>
          </w:tcPr>
          <w:p>
            <w:pPr>
              <w:pStyle w:val="13"/>
            </w:pPr>
            <w:r>
              <w:t>及时修复率</w:t>
            </w:r>
          </w:p>
        </w:tc>
        <w:tc>
          <w:tcPr>
            <w:tcW w:w="2268" w:type="dxa"/>
            <w:vAlign w:val="center"/>
          </w:tcPr>
          <w:p>
            <w:pPr>
              <w:pStyle w:val="13"/>
            </w:pPr>
            <w:r>
              <w:t>3个工作日内完成</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维修成本</w:t>
            </w:r>
          </w:p>
        </w:tc>
        <w:tc>
          <w:tcPr>
            <w:tcW w:w="5386" w:type="dxa"/>
            <w:vAlign w:val="center"/>
          </w:tcPr>
          <w:p>
            <w:pPr>
              <w:pStyle w:val="13"/>
            </w:pPr>
            <w:r>
              <w:t>对成本进行严格控制</w:t>
            </w:r>
          </w:p>
        </w:tc>
        <w:tc>
          <w:tcPr>
            <w:tcW w:w="2268" w:type="dxa"/>
            <w:vAlign w:val="center"/>
          </w:tcPr>
          <w:p>
            <w:pPr>
              <w:pStyle w:val="13"/>
            </w:pPr>
            <w:r>
              <w:t>≤15万元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幸福感</w:t>
            </w:r>
          </w:p>
        </w:tc>
        <w:tc>
          <w:tcPr>
            <w:tcW w:w="5386" w:type="dxa"/>
            <w:vAlign w:val="center"/>
          </w:tcPr>
          <w:p>
            <w:pPr>
              <w:pStyle w:val="13"/>
            </w:pPr>
            <w:r>
              <w:t>提幸福感</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提高环境保护性</w:t>
            </w:r>
          </w:p>
        </w:tc>
        <w:tc>
          <w:tcPr>
            <w:tcW w:w="5386" w:type="dxa"/>
            <w:vAlign w:val="center"/>
          </w:tcPr>
          <w:p>
            <w:pPr>
              <w:pStyle w:val="13"/>
            </w:pPr>
            <w:r>
              <w:t>提高生态环境保护管理服务</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60、南山森林公园临时管护及绿化养护等工作经费绩效目标表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13032124P000026100696</w:t>
            </w:r>
          </w:p>
        </w:tc>
        <w:tc>
          <w:tcPr>
            <w:tcW w:w="2835" w:type="dxa"/>
            <w:vAlign w:val="center"/>
          </w:tcPr>
          <w:p>
            <w:pPr>
              <w:pStyle w:val="11"/>
            </w:pPr>
            <w:r>
              <w:t>项目名称</w:t>
            </w:r>
          </w:p>
        </w:tc>
        <w:tc>
          <w:tcPr>
            <w:tcW w:w="6095" w:type="dxa"/>
            <w:gridSpan w:val="3"/>
            <w:vAlign w:val="center"/>
          </w:tcPr>
          <w:p>
            <w:pPr>
              <w:pStyle w:val="13"/>
            </w:pPr>
            <w:r>
              <w:t>南山森林公园临时管护及绿化养护等工作经费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43.00</w:t>
            </w:r>
          </w:p>
        </w:tc>
        <w:tc>
          <w:tcPr>
            <w:tcW w:w="2835" w:type="dxa"/>
            <w:vAlign w:val="center"/>
          </w:tcPr>
          <w:p>
            <w:pPr>
              <w:pStyle w:val="11"/>
            </w:pPr>
            <w:r>
              <w:t>其中：财政    资金</w:t>
            </w:r>
          </w:p>
        </w:tc>
        <w:tc>
          <w:tcPr>
            <w:tcW w:w="2551" w:type="dxa"/>
            <w:vAlign w:val="center"/>
          </w:tcPr>
          <w:p>
            <w:pPr>
              <w:pStyle w:val="13"/>
            </w:pPr>
            <w:r>
              <w:t>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项目总金额43万元，其中财政拨款43万元，主要用于项目实施，维修南山森林公园基础公共设施，提供良好服务。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1.通过项目实施，完善南山公园绿化，提升环境美化。</w:t>
            </w:r>
          </w:p>
          <w:p>
            <w:pPr>
              <w:pStyle w:val="13"/>
            </w:pPr>
            <w:r>
              <w:t>2.通过项目实施，维修南山森林公园基础公共设施，提供良好服务。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维修路灯数量</w:t>
            </w:r>
          </w:p>
        </w:tc>
        <w:tc>
          <w:tcPr>
            <w:tcW w:w="5386" w:type="dxa"/>
            <w:vAlign w:val="center"/>
          </w:tcPr>
          <w:p>
            <w:pPr>
              <w:pStyle w:val="13"/>
            </w:pPr>
            <w:r>
              <w:t>维修路灯数量</w:t>
            </w:r>
          </w:p>
        </w:tc>
        <w:tc>
          <w:tcPr>
            <w:tcW w:w="2268" w:type="dxa"/>
            <w:vAlign w:val="center"/>
          </w:tcPr>
          <w:p>
            <w:pPr>
              <w:pStyle w:val="13"/>
            </w:pPr>
            <w:r>
              <w:t>≥50套</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维修面积</w:t>
            </w:r>
          </w:p>
        </w:tc>
        <w:tc>
          <w:tcPr>
            <w:tcW w:w="5386" w:type="dxa"/>
            <w:vAlign w:val="center"/>
          </w:tcPr>
          <w:p>
            <w:pPr>
              <w:pStyle w:val="13"/>
            </w:pPr>
            <w:r>
              <w:t>维护维修面积</w:t>
            </w:r>
          </w:p>
        </w:tc>
        <w:tc>
          <w:tcPr>
            <w:tcW w:w="2268" w:type="dxa"/>
            <w:vAlign w:val="center"/>
          </w:tcPr>
          <w:p>
            <w:pPr>
              <w:pStyle w:val="13"/>
            </w:pPr>
            <w:r>
              <w:t>≤100平方米</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符合条件审核合格率</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按计划进行</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完成时效性</w:t>
            </w:r>
          </w:p>
        </w:tc>
        <w:tc>
          <w:tcPr>
            <w:tcW w:w="5386" w:type="dxa"/>
            <w:vAlign w:val="center"/>
          </w:tcPr>
          <w:p>
            <w:pPr>
              <w:pStyle w:val="13"/>
            </w:pPr>
            <w:r>
              <w:tab/>
            </w:r>
            <w:r>
              <w:t>及时修复率</w:t>
            </w:r>
          </w:p>
        </w:tc>
        <w:tc>
          <w:tcPr>
            <w:tcW w:w="2268" w:type="dxa"/>
            <w:vAlign w:val="center"/>
          </w:tcPr>
          <w:p>
            <w:pPr>
              <w:pStyle w:val="13"/>
            </w:pPr>
            <w:r>
              <w:t>3个工作日</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维修成本</w:t>
            </w:r>
          </w:p>
        </w:tc>
        <w:tc>
          <w:tcPr>
            <w:tcW w:w="5386" w:type="dxa"/>
            <w:vAlign w:val="center"/>
          </w:tcPr>
          <w:p>
            <w:pPr>
              <w:pStyle w:val="13"/>
            </w:pPr>
            <w:r>
              <w:t>对成本进行严格控制</w:t>
            </w:r>
          </w:p>
        </w:tc>
        <w:tc>
          <w:tcPr>
            <w:tcW w:w="2268" w:type="dxa"/>
            <w:vAlign w:val="center"/>
          </w:tcPr>
          <w:p>
            <w:pPr>
              <w:pStyle w:val="13"/>
            </w:pPr>
            <w:r>
              <w:t>≤15百分比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幸福感</w:t>
            </w:r>
          </w:p>
        </w:tc>
        <w:tc>
          <w:tcPr>
            <w:tcW w:w="5386" w:type="dxa"/>
            <w:vAlign w:val="center"/>
          </w:tcPr>
          <w:p>
            <w:pPr>
              <w:pStyle w:val="13"/>
            </w:pPr>
            <w:r>
              <w:t>提幸福感</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提高环境保护性</w:t>
            </w:r>
          </w:p>
        </w:tc>
        <w:tc>
          <w:tcPr>
            <w:tcW w:w="5386" w:type="dxa"/>
            <w:vAlign w:val="center"/>
          </w:tcPr>
          <w:p>
            <w:pPr>
              <w:pStyle w:val="13"/>
            </w:pPr>
            <w:r>
              <w:t>提高生态环境保护管理服务</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符合条件群众满意度</w:t>
            </w:r>
          </w:p>
        </w:tc>
        <w:tc>
          <w:tcPr>
            <w:tcW w:w="2268" w:type="dxa"/>
            <w:vAlign w:val="center"/>
          </w:tcPr>
          <w:p>
            <w:pPr>
              <w:pStyle w:val="13"/>
            </w:pPr>
            <w:r>
              <w:t>≥90百分比</w:t>
            </w:r>
          </w:p>
        </w:tc>
        <w:tc>
          <w:tcPr>
            <w:tcW w:w="1276" w:type="dxa"/>
            <w:vAlign w:val="center"/>
          </w:tcPr>
          <w:p>
            <w:pPr>
              <w:pStyle w:val="13"/>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61、南山森林公园绿化养护项目资金绩效目标表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13032125P003298100125</w:t>
            </w:r>
          </w:p>
        </w:tc>
        <w:tc>
          <w:tcPr>
            <w:tcW w:w="2835" w:type="dxa"/>
            <w:vAlign w:val="center"/>
          </w:tcPr>
          <w:p>
            <w:pPr>
              <w:pStyle w:val="11"/>
            </w:pPr>
            <w:r>
              <w:t>项目名称</w:t>
            </w:r>
          </w:p>
        </w:tc>
        <w:tc>
          <w:tcPr>
            <w:tcW w:w="6095" w:type="dxa"/>
            <w:gridSpan w:val="3"/>
            <w:vAlign w:val="center"/>
          </w:tcPr>
          <w:p>
            <w:pPr>
              <w:pStyle w:val="13"/>
            </w:pPr>
            <w:r>
              <w:t>南山森林公园绿化养护项目资金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187.90</w:t>
            </w:r>
          </w:p>
        </w:tc>
        <w:tc>
          <w:tcPr>
            <w:tcW w:w="2835" w:type="dxa"/>
            <w:vAlign w:val="center"/>
          </w:tcPr>
          <w:p>
            <w:pPr>
              <w:pStyle w:val="11"/>
            </w:pPr>
            <w:r>
              <w:t>其中：财政    资金</w:t>
            </w:r>
          </w:p>
        </w:tc>
        <w:tc>
          <w:tcPr>
            <w:tcW w:w="2551" w:type="dxa"/>
            <w:vAlign w:val="center"/>
          </w:tcPr>
          <w:p>
            <w:pPr>
              <w:pStyle w:val="13"/>
            </w:pPr>
            <w:r>
              <w:t>187.90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项目金额187.9万元，其中财政拨款187.9万元，主要用于南山森林公园绿化养护工作，实现了养护规划管理更科学化、更规范化。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1.通过南山森林公园绿化养护工作，发挥更大的生态效益和社会效益。</w:t>
            </w:r>
          </w:p>
          <w:p>
            <w:pPr>
              <w:pStyle w:val="13"/>
            </w:pPr>
            <w:r>
              <w:t>2.通过南山森林公园绿化养护工作，实现了养护规划管理更科学化、更规范化。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制定并完善管理制度</w:t>
            </w:r>
          </w:p>
        </w:tc>
        <w:tc>
          <w:tcPr>
            <w:tcW w:w="5386" w:type="dxa"/>
            <w:vAlign w:val="center"/>
          </w:tcPr>
          <w:p>
            <w:pPr>
              <w:pStyle w:val="13"/>
            </w:pPr>
            <w:r>
              <w:t>完善《绿化养护管理制度》</w:t>
            </w:r>
          </w:p>
        </w:tc>
        <w:tc>
          <w:tcPr>
            <w:tcW w:w="2268" w:type="dxa"/>
            <w:vAlign w:val="center"/>
          </w:tcPr>
          <w:p>
            <w:pPr>
              <w:pStyle w:val="13"/>
            </w:pPr>
            <w:r>
              <w:t>1项</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养护面积</w:t>
            </w:r>
          </w:p>
        </w:tc>
        <w:tc>
          <w:tcPr>
            <w:tcW w:w="5386" w:type="dxa"/>
            <w:vAlign w:val="center"/>
          </w:tcPr>
          <w:p>
            <w:pPr>
              <w:pStyle w:val="13"/>
            </w:pPr>
            <w:r>
              <w:t>南山森林公园绿化养护，养护面积61000㎡</w:t>
            </w:r>
          </w:p>
        </w:tc>
        <w:tc>
          <w:tcPr>
            <w:tcW w:w="2268" w:type="dxa"/>
            <w:vAlign w:val="center"/>
          </w:tcPr>
          <w:p>
            <w:pPr>
              <w:pStyle w:val="13"/>
            </w:pPr>
            <w:r>
              <w:t>≥60000平方米</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养护质量</w:t>
            </w:r>
          </w:p>
        </w:tc>
        <w:tc>
          <w:tcPr>
            <w:tcW w:w="5386" w:type="dxa"/>
            <w:vAlign w:val="center"/>
          </w:tcPr>
          <w:p>
            <w:pPr>
              <w:pStyle w:val="13"/>
            </w:pPr>
            <w:r>
              <w:t>养护达到的质量标准</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按照合同约定时间完成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各项费用</w:t>
            </w:r>
          </w:p>
        </w:tc>
        <w:tc>
          <w:tcPr>
            <w:tcW w:w="5386" w:type="dxa"/>
            <w:vAlign w:val="center"/>
          </w:tcPr>
          <w:p>
            <w:pPr>
              <w:pStyle w:val="13"/>
            </w:pPr>
            <w:r>
              <w:t>按照合同规定支付</w:t>
            </w:r>
          </w:p>
        </w:tc>
        <w:tc>
          <w:tcPr>
            <w:tcW w:w="2268" w:type="dxa"/>
            <w:vAlign w:val="center"/>
          </w:tcPr>
          <w:p>
            <w:pPr>
              <w:pStyle w:val="13"/>
            </w:pPr>
            <w:r>
              <w:t>≤187.9万元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促进南山森林公园绿化</w:t>
            </w:r>
          </w:p>
        </w:tc>
        <w:tc>
          <w:tcPr>
            <w:tcW w:w="5386" w:type="dxa"/>
            <w:vAlign w:val="center"/>
          </w:tcPr>
          <w:p>
            <w:pPr>
              <w:pStyle w:val="13"/>
            </w:pPr>
            <w:r>
              <w:t>促进南山森林公园绿化向节约型、生态型和功能完善型发展</w:t>
            </w:r>
          </w:p>
        </w:tc>
        <w:tc>
          <w:tcPr>
            <w:tcW w:w="2268" w:type="dxa"/>
            <w:vAlign w:val="center"/>
          </w:tcPr>
          <w:p>
            <w:pPr>
              <w:pStyle w:val="13"/>
            </w:pPr>
            <w:r>
              <w:t>≥80百分比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绿化、美化、净化环境</w:t>
            </w:r>
          </w:p>
        </w:tc>
        <w:tc>
          <w:tcPr>
            <w:tcW w:w="5386" w:type="dxa"/>
            <w:vAlign w:val="center"/>
          </w:tcPr>
          <w:p>
            <w:pPr>
              <w:pStyle w:val="13"/>
            </w:pPr>
            <w:r>
              <w:t>增加绿色覆盖面积、从而绿化、美化、净化环境。</w:t>
            </w:r>
          </w:p>
        </w:tc>
        <w:tc>
          <w:tcPr>
            <w:tcW w:w="2268" w:type="dxa"/>
            <w:vAlign w:val="center"/>
          </w:tcPr>
          <w:p>
            <w:pPr>
              <w:pStyle w:val="13"/>
            </w:pPr>
            <w:r>
              <w:t>≥75百分比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持续改善南山森林公园绿化</w:t>
            </w:r>
          </w:p>
        </w:tc>
        <w:tc>
          <w:tcPr>
            <w:tcW w:w="5386" w:type="dxa"/>
            <w:vAlign w:val="center"/>
          </w:tcPr>
          <w:p>
            <w:pPr>
              <w:pStyle w:val="13"/>
            </w:pPr>
            <w:r>
              <w:t>持续改善南山森林公园绿化和建设一流森林公园</w:t>
            </w:r>
          </w:p>
        </w:tc>
        <w:tc>
          <w:tcPr>
            <w:tcW w:w="2268" w:type="dxa"/>
            <w:vAlign w:val="center"/>
          </w:tcPr>
          <w:p>
            <w:pPr>
              <w:pStyle w:val="13"/>
            </w:pPr>
            <w:r>
              <w:t>≥85百分比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62、南山生态观光园防火经费绩效目标表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13032125P00011610019R</w:t>
            </w:r>
          </w:p>
        </w:tc>
        <w:tc>
          <w:tcPr>
            <w:tcW w:w="2835" w:type="dxa"/>
            <w:vAlign w:val="center"/>
          </w:tcPr>
          <w:p>
            <w:pPr>
              <w:pStyle w:val="11"/>
            </w:pPr>
            <w:r>
              <w:t>项目名称</w:t>
            </w:r>
          </w:p>
        </w:tc>
        <w:tc>
          <w:tcPr>
            <w:tcW w:w="6095" w:type="dxa"/>
            <w:gridSpan w:val="3"/>
            <w:vAlign w:val="center"/>
          </w:tcPr>
          <w:p>
            <w:pPr>
              <w:pStyle w:val="13"/>
            </w:pPr>
            <w:r>
              <w:t>南山生态观光园防火经费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项目金额10万元，其中财政拨款10万元，主要用于开展防火工作，进行宣传、培训，达到提高群众防火意识和队员扑火技能，提升工作效率的效果。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1.通过开展防火工作，进行宣传、培训，达到提高群众防火意识和队员扑火技能，提升工作效率的效果。</w:t>
            </w:r>
          </w:p>
          <w:p>
            <w:pPr>
              <w:pStyle w:val="13"/>
            </w:pPr>
            <w:r>
              <w:t xml:space="preserve">2.通过开展防火工作，对森林防火设施的维修及保养，保证防火设施的正常运转，达到将火灾隐患降到最低的效果。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防火宣传手册的印发</w:t>
            </w:r>
          </w:p>
        </w:tc>
        <w:tc>
          <w:tcPr>
            <w:tcW w:w="5386" w:type="dxa"/>
            <w:vAlign w:val="center"/>
          </w:tcPr>
          <w:p>
            <w:pPr>
              <w:pStyle w:val="13"/>
            </w:pPr>
            <w:r>
              <w:t>每年向祖山周边村民进行防火宣传手册的发放数量</w:t>
            </w:r>
          </w:p>
        </w:tc>
        <w:tc>
          <w:tcPr>
            <w:tcW w:w="2268" w:type="dxa"/>
            <w:vAlign w:val="center"/>
          </w:tcPr>
          <w:p>
            <w:pPr>
              <w:pStyle w:val="13"/>
            </w:pPr>
            <w:r>
              <w:t>≥5000册</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≤20万元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通过有效的防火宣传，保证年度火灾发生次数</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减少森林资源损失，提高森林覆盖率.长期进行防炎宣传，增强防火意识</w:t>
            </w:r>
          </w:p>
        </w:tc>
        <w:tc>
          <w:tcPr>
            <w:tcW w:w="2268" w:type="dxa"/>
            <w:vAlign w:val="center"/>
          </w:tcPr>
          <w:p>
            <w:pPr>
              <w:pStyle w:val="13"/>
            </w:pPr>
            <w:r>
              <w:t>持续</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63、南山生态观光园管理及维修费绩效目标表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13032125P000116100205</w:t>
            </w:r>
          </w:p>
        </w:tc>
        <w:tc>
          <w:tcPr>
            <w:tcW w:w="2835" w:type="dxa"/>
            <w:vAlign w:val="center"/>
          </w:tcPr>
          <w:p>
            <w:pPr>
              <w:pStyle w:val="11"/>
            </w:pPr>
            <w:r>
              <w:t>项目名称</w:t>
            </w:r>
          </w:p>
        </w:tc>
        <w:tc>
          <w:tcPr>
            <w:tcW w:w="6095" w:type="dxa"/>
            <w:gridSpan w:val="3"/>
            <w:vAlign w:val="center"/>
          </w:tcPr>
          <w:p>
            <w:pPr>
              <w:pStyle w:val="13"/>
            </w:pPr>
            <w:r>
              <w:t>南山生态观光园管理及维修费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项目金额20万元，其中财政拨款20万元，主要用于对生态观光园进行维修，提高安全系数。</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1.通过对生态观光园进行维修，提高安全系数。</w:t>
            </w:r>
          </w:p>
          <w:p>
            <w:pPr>
              <w:pStyle w:val="13"/>
            </w:pPr>
            <w:r>
              <w:t>2.通过对生态观光园进行维修,确保为群众提供高质量的休闲健身场所。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维修公园内基础设施</w:t>
            </w:r>
          </w:p>
        </w:tc>
        <w:tc>
          <w:tcPr>
            <w:tcW w:w="5386" w:type="dxa"/>
            <w:vAlign w:val="center"/>
          </w:tcPr>
          <w:p>
            <w:pPr>
              <w:pStyle w:val="13"/>
            </w:pPr>
            <w:r>
              <w:t>维修基础设施个数</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维修南山森林公园路灯</w:t>
            </w:r>
          </w:p>
        </w:tc>
        <w:tc>
          <w:tcPr>
            <w:tcW w:w="5386" w:type="dxa"/>
            <w:vAlign w:val="center"/>
          </w:tcPr>
          <w:p>
            <w:pPr>
              <w:pStyle w:val="13"/>
            </w:pPr>
            <w:r>
              <w:t>维修路灯个数</w:t>
            </w:r>
          </w:p>
        </w:tc>
        <w:tc>
          <w:tcPr>
            <w:tcW w:w="2268" w:type="dxa"/>
            <w:vAlign w:val="center"/>
          </w:tcPr>
          <w:p>
            <w:pPr>
              <w:pStyle w:val="13"/>
            </w:pPr>
            <w:r>
              <w:t>≥80个</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工程通过单位内部验收合格率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完成维修时限</w:t>
            </w:r>
          </w:p>
        </w:tc>
        <w:tc>
          <w:tcPr>
            <w:tcW w:w="2268" w:type="dxa"/>
            <w:vAlign w:val="center"/>
          </w:tcPr>
          <w:p>
            <w:pPr>
              <w:pStyle w:val="13"/>
            </w:pPr>
            <w:r>
              <w:t>≤5天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各项费用</w:t>
            </w:r>
          </w:p>
        </w:tc>
        <w:tc>
          <w:tcPr>
            <w:tcW w:w="5386" w:type="dxa"/>
            <w:vAlign w:val="center"/>
          </w:tcPr>
          <w:p>
            <w:pPr>
              <w:pStyle w:val="13"/>
            </w:pPr>
            <w:r>
              <w:t>按照合同规定支付</w:t>
            </w:r>
          </w:p>
        </w:tc>
        <w:tc>
          <w:tcPr>
            <w:tcW w:w="2268" w:type="dxa"/>
            <w:vAlign w:val="center"/>
          </w:tcPr>
          <w:p>
            <w:pPr>
              <w:pStyle w:val="13"/>
            </w:pPr>
            <w:r>
              <w:t>≤20万元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消除安全隐患</w:t>
            </w:r>
          </w:p>
        </w:tc>
        <w:tc>
          <w:tcPr>
            <w:tcW w:w="5386" w:type="dxa"/>
            <w:vAlign w:val="center"/>
          </w:tcPr>
          <w:p>
            <w:pPr>
              <w:pStyle w:val="13"/>
            </w:pPr>
            <w:r>
              <w:t>通过凉亭维修，消除安全隐患，安全事故率</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提供高质量的休闲健身场所</w:t>
            </w:r>
          </w:p>
        </w:tc>
        <w:tc>
          <w:tcPr>
            <w:tcW w:w="5386" w:type="dxa"/>
            <w:vAlign w:val="center"/>
          </w:tcPr>
          <w:p>
            <w:pPr>
              <w:pStyle w:val="13"/>
            </w:pPr>
            <w:r>
              <w:t>通过项目实施为群众提供高质量的休闲健身场所，提高全民身体素质</w:t>
            </w:r>
          </w:p>
        </w:tc>
        <w:tc>
          <w:tcPr>
            <w:tcW w:w="2268" w:type="dxa"/>
            <w:vAlign w:val="center"/>
          </w:tcPr>
          <w:p>
            <w:pPr>
              <w:pStyle w:val="13"/>
            </w:pPr>
            <w:r>
              <w:t>≥85百分比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提高生态环境质量</w:t>
            </w:r>
          </w:p>
        </w:tc>
        <w:tc>
          <w:tcPr>
            <w:tcW w:w="5386" w:type="dxa"/>
            <w:vAlign w:val="center"/>
          </w:tcPr>
          <w:p>
            <w:pPr>
              <w:pStyle w:val="13"/>
            </w:pPr>
            <w:r>
              <w:t>生态环境质量提高比率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提高观光园持续服务率</w:t>
            </w:r>
          </w:p>
        </w:tc>
        <w:tc>
          <w:tcPr>
            <w:tcW w:w="5386" w:type="dxa"/>
            <w:vAlign w:val="center"/>
          </w:tcPr>
          <w:p>
            <w:pPr>
              <w:pStyle w:val="13"/>
            </w:pPr>
            <w:r>
              <w:t>提高观光园持续服务率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满意度调查</w:t>
            </w:r>
          </w:p>
        </w:tc>
        <w:tc>
          <w:tcPr>
            <w:tcW w:w="5386" w:type="dxa"/>
            <w:vAlign w:val="center"/>
          </w:tcPr>
          <w:p>
            <w:pPr>
              <w:pStyle w:val="13"/>
            </w:pPr>
            <w:r>
              <w:t>游客满意度调查</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64、南山生态观光园梨园及步游路占地租金绩效目标表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13032125P00011610021Q</w:t>
            </w:r>
          </w:p>
        </w:tc>
        <w:tc>
          <w:tcPr>
            <w:tcW w:w="2835" w:type="dxa"/>
            <w:vAlign w:val="center"/>
          </w:tcPr>
          <w:p>
            <w:pPr>
              <w:pStyle w:val="11"/>
            </w:pPr>
            <w:r>
              <w:t>项目名称</w:t>
            </w:r>
          </w:p>
        </w:tc>
        <w:tc>
          <w:tcPr>
            <w:tcW w:w="6095" w:type="dxa"/>
            <w:gridSpan w:val="3"/>
            <w:vAlign w:val="center"/>
          </w:tcPr>
          <w:p>
            <w:pPr>
              <w:pStyle w:val="13"/>
            </w:pPr>
            <w:r>
              <w:t>南山生态观光园梨园及步游路占地租金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9.78</w:t>
            </w:r>
          </w:p>
        </w:tc>
        <w:tc>
          <w:tcPr>
            <w:tcW w:w="2835" w:type="dxa"/>
            <w:vAlign w:val="center"/>
          </w:tcPr>
          <w:p>
            <w:pPr>
              <w:pStyle w:val="11"/>
            </w:pPr>
            <w:r>
              <w:t>其中：财政    资金</w:t>
            </w:r>
          </w:p>
        </w:tc>
        <w:tc>
          <w:tcPr>
            <w:tcW w:w="2551" w:type="dxa"/>
            <w:vAlign w:val="center"/>
          </w:tcPr>
          <w:p>
            <w:pPr>
              <w:pStyle w:val="13"/>
            </w:pPr>
            <w:r>
              <w:t>9.78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项目金额9.78万元，其中财政拨款9.78万元，主要用于开展观光生态园运行维护，提高生态观光园环境建设水平。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1.通过开展观光生态园运行维护，提高生态观光园环境建设水平。</w:t>
            </w:r>
          </w:p>
          <w:p>
            <w:pPr>
              <w:pStyle w:val="13"/>
            </w:pPr>
            <w:r>
              <w:t>2.通过及时支付生态观光园租金，实现生态观光园正常运行。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租地数量</w:t>
            </w:r>
          </w:p>
        </w:tc>
        <w:tc>
          <w:tcPr>
            <w:tcW w:w="5386" w:type="dxa"/>
            <w:vAlign w:val="center"/>
          </w:tcPr>
          <w:p>
            <w:pPr>
              <w:pStyle w:val="13"/>
            </w:pPr>
            <w:r>
              <w:t>大杖子村梨园租地及步游路占地亩数</w:t>
            </w:r>
          </w:p>
        </w:tc>
        <w:tc>
          <w:tcPr>
            <w:tcW w:w="2268" w:type="dxa"/>
            <w:vAlign w:val="center"/>
          </w:tcPr>
          <w:p>
            <w:pPr>
              <w:pStyle w:val="13"/>
            </w:pPr>
            <w:r>
              <w:t>12.5亩</w:t>
            </w:r>
          </w:p>
        </w:tc>
        <w:tc>
          <w:tcPr>
            <w:tcW w:w="1276" w:type="dxa"/>
            <w:vAlign w:val="center"/>
          </w:tcPr>
          <w:p>
            <w:pPr>
              <w:pStyle w:val="13"/>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租地质量</w:t>
            </w:r>
          </w:p>
        </w:tc>
        <w:tc>
          <w:tcPr>
            <w:tcW w:w="5386" w:type="dxa"/>
            <w:vAlign w:val="center"/>
          </w:tcPr>
          <w:p>
            <w:pPr>
              <w:pStyle w:val="13"/>
            </w:pPr>
            <w:r>
              <w:t>保证全年租地正常使用率</w:t>
            </w:r>
          </w:p>
        </w:tc>
        <w:tc>
          <w:tcPr>
            <w:tcW w:w="2268" w:type="dxa"/>
            <w:vAlign w:val="center"/>
          </w:tcPr>
          <w:p>
            <w:pPr>
              <w:pStyle w:val="13"/>
            </w:pPr>
            <w:r>
              <w:t>100百分比</w:t>
            </w:r>
          </w:p>
        </w:tc>
        <w:tc>
          <w:tcPr>
            <w:tcW w:w="1276" w:type="dxa"/>
            <w:vAlign w:val="center"/>
          </w:tcPr>
          <w:p>
            <w:pPr>
              <w:pStyle w:val="13"/>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及时支付租金</w:t>
            </w:r>
          </w:p>
        </w:tc>
        <w:tc>
          <w:tcPr>
            <w:tcW w:w="5386" w:type="dxa"/>
            <w:vAlign w:val="center"/>
          </w:tcPr>
          <w:p>
            <w:pPr>
              <w:pStyle w:val="13"/>
            </w:pPr>
            <w:r>
              <w:t>严格按照协议及时支付租金</w:t>
            </w:r>
          </w:p>
        </w:tc>
        <w:tc>
          <w:tcPr>
            <w:tcW w:w="2268" w:type="dxa"/>
            <w:vAlign w:val="center"/>
          </w:tcPr>
          <w:p>
            <w:pPr>
              <w:pStyle w:val="13"/>
            </w:pPr>
            <w:r>
              <w:t>≤12月</w:t>
            </w:r>
          </w:p>
        </w:tc>
        <w:tc>
          <w:tcPr>
            <w:tcW w:w="1276" w:type="dxa"/>
            <w:vAlign w:val="center"/>
          </w:tcPr>
          <w:p>
            <w:pPr>
              <w:pStyle w:val="13"/>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梨园及步游路占地租金</w:t>
            </w:r>
          </w:p>
        </w:tc>
        <w:tc>
          <w:tcPr>
            <w:tcW w:w="2268" w:type="dxa"/>
            <w:vAlign w:val="center"/>
          </w:tcPr>
          <w:p>
            <w:pPr>
              <w:pStyle w:val="13"/>
            </w:pPr>
            <w:r>
              <w:t>9.78万元</w:t>
            </w:r>
          </w:p>
        </w:tc>
        <w:tc>
          <w:tcPr>
            <w:tcW w:w="1276" w:type="dxa"/>
            <w:vAlign w:val="center"/>
          </w:tcPr>
          <w:p>
            <w:pPr>
              <w:pStyle w:val="13"/>
            </w:pPr>
            <w:r>
              <w:t>租用协议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确保公园正常运转</w:t>
            </w:r>
          </w:p>
        </w:tc>
        <w:tc>
          <w:tcPr>
            <w:tcW w:w="5386" w:type="dxa"/>
            <w:vAlign w:val="center"/>
          </w:tcPr>
          <w:p>
            <w:pPr>
              <w:pStyle w:val="13"/>
            </w:pPr>
            <w:r>
              <w:t>公园正常运转率</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提高大丈子村集体收入</w:t>
            </w:r>
          </w:p>
        </w:tc>
        <w:tc>
          <w:tcPr>
            <w:tcW w:w="5386" w:type="dxa"/>
            <w:vAlign w:val="center"/>
          </w:tcPr>
          <w:p>
            <w:pPr>
              <w:pStyle w:val="13"/>
            </w:pPr>
            <w:r>
              <w:t>租金收入占村集体收入比率</w:t>
            </w:r>
          </w:p>
        </w:tc>
        <w:tc>
          <w:tcPr>
            <w:tcW w:w="2268" w:type="dxa"/>
            <w:vAlign w:val="center"/>
          </w:tcPr>
          <w:p>
            <w:pPr>
              <w:pStyle w:val="13"/>
            </w:pPr>
            <w:r>
              <w:t>≥10百分比</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游客持续增长</w:t>
            </w:r>
          </w:p>
        </w:tc>
        <w:tc>
          <w:tcPr>
            <w:tcW w:w="5386" w:type="dxa"/>
            <w:vAlign w:val="center"/>
          </w:tcPr>
          <w:p>
            <w:pPr>
              <w:pStyle w:val="13"/>
            </w:pPr>
            <w:r>
              <w:t>游客增长率</w:t>
            </w:r>
          </w:p>
        </w:tc>
        <w:tc>
          <w:tcPr>
            <w:tcW w:w="2268" w:type="dxa"/>
            <w:vAlign w:val="center"/>
          </w:tcPr>
          <w:p>
            <w:pPr>
              <w:pStyle w:val="13"/>
            </w:pPr>
            <w:r>
              <w:t>≥3百分比</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持续保持南山观光园环境时间</w:t>
            </w:r>
          </w:p>
        </w:tc>
        <w:tc>
          <w:tcPr>
            <w:tcW w:w="5386" w:type="dxa"/>
            <w:vAlign w:val="center"/>
          </w:tcPr>
          <w:p>
            <w:pPr>
              <w:pStyle w:val="13"/>
            </w:pPr>
            <w:r>
              <w:t>持续保持南山观光园环境时间</w:t>
            </w:r>
          </w:p>
        </w:tc>
        <w:tc>
          <w:tcPr>
            <w:tcW w:w="2268" w:type="dxa"/>
            <w:vAlign w:val="center"/>
          </w:tcPr>
          <w:p>
            <w:pPr>
              <w:pStyle w:val="13"/>
            </w:pPr>
            <w:r>
              <w:t>≥1年</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通过抽查问卷的方式，调查部分群众的满意度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65、秦皇岛市森林火灾高风险区综合治理工程项目地方配套资金绩效目标表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13032125P00330610009X</w:t>
            </w:r>
          </w:p>
        </w:tc>
        <w:tc>
          <w:tcPr>
            <w:tcW w:w="2835" w:type="dxa"/>
            <w:vAlign w:val="center"/>
          </w:tcPr>
          <w:p>
            <w:pPr>
              <w:pStyle w:val="11"/>
            </w:pPr>
            <w:r>
              <w:t>项目名称</w:t>
            </w:r>
          </w:p>
        </w:tc>
        <w:tc>
          <w:tcPr>
            <w:tcW w:w="6095" w:type="dxa"/>
            <w:gridSpan w:val="3"/>
            <w:vAlign w:val="center"/>
          </w:tcPr>
          <w:p>
            <w:pPr>
              <w:pStyle w:val="13"/>
            </w:pPr>
            <w:r>
              <w:t>秦皇岛市森林火灾高风险区综合治理工程项目地方配套资金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500.39</w:t>
            </w:r>
          </w:p>
        </w:tc>
        <w:tc>
          <w:tcPr>
            <w:tcW w:w="2835" w:type="dxa"/>
            <w:vAlign w:val="center"/>
          </w:tcPr>
          <w:p>
            <w:pPr>
              <w:pStyle w:val="11"/>
            </w:pPr>
            <w:r>
              <w:t>其中：财政    资金</w:t>
            </w:r>
          </w:p>
        </w:tc>
        <w:tc>
          <w:tcPr>
            <w:tcW w:w="2551" w:type="dxa"/>
            <w:vAlign w:val="center"/>
          </w:tcPr>
          <w:p>
            <w:pPr>
              <w:pStyle w:val="13"/>
            </w:pPr>
            <w:r>
              <w:t>500.39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项目金额500.39万元，其中财政拨款500.39万元，主要用于建设森林草原阻隔系统，促进国有林场、自然保护地等重点区域内森林草原防火得以有效提升。</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1.通过国债项目，建设森林草原阻隔系统，促进国有林场、自然保护地等重点区域内森林草原防火得以有效提升。</w:t>
            </w:r>
            <w:r>
              <w:tab/>
            </w:r>
            <w:r>
              <w:tab/>
            </w:r>
            <w:r>
              <w:tab/>
            </w:r>
            <w:r>
              <w:tab/>
            </w:r>
            <w:r>
              <w:tab/>
            </w:r>
            <w:r>
              <w:tab/>
            </w:r>
          </w:p>
          <w:p>
            <w:pPr>
              <w:pStyle w:val="13"/>
            </w:pPr>
            <w:r>
              <w:t>2.通过国债项目，建设森林草原阻隔系统，确保森林草原防火得到保障</w:t>
            </w:r>
            <w:r>
              <w:tab/>
            </w:r>
            <w: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建设森林草原防火阻隔系统</w:t>
            </w:r>
          </w:p>
        </w:tc>
        <w:tc>
          <w:tcPr>
            <w:tcW w:w="5386" w:type="dxa"/>
            <w:vAlign w:val="center"/>
          </w:tcPr>
          <w:p>
            <w:pPr>
              <w:pStyle w:val="13"/>
            </w:pPr>
            <w:r>
              <w:t>新建防火防火阻隔系统</w:t>
            </w:r>
          </w:p>
        </w:tc>
        <w:tc>
          <w:tcPr>
            <w:tcW w:w="2268" w:type="dxa"/>
            <w:vAlign w:val="center"/>
          </w:tcPr>
          <w:p>
            <w:pPr>
              <w:pStyle w:val="13"/>
            </w:pPr>
            <w:r>
              <w:t>221.47公里</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重点林区森林草原防火能力提升</w:t>
            </w:r>
          </w:p>
        </w:tc>
        <w:tc>
          <w:tcPr>
            <w:tcW w:w="5386" w:type="dxa"/>
            <w:vAlign w:val="center"/>
          </w:tcPr>
          <w:p>
            <w:pPr>
              <w:pStyle w:val="13"/>
            </w:pPr>
            <w:r>
              <w:t>重点林区内森林草原防火有效提升</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年底前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投入资金</w:t>
            </w:r>
          </w:p>
        </w:tc>
        <w:tc>
          <w:tcPr>
            <w:tcW w:w="5386" w:type="dxa"/>
            <w:vAlign w:val="center"/>
          </w:tcPr>
          <w:p>
            <w:pPr>
              <w:pStyle w:val="13"/>
            </w:pPr>
            <w:r>
              <w:t>国债森林草原阻隔系统建设</w:t>
            </w:r>
          </w:p>
        </w:tc>
        <w:tc>
          <w:tcPr>
            <w:tcW w:w="2268" w:type="dxa"/>
            <w:vAlign w:val="center"/>
          </w:tcPr>
          <w:p>
            <w:pPr>
              <w:pStyle w:val="13"/>
            </w:pPr>
            <w:r>
              <w:t>500.39万元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加强重点林区内森林草原防火</w:t>
            </w:r>
          </w:p>
        </w:tc>
        <w:tc>
          <w:tcPr>
            <w:tcW w:w="5386" w:type="dxa"/>
            <w:vAlign w:val="center"/>
          </w:tcPr>
          <w:p>
            <w:pPr>
              <w:pStyle w:val="13"/>
            </w:pPr>
            <w:r>
              <w:t>确保林区内森林草原防火得到有效控制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加大重点林区内森林草原防火</w:t>
            </w:r>
          </w:p>
        </w:tc>
        <w:tc>
          <w:tcPr>
            <w:tcW w:w="5386" w:type="dxa"/>
            <w:vAlign w:val="center"/>
          </w:tcPr>
          <w:p>
            <w:pPr>
              <w:pStyle w:val="13"/>
            </w:pPr>
            <w:r>
              <w:t>确保林区内森林草原防护得到有效控制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保障森林防火安全</w:t>
            </w:r>
          </w:p>
        </w:tc>
        <w:tc>
          <w:tcPr>
            <w:tcW w:w="5386" w:type="dxa"/>
            <w:vAlign w:val="center"/>
          </w:tcPr>
          <w:p>
            <w:pPr>
              <w:pStyle w:val="13"/>
            </w:pPr>
            <w:r>
              <w:t>保障森林防火安全</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66、秦皇岛市燕山山地综合治理超长期特别国债县级配套绩效目标表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13032125P00329810013Q</w:t>
            </w:r>
          </w:p>
        </w:tc>
        <w:tc>
          <w:tcPr>
            <w:tcW w:w="2835" w:type="dxa"/>
            <w:vAlign w:val="center"/>
          </w:tcPr>
          <w:p>
            <w:pPr>
              <w:pStyle w:val="11"/>
            </w:pPr>
            <w:r>
              <w:t>项目名称</w:t>
            </w:r>
          </w:p>
        </w:tc>
        <w:tc>
          <w:tcPr>
            <w:tcW w:w="6095" w:type="dxa"/>
            <w:gridSpan w:val="3"/>
            <w:vAlign w:val="center"/>
          </w:tcPr>
          <w:p>
            <w:pPr>
              <w:pStyle w:val="13"/>
            </w:pPr>
            <w:r>
              <w:t>秦皇岛市燕山山地综合治理超长期特别国债县级配套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45.50</w:t>
            </w:r>
          </w:p>
        </w:tc>
        <w:tc>
          <w:tcPr>
            <w:tcW w:w="2835" w:type="dxa"/>
            <w:vAlign w:val="center"/>
          </w:tcPr>
          <w:p>
            <w:pPr>
              <w:pStyle w:val="11"/>
            </w:pPr>
            <w:r>
              <w:t>其中：财政    资金</w:t>
            </w:r>
          </w:p>
        </w:tc>
        <w:tc>
          <w:tcPr>
            <w:tcW w:w="2551" w:type="dxa"/>
            <w:vAlign w:val="center"/>
          </w:tcPr>
          <w:p>
            <w:pPr>
              <w:pStyle w:val="13"/>
            </w:pPr>
            <w:r>
              <w:t>45.50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涉密涉密涉密涉密涉密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1.涉密涉密涉密涉密涉密</w:t>
            </w:r>
          </w:p>
          <w:p>
            <w:pPr>
              <w:pStyle w:val="13"/>
            </w:pPr>
            <w:r>
              <w:t>2.涉密涉密涉密涉密涉密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涉密涉密涉密涉密涉密</w:t>
            </w:r>
          </w:p>
        </w:tc>
        <w:tc>
          <w:tcPr>
            <w:tcW w:w="5386" w:type="dxa"/>
            <w:vAlign w:val="center"/>
          </w:tcPr>
          <w:p>
            <w:pPr>
              <w:pStyle w:val="13"/>
            </w:pPr>
            <w:r>
              <w:t>涉密</w:t>
            </w:r>
          </w:p>
        </w:tc>
        <w:tc>
          <w:tcPr>
            <w:tcW w:w="2268" w:type="dxa"/>
            <w:vAlign w:val="center"/>
          </w:tcPr>
          <w:p>
            <w:pPr>
              <w:pStyle w:val="13"/>
            </w:pPr>
            <w:r>
              <w:t>1涉密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67、森林防火综合管理系统（二期）项目资金绩效目标表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13032125P003306100063</w:t>
            </w:r>
          </w:p>
        </w:tc>
        <w:tc>
          <w:tcPr>
            <w:tcW w:w="2835" w:type="dxa"/>
            <w:vAlign w:val="center"/>
          </w:tcPr>
          <w:p>
            <w:pPr>
              <w:pStyle w:val="11"/>
            </w:pPr>
            <w:r>
              <w:t>项目名称</w:t>
            </w:r>
          </w:p>
        </w:tc>
        <w:tc>
          <w:tcPr>
            <w:tcW w:w="6095" w:type="dxa"/>
            <w:gridSpan w:val="3"/>
            <w:vAlign w:val="center"/>
          </w:tcPr>
          <w:p>
            <w:pPr>
              <w:pStyle w:val="13"/>
            </w:pPr>
            <w:r>
              <w:t>森林防火综合管理系统（二期）项目资金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项目金额40万元，其中财政拨款40万元，主要用于开展此项工作，视频打卡对讲系统服务，达到一旦发生火情人员标准化管理和火场信息畅通。</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1.通过开展此项工作，视频打卡对讲系统服务，达到一旦发生火情人员标准化管理和火场信息畅通。</w:t>
            </w:r>
            <w:r>
              <w:tab/>
            </w:r>
            <w:r>
              <w:tab/>
            </w:r>
            <w:r>
              <w:tab/>
            </w:r>
            <w:r>
              <w:tab/>
            </w:r>
            <w:r>
              <w:tab/>
            </w:r>
            <w:r>
              <w:tab/>
            </w:r>
            <w:r>
              <w:tab/>
            </w:r>
            <w:r>
              <w:tab/>
            </w:r>
            <w:r>
              <w:tab/>
            </w:r>
            <w:r>
              <w:tab/>
            </w:r>
          </w:p>
          <w:p>
            <w:pPr>
              <w:pStyle w:val="13"/>
            </w:pPr>
            <w:r>
              <w:t xml:space="preserve">2.通过开展此项工作，购买森林防火视频打卡及对讲系统服务，对消防队伍进行上下班视频打卡，实现严肃上班纪律；火灾救援对讲信息畅通功能。   </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服务的企业数</w:t>
            </w:r>
          </w:p>
        </w:tc>
        <w:tc>
          <w:tcPr>
            <w:tcW w:w="5386" w:type="dxa"/>
            <w:vAlign w:val="center"/>
          </w:tcPr>
          <w:p>
            <w:pPr>
              <w:pStyle w:val="13"/>
            </w:pPr>
            <w:r>
              <w:t>用于提供森林防火视频打卡系统服务企业数</w:t>
            </w:r>
          </w:p>
        </w:tc>
        <w:tc>
          <w:tcPr>
            <w:tcW w:w="2268" w:type="dxa"/>
            <w:vAlign w:val="center"/>
          </w:tcPr>
          <w:p>
            <w:pPr>
              <w:pStyle w:val="13"/>
            </w:pPr>
            <w:r>
              <w:t>1家</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建设视频打卡系统数</w:t>
            </w:r>
          </w:p>
        </w:tc>
        <w:tc>
          <w:tcPr>
            <w:tcW w:w="5386" w:type="dxa"/>
            <w:vAlign w:val="center"/>
          </w:tcPr>
          <w:p>
            <w:pPr>
              <w:pStyle w:val="13"/>
            </w:pPr>
            <w:r>
              <w:t>用于提供森林防火视频打卡系统服务的数量</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提供防火视频打卡系统合格率</w:t>
            </w:r>
          </w:p>
        </w:tc>
        <w:tc>
          <w:tcPr>
            <w:tcW w:w="5386" w:type="dxa"/>
            <w:vAlign w:val="center"/>
          </w:tcPr>
          <w:p>
            <w:pPr>
              <w:pStyle w:val="13"/>
            </w:pPr>
            <w:r>
              <w:t>提供防火视频打卡系统合格率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2025年10月底前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及时上下班视频打卡，火场信息畅通</w:t>
            </w:r>
          </w:p>
        </w:tc>
        <w:tc>
          <w:tcPr>
            <w:tcW w:w="5386" w:type="dxa"/>
            <w:vAlign w:val="center"/>
          </w:tcPr>
          <w:p>
            <w:pPr>
              <w:pStyle w:val="13"/>
            </w:pPr>
            <w:r>
              <w:t>减少出现上班迟到早退，信息中断</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避免出现森林火情队伍集合不及时，信息不畅</w:t>
            </w:r>
          </w:p>
        </w:tc>
        <w:tc>
          <w:tcPr>
            <w:tcW w:w="5386" w:type="dxa"/>
            <w:vAlign w:val="center"/>
          </w:tcPr>
          <w:p>
            <w:pPr>
              <w:pStyle w:val="13"/>
            </w:pPr>
            <w:r>
              <w:t>避免出现达到一旦发生火情人员标准化管理和火场信息畅通</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68、生态护林员意外保险、巡护记录本及袖标购置费绩效目标表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13032125P00011610017J</w:t>
            </w:r>
          </w:p>
        </w:tc>
        <w:tc>
          <w:tcPr>
            <w:tcW w:w="2835" w:type="dxa"/>
            <w:vAlign w:val="center"/>
          </w:tcPr>
          <w:p>
            <w:pPr>
              <w:pStyle w:val="11"/>
            </w:pPr>
            <w:r>
              <w:t>项目名称</w:t>
            </w:r>
          </w:p>
        </w:tc>
        <w:tc>
          <w:tcPr>
            <w:tcW w:w="6095" w:type="dxa"/>
            <w:gridSpan w:val="3"/>
            <w:vAlign w:val="center"/>
          </w:tcPr>
          <w:p>
            <w:pPr>
              <w:pStyle w:val="13"/>
            </w:pPr>
            <w:r>
              <w:t>生态护林员意外保险、巡护记录本及袖标购置费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项目金额30万元，其中财政拨款30万元，主要开展此项工作，对生态护林员标识佩戴，保证工作的正常运转，方便队伍管理的目的。</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1.通过开展此项工作，对生态护林员标识佩戴，保证工作的正常运转，方便队伍管理的目的。</w:t>
            </w:r>
            <w:r>
              <w:tab/>
            </w:r>
            <w:r>
              <w:tab/>
            </w:r>
            <w:r>
              <w:tab/>
            </w:r>
            <w:r>
              <w:tab/>
            </w:r>
            <w:r>
              <w:tab/>
            </w:r>
          </w:p>
          <w:p>
            <w:pPr>
              <w:pStyle w:val="13"/>
            </w:pPr>
            <w:r>
              <w:t>2.通过开展此项工作，购买意外保险，保证生态护林员巡护过程中自身人身安全，实现提高工作效率的目的。</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意外保险</w:t>
            </w:r>
          </w:p>
        </w:tc>
        <w:tc>
          <w:tcPr>
            <w:tcW w:w="5386" w:type="dxa"/>
            <w:vAlign w:val="center"/>
          </w:tcPr>
          <w:p>
            <w:pPr>
              <w:pStyle w:val="13"/>
            </w:pPr>
            <w:r>
              <w:t>购买意外保险数量</w:t>
            </w:r>
          </w:p>
        </w:tc>
        <w:tc>
          <w:tcPr>
            <w:tcW w:w="2268" w:type="dxa"/>
            <w:vAlign w:val="center"/>
          </w:tcPr>
          <w:p>
            <w:pPr>
              <w:pStyle w:val="13"/>
            </w:pPr>
            <w:r>
              <w:t>≥2303人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巡护记录本</w:t>
            </w:r>
          </w:p>
        </w:tc>
        <w:tc>
          <w:tcPr>
            <w:tcW w:w="5386" w:type="dxa"/>
            <w:vAlign w:val="center"/>
          </w:tcPr>
          <w:p>
            <w:pPr>
              <w:pStyle w:val="13"/>
            </w:pPr>
            <w:r>
              <w:t>购买巡护记录本数量</w:t>
            </w:r>
          </w:p>
        </w:tc>
        <w:tc>
          <w:tcPr>
            <w:tcW w:w="2268" w:type="dxa"/>
            <w:vAlign w:val="center"/>
          </w:tcPr>
          <w:p>
            <w:pPr>
              <w:pStyle w:val="13"/>
            </w:pPr>
            <w:r>
              <w:t>≥4606本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袖标</w:t>
            </w:r>
          </w:p>
        </w:tc>
        <w:tc>
          <w:tcPr>
            <w:tcW w:w="5386" w:type="dxa"/>
            <w:vAlign w:val="center"/>
          </w:tcPr>
          <w:p>
            <w:pPr>
              <w:pStyle w:val="13"/>
            </w:pPr>
            <w:r>
              <w:t>购买袖标数量</w:t>
            </w:r>
          </w:p>
        </w:tc>
        <w:tc>
          <w:tcPr>
            <w:tcW w:w="2268" w:type="dxa"/>
            <w:vAlign w:val="center"/>
          </w:tcPr>
          <w:p>
            <w:pPr>
              <w:pStyle w:val="13"/>
            </w:pPr>
            <w:r>
              <w:t>≥2303个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物资验收合格率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采购以及完成安装的时间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普意外保险单位成本</w:t>
            </w:r>
          </w:p>
        </w:tc>
        <w:tc>
          <w:tcPr>
            <w:tcW w:w="5386" w:type="dxa"/>
            <w:vAlign w:val="center"/>
          </w:tcPr>
          <w:p>
            <w:pPr>
              <w:pStyle w:val="13"/>
            </w:pPr>
            <w:r>
              <w:t>普通意外保险的单位成本</w:t>
            </w:r>
          </w:p>
        </w:tc>
        <w:tc>
          <w:tcPr>
            <w:tcW w:w="2268" w:type="dxa"/>
            <w:vAlign w:val="center"/>
          </w:tcPr>
          <w:p>
            <w:pPr>
              <w:pStyle w:val="13"/>
            </w:pPr>
            <w:r>
              <w:t>≤100元/人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巡护日记录本单位成本</w:t>
            </w:r>
          </w:p>
        </w:tc>
        <w:tc>
          <w:tcPr>
            <w:tcW w:w="5386" w:type="dxa"/>
            <w:vAlign w:val="center"/>
          </w:tcPr>
          <w:p>
            <w:pPr>
              <w:pStyle w:val="13"/>
            </w:pPr>
            <w:r>
              <w:t>巡护记录本单位成本</w:t>
            </w:r>
          </w:p>
        </w:tc>
        <w:tc>
          <w:tcPr>
            <w:tcW w:w="2268" w:type="dxa"/>
            <w:vAlign w:val="center"/>
          </w:tcPr>
          <w:p>
            <w:pPr>
              <w:pStyle w:val="13"/>
            </w:pPr>
            <w:r>
              <w:t>≤11元/本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≤0.3千分比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≥85百分比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69、乡镇和31个重点村防火经费绩效目标表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13032125P00330610002L</w:t>
            </w:r>
          </w:p>
        </w:tc>
        <w:tc>
          <w:tcPr>
            <w:tcW w:w="2835" w:type="dxa"/>
            <w:vAlign w:val="center"/>
          </w:tcPr>
          <w:p>
            <w:pPr>
              <w:pStyle w:val="11"/>
            </w:pPr>
            <w:r>
              <w:t>项目名称</w:t>
            </w:r>
          </w:p>
        </w:tc>
        <w:tc>
          <w:tcPr>
            <w:tcW w:w="6095" w:type="dxa"/>
            <w:gridSpan w:val="3"/>
            <w:vAlign w:val="center"/>
          </w:tcPr>
          <w:p>
            <w:pPr>
              <w:pStyle w:val="13"/>
            </w:pPr>
            <w:r>
              <w:t>乡镇和31个重点村防火经费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w:t>
            </w:r>
          </w:p>
        </w:tc>
        <w:tc>
          <w:tcPr>
            <w:tcW w:w="2835" w:type="dxa"/>
            <w:vAlign w:val="center"/>
          </w:tcPr>
          <w:p>
            <w:pPr>
              <w:pStyle w:val="11"/>
            </w:pPr>
            <w:r>
              <w:t>其中：财政    资金</w:t>
            </w:r>
          </w:p>
        </w:tc>
        <w:tc>
          <w:tcPr>
            <w:tcW w:w="2551" w:type="dxa"/>
            <w:vAlign w:val="center"/>
          </w:tcPr>
          <w:p>
            <w:pPr>
              <w:pStyle w:val="13"/>
            </w:pPr>
            <w:r>
              <w:t>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项目金额55万元，其中财政拨款55万元，主要用于开展防火工作，进行宣传、培训，达到提高群众防火意识和队员扑火技能，提升工作效率的效果。</w:t>
            </w:r>
            <w:r>
              <w:tab/>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1.通过开展防火工作，进行宣传、培训，达到提高群众防火意识和队员扑火技能，提升工作效率的效果。</w:t>
            </w:r>
            <w:r>
              <w:tab/>
            </w:r>
            <w:r>
              <w:tab/>
            </w:r>
            <w:r>
              <w:tab/>
            </w:r>
            <w:r>
              <w:tab/>
            </w:r>
            <w:r>
              <w:tab/>
            </w:r>
            <w:r>
              <w:tab/>
            </w:r>
          </w:p>
          <w:p>
            <w:pPr>
              <w:pStyle w:val="13"/>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培训人数</w:t>
            </w:r>
          </w:p>
        </w:tc>
        <w:tc>
          <w:tcPr>
            <w:tcW w:w="5386" w:type="dxa"/>
            <w:vAlign w:val="center"/>
          </w:tcPr>
          <w:p>
            <w:pPr>
              <w:pStyle w:val="13"/>
            </w:pPr>
            <w:r>
              <w:t>培训的森林消防队员的人数</w:t>
            </w:r>
          </w:p>
        </w:tc>
        <w:tc>
          <w:tcPr>
            <w:tcW w:w="2268" w:type="dxa"/>
            <w:vAlign w:val="center"/>
          </w:tcPr>
          <w:p>
            <w:pPr>
              <w:pStyle w:val="13"/>
            </w:pPr>
            <w:r>
              <w:t>≥295人</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对群众进行防火宣传的次数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宣传用品数量</w:t>
            </w:r>
          </w:p>
        </w:tc>
        <w:tc>
          <w:tcPr>
            <w:tcW w:w="5386" w:type="dxa"/>
            <w:vAlign w:val="center"/>
          </w:tcPr>
          <w:p>
            <w:pPr>
              <w:pStyle w:val="13"/>
            </w:pPr>
            <w:r>
              <w:t>反映宣传用品数量</w:t>
            </w:r>
          </w:p>
        </w:tc>
        <w:tc>
          <w:tcPr>
            <w:tcW w:w="2268" w:type="dxa"/>
            <w:vAlign w:val="center"/>
          </w:tcPr>
          <w:p>
            <w:pPr>
              <w:pStyle w:val="13"/>
            </w:pPr>
            <w:r>
              <w:t>≥100000册（张）</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宣传的乡镇数</w:t>
            </w:r>
          </w:p>
        </w:tc>
        <w:tc>
          <w:tcPr>
            <w:tcW w:w="5386" w:type="dxa"/>
            <w:vAlign w:val="center"/>
          </w:tcPr>
          <w:p>
            <w:pPr>
              <w:pStyle w:val="13"/>
            </w:pPr>
            <w:r>
              <w:t>宣传覆盖的乡镇数</w:t>
            </w:r>
          </w:p>
        </w:tc>
        <w:tc>
          <w:tcPr>
            <w:tcW w:w="2268" w:type="dxa"/>
            <w:vAlign w:val="center"/>
          </w:tcPr>
          <w:p>
            <w:pPr>
              <w:pStyle w:val="13"/>
            </w:pPr>
            <w:r>
              <w:t>24个</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宣传覆盖的乡镇数的比率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2025年年底前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气象卫星监测单位成本</w:t>
            </w:r>
          </w:p>
        </w:tc>
        <w:tc>
          <w:tcPr>
            <w:tcW w:w="5386" w:type="dxa"/>
            <w:vAlign w:val="center"/>
          </w:tcPr>
          <w:p>
            <w:pPr>
              <w:pStyle w:val="13"/>
            </w:pPr>
            <w:r>
              <w:t>进行气象卫星检测的费用</w:t>
            </w:r>
          </w:p>
        </w:tc>
        <w:tc>
          <w:tcPr>
            <w:tcW w:w="2268" w:type="dxa"/>
            <w:vAlign w:val="center"/>
          </w:tcPr>
          <w:p>
            <w:pPr>
              <w:pStyle w:val="13"/>
            </w:pPr>
            <w:r>
              <w:t>≤1.3万元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&lt;100百分比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70、种质资源普查费用绩效目标表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13032125P00329910002Y</w:t>
            </w:r>
          </w:p>
        </w:tc>
        <w:tc>
          <w:tcPr>
            <w:tcW w:w="2835" w:type="dxa"/>
            <w:vAlign w:val="center"/>
          </w:tcPr>
          <w:p>
            <w:pPr>
              <w:pStyle w:val="11"/>
            </w:pPr>
            <w:r>
              <w:t>项目名称</w:t>
            </w:r>
          </w:p>
        </w:tc>
        <w:tc>
          <w:tcPr>
            <w:tcW w:w="6095" w:type="dxa"/>
            <w:gridSpan w:val="3"/>
            <w:vAlign w:val="center"/>
          </w:tcPr>
          <w:p>
            <w:pPr>
              <w:pStyle w:val="13"/>
            </w:pPr>
            <w:r>
              <w:t>种质资源普查费用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97.00</w:t>
            </w:r>
          </w:p>
        </w:tc>
        <w:tc>
          <w:tcPr>
            <w:tcW w:w="2835" w:type="dxa"/>
            <w:vAlign w:val="center"/>
          </w:tcPr>
          <w:p>
            <w:pPr>
              <w:pStyle w:val="11"/>
            </w:pPr>
            <w:r>
              <w:t>其中：财政    资金</w:t>
            </w:r>
          </w:p>
        </w:tc>
        <w:tc>
          <w:tcPr>
            <w:tcW w:w="2551" w:type="dxa"/>
            <w:vAlign w:val="center"/>
          </w:tcPr>
          <w:p>
            <w:pPr>
              <w:pStyle w:val="13"/>
            </w:pPr>
            <w:r>
              <w:t>97.00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项目金额97万元，其中财政拨款97万元，主要用于林草种质资源普查，为建立林草种质资源数据库提供成果。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1.完成普查样地288个、样线54条、名木古树2596株。</w:t>
            </w:r>
          </w:p>
          <w:p>
            <w:pPr>
              <w:pStyle w:val="13"/>
            </w:pPr>
            <w:r>
              <w:t>2.通过林草种质资源普查，为建立林草种质资源数据库提供成果。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普查样线54条</w:t>
            </w:r>
          </w:p>
        </w:tc>
        <w:tc>
          <w:tcPr>
            <w:tcW w:w="5386" w:type="dxa"/>
            <w:vAlign w:val="center"/>
          </w:tcPr>
          <w:p>
            <w:pPr>
              <w:pStyle w:val="13"/>
            </w:pPr>
            <w:r>
              <w:t>反映林草资源普查样线数量</w:t>
            </w:r>
          </w:p>
        </w:tc>
        <w:tc>
          <w:tcPr>
            <w:tcW w:w="2268" w:type="dxa"/>
            <w:vAlign w:val="center"/>
          </w:tcPr>
          <w:p>
            <w:pPr>
              <w:pStyle w:val="13"/>
            </w:pPr>
            <w:r>
              <w:t>54条</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普查样地288个</w:t>
            </w:r>
          </w:p>
        </w:tc>
        <w:tc>
          <w:tcPr>
            <w:tcW w:w="5386" w:type="dxa"/>
            <w:vAlign w:val="center"/>
          </w:tcPr>
          <w:p>
            <w:pPr>
              <w:pStyle w:val="13"/>
            </w:pPr>
            <w:r>
              <w:t>反映林草资源普查样地数量</w:t>
            </w:r>
          </w:p>
        </w:tc>
        <w:tc>
          <w:tcPr>
            <w:tcW w:w="2268" w:type="dxa"/>
            <w:vAlign w:val="center"/>
          </w:tcPr>
          <w:p>
            <w:pPr>
              <w:pStyle w:val="13"/>
            </w:pPr>
            <w:r>
              <w:t>288个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普查名木古树2596株</w:t>
            </w:r>
          </w:p>
        </w:tc>
        <w:tc>
          <w:tcPr>
            <w:tcW w:w="5386" w:type="dxa"/>
            <w:vAlign w:val="center"/>
          </w:tcPr>
          <w:p>
            <w:pPr>
              <w:pStyle w:val="13"/>
            </w:pPr>
            <w:r>
              <w:t>反映林草资源普查名木古树数量</w:t>
            </w:r>
          </w:p>
        </w:tc>
        <w:tc>
          <w:tcPr>
            <w:tcW w:w="2268" w:type="dxa"/>
            <w:vAlign w:val="center"/>
          </w:tcPr>
          <w:p>
            <w:pPr>
              <w:pStyle w:val="13"/>
            </w:pPr>
            <w:r>
              <w:t>2596株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完成普查全部工作任务</w:t>
            </w:r>
          </w:p>
        </w:tc>
        <w:tc>
          <w:tcPr>
            <w:tcW w:w="2268" w:type="dxa"/>
            <w:vAlign w:val="center"/>
          </w:tcPr>
          <w:p>
            <w:pPr>
              <w:pStyle w:val="13"/>
            </w:pPr>
            <w:r>
              <w:t>100百分比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反映林草资源普查项目完成时间</w:t>
            </w:r>
          </w:p>
        </w:tc>
        <w:tc>
          <w:tcPr>
            <w:tcW w:w="2268" w:type="dxa"/>
            <w:vAlign w:val="center"/>
          </w:tcPr>
          <w:p>
            <w:pPr>
              <w:pStyle w:val="13"/>
            </w:pPr>
            <w:r>
              <w:t>年底前</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工程款费用</w:t>
            </w:r>
          </w:p>
        </w:tc>
        <w:tc>
          <w:tcPr>
            <w:tcW w:w="5386" w:type="dxa"/>
            <w:vAlign w:val="center"/>
          </w:tcPr>
          <w:p>
            <w:pPr>
              <w:pStyle w:val="13"/>
            </w:pPr>
            <w:r>
              <w:t>反映项目资金用于支付资源普查项目金额</w:t>
            </w:r>
          </w:p>
        </w:tc>
        <w:tc>
          <w:tcPr>
            <w:tcW w:w="2268" w:type="dxa"/>
            <w:vAlign w:val="center"/>
          </w:tcPr>
          <w:p>
            <w:pPr>
              <w:pStyle w:val="13"/>
            </w:pPr>
            <w:r>
              <w:t>≤97万元</w:t>
            </w:r>
          </w:p>
        </w:tc>
        <w:tc>
          <w:tcPr>
            <w:tcW w:w="1276" w:type="dxa"/>
            <w:vAlign w:val="center"/>
          </w:tcPr>
          <w:p>
            <w:pPr>
              <w:pStyle w:val="13"/>
            </w:pPr>
            <w:r>
              <w:t>普查项目招投标金额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科学保护、积极开发</w:t>
            </w:r>
          </w:p>
        </w:tc>
        <w:tc>
          <w:tcPr>
            <w:tcW w:w="5386" w:type="dxa"/>
            <w:vAlign w:val="center"/>
          </w:tcPr>
          <w:p>
            <w:pPr>
              <w:pStyle w:val="13"/>
            </w:pPr>
            <w:r>
              <w:t>有利于林草供给侧结构性改革</w:t>
            </w:r>
          </w:p>
        </w:tc>
        <w:tc>
          <w:tcPr>
            <w:tcW w:w="2268" w:type="dxa"/>
            <w:vAlign w:val="center"/>
          </w:tcPr>
          <w:p>
            <w:pPr>
              <w:pStyle w:val="13"/>
            </w:pPr>
            <w:r>
              <w:t>按期完成</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合理利用林草种质资源</w:t>
            </w:r>
          </w:p>
        </w:tc>
        <w:tc>
          <w:tcPr>
            <w:tcW w:w="5386" w:type="dxa"/>
            <w:vAlign w:val="center"/>
          </w:tcPr>
          <w:p>
            <w:pPr>
              <w:pStyle w:val="13"/>
            </w:pPr>
            <w:r>
              <w:t>满足社会对优良林草产品需求</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受益群众满意度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71、祖山旅游路6KV线路改造工程资金绩效目标表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13032124P00002610048T</w:t>
            </w:r>
          </w:p>
        </w:tc>
        <w:tc>
          <w:tcPr>
            <w:tcW w:w="2835" w:type="dxa"/>
            <w:vAlign w:val="center"/>
          </w:tcPr>
          <w:p>
            <w:pPr>
              <w:pStyle w:val="11"/>
            </w:pPr>
            <w:r>
              <w:t>项目名称</w:t>
            </w:r>
          </w:p>
        </w:tc>
        <w:tc>
          <w:tcPr>
            <w:tcW w:w="6095" w:type="dxa"/>
            <w:gridSpan w:val="3"/>
            <w:vAlign w:val="center"/>
          </w:tcPr>
          <w:p>
            <w:pPr>
              <w:pStyle w:val="13"/>
            </w:pPr>
            <w:r>
              <w:t>祖山旅游路6KV线路改造工程资金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3.55</w:t>
            </w:r>
          </w:p>
        </w:tc>
        <w:tc>
          <w:tcPr>
            <w:tcW w:w="2835" w:type="dxa"/>
            <w:vAlign w:val="center"/>
          </w:tcPr>
          <w:p>
            <w:pPr>
              <w:pStyle w:val="11"/>
            </w:pPr>
            <w:r>
              <w:t>其中：财政    资金</w:t>
            </w:r>
          </w:p>
        </w:tc>
        <w:tc>
          <w:tcPr>
            <w:tcW w:w="2551" w:type="dxa"/>
            <w:vAlign w:val="center"/>
          </w:tcPr>
          <w:p>
            <w:pPr>
              <w:pStyle w:val="13"/>
            </w:pPr>
            <w:r>
              <w:t>3.55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项目预算3.55万元，其中财政拨款3.55万元，主要用于改造祖山北进山高压线路，确保满足景区建设及运营。</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1.通过改造祖山北进山高压线路，确保满足景区建设及运营。</w:t>
            </w:r>
            <w:r>
              <w:tab/>
            </w:r>
            <w:r>
              <w:tab/>
            </w:r>
            <w:r>
              <w:tab/>
            </w:r>
            <w:r>
              <w:tab/>
            </w:r>
            <w:r>
              <w:tab/>
            </w:r>
            <w:r>
              <w:tab/>
            </w:r>
          </w:p>
          <w:p>
            <w:pPr>
              <w:pStyle w:val="13"/>
            </w:pPr>
            <w:r>
              <w:t>2.通过项目实施，消除森林火灾隐患及景区运营发展更快，提升景区改造步伐。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修建铁塔基数</w:t>
            </w:r>
          </w:p>
        </w:tc>
        <w:tc>
          <w:tcPr>
            <w:tcW w:w="5386" w:type="dxa"/>
            <w:vAlign w:val="center"/>
          </w:tcPr>
          <w:p>
            <w:pPr>
              <w:pStyle w:val="13"/>
            </w:pPr>
            <w:r>
              <w:t>修建9类铁塔基的数量</w:t>
            </w:r>
          </w:p>
        </w:tc>
        <w:tc>
          <w:tcPr>
            <w:tcW w:w="2268" w:type="dxa"/>
            <w:vAlign w:val="center"/>
          </w:tcPr>
          <w:p>
            <w:pPr>
              <w:pStyle w:val="13"/>
            </w:pPr>
            <w:r>
              <w:t>35基</w:t>
            </w:r>
          </w:p>
        </w:tc>
        <w:tc>
          <w:tcPr>
            <w:tcW w:w="1276" w:type="dxa"/>
            <w:vAlign w:val="center"/>
          </w:tcPr>
          <w:p>
            <w:pPr>
              <w:pStyle w:val="13"/>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线路长度</w:t>
            </w:r>
          </w:p>
        </w:tc>
        <w:tc>
          <w:tcPr>
            <w:tcW w:w="5386" w:type="dxa"/>
            <w:vAlign w:val="center"/>
          </w:tcPr>
          <w:p>
            <w:pPr>
              <w:pStyle w:val="13"/>
            </w:pPr>
            <w:r>
              <w:t>修建线路长度</w:t>
            </w:r>
          </w:p>
        </w:tc>
        <w:tc>
          <w:tcPr>
            <w:tcW w:w="2268" w:type="dxa"/>
            <w:vAlign w:val="center"/>
          </w:tcPr>
          <w:p>
            <w:pPr>
              <w:pStyle w:val="13"/>
            </w:pPr>
            <w:r>
              <w:t>4.67千米</w:t>
            </w:r>
          </w:p>
        </w:tc>
        <w:tc>
          <w:tcPr>
            <w:tcW w:w="1276" w:type="dxa"/>
            <w:vAlign w:val="center"/>
          </w:tcPr>
          <w:p>
            <w:pPr>
              <w:pStyle w:val="13"/>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拉线条数</w:t>
            </w:r>
          </w:p>
        </w:tc>
        <w:tc>
          <w:tcPr>
            <w:tcW w:w="5386" w:type="dxa"/>
            <w:vAlign w:val="center"/>
          </w:tcPr>
          <w:p>
            <w:pPr>
              <w:pStyle w:val="13"/>
            </w:pPr>
            <w:r>
              <w:t>安装拉线条数及其所需的辅助设施</w:t>
            </w:r>
          </w:p>
        </w:tc>
        <w:tc>
          <w:tcPr>
            <w:tcW w:w="2268" w:type="dxa"/>
            <w:vAlign w:val="center"/>
          </w:tcPr>
          <w:p>
            <w:pPr>
              <w:pStyle w:val="13"/>
            </w:pPr>
            <w:r>
              <w:t>1条</w:t>
            </w:r>
          </w:p>
        </w:tc>
        <w:tc>
          <w:tcPr>
            <w:tcW w:w="1276" w:type="dxa"/>
            <w:vAlign w:val="center"/>
          </w:tcPr>
          <w:p>
            <w:pPr>
              <w:pStyle w:val="13"/>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真空断路器</w:t>
            </w:r>
          </w:p>
        </w:tc>
        <w:tc>
          <w:tcPr>
            <w:tcW w:w="5386" w:type="dxa"/>
            <w:vAlign w:val="center"/>
          </w:tcPr>
          <w:p>
            <w:pPr>
              <w:pStyle w:val="13"/>
            </w:pPr>
            <w:r>
              <w:t>安装真空断路器数量</w:t>
            </w:r>
          </w:p>
        </w:tc>
        <w:tc>
          <w:tcPr>
            <w:tcW w:w="2268" w:type="dxa"/>
            <w:vAlign w:val="center"/>
          </w:tcPr>
          <w:p>
            <w:pPr>
              <w:pStyle w:val="13"/>
            </w:pPr>
            <w:r>
              <w:t>1台</w:t>
            </w:r>
          </w:p>
        </w:tc>
        <w:tc>
          <w:tcPr>
            <w:tcW w:w="1276" w:type="dxa"/>
            <w:vAlign w:val="center"/>
          </w:tcPr>
          <w:p>
            <w:pPr>
              <w:pStyle w:val="13"/>
            </w:pPr>
            <w:r>
              <w:t>青审批投资【2019】44号文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项目通过外部验收合格率</w:t>
            </w:r>
          </w:p>
        </w:tc>
        <w:tc>
          <w:tcPr>
            <w:tcW w:w="2268" w:type="dxa"/>
            <w:vAlign w:val="center"/>
          </w:tcPr>
          <w:p>
            <w:pPr>
              <w:pStyle w:val="13"/>
            </w:pPr>
            <w:r>
              <w:t>100%</w:t>
            </w:r>
          </w:p>
        </w:tc>
        <w:tc>
          <w:tcPr>
            <w:tcW w:w="1276" w:type="dxa"/>
            <w:vAlign w:val="center"/>
          </w:tcPr>
          <w:p>
            <w:pPr>
              <w:pStyle w:val="13"/>
            </w:pPr>
            <w:r>
              <w:t>相关合同文件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工程改造完成时限</w:t>
            </w:r>
          </w:p>
        </w:tc>
        <w:tc>
          <w:tcPr>
            <w:tcW w:w="2268" w:type="dxa"/>
            <w:vAlign w:val="center"/>
          </w:tcPr>
          <w:p>
            <w:pPr>
              <w:pStyle w:val="13"/>
            </w:pPr>
            <w:r>
              <w:t>2021年2月底前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严格进行成本控制，按政府招投标及合同文件进行资金的支付</w:t>
            </w:r>
          </w:p>
        </w:tc>
        <w:tc>
          <w:tcPr>
            <w:tcW w:w="2268" w:type="dxa"/>
            <w:vAlign w:val="center"/>
          </w:tcPr>
          <w:p>
            <w:pPr>
              <w:pStyle w:val="13"/>
            </w:pPr>
            <w:r>
              <w:t>≤50万元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解决祖山景区高压线路老化问题，消除安全隐患，降低安全事故次数</w:t>
            </w:r>
          </w:p>
        </w:tc>
        <w:tc>
          <w:tcPr>
            <w:tcW w:w="2268" w:type="dxa"/>
            <w:vAlign w:val="center"/>
          </w:tcPr>
          <w:p>
            <w:pPr>
              <w:pStyle w:val="13"/>
            </w:pPr>
            <w:r>
              <w:t>&lt;1次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w:t>
            </w:r>
          </w:p>
        </w:tc>
        <w:tc>
          <w:tcPr>
            <w:tcW w:w="1276" w:type="dxa"/>
            <w:vAlign w:val="center"/>
          </w:tcPr>
          <w:p>
            <w:pPr>
              <w:pStyle w:val="13"/>
            </w:pPr>
            <w:r>
              <w:t>社会调查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72、祖山旅游路6KV线路改造工程资金绩效目标表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13032125P00011310004T</w:t>
            </w:r>
          </w:p>
        </w:tc>
        <w:tc>
          <w:tcPr>
            <w:tcW w:w="2835" w:type="dxa"/>
            <w:vAlign w:val="center"/>
          </w:tcPr>
          <w:p>
            <w:pPr>
              <w:pStyle w:val="11"/>
            </w:pPr>
            <w:r>
              <w:t>项目名称</w:t>
            </w:r>
          </w:p>
        </w:tc>
        <w:tc>
          <w:tcPr>
            <w:tcW w:w="6095" w:type="dxa"/>
            <w:gridSpan w:val="3"/>
            <w:vAlign w:val="center"/>
          </w:tcPr>
          <w:p>
            <w:pPr>
              <w:pStyle w:val="13"/>
            </w:pPr>
            <w:r>
              <w:t>祖山旅游路6KV线路改造工程资金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项目金额50万元，其中财政拨款50万元，主要用于消除森林火灾隐患及景区运营发展更快，提升景区改造步伐。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1.通过项目实施，消除森林火灾隐患及景区运营发展更快，提升景区改造步伐。</w:t>
            </w:r>
          </w:p>
          <w:p>
            <w:pPr>
              <w:pStyle w:val="13"/>
            </w:pPr>
            <w:r>
              <w:t>2.通过改造祖山北进山高压线路，确保满足景区建设及运营。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修建铁塔基数</w:t>
            </w:r>
          </w:p>
        </w:tc>
        <w:tc>
          <w:tcPr>
            <w:tcW w:w="5386" w:type="dxa"/>
            <w:vAlign w:val="center"/>
          </w:tcPr>
          <w:p>
            <w:pPr>
              <w:pStyle w:val="13"/>
            </w:pPr>
            <w:r>
              <w:t>修建9类铁塔基的数量</w:t>
            </w:r>
          </w:p>
        </w:tc>
        <w:tc>
          <w:tcPr>
            <w:tcW w:w="2268" w:type="dxa"/>
            <w:vAlign w:val="center"/>
          </w:tcPr>
          <w:p>
            <w:pPr>
              <w:pStyle w:val="13"/>
            </w:pPr>
            <w:r>
              <w:t>35基</w:t>
            </w:r>
          </w:p>
        </w:tc>
        <w:tc>
          <w:tcPr>
            <w:tcW w:w="1276" w:type="dxa"/>
            <w:vAlign w:val="center"/>
          </w:tcPr>
          <w:p>
            <w:pPr>
              <w:pStyle w:val="13"/>
            </w:pPr>
            <w:r>
              <w:t>青审批投资【2019】44号文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线路长度</w:t>
            </w:r>
          </w:p>
        </w:tc>
        <w:tc>
          <w:tcPr>
            <w:tcW w:w="5386" w:type="dxa"/>
            <w:vAlign w:val="center"/>
          </w:tcPr>
          <w:p>
            <w:pPr>
              <w:pStyle w:val="13"/>
            </w:pPr>
            <w:r>
              <w:t>修建线路长度</w:t>
            </w:r>
          </w:p>
        </w:tc>
        <w:tc>
          <w:tcPr>
            <w:tcW w:w="2268" w:type="dxa"/>
            <w:vAlign w:val="center"/>
          </w:tcPr>
          <w:p>
            <w:pPr>
              <w:pStyle w:val="13"/>
            </w:pPr>
            <w:r>
              <w:t>4.67千米</w:t>
            </w:r>
          </w:p>
        </w:tc>
        <w:tc>
          <w:tcPr>
            <w:tcW w:w="1276" w:type="dxa"/>
            <w:vAlign w:val="center"/>
          </w:tcPr>
          <w:p>
            <w:pPr>
              <w:pStyle w:val="13"/>
            </w:pPr>
            <w:r>
              <w:t>青审批投资【2019】44号文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拉线条数</w:t>
            </w:r>
          </w:p>
        </w:tc>
        <w:tc>
          <w:tcPr>
            <w:tcW w:w="5386" w:type="dxa"/>
            <w:vAlign w:val="center"/>
          </w:tcPr>
          <w:p>
            <w:pPr>
              <w:pStyle w:val="13"/>
            </w:pPr>
            <w:r>
              <w:t>安装拉线条数及其所需的辅助设施</w:t>
            </w:r>
          </w:p>
        </w:tc>
        <w:tc>
          <w:tcPr>
            <w:tcW w:w="2268" w:type="dxa"/>
            <w:vAlign w:val="center"/>
          </w:tcPr>
          <w:p>
            <w:pPr>
              <w:pStyle w:val="13"/>
            </w:pPr>
            <w:r>
              <w:t>1条</w:t>
            </w:r>
          </w:p>
        </w:tc>
        <w:tc>
          <w:tcPr>
            <w:tcW w:w="1276" w:type="dxa"/>
            <w:vAlign w:val="center"/>
          </w:tcPr>
          <w:p>
            <w:pPr>
              <w:pStyle w:val="13"/>
            </w:pPr>
            <w:r>
              <w:t>青审批投资【2019】44号文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真空断路器</w:t>
            </w:r>
          </w:p>
        </w:tc>
        <w:tc>
          <w:tcPr>
            <w:tcW w:w="5386" w:type="dxa"/>
            <w:vAlign w:val="center"/>
          </w:tcPr>
          <w:p>
            <w:pPr>
              <w:pStyle w:val="13"/>
            </w:pPr>
            <w:r>
              <w:t>安装真空断路器数量</w:t>
            </w:r>
          </w:p>
        </w:tc>
        <w:tc>
          <w:tcPr>
            <w:tcW w:w="2268" w:type="dxa"/>
            <w:vAlign w:val="center"/>
          </w:tcPr>
          <w:p>
            <w:pPr>
              <w:pStyle w:val="13"/>
            </w:pPr>
            <w:r>
              <w:t>1台</w:t>
            </w:r>
          </w:p>
        </w:tc>
        <w:tc>
          <w:tcPr>
            <w:tcW w:w="1276" w:type="dxa"/>
            <w:vAlign w:val="center"/>
          </w:tcPr>
          <w:p>
            <w:pPr>
              <w:pStyle w:val="13"/>
            </w:pPr>
            <w:r>
              <w:t>青审批投资【2019】44号文</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项目通过外部验收合格率</w:t>
            </w:r>
          </w:p>
        </w:tc>
        <w:tc>
          <w:tcPr>
            <w:tcW w:w="2268" w:type="dxa"/>
            <w:vAlign w:val="center"/>
          </w:tcPr>
          <w:p>
            <w:pPr>
              <w:pStyle w:val="13"/>
            </w:pPr>
            <w:r>
              <w:t>100百分比</w:t>
            </w:r>
          </w:p>
        </w:tc>
        <w:tc>
          <w:tcPr>
            <w:tcW w:w="1276" w:type="dxa"/>
            <w:vAlign w:val="center"/>
          </w:tcPr>
          <w:p>
            <w:pPr>
              <w:pStyle w:val="13"/>
            </w:pPr>
            <w:r>
              <w:t>相关合同文件</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工程改造完成时限</w:t>
            </w:r>
          </w:p>
        </w:tc>
        <w:tc>
          <w:tcPr>
            <w:tcW w:w="2268" w:type="dxa"/>
            <w:vAlign w:val="center"/>
          </w:tcPr>
          <w:p>
            <w:pPr>
              <w:pStyle w:val="13"/>
            </w:pPr>
            <w:r>
              <w:t>2021年2月底前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严格进行成本控制，按政府招投标及合同文件进行资金的支付</w:t>
            </w:r>
          </w:p>
        </w:tc>
        <w:tc>
          <w:tcPr>
            <w:tcW w:w="2268" w:type="dxa"/>
            <w:vAlign w:val="center"/>
          </w:tcPr>
          <w:p>
            <w:pPr>
              <w:pStyle w:val="13"/>
            </w:pPr>
            <w:r>
              <w:t>≤270万元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解决祖山景区高压线路老化问题，消除安全隐患，降低安全事故次数</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≥90百分比</w:t>
            </w:r>
          </w:p>
        </w:tc>
        <w:tc>
          <w:tcPr>
            <w:tcW w:w="1276" w:type="dxa"/>
            <w:vAlign w:val="center"/>
          </w:tcPr>
          <w:p>
            <w:pPr>
              <w:pStyle w:val="13"/>
            </w:pPr>
            <w:r>
              <w:t>社会调查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游客满意率比例</w:t>
            </w:r>
          </w:p>
        </w:tc>
        <w:tc>
          <w:tcPr>
            <w:tcW w:w="5386" w:type="dxa"/>
            <w:vAlign w:val="center"/>
          </w:tcPr>
          <w:p>
            <w:pPr>
              <w:pStyle w:val="13"/>
            </w:pPr>
            <w:r>
              <w:t>游客满意增长率</w:t>
            </w:r>
          </w:p>
        </w:tc>
        <w:tc>
          <w:tcPr>
            <w:tcW w:w="2268" w:type="dxa"/>
            <w:vAlign w:val="center"/>
          </w:tcPr>
          <w:p>
            <w:pPr>
              <w:pStyle w:val="13"/>
            </w:pPr>
            <w:r>
              <w:t>≥90百分比</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73、祖山森林消防大队营房建设项目绩效目标表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13032125P00330610008A</w:t>
            </w:r>
          </w:p>
        </w:tc>
        <w:tc>
          <w:tcPr>
            <w:tcW w:w="2835" w:type="dxa"/>
            <w:vAlign w:val="center"/>
          </w:tcPr>
          <w:p>
            <w:pPr>
              <w:pStyle w:val="11"/>
            </w:pPr>
            <w:r>
              <w:t>项目名称</w:t>
            </w:r>
          </w:p>
        </w:tc>
        <w:tc>
          <w:tcPr>
            <w:tcW w:w="6095" w:type="dxa"/>
            <w:gridSpan w:val="3"/>
            <w:vAlign w:val="center"/>
          </w:tcPr>
          <w:p>
            <w:pPr>
              <w:pStyle w:val="13"/>
            </w:pPr>
            <w:r>
              <w:t>祖山森林消防大队营房建设项目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项目金额100万元，其中财政拨款100万元，主要开展营房建设工作，确保森林消防队伍及时出警，达到降低火险隐患，减少火灾损失的效果。</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1.通过开展营房建设工作，确保森林消防队伍及时出警，达到降低火险隐患，减少火灾损失的效果。</w:t>
            </w:r>
          </w:p>
          <w:p>
            <w:pPr>
              <w:pStyle w:val="13"/>
            </w:pPr>
            <w:r>
              <w:t>2.通过开展营房建设工作，实现改善森林消防队员日常办公、居住条件的目的。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营房数量</w:t>
            </w:r>
          </w:p>
        </w:tc>
        <w:tc>
          <w:tcPr>
            <w:tcW w:w="5386" w:type="dxa"/>
            <w:vAlign w:val="center"/>
          </w:tcPr>
          <w:p>
            <w:pPr>
              <w:pStyle w:val="13"/>
            </w:pPr>
            <w:r>
              <w:t>建设营房的数量</w:t>
            </w:r>
          </w:p>
        </w:tc>
        <w:tc>
          <w:tcPr>
            <w:tcW w:w="2268" w:type="dxa"/>
            <w:vAlign w:val="center"/>
          </w:tcPr>
          <w:p>
            <w:pPr>
              <w:pStyle w:val="13"/>
            </w:pPr>
            <w:r>
              <w:t>≥30间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营房面积</w:t>
            </w:r>
          </w:p>
        </w:tc>
        <w:tc>
          <w:tcPr>
            <w:tcW w:w="5386" w:type="dxa"/>
            <w:vAlign w:val="center"/>
          </w:tcPr>
          <w:p>
            <w:pPr>
              <w:pStyle w:val="13"/>
            </w:pPr>
            <w:r>
              <w:t>建设营房的面积</w:t>
            </w:r>
          </w:p>
        </w:tc>
        <w:tc>
          <w:tcPr>
            <w:tcW w:w="2268" w:type="dxa"/>
            <w:vAlign w:val="center"/>
          </w:tcPr>
          <w:p>
            <w:pPr>
              <w:pStyle w:val="13"/>
            </w:pPr>
            <w:r>
              <w:t>≥854平方米</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车库面积</w:t>
            </w:r>
          </w:p>
        </w:tc>
        <w:tc>
          <w:tcPr>
            <w:tcW w:w="5386" w:type="dxa"/>
            <w:vAlign w:val="center"/>
          </w:tcPr>
          <w:p>
            <w:pPr>
              <w:pStyle w:val="13"/>
            </w:pPr>
            <w:r>
              <w:t>建设消防车车库的面积</w:t>
            </w:r>
          </w:p>
        </w:tc>
        <w:tc>
          <w:tcPr>
            <w:tcW w:w="2268" w:type="dxa"/>
            <w:vAlign w:val="center"/>
          </w:tcPr>
          <w:p>
            <w:pPr>
              <w:pStyle w:val="13"/>
            </w:pPr>
            <w:r>
              <w:t>≥163.8平方米</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车库数量</w:t>
            </w:r>
          </w:p>
        </w:tc>
        <w:tc>
          <w:tcPr>
            <w:tcW w:w="5386" w:type="dxa"/>
            <w:vAlign w:val="center"/>
          </w:tcPr>
          <w:p>
            <w:pPr>
              <w:pStyle w:val="13"/>
            </w:pPr>
            <w:r>
              <w:t>建设消防车车库的房间数量</w:t>
            </w:r>
          </w:p>
        </w:tc>
        <w:tc>
          <w:tcPr>
            <w:tcW w:w="2268" w:type="dxa"/>
            <w:vAlign w:val="center"/>
          </w:tcPr>
          <w:p>
            <w:pPr>
              <w:pStyle w:val="13"/>
            </w:pPr>
            <w:r>
              <w:t>≥5间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营房合格率</w:t>
            </w:r>
          </w:p>
        </w:tc>
        <w:tc>
          <w:tcPr>
            <w:tcW w:w="5386" w:type="dxa"/>
            <w:vAlign w:val="center"/>
          </w:tcPr>
          <w:p>
            <w:pPr>
              <w:pStyle w:val="13"/>
            </w:pPr>
            <w:r>
              <w:t>营房建设合格率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车库合格率</w:t>
            </w:r>
          </w:p>
        </w:tc>
        <w:tc>
          <w:tcPr>
            <w:tcW w:w="5386" w:type="dxa"/>
            <w:vAlign w:val="center"/>
          </w:tcPr>
          <w:p>
            <w:pPr>
              <w:pStyle w:val="13"/>
            </w:pPr>
            <w:r>
              <w:t>车库建设合格率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营房建设完成时间</w:t>
            </w:r>
          </w:p>
        </w:tc>
        <w:tc>
          <w:tcPr>
            <w:tcW w:w="5386" w:type="dxa"/>
            <w:vAlign w:val="center"/>
          </w:tcPr>
          <w:p>
            <w:pPr>
              <w:pStyle w:val="13"/>
            </w:pPr>
            <w:r>
              <w:t>反映营房建设完成时间</w:t>
            </w:r>
          </w:p>
        </w:tc>
        <w:tc>
          <w:tcPr>
            <w:tcW w:w="2268" w:type="dxa"/>
            <w:vAlign w:val="center"/>
          </w:tcPr>
          <w:p>
            <w:pPr>
              <w:pStyle w:val="13"/>
            </w:pPr>
            <w:r>
              <w:t>2025年底前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营房建设费用</w:t>
            </w:r>
          </w:p>
        </w:tc>
        <w:tc>
          <w:tcPr>
            <w:tcW w:w="2268" w:type="dxa"/>
            <w:vAlign w:val="center"/>
          </w:tcPr>
          <w:p>
            <w:pPr>
              <w:pStyle w:val="13"/>
            </w:pPr>
            <w:r>
              <w:t>≤100万元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节约出警时间</w:t>
            </w:r>
          </w:p>
        </w:tc>
        <w:tc>
          <w:tcPr>
            <w:tcW w:w="5386" w:type="dxa"/>
            <w:vAlign w:val="center"/>
          </w:tcPr>
          <w:p>
            <w:pPr>
              <w:pStyle w:val="13"/>
            </w:pPr>
            <w:r>
              <w:t>建成后节约出警时间</w:t>
            </w:r>
          </w:p>
        </w:tc>
        <w:tc>
          <w:tcPr>
            <w:tcW w:w="2268" w:type="dxa"/>
            <w:vAlign w:val="center"/>
          </w:tcPr>
          <w:p>
            <w:pPr>
              <w:pStyle w:val="13"/>
            </w:pPr>
            <w:r>
              <w:t>≥15分钟</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保障森林防火安全</w:t>
            </w:r>
          </w:p>
        </w:tc>
        <w:tc>
          <w:tcPr>
            <w:tcW w:w="5386" w:type="dxa"/>
            <w:vAlign w:val="center"/>
          </w:tcPr>
          <w:p>
            <w:pPr>
              <w:pStyle w:val="13"/>
            </w:pPr>
            <w:r>
              <w:t>保障森林防火安全</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74、林业有害生物防治补助资金绩效目标表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13032125P00329810011H</w:t>
            </w:r>
          </w:p>
        </w:tc>
        <w:tc>
          <w:tcPr>
            <w:tcW w:w="2835" w:type="dxa"/>
            <w:vAlign w:val="center"/>
          </w:tcPr>
          <w:p>
            <w:pPr>
              <w:pStyle w:val="11"/>
            </w:pPr>
            <w:r>
              <w:t>项目名称</w:t>
            </w:r>
          </w:p>
        </w:tc>
        <w:tc>
          <w:tcPr>
            <w:tcW w:w="6095" w:type="dxa"/>
            <w:gridSpan w:val="3"/>
            <w:vAlign w:val="center"/>
          </w:tcPr>
          <w:p>
            <w:pPr>
              <w:pStyle w:val="13"/>
            </w:pPr>
            <w:r>
              <w:t>林业有害生物防治补助资金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项目金额10万元，其中财政拨款10万元，主要用于对林业有害生物的宣传、监测与防治，准确掌握林业有害生物的发展趋势，确保科学防治。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1.通过对林业有害生物的宣传、监测与防治，准确掌握林业有害生物的发展趋势，确保科学防治。</w:t>
            </w:r>
          </w:p>
          <w:p>
            <w:pPr>
              <w:pStyle w:val="13"/>
            </w:pPr>
            <w:r>
              <w:t>2.通过开展林业有害生物防治工作，创建森林城市，确保全县的森林生态安全。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林业有害生物防治面积</w:t>
            </w:r>
          </w:p>
        </w:tc>
        <w:tc>
          <w:tcPr>
            <w:tcW w:w="5386" w:type="dxa"/>
            <w:vAlign w:val="center"/>
          </w:tcPr>
          <w:p>
            <w:pPr>
              <w:pStyle w:val="13"/>
            </w:pPr>
            <w:r>
              <w:t>当年防治有害生物的林木面积</w:t>
            </w:r>
          </w:p>
        </w:tc>
        <w:tc>
          <w:tcPr>
            <w:tcW w:w="2268" w:type="dxa"/>
            <w:vAlign w:val="center"/>
          </w:tcPr>
          <w:p>
            <w:pPr>
              <w:pStyle w:val="13"/>
            </w:pPr>
            <w:r>
              <w:t>≥8.99万亩</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无公害防治面积占防治总面积的百分比</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反映防治工作完成时间</w:t>
            </w:r>
          </w:p>
        </w:tc>
        <w:tc>
          <w:tcPr>
            <w:tcW w:w="2268" w:type="dxa"/>
            <w:vAlign w:val="center"/>
          </w:tcPr>
          <w:p>
            <w:pPr>
              <w:pStyle w:val="13"/>
            </w:pPr>
            <w:r>
              <w:t>10月底前</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防治项目费用</w:t>
            </w:r>
          </w:p>
        </w:tc>
        <w:tc>
          <w:tcPr>
            <w:tcW w:w="5386" w:type="dxa"/>
            <w:vAlign w:val="center"/>
          </w:tcPr>
          <w:p>
            <w:pPr>
              <w:pStyle w:val="13"/>
            </w:pPr>
            <w:r>
              <w:t>反映防治各项费用的支出</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保障生产生活</w:t>
            </w:r>
          </w:p>
        </w:tc>
        <w:tc>
          <w:tcPr>
            <w:tcW w:w="5386" w:type="dxa"/>
            <w:vAlign w:val="center"/>
          </w:tcPr>
          <w:p>
            <w:pPr>
              <w:pStyle w:val="13"/>
            </w:pPr>
            <w:r>
              <w:t>保障居民正常生活，维护生态景观</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林业有害生物成灾率</w:t>
            </w:r>
          </w:p>
        </w:tc>
        <w:tc>
          <w:tcPr>
            <w:tcW w:w="5386" w:type="dxa"/>
            <w:vAlign w:val="center"/>
          </w:tcPr>
          <w:p>
            <w:pPr>
              <w:pStyle w:val="13"/>
            </w:pPr>
            <w:r>
              <w:t>林业有害生物成灾面积占现有林面积的百分比</w:t>
            </w:r>
          </w:p>
        </w:tc>
        <w:tc>
          <w:tcPr>
            <w:tcW w:w="2268" w:type="dxa"/>
            <w:vAlign w:val="center"/>
          </w:tcPr>
          <w:p>
            <w:pPr>
              <w:pStyle w:val="13"/>
            </w:pPr>
            <w:r>
              <w:t>≤4千分比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保障造林绿化成果</w:t>
            </w:r>
          </w:p>
        </w:tc>
        <w:tc>
          <w:tcPr>
            <w:tcW w:w="5386" w:type="dxa"/>
            <w:vAlign w:val="center"/>
          </w:tcPr>
          <w:p>
            <w:pPr>
              <w:pStyle w:val="13"/>
            </w:pPr>
            <w:r>
              <w:t>保证全县造林绿化成果和林业生态安全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林业有害生物防治群众满意度</w:t>
            </w:r>
          </w:p>
        </w:tc>
        <w:tc>
          <w:tcPr>
            <w:tcW w:w="5386" w:type="dxa"/>
            <w:vAlign w:val="center"/>
          </w:tcPr>
          <w:p>
            <w:pPr>
              <w:pStyle w:val="13"/>
            </w:pPr>
            <w:r>
              <w:t>林业有害生物防治群众满意度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75、都山林场防火经费绩效目标表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13032125P00334910280W</w:t>
            </w:r>
          </w:p>
        </w:tc>
        <w:tc>
          <w:tcPr>
            <w:tcW w:w="2835" w:type="dxa"/>
            <w:vAlign w:val="center"/>
          </w:tcPr>
          <w:p>
            <w:pPr>
              <w:pStyle w:val="11"/>
            </w:pPr>
            <w:r>
              <w:t>项目名称</w:t>
            </w:r>
          </w:p>
        </w:tc>
        <w:tc>
          <w:tcPr>
            <w:tcW w:w="6095" w:type="dxa"/>
            <w:gridSpan w:val="3"/>
            <w:vAlign w:val="center"/>
          </w:tcPr>
          <w:p>
            <w:pPr>
              <w:pStyle w:val="13"/>
            </w:pPr>
            <w:r>
              <w:t>都山林场防火经费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项目金额10万元，其中财政拨款10万元，主要用于对都山营林区防火资金的投入，加强管护力度，确保林区森林安全。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1.通过对林区日常巡查管护，加强防火管理，确保林区森林火灾发生率下降。</w:t>
            </w:r>
          </w:p>
          <w:p>
            <w:pPr>
              <w:pStyle w:val="13"/>
            </w:pPr>
            <w:r>
              <w:t>2.通过对都山营林区防火资金的投入，加强管护力度，确保林区森林安全。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≤10万元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项目对社会效益提升比</w:t>
            </w:r>
          </w:p>
        </w:tc>
        <w:tc>
          <w:tcPr>
            <w:tcW w:w="5386" w:type="dxa"/>
            <w:vAlign w:val="center"/>
          </w:tcPr>
          <w:p>
            <w:pPr>
              <w:pStyle w:val="13"/>
            </w:pPr>
            <w:r>
              <w:t>项目对社会效益提升比值</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林业有害生物成灾率（%）</w:t>
            </w:r>
          </w:p>
        </w:tc>
        <w:tc>
          <w:tcPr>
            <w:tcW w:w="5386" w:type="dxa"/>
            <w:vAlign w:val="center"/>
          </w:tcPr>
          <w:p>
            <w:pPr>
              <w:pStyle w:val="13"/>
            </w:pPr>
            <w:r>
              <w:t>林业有害生物成灾率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76、都山营林区管护资金绩效目标表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13032125P00334910279H</w:t>
            </w:r>
          </w:p>
        </w:tc>
        <w:tc>
          <w:tcPr>
            <w:tcW w:w="2835" w:type="dxa"/>
            <w:vAlign w:val="center"/>
          </w:tcPr>
          <w:p>
            <w:pPr>
              <w:pStyle w:val="11"/>
            </w:pPr>
            <w:r>
              <w:t>项目名称</w:t>
            </w:r>
          </w:p>
        </w:tc>
        <w:tc>
          <w:tcPr>
            <w:tcW w:w="6095" w:type="dxa"/>
            <w:gridSpan w:val="3"/>
            <w:vAlign w:val="center"/>
          </w:tcPr>
          <w:p>
            <w:pPr>
              <w:pStyle w:val="13"/>
            </w:pPr>
            <w:r>
              <w:t>都山营林区管护资金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项目金额10万元，其中财政拨款10万元，主要用于对都山营林区管护资金投入，加强管护力度，确保林区森林安全。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1.通过对林区日常巡查管护，加强防火管理，确保林区森林火灾发生率下降。</w:t>
            </w:r>
            <w:r>
              <w:tab/>
            </w:r>
            <w:r>
              <w:tab/>
            </w:r>
            <w:r>
              <w:tab/>
            </w:r>
            <w:r>
              <w:tab/>
            </w:r>
            <w:r>
              <w:tab/>
            </w:r>
            <w:r>
              <w:tab/>
            </w:r>
          </w:p>
          <w:p>
            <w:pPr>
              <w:pStyle w:val="13"/>
            </w:pPr>
          </w:p>
          <w:p>
            <w:pPr>
              <w:pStyle w:val="13"/>
            </w:pPr>
            <w:r>
              <w:t>2.通过对都山营林区管护资金投入，加强管护力度，确保林区森林安全。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巡查管护工作及时性</w:t>
            </w:r>
          </w:p>
        </w:tc>
        <w:tc>
          <w:tcPr>
            <w:tcW w:w="5386" w:type="dxa"/>
            <w:vAlign w:val="center"/>
          </w:tcPr>
          <w:p>
            <w:pPr>
              <w:pStyle w:val="13"/>
            </w:pPr>
            <w:r>
              <w:t>按相关要求及计划及时开展巡查管护斯蒂芬和</w:t>
            </w:r>
          </w:p>
        </w:tc>
        <w:tc>
          <w:tcPr>
            <w:tcW w:w="2268" w:type="dxa"/>
            <w:vAlign w:val="center"/>
          </w:tcPr>
          <w:p>
            <w:pPr>
              <w:pStyle w:val="13"/>
            </w:pPr>
            <w:r>
              <w:t>≥95%</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营林区电费</w:t>
            </w:r>
          </w:p>
        </w:tc>
        <w:tc>
          <w:tcPr>
            <w:tcW w:w="5386" w:type="dxa"/>
            <w:vAlign w:val="center"/>
          </w:tcPr>
          <w:p>
            <w:pPr>
              <w:pStyle w:val="13"/>
            </w:pPr>
            <w:r>
              <w:t>反映营林区电费支出情况</w:t>
            </w:r>
          </w:p>
        </w:tc>
        <w:tc>
          <w:tcPr>
            <w:tcW w:w="2268" w:type="dxa"/>
            <w:vAlign w:val="center"/>
          </w:tcPr>
          <w:p>
            <w:pPr>
              <w:pStyle w:val="13"/>
            </w:pPr>
            <w:r>
              <w:t>≤6万元</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保障森林防火安全</w:t>
            </w:r>
          </w:p>
        </w:tc>
        <w:tc>
          <w:tcPr>
            <w:tcW w:w="5386" w:type="dxa"/>
            <w:vAlign w:val="center"/>
          </w:tcPr>
          <w:p>
            <w:pPr>
              <w:pStyle w:val="13"/>
            </w:pPr>
            <w:r>
              <w:t>保障森林防火安全</w:t>
            </w:r>
          </w:p>
        </w:tc>
        <w:tc>
          <w:tcPr>
            <w:tcW w:w="2268" w:type="dxa"/>
            <w:vAlign w:val="center"/>
          </w:tcPr>
          <w:p>
            <w:pPr>
              <w:pStyle w:val="13"/>
            </w:pPr>
            <w:r>
              <w:t>≥95%</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林业有害生物成灾率</w:t>
            </w:r>
          </w:p>
        </w:tc>
        <w:tc>
          <w:tcPr>
            <w:tcW w:w="5386" w:type="dxa"/>
            <w:vAlign w:val="center"/>
          </w:tcPr>
          <w:p>
            <w:pPr>
              <w:pStyle w:val="13"/>
            </w:pPr>
            <w:r>
              <w:t>林业有害生物成灾面积占现有林面积的百分比</w:t>
            </w:r>
          </w:p>
        </w:tc>
        <w:tc>
          <w:tcPr>
            <w:tcW w:w="2268" w:type="dxa"/>
            <w:vAlign w:val="center"/>
          </w:tcPr>
          <w:p>
            <w:pPr>
              <w:pStyle w:val="13"/>
            </w:pPr>
            <w:r>
              <w:t>≥3.8%</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≥90%</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有效遏制重大森林火灾的发生和蔓延</w:t>
            </w:r>
          </w:p>
        </w:tc>
        <w:tc>
          <w:tcPr>
            <w:tcW w:w="2268" w:type="dxa"/>
            <w:vAlign w:val="center"/>
          </w:tcPr>
          <w:p>
            <w:pPr>
              <w:pStyle w:val="13"/>
            </w:pPr>
            <w:r>
              <w:t>≥90%</w:t>
            </w:r>
          </w:p>
        </w:tc>
        <w:tc>
          <w:tcPr>
            <w:tcW w:w="1276" w:type="dxa"/>
            <w:vAlign w:val="center"/>
          </w:tcPr>
          <w:p>
            <w:pPr>
              <w:pStyle w:val="13"/>
            </w:pPr>
            <w:r>
              <w:t>年度工作计划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77、有害生物防治经费绩效目标表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13032125P00329810003W</w:t>
            </w:r>
          </w:p>
        </w:tc>
        <w:tc>
          <w:tcPr>
            <w:tcW w:w="2835" w:type="dxa"/>
            <w:vAlign w:val="center"/>
          </w:tcPr>
          <w:p>
            <w:pPr>
              <w:pStyle w:val="11"/>
            </w:pPr>
            <w:r>
              <w:t>项目名称</w:t>
            </w:r>
          </w:p>
        </w:tc>
        <w:tc>
          <w:tcPr>
            <w:tcW w:w="6095" w:type="dxa"/>
            <w:gridSpan w:val="3"/>
            <w:vAlign w:val="center"/>
          </w:tcPr>
          <w:p>
            <w:pPr>
              <w:pStyle w:val="13"/>
            </w:pPr>
            <w:r>
              <w:t>有害生物防治经费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项目金额10万元，其中财政拨款10万元，主要用于掌握林场有害生物种类，更好解决林场生物危害问题。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1.通过掌握林场有害生物种类，更好解决林场生物危害问题。</w:t>
            </w:r>
          </w:p>
          <w:p>
            <w:pPr>
              <w:pStyle w:val="13"/>
            </w:pPr>
            <w:r>
              <w:t>2.通过项目实施，减轻红脂大小蠹危害。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防治面积</w:t>
            </w:r>
          </w:p>
        </w:tc>
        <w:tc>
          <w:tcPr>
            <w:tcW w:w="5386" w:type="dxa"/>
            <w:vAlign w:val="center"/>
          </w:tcPr>
          <w:p>
            <w:pPr>
              <w:pStyle w:val="13"/>
            </w:pPr>
            <w:r>
              <w:t>防治面积</w:t>
            </w:r>
          </w:p>
        </w:tc>
        <w:tc>
          <w:tcPr>
            <w:tcW w:w="2268" w:type="dxa"/>
            <w:vAlign w:val="center"/>
          </w:tcPr>
          <w:p>
            <w:pPr>
              <w:pStyle w:val="13"/>
            </w:pPr>
            <w:r>
              <w:t>9.9万亩</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成灾率</w:t>
            </w:r>
          </w:p>
        </w:tc>
        <w:tc>
          <w:tcPr>
            <w:tcW w:w="5386" w:type="dxa"/>
            <w:vAlign w:val="center"/>
          </w:tcPr>
          <w:p>
            <w:pPr>
              <w:pStyle w:val="13"/>
            </w:pPr>
            <w:r>
              <w:t>林场有害生物灾害发生面积与林场面积的比率</w:t>
            </w:r>
          </w:p>
        </w:tc>
        <w:tc>
          <w:tcPr>
            <w:tcW w:w="2268" w:type="dxa"/>
            <w:vAlign w:val="center"/>
          </w:tcPr>
          <w:p>
            <w:pPr>
              <w:pStyle w:val="13"/>
            </w:pPr>
            <w:r>
              <w:t>≤3.8千分比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林场有害生物无公害防治面积占总防治面积的百分比</w:t>
            </w:r>
          </w:p>
        </w:tc>
        <w:tc>
          <w:tcPr>
            <w:tcW w:w="2268" w:type="dxa"/>
            <w:vAlign w:val="center"/>
          </w:tcPr>
          <w:p>
            <w:pPr>
              <w:pStyle w:val="13"/>
            </w:pPr>
            <w:r>
              <w:t>≥87百分比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工作进度与计划安排</w:t>
            </w:r>
          </w:p>
        </w:tc>
        <w:tc>
          <w:tcPr>
            <w:tcW w:w="5386" w:type="dxa"/>
            <w:vAlign w:val="center"/>
          </w:tcPr>
          <w:p>
            <w:pPr>
              <w:pStyle w:val="13"/>
            </w:pPr>
            <w:r>
              <w:t>有害生物防治工作完成时间</w:t>
            </w:r>
          </w:p>
        </w:tc>
        <w:tc>
          <w:tcPr>
            <w:tcW w:w="2268" w:type="dxa"/>
            <w:vAlign w:val="center"/>
          </w:tcPr>
          <w:p>
            <w:pPr>
              <w:pStyle w:val="13"/>
            </w:pPr>
            <w:r>
              <w:t>2023年10月底前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采购喷射机器，红脂大小蠹诱捕机、相机等设备等</w:t>
            </w:r>
          </w:p>
        </w:tc>
        <w:tc>
          <w:tcPr>
            <w:tcW w:w="2268" w:type="dxa"/>
            <w:vAlign w:val="center"/>
          </w:tcPr>
          <w:p>
            <w:pPr>
              <w:pStyle w:val="13"/>
            </w:pPr>
            <w:r>
              <w:t>≤9万元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购买防治药剂等</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提高防灾减灾能力</w:t>
            </w:r>
          </w:p>
        </w:tc>
        <w:tc>
          <w:tcPr>
            <w:tcW w:w="5386" w:type="dxa"/>
            <w:vAlign w:val="center"/>
          </w:tcPr>
          <w:p>
            <w:pPr>
              <w:pStyle w:val="13"/>
            </w:pPr>
            <w:r>
              <w:t>通过采取科学有效的手段，控制有害生物不造成灾害，达到有虫不成灾的目的，确保树场资产完整</w:t>
            </w:r>
          </w:p>
        </w:tc>
        <w:tc>
          <w:tcPr>
            <w:tcW w:w="2268" w:type="dxa"/>
            <w:vAlign w:val="center"/>
          </w:tcPr>
          <w:p>
            <w:pPr>
              <w:pStyle w:val="13"/>
            </w:pPr>
            <w:r>
              <w:t>有效遏制林场有害生物严重发生</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w:t>
            </w:r>
          </w:p>
        </w:tc>
        <w:tc>
          <w:tcPr>
            <w:tcW w:w="2268" w:type="dxa"/>
            <w:vAlign w:val="center"/>
          </w:tcPr>
          <w:p>
            <w:pPr>
              <w:pStyle w:val="13"/>
            </w:pPr>
            <w:r>
              <w:t>持续</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78、祖山林场防火经费绩效目标表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13032125P00330610004U</w:t>
            </w:r>
          </w:p>
        </w:tc>
        <w:tc>
          <w:tcPr>
            <w:tcW w:w="2835" w:type="dxa"/>
            <w:vAlign w:val="center"/>
          </w:tcPr>
          <w:p>
            <w:pPr>
              <w:pStyle w:val="11"/>
            </w:pPr>
            <w:r>
              <w:t>项目名称</w:t>
            </w:r>
          </w:p>
        </w:tc>
        <w:tc>
          <w:tcPr>
            <w:tcW w:w="6095" w:type="dxa"/>
            <w:gridSpan w:val="3"/>
            <w:vAlign w:val="center"/>
          </w:tcPr>
          <w:p>
            <w:pPr>
              <w:pStyle w:val="13"/>
            </w:pPr>
            <w:r>
              <w:t>祖山林场防火经费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项目金额20万元，其中财政拨款20万元，主要用于对林区日常巡查管护，加强防火管理，确保林区森林火灾发生率下降。</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bookmarkStart w:id="20" w:name="_GoBack"/>
            <w:bookmarkEnd w:id="20"/>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1.通过对林区日常巡查管护，加强防火管理，确保林区森林火灾发生率下降。</w:t>
            </w:r>
          </w:p>
          <w:p>
            <w:pPr>
              <w:pStyle w:val="13"/>
            </w:pPr>
            <w:r>
              <w:t>2.通过对林区防火资金的投入，加强管护力度，确保林区森林安全。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宣传条幅的数量</w:t>
            </w:r>
          </w:p>
        </w:tc>
        <w:tc>
          <w:tcPr>
            <w:tcW w:w="5386" w:type="dxa"/>
            <w:vAlign w:val="center"/>
          </w:tcPr>
          <w:p>
            <w:pPr>
              <w:pStyle w:val="13"/>
            </w:pPr>
            <w:r>
              <w:t>每年制作防火宣传条幅的数量</w:t>
            </w:r>
          </w:p>
        </w:tc>
        <w:tc>
          <w:tcPr>
            <w:tcW w:w="2268" w:type="dxa"/>
            <w:vAlign w:val="center"/>
          </w:tcPr>
          <w:p>
            <w:pPr>
              <w:pStyle w:val="13"/>
            </w:pPr>
            <w:r>
              <w:t>≥200条</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≤20万元</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项目对社会效益提升比</w:t>
            </w:r>
          </w:p>
        </w:tc>
        <w:tc>
          <w:tcPr>
            <w:tcW w:w="5386" w:type="dxa"/>
            <w:vAlign w:val="center"/>
          </w:tcPr>
          <w:p>
            <w:pPr>
              <w:pStyle w:val="13"/>
            </w:pPr>
            <w:r>
              <w:t>项目对社会效益提升比值</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327青龙满族自治县林业局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4416.73</w:t>
            </w:r>
          </w:p>
        </w:tc>
        <w:tc>
          <w:tcPr>
            <w:tcW w:w="964" w:type="dxa"/>
            <w:vAlign w:val="center"/>
          </w:tcPr>
          <w:p>
            <w:pPr>
              <w:pStyle w:val="16"/>
            </w:pPr>
            <w:r>
              <w:t>508.83</w:t>
            </w:r>
          </w:p>
        </w:tc>
        <w:tc>
          <w:tcPr>
            <w:tcW w:w="964" w:type="dxa"/>
            <w:vAlign w:val="center"/>
          </w:tcPr>
          <w:p>
            <w:pPr>
              <w:pStyle w:val="16"/>
            </w:pPr>
            <w:r>
              <w:t>187.90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3720.00</w:t>
            </w:r>
          </w:p>
        </w:tc>
        <w:tc>
          <w:tcPr>
            <w:tcW w:w="964" w:type="dxa"/>
            <w:vAlign w:val="center"/>
          </w:tcPr>
          <w:p>
            <w:pPr>
              <w:pStyle w:val="16"/>
            </w:pPr>
            <w:r>
              <w:t>4416.73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青龙满族自治县林业局本级小计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4396.33</w:t>
            </w:r>
          </w:p>
        </w:tc>
        <w:tc>
          <w:tcPr>
            <w:tcW w:w="964" w:type="dxa"/>
            <w:vAlign w:val="center"/>
          </w:tcPr>
          <w:p>
            <w:pPr>
              <w:pStyle w:val="16"/>
            </w:pPr>
            <w:r>
              <w:t>488.43</w:t>
            </w:r>
          </w:p>
        </w:tc>
        <w:tc>
          <w:tcPr>
            <w:tcW w:w="964" w:type="dxa"/>
            <w:vAlign w:val="center"/>
          </w:tcPr>
          <w:p>
            <w:pPr>
              <w:pStyle w:val="16"/>
            </w:pPr>
            <w:r>
              <w:t>187.90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3720.00</w:t>
            </w:r>
          </w:p>
        </w:tc>
        <w:tc>
          <w:tcPr>
            <w:tcW w:w="964" w:type="dxa"/>
            <w:vAlign w:val="center"/>
          </w:tcPr>
          <w:p>
            <w:pPr>
              <w:pStyle w:val="16"/>
            </w:pPr>
            <w:r>
              <w:t>4396.33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关于下达2024年超长期特别国债支出[三北工程]预算[第二批]的通知-秦皇岛市燕山山地生态综合治理项目-（冀财资环【2024】65号）</w:t>
            </w:r>
          </w:p>
        </w:tc>
        <w:tc>
          <w:tcPr>
            <w:tcW w:w="964" w:type="dxa"/>
            <w:vAlign w:val="center"/>
          </w:tcPr>
          <w:p>
            <w:pPr>
              <w:pStyle w:val="12"/>
            </w:pPr>
            <w:r>
              <w:t>3720.00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3720.00</w:t>
            </w:r>
          </w:p>
        </w:tc>
        <w:tc>
          <w:tcPr>
            <w:tcW w:w="964" w:type="dxa"/>
            <w:vAlign w:val="center"/>
          </w:tcPr>
          <w:p>
            <w:pPr>
              <w:pStyle w:val="12"/>
            </w:pPr>
            <w:r>
              <w:t>3720.00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3720.00</w:t>
            </w:r>
          </w:p>
        </w:tc>
        <w:tc>
          <w:tcPr>
            <w:tcW w:w="964" w:type="dxa"/>
            <w:vAlign w:val="center"/>
          </w:tcPr>
          <w:p>
            <w:pPr>
              <w:pStyle w:val="12"/>
            </w:pPr>
            <w:r>
              <w:t>3720.00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115.72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1500</w:t>
            </w:r>
          </w:p>
        </w:tc>
        <w:tc>
          <w:tcPr>
            <w:tcW w:w="850" w:type="dxa"/>
            <w:vAlign w:val="center"/>
          </w:tcPr>
          <w:p>
            <w:pPr>
              <w:pStyle w:val="12"/>
            </w:pPr>
            <w:r>
              <w:t>0.00</w:t>
            </w:r>
          </w:p>
        </w:tc>
        <w:tc>
          <w:tcPr>
            <w:tcW w:w="964" w:type="dxa"/>
            <w:vAlign w:val="center"/>
          </w:tcPr>
          <w:p>
            <w:pPr>
              <w:pStyle w:val="12"/>
            </w:pPr>
            <w:r>
              <w:t>2.55</w:t>
            </w:r>
          </w:p>
        </w:tc>
        <w:tc>
          <w:tcPr>
            <w:tcW w:w="964" w:type="dxa"/>
            <w:vAlign w:val="center"/>
          </w:tcPr>
          <w:p>
            <w:pPr>
              <w:pStyle w:val="12"/>
            </w:pPr>
            <w:r>
              <w:t>2.55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115.72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张</w:t>
            </w:r>
          </w:p>
        </w:tc>
        <w:tc>
          <w:tcPr>
            <w:tcW w:w="850" w:type="dxa"/>
            <w:vAlign w:val="center"/>
          </w:tcPr>
          <w:p>
            <w:pPr>
              <w:pStyle w:val="12"/>
            </w:pPr>
            <w:r>
              <w:t>50000</w:t>
            </w:r>
          </w:p>
        </w:tc>
        <w:tc>
          <w:tcPr>
            <w:tcW w:w="850" w:type="dxa"/>
            <w:vAlign w:val="center"/>
          </w:tcPr>
          <w:p>
            <w:pPr>
              <w:pStyle w:val="12"/>
            </w:pPr>
            <w:r>
              <w:t>0.00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115.72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辆</w:t>
            </w:r>
          </w:p>
        </w:tc>
        <w:tc>
          <w:tcPr>
            <w:tcW w:w="850" w:type="dxa"/>
            <w:vAlign w:val="center"/>
          </w:tcPr>
          <w:p>
            <w:pPr>
              <w:pStyle w:val="12"/>
            </w:pPr>
            <w:r>
              <w:t>8</w:t>
            </w:r>
          </w:p>
        </w:tc>
        <w:tc>
          <w:tcPr>
            <w:tcW w:w="850" w:type="dxa"/>
            <w:vAlign w:val="center"/>
          </w:tcPr>
          <w:p>
            <w:pPr>
              <w:pStyle w:val="12"/>
            </w:pPr>
            <w:r>
              <w:t>0.25</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115.72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9000</w:t>
            </w:r>
          </w:p>
        </w:tc>
        <w:tc>
          <w:tcPr>
            <w:tcW w:w="850" w:type="dxa"/>
            <w:vAlign w:val="center"/>
          </w:tcPr>
          <w:p>
            <w:pPr>
              <w:pStyle w:val="12"/>
            </w:pPr>
            <w:r>
              <w:t>0.00</w:t>
            </w:r>
          </w:p>
        </w:tc>
        <w:tc>
          <w:tcPr>
            <w:tcW w:w="964" w:type="dxa"/>
            <w:vAlign w:val="center"/>
          </w:tcPr>
          <w:p>
            <w:pPr>
              <w:pStyle w:val="12"/>
            </w:pPr>
            <w:r>
              <w:t>7.38</w:t>
            </w:r>
          </w:p>
        </w:tc>
        <w:tc>
          <w:tcPr>
            <w:tcW w:w="964" w:type="dxa"/>
            <w:vAlign w:val="center"/>
          </w:tcPr>
          <w:p>
            <w:pPr>
              <w:pStyle w:val="12"/>
            </w:pPr>
            <w:r>
              <w:t>7.38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关于提前下达2025年森林草原防火视频监控服务采购省级补助资金的通知-（冀财资环[2024]99号）</w:t>
            </w:r>
          </w:p>
        </w:tc>
        <w:tc>
          <w:tcPr>
            <w:tcW w:w="964" w:type="dxa"/>
            <w:vAlign w:val="center"/>
          </w:tcPr>
          <w:p>
            <w:pPr>
              <w:pStyle w:val="12"/>
            </w:pPr>
            <w:r>
              <w:t>244.00</w:t>
            </w:r>
          </w:p>
        </w:tc>
        <w:tc>
          <w:tcPr>
            <w:tcW w:w="1134" w:type="dxa"/>
            <w:vAlign w:val="center"/>
          </w:tcPr>
          <w:p>
            <w:pPr>
              <w:pStyle w:val="13"/>
            </w:pPr>
            <w:r>
              <w:t>森林防火服务</w:t>
            </w:r>
          </w:p>
        </w:tc>
        <w:tc>
          <w:tcPr>
            <w:tcW w:w="1134" w:type="dxa"/>
            <w:vAlign w:val="center"/>
          </w:tcPr>
          <w:p>
            <w:pPr>
              <w:pStyle w:val="13"/>
            </w:pPr>
            <w:r>
              <w:t>C09020500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244.00</w:t>
            </w:r>
          </w:p>
        </w:tc>
        <w:tc>
          <w:tcPr>
            <w:tcW w:w="964" w:type="dxa"/>
            <w:vAlign w:val="center"/>
          </w:tcPr>
          <w:p>
            <w:pPr>
              <w:pStyle w:val="12"/>
            </w:pPr>
            <w:r>
              <w:t>244.00</w:t>
            </w:r>
          </w:p>
        </w:tc>
        <w:tc>
          <w:tcPr>
            <w:tcW w:w="964" w:type="dxa"/>
            <w:vAlign w:val="center"/>
          </w:tcPr>
          <w:p>
            <w:pPr>
              <w:pStyle w:val="12"/>
            </w:pPr>
            <w:r>
              <w:t>244.00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关于提前下达2025年省级风景名胜资源保护资金的通知-秦皇岛北戴河风景名胜区祖山景区提升改造（一期）天女峰分景区设施环境综合整治项目（冀财资环[2024]98号）</w:t>
            </w:r>
          </w:p>
        </w:tc>
        <w:tc>
          <w:tcPr>
            <w:tcW w:w="964" w:type="dxa"/>
            <w:vAlign w:val="center"/>
          </w:tcPr>
          <w:p>
            <w:pPr>
              <w:pStyle w:val="12"/>
            </w:pPr>
            <w:r>
              <w:t>80.00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南山公园管护项目资金</w:t>
            </w:r>
          </w:p>
        </w:tc>
        <w:tc>
          <w:tcPr>
            <w:tcW w:w="964" w:type="dxa"/>
            <w:vAlign w:val="center"/>
          </w:tcPr>
          <w:p>
            <w:pPr>
              <w:pStyle w:val="12"/>
            </w:pPr>
            <w:r>
              <w:t>150.00</w:t>
            </w:r>
          </w:p>
        </w:tc>
        <w:tc>
          <w:tcPr>
            <w:tcW w:w="1134" w:type="dxa"/>
            <w:vAlign w:val="center"/>
          </w:tcPr>
          <w:p>
            <w:pPr>
              <w:pStyle w:val="13"/>
            </w:pPr>
            <w:r>
              <w:t>其他林业服务</w:t>
            </w:r>
          </w:p>
        </w:tc>
        <w:tc>
          <w:tcPr>
            <w:tcW w:w="1134" w:type="dxa"/>
            <w:vAlign w:val="center"/>
          </w:tcPr>
          <w:p>
            <w:pPr>
              <w:pStyle w:val="13"/>
            </w:pPr>
            <w:r>
              <w:t>C09029900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南山森林公园绿化养护项目资金</w:t>
            </w:r>
          </w:p>
        </w:tc>
        <w:tc>
          <w:tcPr>
            <w:tcW w:w="964" w:type="dxa"/>
            <w:vAlign w:val="center"/>
          </w:tcPr>
          <w:p>
            <w:pPr>
              <w:pStyle w:val="12"/>
            </w:pPr>
            <w:r>
              <w:t>187.90</w:t>
            </w:r>
          </w:p>
        </w:tc>
        <w:tc>
          <w:tcPr>
            <w:tcW w:w="1134" w:type="dxa"/>
            <w:vAlign w:val="center"/>
          </w:tcPr>
          <w:p>
            <w:pPr>
              <w:pStyle w:val="13"/>
            </w:pPr>
            <w:r>
              <w:t>园林绿化管理服务</w:t>
            </w:r>
          </w:p>
        </w:tc>
        <w:tc>
          <w:tcPr>
            <w:tcW w:w="1134" w:type="dxa"/>
            <w:vAlign w:val="center"/>
          </w:tcPr>
          <w:p>
            <w:pPr>
              <w:pStyle w:val="13"/>
            </w:pPr>
            <w:r>
              <w:t>C13030000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187.90</w:t>
            </w:r>
          </w:p>
        </w:tc>
        <w:tc>
          <w:tcPr>
            <w:tcW w:w="964" w:type="dxa"/>
            <w:vAlign w:val="center"/>
          </w:tcPr>
          <w:p>
            <w:pPr>
              <w:pStyle w:val="12"/>
            </w:pPr>
            <w:r>
              <w:t>187.90</w:t>
            </w:r>
          </w:p>
        </w:tc>
        <w:tc>
          <w:tcPr>
            <w:tcW w:w="964" w:type="dxa"/>
            <w:vAlign w:val="center"/>
          </w:tcPr>
          <w:p>
            <w:pPr>
              <w:pStyle w:val="12"/>
            </w:pPr>
          </w:p>
        </w:tc>
        <w:tc>
          <w:tcPr>
            <w:tcW w:w="964" w:type="dxa"/>
            <w:vAlign w:val="center"/>
          </w:tcPr>
          <w:p>
            <w:pPr>
              <w:pStyle w:val="12"/>
            </w:pPr>
            <w:r>
              <w:t>187.90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青龙满族自治县森林病虫害防治检疫站小计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1.73</w:t>
            </w:r>
          </w:p>
        </w:tc>
        <w:tc>
          <w:tcPr>
            <w:tcW w:w="964" w:type="dxa"/>
            <w:vAlign w:val="center"/>
          </w:tcPr>
          <w:p>
            <w:pPr>
              <w:pStyle w:val="16"/>
            </w:pPr>
            <w:r>
              <w:t>1.73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4.80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300</w:t>
            </w:r>
          </w:p>
        </w:tc>
        <w:tc>
          <w:tcPr>
            <w:tcW w:w="850" w:type="dxa"/>
            <w:vAlign w:val="center"/>
          </w:tcPr>
          <w:p>
            <w:pPr>
              <w:pStyle w:val="12"/>
            </w:pPr>
            <w:r>
              <w:t>0.00</w:t>
            </w:r>
          </w:p>
        </w:tc>
        <w:tc>
          <w:tcPr>
            <w:tcW w:w="964" w:type="dxa"/>
            <w:vAlign w:val="center"/>
          </w:tcPr>
          <w:p>
            <w:pPr>
              <w:pStyle w:val="12"/>
            </w:pPr>
            <w:r>
              <w:t>0.51</w:t>
            </w:r>
          </w:p>
        </w:tc>
        <w:tc>
          <w:tcPr>
            <w:tcW w:w="964" w:type="dxa"/>
            <w:vAlign w:val="center"/>
          </w:tcPr>
          <w:p>
            <w:pPr>
              <w:pStyle w:val="12"/>
            </w:pPr>
            <w:r>
              <w:t>0.51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4.80</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4.80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张</w:t>
            </w:r>
          </w:p>
        </w:tc>
        <w:tc>
          <w:tcPr>
            <w:tcW w:w="850" w:type="dxa"/>
            <w:vAlign w:val="center"/>
          </w:tcPr>
          <w:p>
            <w:pPr>
              <w:pStyle w:val="12"/>
            </w:pPr>
            <w:r>
              <w:t>10000</w:t>
            </w:r>
          </w:p>
        </w:tc>
        <w:tc>
          <w:tcPr>
            <w:tcW w:w="850" w:type="dxa"/>
            <w:vAlign w:val="center"/>
          </w:tcPr>
          <w:p>
            <w:pPr>
              <w:pStyle w:val="12"/>
            </w:pPr>
            <w:r>
              <w:t>0.00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4.80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次</w:t>
            </w:r>
          </w:p>
        </w:tc>
        <w:tc>
          <w:tcPr>
            <w:tcW w:w="850" w:type="dxa"/>
            <w:vAlign w:val="center"/>
          </w:tcPr>
          <w:p>
            <w:pPr>
              <w:pStyle w:val="12"/>
            </w:pPr>
            <w:r>
              <w:t>2</w:t>
            </w:r>
          </w:p>
        </w:tc>
        <w:tc>
          <w:tcPr>
            <w:tcW w:w="850" w:type="dxa"/>
            <w:vAlign w:val="center"/>
          </w:tcPr>
          <w:p>
            <w:pPr>
              <w:pStyle w:val="12"/>
            </w:pPr>
            <w:r>
              <w:t>0.03</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4.80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800</w:t>
            </w:r>
          </w:p>
        </w:tc>
        <w:tc>
          <w:tcPr>
            <w:tcW w:w="850" w:type="dxa"/>
            <w:vAlign w:val="center"/>
          </w:tcPr>
          <w:p>
            <w:pPr>
              <w:pStyle w:val="12"/>
            </w:pPr>
            <w:r>
              <w:t>0.00</w:t>
            </w:r>
          </w:p>
        </w:tc>
        <w:tc>
          <w:tcPr>
            <w:tcW w:w="964" w:type="dxa"/>
            <w:vAlign w:val="center"/>
          </w:tcPr>
          <w:p>
            <w:pPr>
              <w:pStyle w:val="12"/>
            </w:pPr>
            <w:r>
              <w:t>0.62</w:t>
            </w:r>
          </w:p>
        </w:tc>
        <w:tc>
          <w:tcPr>
            <w:tcW w:w="964" w:type="dxa"/>
            <w:vAlign w:val="center"/>
          </w:tcPr>
          <w:p>
            <w:pPr>
              <w:pStyle w:val="12"/>
            </w:pPr>
            <w:r>
              <w:t>0.62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青龙满族自治县林木种苗服务中心小计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0.05</w:t>
            </w:r>
          </w:p>
        </w:tc>
        <w:tc>
          <w:tcPr>
            <w:tcW w:w="964" w:type="dxa"/>
            <w:vAlign w:val="center"/>
          </w:tcPr>
          <w:p>
            <w:pPr>
              <w:pStyle w:val="16"/>
            </w:pPr>
            <w:r>
              <w:t>0.05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0.32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30</w:t>
            </w:r>
          </w:p>
        </w:tc>
        <w:tc>
          <w:tcPr>
            <w:tcW w:w="850" w:type="dxa"/>
            <w:vAlign w:val="center"/>
          </w:tcPr>
          <w:p>
            <w:pPr>
              <w:pStyle w:val="12"/>
            </w:pPr>
            <w:r>
              <w:t>0.00</w:t>
            </w:r>
          </w:p>
        </w:tc>
        <w:tc>
          <w:tcPr>
            <w:tcW w:w="964" w:type="dxa"/>
            <w:vAlign w:val="center"/>
          </w:tcPr>
          <w:p>
            <w:pPr>
              <w:pStyle w:val="12"/>
            </w:pPr>
            <w:r>
              <w:t>0.05</w:t>
            </w:r>
          </w:p>
        </w:tc>
        <w:tc>
          <w:tcPr>
            <w:tcW w:w="964" w:type="dxa"/>
            <w:vAlign w:val="center"/>
          </w:tcPr>
          <w:p>
            <w:pPr>
              <w:pStyle w:val="12"/>
            </w:pPr>
            <w:r>
              <w:t>0.05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青龙满族自治县都山林场小计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8.68</w:t>
            </w:r>
          </w:p>
        </w:tc>
        <w:tc>
          <w:tcPr>
            <w:tcW w:w="964" w:type="dxa"/>
            <w:vAlign w:val="center"/>
          </w:tcPr>
          <w:p>
            <w:pPr>
              <w:pStyle w:val="16"/>
            </w:pPr>
            <w:r>
              <w:t>8.68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400</w:t>
            </w:r>
          </w:p>
        </w:tc>
        <w:tc>
          <w:tcPr>
            <w:tcW w:w="850" w:type="dxa"/>
            <w:vAlign w:val="center"/>
          </w:tcPr>
          <w:p>
            <w:pPr>
              <w:pStyle w:val="12"/>
            </w:pPr>
            <w:r>
              <w:t>0.00</w:t>
            </w:r>
          </w:p>
        </w:tc>
        <w:tc>
          <w:tcPr>
            <w:tcW w:w="964" w:type="dxa"/>
            <w:vAlign w:val="center"/>
          </w:tcPr>
          <w:p>
            <w:pPr>
              <w:pStyle w:val="12"/>
            </w:pPr>
            <w:r>
              <w:t>0.68</w:t>
            </w:r>
          </w:p>
        </w:tc>
        <w:tc>
          <w:tcPr>
            <w:tcW w:w="964" w:type="dxa"/>
            <w:vAlign w:val="center"/>
          </w:tcPr>
          <w:p>
            <w:pPr>
              <w:pStyle w:val="12"/>
            </w:pPr>
            <w:r>
              <w:t>0.68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1.84</w:t>
            </w:r>
          </w:p>
        </w:tc>
        <w:tc>
          <w:tcPr>
            <w:tcW w:w="964" w:type="dxa"/>
            <w:vAlign w:val="center"/>
          </w:tcPr>
          <w:p>
            <w:pPr>
              <w:pStyle w:val="12"/>
            </w:pPr>
            <w:r>
              <w:t>1.84</w:t>
            </w:r>
          </w:p>
        </w:tc>
        <w:tc>
          <w:tcPr>
            <w:tcW w:w="964" w:type="dxa"/>
            <w:vAlign w:val="center"/>
          </w:tcPr>
          <w:p>
            <w:pPr>
              <w:pStyle w:val="12"/>
            </w:pPr>
            <w:r>
              <w:t>1.84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1.12</w:t>
            </w:r>
          </w:p>
        </w:tc>
        <w:tc>
          <w:tcPr>
            <w:tcW w:w="964" w:type="dxa"/>
            <w:vAlign w:val="center"/>
          </w:tcPr>
          <w:p>
            <w:pPr>
              <w:pStyle w:val="12"/>
            </w:pPr>
            <w:r>
              <w:t>1.12</w:t>
            </w:r>
          </w:p>
        </w:tc>
        <w:tc>
          <w:tcPr>
            <w:tcW w:w="964" w:type="dxa"/>
            <w:vAlign w:val="center"/>
          </w:tcPr>
          <w:p>
            <w:pPr>
              <w:pStyle w:val="12"/>
            </w:pPr>
            <w:r>
              <w:t>1.12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6550</w:t>
            </w:r>
          </w:p>
        </w:tc>
        <w:tc>
          <w:tcPr>
            <w:tcW w:w="850" w:type="dxa"/>
            <w:vAlign w:val="center"/>
          </w:tcPr>
          <w:p>
            <w:pPr>
              <w:pStyle w:val="12"/>
            </w:pPr>
            <w:r>
              <w:t>0.00</w:t>
            </w:r>
          </w:p>
        </w:tc>
        <w:tc>
          <w:tcPr>
            <w:tcW w:w="964" w:type="dxa"/>
            <w:vAlign w:val="center"/>
          </w:tcPr>
          <w:p>
            <w:pPr>
              <w:pStyle w:val="12"/>
            </w:pPr>
            <w:r>
              <w:t>5.04</w:t>
            </w:r>
          </w:p>
        </w:tc>
        <w:tc>
          <w:tcPr>
            <w:tcW w:w="964" w:type="dxa"/>
            <w:vAlign w:val="center"/>
          </w:tcPr>
          <w:p>
            <w:pPr>
              <w:pStyle w:val="12"/>
            </w:pPr>
            <w:r>
              <w:t>5.04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青龙满族自治县祖山林场小计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9.94</w:t>
            </w:r>
          </w:p>
        </w:tc>
        <w:tc>
          <w:tcPr>
            <w:tcW w:w="964" w:type="dxa"/>
            <w:vAlign w:val="center"/>
          </w:tcPr>
          <w:p>
            <w:pPr>
              <w:pStyle w:val="16"/>
            </w:pPr>
            <w:r>
              <w:t>9.94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13.12</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200</w:t>
            </w:r>
          </w:p>
        </w:tc>
        <w:tc>
          <w:tcPr>
            <w:tcW w:w="850" w:type="dxa"/>
            <w:vAlign w:val="center"/>
          </w:tcPr>
          <w:p>
            <w:pPr>
              <w:pStyle w:val="12"/>
            </w:pPr>
            <w:r>
              <w:t>0.00</w:t>
            </w:r>
          </w:p>
        </w:tc>
        <w:tc>
          <w:tcPr>
            <w:tcW w:w="964" w:type="dxa"/>
            <w:vAlign w:val="center"/>
          </w:tcPr>
          <w:p>
            <w:pPr>
              <w:pStyle w:val="12"/>
            </w:pPr>
            <w:r>
              <w:t>0.34</w:t>
            </w:r>
          </w:p>
        </w:tc>
        <w:tc>
          <w:tcPr>
            <w:tcW w:w="964" w:type="dxa"/>
            <w:vAlign w:val="center"/>
          </w:tcPr>
          <w:p>
            <w:pPr>
              <w:pStyle w:val="12"/>
            </w:pPr>
            <w:r>
              <w:t>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13.12</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1.22</w:t>
            </w:r>
          </w:p>
        </w:tc>
        <w:tc>
          <w:tcPr>
            <w:tcW w:w="964" w:type="dxa"/>
            <w:vAlign w:val="center"/>
          </w:tcPr>
          <w:p>
            <w:pPr>
              <w:pStyle w:val="12"/>
            </w:pPr>
            <w:r>
              <w:t>1.22</w:t>
            </w:r>
          </w:p>
        </w:tc>
        <w:tc>
          <w:tcPr>
            <w:tcW w:w="964" w:type="dxa"/>
            <w:vAlign w:val="center"/>
          </w:tcPr>
          <w:p>
            <w:pPr>
              <w:pStyle w:val="12"/>
            </w:pPr>
            <w:r>
              <w:t>1.22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13.12</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13.12</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升</w:t>
            </w:r>
          </w:p>
        </w:tc>
        <w:tc>
          <w:tcPr>
            <w:tcW w:w="850" w:type="dxa"/>
            <w:vAlign w:val="center"/>
          </w:tcPr>
          <w:p>
            <w:pPr>
              <w:pStyle w:val="12"/>
            </w:pPr>
            <w:r>
              <w:t>8809</w:t>
            </w:r>
          </w:p>
        </w:tc>
        <w:tc>
          <w:tcPr>
            <w:tcW w:w="850" w:type="dxa"/>
            <w:vAlign w:val="center"/>
          </w:tcPr>
          <w:p>
            <w:pPr>
              <w:pStyle w:val="12"/>
            </w:pPr>
            <w:r>
              <w:t>0.00</w:t>
            </w:r>
          </w:p>
        </w:tc>
        <w:tc>
          <w:tcPr>
            <w:tcW w:w="964" w:type="dxa"/>
            <w:vAlign w:val="center"/>
          </w:tcPr>
          <w:p>
            <w:pPr>
              <w:pStyle w:val="12"/>
            </w:pPr>
            <w:r>
              <w:t>6.78</w:t>
            </w:r>
          </w:p>
        </w:tc>
        <w:tc>
          <w:tcPr>
            <w:tcW w:w="964" w:type="dxa"/>
            <w:vAlign w:val="center"/>
          </w:tcPr>
          <w:p>
            <w:pPr>
              <w:pStyle w:val="12"/>
            </w:pPr>
            <w:r>
              <w:t>6.78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6.78</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青龙满族自治县林业局（含所属单位）上年末固定资产金额为1931.87万元（详见下表）。本年度拟购置固定资产总额为0.00万元，已按要求列入政府采购预算，详见政府采购预算表。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327青龙满族自治县林业局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1931.87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5908.56</w:t>
            </w:r>
          </w:p>
        </w:tc>
        <w:tc>
          <w:tcPr>
            <w:tcW w:w="2835" w:type="dxa"/>
            <w:vAlign w:val="center"/>
          </w:tcPr>
          <w:p>
            <w:pPr>
              <w:pStyle w:val="12"/>
            </w:pPr>
            <w:r>
              <w:t>491.57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4580.56</w:t>
            </w:r>
          </w:p>
        </w:tc>
        <w:tc>
          <w:tcPr>
            <w:tcW w:w="2835" w:type="dxa"/>
            <w:vAlign w:val="center"/>
          </w:tcPr>
          <w:p>
            <w:pPr>
              <w:pStyle w:val="12"/>
            </w:pPr>
            <w:r>
              <w:t>419.75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54</w:t>
            </w:r>
          </w:p>
        </w:tc>
        <w:tc>
          <w:tcPr>
            <w:tcW w:w="2835" w:type="dxa"/>
            <w:vAlign w:val="center"/>
          </w:tcPr>
          <w:p>
            <w:pPr>
              <w:pStyle w:val="12"/>
            </w:pPr>
            <w:r>
              <w:t>789.65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509</w:t>
            </w:r>
          </w:p>
        </w:tc>
        <w:tc>
          <w:tcPr>
            <w:tcW w:w="2835" w:type="dxa"/>
            <w:vAlign w:val="center"/>
          </w:tcPr>
          <w:p>
            <w:pPr>
              <w:pStyle w:val="12"/>
            </w:pPr>
            <w:r>
              <w:t>470.64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A853B"/>
    <w:multiLevelType w:val="singleLevel"/>
    <w:tmpl w:val="A64A853B"/>
    <w:lvl w:ilvl="0" w:tentative="0">
      <w:start w:val="19"/>
      <w:numFmt w:val="chineseCounting"/>
      <w:lvlText w:val="(%1)"/>
      <w:lvlJc w:val="left"/>
      <w:pPr>
        <w:tabs>
          <w:tab w:val="left" w:pos="312"/>
        </w:tabs>
      </w:pPr>
      <w:rPr>
        <w:rFonts w:hint="eastAsia"/>
      </w:rPr>
    </w:lvl>
  </w:abstractNum>
  <w:abstractNum w:abstractNumId="1">
    <w:nsid w:val="37C17FBD"/>
    <w:multiLevelType w:val="singleLevel"/>
    <w:tmpl w:val="37C17FBD"/>
    <w:lvl w:ilvl="0" w:tentative="0">
      <w:start w:val="4"/>
      <w:numFmt w:val="chineseCounting"/>
      <w:suff w:val="nothing"/>
      <w:lvlText w:val="%1、"/>
      <w:lvlJc w:val="left"/>
      <w:rPr>
        <w:rFonts w:hint="eastAsia"/>
      </w:rPr>
    </w:lvl>
  </w:abstractNum>
  <w:abstractNum w:abstractNumId="2">
    <w:nsid w:val="531FE669"/>
    <w:multiLevelType w:val="singleLevel"/>
    <w:tmpl w:val="531FE669"/>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20798"/>
    <w:rsid w:val="140374FA"/>
    <w:rsid w:val="147378A3"/>
    <w:rsid w:val="22F326FE"/>
    <w:rsid w:val="3788148F"/>
    <w:rsid w:val="46500902"/>
    <w:rsid w:val="472F42D0"/>
    <w:rsid w:val="61B6359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125</Pages>
  <TotalTime>28</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2025-01-22T15:49:00Z</dcterms:created>
  <dc:creator>Administrator</dc:creator>
  <cp:lastModifiedBy>会会</cp:lastModifiedBy>
  <cp:lastPrinted>2025-01-22T08:36:00Z</cp:lastPrinted>
  <dcterms:modified xsi:type="dcterms:W3CDTF">2025-11-20T07:46:46Z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D1F0DB5C2AE347C09B4B9E92540CA1D1</vt:lpwstr>
  </property>
</Properties>
</file>