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0" w:name="_Toc_4_4_0000000021"/>
      <w:r>
        <w:rPr>
          <w:rFonts w:ascii="黑体" w:hAnsi="黑体" w:eastAsia="黑体" w:cs="黑体"/>
          <w:b/>
          <w:color w:val="000000"/>
          <w:sz w:val="44"/>
        </w:rPr>
        <w:t>2024</w:t>
      </w:r>
      <w:r>
        <w:rPr>
          <w:rFonts w:hint="eastAsia" w:ascii="黑体" w:hAnsi="黑体" w:eastAsia="黑体" w:cs="黑体"/>
          <w:b/>
          <w:color w:val="000000"/>
          <w:sz w:val="44"/>
          <w:lang w:eastAsia="zh-CN"/>
        </w:rPr>
        <w:t>年青龙满族自治县发展和改革局单位</w:t>
      </w:r>
      <w:r>
        <w:rPr>
          <w:rFonts w:ascii="黑体" w:hAnsi="黑体" w:eastAsia="黑体" w:cs="黑体"/>
          <w:b/>
          <w:color w:val="000000"/>
          <w:sz w:val="44"/>
        </w:rPr>
        <w:t>预算信息公开目录</w:t>
      </w:r>
    </w:p>
    <w:p>
      <w:pPr>
        <w:jc w:val="center"/>
      </w:pPr>
    </w:p>
    <w:p>
      <w:r>
        <w:rPr>
          <w:rFonts w:ascii="方正楷体_GBK" w:hAnsi="方正楷体_GBK" w:eastAsia="方正楷体_GBK" w:cs="方正楷体_GBK"/>
          <w:b/>
          <w:color w:val="000000"/>
          <w:sz w:val="28"/>
        </w:rPr>
        <w:t>单位预算公开表</w:t>
      </w:r>
    </w:p>
    <w:p>
      <w:pPr>
        <w:pStyle w:val="3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rPr>
          <w:rFonts w:hint="eastAsia" w:eastAsiaTheme="minorEastAsia"/>
          <w:lang w:eastAsia="zh-CN"/>
        </w:rPr>
        <w:t>1</w:t>
      </w:r>
      <w:r>
        <w:rPr>
          <w:rFonts w:hint="eastAsia" w:eastAsiaTheme="minorEastAsia"/>
          <w:lang w:eastAsia="zh-CN"/>
        </w:rPr>
        <w:fldChar w:fldCharType="end"/>
      </w:r>
    </w:p>
    <w:p>
      <w:pPr>
        <w:pStyle w:val="34"/>
        <w:tabs>
          <w:tab w:val="right" w:leader="dot" w:pos="14562"/>
        </w:tabs>
      </w:pPr>
      <w:r>
        <w:fldChar w:fldCharType="begin"/>
      </w:r>
      <w:r>
        <w:instrText xml:space="preserve"> HYPERLINK \l "_Toc_2_2_0000000002" </w:instrText>
      </w:r>
      <w:r>
        <w:fldChar w:fldCharType="separate"/>
      </w:r>
      <w:r>
        <w:t>单位预算收入总表</w:t>
      </w:r>
      <w:r>
        <w:tab/>
      </w:r>
      <w:r>
        <w:rPr>
          <w:rFonts w:hint="eastAsia" w:eastAsiaTheme="minorEastAsia"/>
          <w:lang w:eastAsia="zh-CN"/>
        </w:rPr>
        <w:t>3</w:t>
      </w:r>
      <w:r>
        <w:rPr>
          <w:rFonts w:hint="eastAsia" w:eastAsiaTheme="minorEastAsia"/>
          <w:lang w:eastAsia="zh-CN"/>
        </w:rPr>
        <w:fldChar w:fldCharType="end"/>
      </w:r>
    </w:p>
    <w:p>
      <w:pPr>
        <w:pStyle w:val="34"/>
        <w:tabs>
          <w:tab w:val="right" w:leader="dot" w:pos="14562"/>
        </w:tabs>
      </w:pPr>
      <w:r>
        <w:fldChar w:fldCharType="begin"/>
      </w:r>
      <w:r>
        <w:instrText xml:space="preserve"> HYPERLINK \l "_Toc_2_2_0000000003" </w:instrText>
      </w:r>
      <w:r>
        <w:fldChar w:fldCharType="separate"/>
      </w:r>
      <w:r>
        <w:t>单位预算支出总表</w:t>
      </w:r>
      <w:r>
        <w:tab/>
      </w:r>
      <w:r>
        <w:rPr>
          <w:rFonts w:hint="eastAsia" w:eastAsiaTheme="minorEastAsia"/>
          <w:lang w:eastAsia="zh-CN"/>
        </w:rPr>
        <w:t>8</w:t>
      </w:r>
      <w:r>
        <w:rPr>
          <w:rFonts w:hint="eastAsia" w:eastAsiaTheme="minorEastAsia"/>
          <w:lang w:eastAsia="zh-CN"/>
        </w:rPr>
        <w:fldChar w:fldCharType="end"/>
      </w:r>
    </w:p>
    <w:p>
      <w:pPr>
        <w:pStyle w:val="34"/>
        <w:tabs>
          <w:tab w:val="right" w:leader="dot" w:pos="14562"/>
        </w:tabs>
      </w:pPr>
      <w:r>
        <w:fldChar w:fldCharType="begin"/>
      </w:r>
      <w:r>
        <w:instrText xml:space="preserve"> HYPERLINK \l "_Toc_2_2_0000000004" </w:instrText>
      </w:r>
      <w:r>
        <w:fldChar w:fldCharType="separate"/>
      </w:r>
      <w:r>
        <w:t>单位预算财政拨款收支总表</w:t>
      </w:r>
      <w:r>
        <w:tab/>
      </w:r>
      <w:r>
        <w:rPr>
          <w:rFonts w:hint="eastAsia" w:eastAsiaTheme="minorEastAsia"/>
          <w:lang w:eastAsia="zh-CN"/>
        </w:rPr>
        <w:t>12</w:t>
      </w:r>
      <w:r>
        <w:rPr>
          <w:rFonts w:hint="eastAsia" w:eastAsiaTheme="minorEastAsia"/>
          <w:lang w:eastAsia="zh-CN"/>
        </w:rPr>
        <w:fldChar w:fldCharType="end"/>
      </w:r>
    </w:p>
    <w:p>
      <w:pPr>
        <w:pStyle w:val="34"/>
        <w:tabs>
          <w:tab w:val="right" w:leader="dot" w:pos="14562"/>
        </w:tabs>
      </w:pPr>
      <w:r>
        <w:fldChar w:fldCharType="begin"/>
      </w:r>
      <w:r>
        <w:instrText xml:space="preserve"> HYPERLINK \l "_Toc_2_2_0000000005" </w:instrText>
      </w:r>
      <w:r>
        <w:fldChar w:fldCharType="separate"/>
      </w:r>
      <w:r>
        <w:t>单位预算一般公共预算财政拨款支出表</w:t>
      </w:r>
      <w:r>
        <w:tab/>
      </w:r>
      <w:r>
        <w:rPr>
          <w:rFonts w:hint="eastAsia" w:eastAsiaTheme="minorEastAsia"/>
          <w:lang w:eastAsia="zh-CN"/>
        </w:rPr>
        <w:t>14</w:t>
      </w:r>
      <w:r>
        <w:rPr>
          <w:rFonts w:hint="eastAsia" w:eastAsiaTheme="minorEastAsia"/>
          <w:lang w:eastAsia="zh-CN"/>
        </w:rPr>
        <w:fldChar w:fldCharType="end"/>
      </w:r>
    </w:p>
    <w:p>
      <w:pPr>
        <w:pStyle w:val="34"/>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rPr>
          <w:rFonts w:hint="eastAsia" w:eastAsiaTheme="minorEastAsia"/>
          <w:lang w:eastAsia="zh-CN"/>
        </w:rPr>
        <w:t>18</w:t>
      </w:r>
      <w:r>
        <w:rPr>
          <w:rFonts w:hint="eastAsia" w:eastAsiaTheme="minorEastAsia"/>
          <w:lang w:eastAsia="zh-CN"/>
        </w:rPr>
        <w:fldChar w:fldCharType="end"/>
      </w:r>
    </w:p>
    <w:p>
      <w:pPr>
        <w:pStyle w:val="34"/>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rPr>
          <w:rFonts w:hint="eastAsia" w:eastAsiaTheme="minorEastAsia"/>
          <w:lang w:eastAsia="zh-CN"/>
        </w:rPr>
        <w:t>20</w:t>
      </w:r>
      <w:r>
        <w:rPr>
          <w:rFonts w:hint="eastAsia" w:eastAsiaTheme="minorEastAsia"/>
          <w:lang w:eastAsia="zh-CN"/>
        </w:rPr>
        <w:fldChar w:fldCharType="end"/>
      </w:r>
    </w:p>
    <w:p>
      <w:pPr>
        <w:pStyle w:val="34"/>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rPr>
          <w:rFonts w:hint="eastAsia" w:eastAsiaTheme="minorEastAsia"/>
          <w:lang w:eastAsia="zh-CN"/>
        </w:rPr>
        <w:t>21</w:t>
      </w:r>
      <w:r>
        <w:rPr>
          <w:rFonts w:hint="eastAsia" w:eastAsiaTheme="minorEastAsia"/>
          <w:lang w:eastAsia="zh-CN"/>
        </w:rPr>
        <w:fldChar w:fldCharType="end"/>
      </w:r>
    </w:p>
    <w:p>
      <w:pPr>
        <w:pStyle w:val="34"/>
        <w:tabs>
          <w:tab w:val="right" w:leader="dot" w:pos="14562"/>
        </w:tabs>
      </w:pPr>
      <w:r>
        <w:fldChar w:fldCharType="begin"/>
      </w:r>
      <w:r>
        <w:instrText xml:space="preserve"> HYPERLINK \l "_Toc_2_2_0000000009" </w:instrText>
      </w:r>
      <w:r>
        <w:fldChar w:fldCharType="separate"/>
      </w:r>
      <w:r>
        <w:t>单位预算财政拨款“三公”经费支出表</w:t>
      </w:r>
      <w:r>
        <w:tab/>
      </w:r>
      <w:r>
        <w:rPr>
          <w:rFonts w:hint="eastAsia" w:eastAsiaTheme="minorEastAsia"/>
          <w:lang w:eastAsia="zh-CN"/>
        </w:rPr>
        <w:t>22</w:t>
      </w:r>
      <w:r>
        <w:rPr>
          <w:rFonts w:hint="eastAsia" w:eastAsiaTheme="minorEastAsia"/>
          <w:lang w:eastAsia="zh-CN"/>
        </w:rPr>
        <w:fldChar w:fldCharType="end"/>
      </w:r>
    </w:p>
    <w:p>
      <w:r>
        <w:fldChar w:fldCharType="end"/>
      </w:r>
    </w:p>
    <w:p>
      <w:r>
        <w:rPr>
          <w:rFonts w:ascii="方正楷体_GBK" w:hAnsi="方正楷体_GBK" w:eastAsia="方正楷体_GBK" w:cs="方正楷体_GBK"/>
          <w:b/>
          <w:color w:val="000000"/>
          <w:sz w:val="28"/>
        </w:rPr>
        <w:t>单位预算信息公开情况说明</w:t>
      </w:r>
    </w:p>
    <w:p>
      <w:pPr>
        <w:pStyle w:val="3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rPr>
          <w:rFonts w:hint="eastAsia" w:eastAsiaTheme="minorEastAsia"/>
          <w:lang w:eastAsia="zh-CN"/>
        </w:rPr>
        <w:t>23</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"_Toc_3_3_0000000011" </w:instrText>
      </w:r>
      <w:r>
        <w:fldChar w:fldCharType="separate"/>
      </w:r>
      <w:r>
        <w:t>二、单位预算安排的总体情况</w:t>
      </w:r>
      <w:r>
        <w:tab/>
      </w:r>
      <w:r>
        <w:rPr>
          <w:rFonts w:hint="eastAsia" w:eastAsiaTheme="minorEastAsia"/>
          <w:lang w:eastAsia="zh-CN"/>
        </w:rPr>
        <w:t>24</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eastAsiaTheme="minorEastAsia"/>
          <w:lang w:eastAsia="zh-CN"/>
        </w:rPr>
        <w:t>26</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eastAsiaTheme="minorEastAsia"/>
          <w:lang w:eastAsia="zh-CN"/>
        </w:rPr>
        <w:t>26</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"_Toc_3_3_0000000014" </w:instrText>
      </w:r>
      <w:r>
        <w:fldChar w:fldCharType="separate"/>
      </w:r>
      <w:r>
        <w:t>五、单位整体绩效目标</w:t>
      </w:r>
      <w:r>
        <w:tab/>
      </w:r>
      <w:r>
        <w:rPr>
          <w:rFonts w:hint="eastAsia" w:eastAsiaTheme="minorEastAsia"/>
          <w:lang w:eastAsia="zh-CN"/>
        </w:rPr>
        <w:t>26</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"_Toc_3_3_0000000015" </w:instrText>
      </w:r>
      <w:r>
        <w:fldChar w:fldCharType="separate"/>
      </w:r>
      <w:r>
        <w:t>六、单位主管专项资金预算安排情况及绩效目标</w:t>
      </w:r>
      <w:r>
        <w:tab/>
      </w:r>
      <w:r>
        <w:rPr>
          <w:rFonts w:hint="eastAsia" w:eastAsiaTheme="minorEastAsia"/>
          <w:lang w:eastAsia="zh-CN"/>
        </w:rPr>
        <w:t>26</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"_Toc_3_3_0000000016" </w:instrText>
      </w:r>
      <w:r>
        <w:fldChar w:fldCharType="separate"/>
      </w:r>
      <w:r>
        <w:t>七、单位项目预算安排情况及绩效目标</w:t>
      </w:r>
      <w:r>
        <w:tab/>
      </w:r>
      <w:r>
        <w:rPr>
          <w:rFonts w:hint="eastAsia" w:eastAsiaTheme="minorEastAsia"/>
          <w:lang w:eastAsia="zh-CN"/>
        </w:rPr>
        <w:t>26</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"_Toc_3_3_0000000017" </w:instrText>
      </w:r>
      <w:r>
        <w:fldChar w:fldCharType="separate"/>
      </w:r>
      <w:r>
        <w:t>八、政府采购预算情况</w:t>
      </w:r>
      <w:r>
        <w:tab/>
      </w:r>
      <w:r>
        <w:rPr>
          <w:rFonts w:hint="eastAsia" w:eastAsiaTheme="minorEastAsia"/>
          <w:lang w:eastAsia="zh-CN"/>
        </w:rPr>
        <w:t>85</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"_Toc_3_3_0000000018" </w:instrText>
      </w:r>
      <w:r>
        <w:fldChar w:fldCharType="separate"/>
      </w:r>
      <w:r>
        <w:t>九、国有资产信息</w:t>
      </w:r>
      <w:r>
        <w:tab/>
      </w:r>
      <w:r>
        <w:rPr>
          <w:rFonts w:hint="eastAsia" w:eastAsiaTheme="minorEastAsia"/>
          <w:lang w:eastAsia="zh-CN"/>
        </w:rPr>
        <w:t>85</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"_Toc_3_3_0000000019" </w:instrText>
      </w:r>
      <w:r>
        <w:fldChar w:fldCharType="separate"/>
      </w:r>
      <w:r>
        <w:t>十、名词解释</w:t>
      </w:r>
      <w:r>
        <w:tab/>
      </w:r>
      <w:r>
        <w:rPr>
          <w:rFonts w:hint="eastAsia" w:eastAsiaTheme="minorEastAsia"/>
          <w:lang w:eastAsia="zh-CN"/>
        </w:rPr>
        <w:t>85</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"_Toc_3_3_0000000020" </w:instrText>
      </w:r>
      <w:r>
        <w:fldChar w:fldCharType="separate"/>
      </w:r>
      <w:r>
        <w:t>十一、其他需要说明的事项</w:t>
      </w:r>
      <w:r>
        <w:tab/>
      </w:r>
      <w:r>
        <w:rPr>
          <w:rFonts w:hint="eastAsia" w:eastAsiaTheme="minorEastAsia"/>
          <w:lang w:eastAsia="zh-CN"/>
        </w:rPr>
        <w:t>87</w:t>
      </w:r>
      <w:r>
        <w:rPr>
          <w:rFonts w:hint="eastAsia" w:eastAsiaTheme="minorEastAsia"/>
          <w:lang w:eastAsia="zh-CN"/>
        </w:rPr>
        <w:fldChar w:fldCharType="end"/>
      </w:r>
    </w:p>
    <w:p>
      <w:r>
        <w:fldChar w:fldCharType="end"/>
      </w:r>
    </w:p>
    <w:p>
      <w:pPr>
        <w:pStyle w:val="34"/>
        <w:tabs>
          <w:tab w:val="right" w:leader="dot" w:pos="14562"/>
        </w:tabs>
      </w:pPr>
      <w:r>
        <w:fldChar w:fldCharType="begin"/>
      </w:r>
      <w:r>
        <w:instrText xml:space="preserve">TOC \o "4-4" \h \z \u</w:instrText>
      </w:r>
      <w:r>
        <w:fldChar w:fldCharType="separate"/>
      </w:r>
    </w:p>
    <w:p>
      <w:pPr>
        <w:sectPr>
          <w:footerReference r:id="rId3" w:type="default"/>
          <w:pgSz w:w="16840" w:h="11900" w:orient="landscape"/>
          <w:pgMar w:top="1587" w:right="1134" w:bottom="1361" w:left="1134" w:header="720" w:footer="720" w:gutter="0"/>
          <w:pgNumType w:start="1"/>
          <w:cols w:space="720" w:num="1"/>
        </w:sectPr>
      </w:pPr>
      <w:r>
        <w:fldChar w:fldCharType="end"/>
      </w:r>
    </w:p>
    <w:p>
      <w:pPr>
        <w:rPr>
          <w:rFonts w:ascii="方正小标宋_GBK" w:hAnsi="方正小标宋_GBK" w:eastAsia="方正小标宋_GBK" w:cs="方正小标宋_GBK"/>
          <w:color w:val="000000"/>
          <w:sz w:val="44"/>
        </w:rPr>
      </w:pPr>
    </w:p>
    <w:bookmarkEnd w:id="0"/>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2213.74</w:t>
            </w:r>
          </w:p>
        </w:tc>
        <w:tc>
          <w:tcPr>
            <w:tcW w:w="4535" w:type="dxa"/>
            <w:vAlign w:val="center"/>
          </w:tcPr>
          <w:p>
            <w:pPr>
              <w:pStyle w:val="14"/>
            </w:pPr>
            <w:r>
              <w:t>一、一般公共服务支出</w:t>
            </w:r>
          </w:p>
        </w:tc>
        <w:tc>
          <w:tcPr>
            <w:tcW w:w="2126" w:type="dxa"/>
            <w:vAlign w:val="center"/>
          </w:tcPr>
          <w:p>
            <w:pPr>
              <w:pStyle w:val="13"/>
            </w:pPr>
            <w:r>
              <w:t>147.59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850.00</w:t>
            </w: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r>
              <w:t>768.68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616.76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225.07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1099.15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35.39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r>
              <w:t>213.07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3063.74</w:t>
            </w:r>
          </w:p>
        </w:tc>
        <w:tc>
          <w:tcPr>
            <w:tcW w:w="4535" w:type="dxa"/>
            <w:vAlign w:val="center"/>
          </w:tcPr>
          <w:p>
            <w:pPr>
              <w:pStyle w:val="16"/>
            </w:pPr>
            <w:r>
              <w:t>本年支出合计</w:t>
            </w:r>
          </w:p>
        </w:tc>
        <w:tc>
          <w:tcPr>
            <w:tcW w:w="2126" w:type="dxa"/>
            <w:vAlign w:val="center"/>
          </w:tcPr>
          <w:p>
            <w:pPr>
              <w:pStyle w:val="17"/>
            </w:pPr>
            <w:r>
              <w:t>3919.09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855.35</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3919.09</w:t>
            </w:r>
          </w:p>
        </w:tc>
        <w:tc>
          <w:tcPr>
            <w:tcW w:w="4535" w:type="dxa"/>
            <w:vAlign w:val="center"/>
          </w:tcPr>
          <w:p>
            <w:pPr>
              <w:pStyle w:val="16"/>
            </w:pPr>
            <w:r>
              <w:t>支出总计</w:t>
            </w:r>
          </w:p>
        </w:tc>
        <w:tc>
          <w:tcPr>
            <w:tcW w:w="2126" w:type="dxa"/>
            <w:vAlign w:val="center"/>
          </w:tcPr>
          <w:p>
            <w:pPr>
              <w:pStyle w:val="17"/>
            </w:pPr>
            <w:r>
              <w:t>3919.09</w:t>
            </w:r>
          </w:p>
        </w:tc>
      </w:tr>
    </w:tbl>
    <w:p>
      <w:pPr>
        <w:sectPr>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3919.09</w:t>
            </w:r>
          </w:p>
        </w:tc>
        <w:tc>
          <w:tcPr>
            <w:tcW w:w="1134" w:type="dxa"/>
            <w:vAlign w:val="center"/>
          </w:tcPr>
          <w:p>
            <w:pPr>
              <w:pStyle w:val="17"/>
            </w:pPr>
            <w:r>
              <w:t>3063.74</w:t>
            </w:r>
          </w:p>
        </w:tc>
        <w:tc>
          <w:tcPr>
            <w:tcW w:w="1134" w:type="dxa"/>
            <w:vAlign w:val="center"/>
          </w:tcPr>
          <w:p>
            <w:pPr>
              <w:pStyle w:val="17"/>
            </w:pPr>
            <w:r>
              <w:t>3063.74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855.35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147.59</w:t>
            </w:r>
          </w:p>
        </w:tc>
        <w:tc>
          <w:tcPr>
            <w:tcW w:w="1134" w:type="dxa"/>
            <w:vAlign w:val="center"/>
          </w:tcPr>
          <w:p>
            <w:pPr>
              <w:pStyle w:val="13"/>
            </w:pPr>
            <w:r>
              <w:t>121.10</w:t>
            </w:r>
          </w:p>
        </w:tc>
        <w:tc>
          <w:tcPr>
            <w:tcW w:w="1134" w:type="dxa"/>
            <w:vAlign w:val="center"/>
          </w:tcPr>
          <w:p>
            <w:pPr>
              <w:pStyle w:val="13"/>
            </w:pPr>
            <w:r>
              <w:t>121.10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20104</w:t>
            </w:r>
          </w:p>
        </w:tc>
        <w:tc>
          <w:tcPr>
            <w:tcW w:w="1559" w:type="dxa"/>
            <w:vAlign w:val="center"/>
          </w:tcPr>
          <w:p>
            <w:pPr>
              <w:pStyle w:val="14"/>
            </w:pPr>
            <w:r>
              <w:t>发展与改革事务</w:t>
            </w:r>
          </w:p>
        </w:tc>
        <w:tc>
          <w:tcPr>
            <w:tcW w:w="1134" w:type="dxa"/>
            <w:vAlign w:val="center"/>
          </w:tcPr>
          <w:p>
            <w:pPr>
              <w:pStyle w:val="13"/>
            </w:pPr>
            <w:r>
              <w:t>145.59</w:t>
            </w:r>
          </w:p>
        </w:tc>
        <w:tc>
          <w:tcPr>
            <w:tcW w:w="1134" w:type="dxa"/>
            <w:vAlign w:val="center"/>
          </w:tcPr>
          <w:p>
            <w:pPr>
              <w:pStyle w:val="13"/>
            </w:pPr>
            <w:r>
              <w:t>119.10</w:t>
            </w:r>
          </w:p>
        </w:tc>
        <w:tc>
          <w:tcPr>
            <w:tcW w:w="1134" w:type="dxa"/>
            <w:vAlign w:val="center"/>
          </w:tcPr>
          <w:p>
            <w:pPr>
              <w:pStyle w:val="13"/>
            </w:pPr>
            <w:r>
              <w:t>119.10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2010402</w:t>
            </w:r>
          </w:p>
        </w:tc>
        <w:tc>
          <w:tcPr>
            <w:tcW w:w="1559" w:type="dxa"/>
            <w:vAlign w:val="center"/>
          </w:tcPr>
          <w:p>
            <w:pPr>
              <w:pStyle w:val="14"/>
            </w:pPr>
            <w:r>
              <w:t>一般行政管理事务</w:t>
            </w:r>
          </w:p>
        </w:tc>
        <w:tc>
          <w:tcPr>
            <w:tcW w:w="1134" w:type="dxa"/>
            <w:vAlign w:val="center"/>
          </w:tcPr>
          <w:p>
            <w:pPr>
              <w:pStyle w:val="13"/>
            </w:pPr>
            <w:r>
              <w:t>78.59</w:t>
            </w:r>
          </w:p>
        </w:tc>
        <w:tc>
          <w:tcPr>
            <w:tcW w:w="1134" w:type="dxa"/>
            <w:vAlign w:val="center"/>
          </w:tcPr>
          <w:p>
            <w:pPr>
              <w:pStyle w:val="13"/>
            </w:pPr>
            <w:r>
              <w:t>62.10</w:t>
            </w:r>
          </w:p>
        </w:tc>
        <w:tc>
          <w:tcPr>
            <w:tcW w:w="1134" w:type="dxa"/>
            <w:vAlign w:val="center"/>
          </w:tcPr>
          <w:p>
            <w:pPr>
              <w:pStyle w:val="13"/>
            </w:pPr>
            <w:r>
              <w:t>62.10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2010408</w:t>
            </w:r>
          </w:p>
        </w:tc>
        <w:tc>
          <w:tcPr>
            <w:tcW w:w="1559" w:type="dxa"/>
            <w:vAlign w:val="center"/>
          </w:tcPr>
          <w:p>
            <w:pPr>
              <w:pStyle w:val="14"/>
            </w:pPr>
            <w:r>
              <w:t>物价管理</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2010499</w:t>
            </w:r>
          </w:p>
        </w:tc>
        <w:tc>
          <w:tcPr>
            <w:tcW w:w="1559" w:type="dxa"/>
            <w:vAlign w:val="center"/>
          </w:tcPr>
          <w:p>
            <w:pPr>
              <w:pStyle w:val="14"/>
            </w:pPr>
            <w:r>
              <w:t>其他发展与改革事务支出</w:t>
            </w:r>
          </w:p>
        </w:tc>
        <w:tc>
          <w:tcPr>
            <w:tcW w:w="1134" w:type="dxa"/>
            <w:vAlign w:val="center"/>
          </w:tcPr>
          <w:p>
            <w:pPr>
              <w:pStyle w:val="13"/>
            </w:pPr>
            <w:r>
              <w:t>65.00</w:t>
            </w:r>
          </w:p>
        </w:tc>
        <w:tc>
          <w:tcPr>
            <w:tcW w:w="1134" w:type="dxa"/>
            <w:vAlign w:val="center"/>
          </w:tcPr>
          <w:p>
            <w:pPr>
              <w:pStyle w:val="13"/>
            </w:pPr>
            <w:r>
              <w:t>55.00</w:t>
            </w:r>
          </w:p>
        </w:tc>
        <w:tc>
          <w:tcPr>
            <w:tcW w:w="1134" w:type="dxa"/>
            <w:vAlign w:val="center"/>
          </w:tcPr>
          <w:p>
            <w:pPr>
              <w:pStyle w:val="13"/>
            </w:pPr>
            <w:r>
              <w:t>55.00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206</w:t>
            </w:r>
          </w:p>
        </w:tc>
        <w:tc>
          <w:tcPr>
            <w:tcW w:w="1559" w:type="dxa"/>
            <w:vAlign w:val="center"/>
          </w:tcPr>
          <w:p>
            <w:pPr>
              <w:pStyle w:val="14"/>
            </w:pPr>
            <w:r>
              <w:t>科学技术支出</w:t>
            </w:r>
          </w:p>
        </w:tc>
        <w:tc>
          <w:tcPr>
            <w:tcW w:w="1134" w:type="dxa"/>
            <w:vAlign w:val="center"/>
          </w:tcPr>
          <w:p>
            <w:pPr>
              <w:pStyle w:val="13"/>
            </w:pPr>
            <w:r>
              <w:t>768.68</w:t>
            </w:r>
          </w:p>
        </w:tc>
        <w:tc>
          <w:tcPr>
            <w:tcW w:w="1134" w:type="dxa"/>
            <w:vAlign w:val="center"/>
          </w:tcPr>
          <w:p>
            <w:pPr>
              <w:pStyle w:val="13"/>
            </w:pPr>
            <w:r>
              <w:t>737.77</w:t>
            </w:r>
          </w:p>
        </w:tc>
        <w:tc>
          <w:tcPr>
            <w:tcW w:w="1134" w:type="dxa"/>
            <w:vAlign w:val="center"/>
          </w:tcPr>
          <w:p>
            <w:pPr>
              <w:pStyle w:val="13"/>
            </w:pPr>
            <w:r>
              <w:t>737.77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20601</w:t>
            </w:r>
          </w:p>
        </w:tc>
        <w:tc>
          <w:tcPr>
            <w:tcW w:w="1559" w:type="dxa"/>
            <w:vAlign w:val="center"/>
          </w:tcPr>
          <w:p>
            <w:pPr>
              <w:pStyle w:val="14"/>
            </w:pPr>
            <w:r>
              <w:t>科学技术管理事务</w:t>
            </w:r>
          </w:p>
        </w:tc>
        <w:tc>
          <w:tcPr>
            <w:tcW w:w="1134" w:type="dxa"/>
            <w:vAlign w:val="center"/>
          </w:tcPr>
          <w:p>
            <w:pPr>
              <w:pStyle w:val="13"/>
            </w:pPr>
            <w:r>
              <w:t>684.95</w:t>
            </w:r>
          </w:p>
        </w:tc>
        <w:tc>
          <w:tcPr>
            <w:tcW w:w="1134" w:type="dxa"/>
            <w:vAlign w:val="center"/>
          </w:tcPr>
          <w:p>
            <w:pPr>
              <w:pStyle w:val="13"/>
            </w:pPr>
            <w:r>
              <w:t>655.04</w:t>
            </w:r>
          </w:p>
        </w:tc>
        <w:tc>
          <w:tcPr>
            <w:tcW w:w="1134" w:type="dxa"/>
            <w:vAlign w:val="center"/>
          </w:tcPr>
          <w:p>
            <w:pPr>
              <w:pStyle w:val="13"/>
            </w:pPr>
            <w:r>
              <w:t>655.04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2060101</w:t>
            </w:r>
          </w:p>
        </w:tc>
        <w:tc>
          <w:tcPr>
            <w:tcW w:w="1559" w:type="dxa"/>
            <w:vAlign w:val="center"/>
          </w:tcPr>
          <w:p>
            <w:pPr>
              <w:pStyle w:val="14"/>
            </w:pPr>
            <w:r>
              <w:t>行政运行</w:t>
            </w:r>
          </w:p>
        </w:tc>
        <w:tc>
          <w:tcPr>
            <w:tcW w:w="1134" w:type="dxa"/>
            <w:vAlign w:val="center"/>
          </w:tcPr>
          <w:p>
            <w:pPr>
              <w:pStyle w:val="13"/>
            </w:pPr>
            <w:r>
              <w:t>570.70</w:t>
            </w:r>
          </w:p>
        </w:tc>
        <w:tc>
          <w:tcPr>
            <w:tcW w:w="1134" w:type="dxa"/>
            <w:vAlign w:val="center"/>
          </w:tcPr>
          <w:p>
            <w:pPr>
              <w:pStyle w:val="13"/>
            </w:pPr>
            <w:r>
              <w:t>567.34</w:t>
            </w:r>
          </w:p>
        </w:tc>
        <w:tc>
          <w:tcPr>
            <w:tcW w:w="1134" w:type="dxa"/>
            <w:vAlign w:val="center"/>
          </w:tcPr>
          <w:p>
            <w:pPr>
              <w:pStyle w:val="13"/>
            </w:pPr>
            <w:r>
              <w:t>567.34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2060102</w:t>
            </w:r>
          </w:p>
        </w:tc>
        <w:tc>
          <w:tcPr>
            <w:tcW w:w="1559" w:type="dxa"/>
            <w:vAlign w:val="center"/>
          </w:tcPr>
          <w:p>
            <w:pPr>
              <w:pStyle w:val="14"/>
            </w:pPr>
            <w:r>
              <w:t>一般行政管理事务</w:t>
            </w:r>
          </w:p>
        </w:tc>
        <w:tc>
          <w:tcPr>
            <w:tcW w:w="1134" w:type="dxa"/>
            <w:vAlign w:val="center"/>
          </w:tcPr>
          <w:p>
            <w:pPr>
              <w:pStyle w:val="13"/>
            </w:pPr>
            <w:r>
              <w:t>62.16</w:t>
            </w:r>
          </w:p>
        </w:tc>
        <w:tc>
          <w:tcPr>
            <w:tcW w:w="1134" w:type="dxa"/>
            <w:vAlign w:val="center"/>
          </w:tcPr>
          <w:p>
            <w:pPr>
              <w:pStyle w:val="13"/>
            </w:pPr>
            <w:r>
              <w:t>35.60</w:t>
            </w:r>
          </w:p>
        </w:tc>
        <w:tc>
          <w:tcPr>
            <w:tcW w:w="1134" w:type="dxa"/>
            <w:vAlign w:val="center"/>
          </w:tcPr>
          <w:p>
            <w:pPr>
              <w:pStyle w:val="13"/>
            </w:pPr>
            <w:r>
              <w:t>35.60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2060199</w:t>
            </w:r>
          </w:p>
        </w:tc>
        <w:tc>
          <w:tcPr>
            <w:tcW w:w="1559" w:type="dxa"/>
            <w:vAlign w:val="center"/>
          </w:tcPr>
          <w:p>
            <w:pPr>
              <w:pStyle w:val="14"/>
            </w:pPr>
            <w:r>
              <w:t>其他科学技术管理事务支出</w:t>
            </w:r>
          </w:p>
        </w:tc>
        <w:tc>
          <w:tcPr>
            <w:tcW w:w="1134" w:type="dxa"/>
            <w:vAlign w:val="center"/>
          </w:tcPr>
          <w:p>
            <w:pPr>
              <w:pStyle w:val="13"/>
            </w:pPr>
            <w:r>
              <w:t>52.10</w:t>
            </w:r>
          </w:p>
        </w:tc>
        <w:tc>
          <w:tcPr>
            <w:tcW w:w="1134" w:type="dxa"/>
            <w:vAlign w:val="center"/>
          </w:tcPr>
          <w:p>
            <w:pPr>
              <w:pStyle w:val="13"/>
            </w:pPr>
            <w:r>
              <w:t>52.10</w:t>
            </w:r>
          </w:p>
        </w:tc>
        <w:tc>
          <w:tcPr>
            <w:tcW w:w="1134" w:type="dxa"/>
            <w:vAlign w:val="center"/>
          </w:tcPr>
          <w:p>
            <w:pPr>
              <w:pStyle w:val="13"/>
            </w:pPr>
            <w:r>
              <w:t>52.10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20605</w:t>
            </w:r>
          </w:p>
        </w:tc>
        <w:tc>
          <w:tcPr>
            <w:tcW w:w="1559" w:type="dxa"/>
            <w:vAlign w:val="center"/>
          </w:tcPr>
          <w:p>
            <w:pPr>
              <w:pStyle w:val="14"/>
            </w:pPr>
            <w:r>
              <w:t>科技条件与服务</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2060502</w:t>
            </w:r>
          </w:p>
        </w:tc>
        <w:tc>
          <w:tcPr>
            <w:tcW w:w="1559" w:type="dxa"/>
            <w:vAlign w:val="center"/>
          </w:tcPr>
          <w:p>
            <w:pPr>
              <w:pStyle w:val="14"/>
            </w:pPr>
            <w:r>
              <w:t>技术创新服务体系</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20609</w:t>
            </w:r>
          </w:p>
        </w:tc>
        <w:tc>
          <w:tcPr>
            <w:tcW w:w="1559" w:type="dxa"/>
            <w:vAlign w:val="center"/>
          </w:tcPr>
          <w:p>
            <w:pPr>
              <w:pStyle w:val="14"/>
            </w:pPr>
            <w:r>
              <w:t>科技重大项目</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2060999</w:t>
            </w:r>
          </w:p>
        </w:tc>
        <w:tc>
          <w:tcPr>
            <w:tcW w:w="1559" w:type="dxa"/>
            <w:vAlign w:val="center"/>
          </w:tcPr>
          <w:p>
            <w:pPr>
              <w:pStyle w:val="14"/>
            </w:pPr>
            <w:r>
              <w:t>其他科技重大项目</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20699</w:t>
            </w:r>
          </w:p>
        </w:tc>
        <w:tc>
          <w:tcPr>
            <w:tcW w:w="1559" w:type="dxa"/>
            <w:vAlign w:val="center"/>
          </w:tcPr>
          <w:p>
            <w:pPr>
              <w:pStyle w:val="14"/>
            </w:pPr>
            <w:r>
              <w:t>其他科学技术支出</w:t>
            </w:r>
          </w:p>
        </w:tc>
        <w:tc>
          <w:tcPr>
            <w:tcW w:w="1134" w:type="dxa"/>
            <w:vAlign w:val="center"/>
          </w:tcPr>
          <w:p>
            <w:pPr>
              <w:pStyle w:val="13"/>
            </w:pPr>
            <w:r>
              <w:t>44.73</w:t>
            </w:r>
          </w:p>
        </w:tc>
        <w:tc>
          <w:tcPr>
            <w:tcW w:w="1134" w:type="dxa"/>
            <w:vAlign w:val="center"/>
          </w:tcPr>
          <w:p>
            <w:pPr>
              <w:pStyle w:val="13"/>
            </w:pPr>
            <w:r>
              <w:t>43.73</w:t>
            </w:r>
          </w:p>
        </w:tc>
        <w:tc>
          <w:tcPr>
            <w:tcW w:w="1134" w:type="dxa"/>
            <w:vAlign w:val="center"/>
          </w:tcPr>
          <w:p>
            <w:pPr>
              <w:pStyle w:val="13"/>
            </w:pPr>
            <w:r>
              <w:t>43.73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2069999</w:t>
            </w:r>
          </w:p>
        </w:tc>
        <w:tc>
          <w:tcPr>
            <w:tcW w:w="1559" w:type="dxa"/>
            <w:vAlign w:val="center"/>
          </w:tcPr>
          <w:p>
            <w:pPr>
              <w:pStyle w:val="14"/>
            </w:pPr>
            <w:r>
              <w:t>其他科学技术支出</w:t>
            </w:r>
          </w:p>
        </w:tc>
        <w:tc>
          <w:tcPr>
            <w:tcW w:w="1134" w:type="dxa"/>
            <w:vAlign w:val="center"/>
          </w:tcPr>
          <w:p>
            <w:pPr>
              <w:pStyle w:val="13"/>
            </w:pPr>
            <w:r>
              <w:t>44.73</w:t>
            </w:r>
          </w:p>
        </w:tc>
        <w:tc>
          <w:tcPr>
            <w:tcW w:w="1134" w:type="dxa"/>
            <w:vAlign w:val="center"/>
          </w:tcPr>
          <w:p>
            <w:pPr>
              <w:pStyle w:val="13"/>
            </w:pPr>
            <w:r>
              <w:t>43.73</w:t>
            </w:r>
          </w:p>
        </w:tc>
        <w:tc>
          <w:tcPr>
            <w:tcW w:w="1134" w:type="dxa"/>
            <w:vAlign w:val="center"/>
          </w:tcPr>
          <w:p>
            <w:pPr>
              <w:pStyle w:val="13"/>
            </w:pPr>
            <w:r>
              <w:t>43.73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616.76</w:t>
            </w:r>
          </w:p>
        </w:tc>
        <w:tc>
          <w:tcPr>
            <w:tcW w:w="1134" w:type="dxa"/>
            <w:vAlign w:val="center"/>
          </w:tcPr>
          <w:p>
            <w:pPr>
              <w:pStyle w:val="13"/>
            </w:pPr>
            <w:r>
              <w:t>524.86</w:t>
            </w:r>
          </w:p>
        </w:tc>
        <w:tc>
          <w:tcPr>
            <w:tcW w:w="1134" w:type="dxa"/>
            <w:vAlign w:val="center"/>
          </w:tcPr>
          <w:p>
            <w:pPr>
              <w:pStyle w:val="13"/>
            </w:pPr>
            <w:r>
              <w:t>524.86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163.52</w:t>
            </w:r>
          </w:p>
        </w:tc>
        <w:tc>
          <w:tcPr>
            <w:tcW w:w="1134" w:type="dxa"/>
            <w:vAlign w:val="center"/>
          </w:tcPr>
          <w:p>
            <w:pPr>
              <w:pStyle w:val="13"/>
            </w:pPr>
            <w:r>
              <w:t>151.96</w:t>
            </w:r>
          </w:p>
        </w:tc>
        <w:tc>
          <w:tcPr>
            <w:tcW w:w="1134" w:type="dxa"/>
            <w:vAlign w:val="center"/>
          </w:tcPr>
          <w:p>
            <w:pPr>
              <w:pStyle w:val="13"/>
            </w:pPr>
            <w:r>
              <w:t>151.96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115.96</w:t>
            </w:r>
          </w:p>
        </w:tc>
        <w:tc>
          <w:tcPr>
            <w:tcW w:w="1134" w:type="dxa"/>
            <w:vAlign w:val="center"/>
          </w:tcPr>
          <w:p>
            <w:pPr>
              <w:pStyle w:val="13"/>
            </w:pPr>
            <w:r>
              <w:t>115.96</w:t>
            </w:r>
          </w:p>
        </w:tc>
        <w:tc>
          <w:tcPr>
            <w:tcW w:w="1134" w:type="dxa"/>
            <w:vAlign w:val="center"/>
          </w:tcPr>
          <w:p>
            <w:pPr>
              <w:pStyle w:val="13"/>
            </w:pPr>
            <w:r>
              <w:t>115.96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36.37</w:t>
            </w:r>
          </w:p>
        </w:tc>
        <w:tc>
          <w:tcPr>
            <w:tcW w:w="1134" w:type="dxa"/>
            <w:vAlign w:val="center"/>
          </w:tcPr>
          <w:p>
            <w:pPr>
              <w:pStyle w:val="13"/>
            </w:pPr>
            <w:r>
              <w:t>30.07</w:t>
            </w:r>
          </w:p>
        </w:tc>
        <w:tc>
          <w:tcPr>
            <w:tcW w:w="1134" w:type="dxa"/>
            <w:vAlign w:val="center"/>
          </w:tcPr>
          <w:p>
            <w:pPr>
              <w:pStyle w:val="13"/>
            </w:pPr>
            <w:r>
              <w:t>30.07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5.26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5.92</w:t>
            </w:r>
          </w:p>
        </w:tc>
        <w:tc>
          <w:tcPr>
            <w:tcW w:w="1134" w:type="dxa"/>
            <w:vAlign w:val="center"/>
          </w:tcPr>
          <w:p>
            <w:pPr>
              <w:pStyle w:val="13"/>
            </w:pPr>
            <w:r>
              <w:t>5.92</w:t>
            </w:r>
          </w:p>
        </w:tc>
        <w:tc>
          <w:tcPr>
            <w:tcW w:w="1134" w:type="dxa"/>
            <w:vAlign w:val="center"/>
          </w:tcPr>
          <w:p>
            <w:pPr>
              <w:pStyle w:val="13"/>
            </w:pPr>
            <w:r>
              <w:t>5.92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453.24</w:t>
            </w:r>
          </w:p>
        </w:tc>
        <w:tc>
          <w:tcPr>
            <w:tcW w:w="1134" w:type="dxa"/>
            <w:vAlign w:val="center"/>
          </w:tcPr>
          <w:p>
            <w:pPr>
              <w:pStyle w:val="13"/>
            </w:pPr>
            <w:r>
              <w:t>372.90</w:t>
            </w:r>
          </w:p>
        </w:tc>
        <w:tc>
          <w:tcPr>
            <w:tcW w:w="1134" w:type="dxa"/>
            <w:vAlign w:val="center"/>
          </w:tcPr>
          <w:p>
            <w:pPr>
              <w:pStyle w:val="13"/>
            </w:pPr>
            <w:r>
              <w:t>372.90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43.57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2080802</w:t>
            </w:r>
          </w:p>
        </w:tc>
        <w:tc>
          <w:tcPr>
            <w:tcW w:w="1559" w:type="dxa"/>
            <w:vAlign w:val="center"/>
          </w:tcPr>
          <w:p>
            <w:pPr>
              <w:pStyle w:val="14"/>
            </w:pPr>
            <w:r>
              <w:t>伤残抚恤</w:t>
            </w:r>
          </w:p>
        </w:tc>
        <w:tc>
          <w:tcPr>
            <w:tcW w:w="1134" w:type="dxa"/>
            <w:vAlign w:val="center"/>
          </w:tcPr>
          <w:p>
            <w:pPr>
              <w:pStyle w:val="13"/>
            </w:pPr>
            <w:r>
              <w:t>350.00</w:t>
            </w:r>
          </w:p>
        </w:tc>
        <w:tc>
          <w:tcPr>
            <w:tcW w:w="1134" w:type="dxa"/>
            <w:vAlign w:val="center"/>
          </w:tcPr>
          <w:p>
            <w:pPr>
              <w:pStyle w:val="13"/>
            </w:pPr>
            <w:r>
              <w:t>350.00</w:t>
            </w:r>
          </w:p>
        </w:tc>
        <w:tc>
          <w:tcPr>
            <w:tcW w:w="1134" w:type="dxa"/>
            <w:vAlign w:val="center"/>
          </w:tcPr>
          <w:p>
            <w:pPr>
              <w:pStyle w:val="13"/>
            </w:pPr>
            <w:r>
              <w:t>350.00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59.68</w:t>
            </w:r>
          </w:p>
        </w:tc>
        <w:tc>
          <w:tcPr>
            <w:tcW w:w="1134" w:type="dxa"/>
            <w:vAlign w:val="center"/>
          </w:tcPr>
          <w:p>
            <w:pPr>
              <w:pStyle w:val="13"/>
            </w:pPr>
            <w:r>
              <w:t>22.90</w:t>
            </w:r>
          </w:p>
        </w:tc>
        <w:tc>
          <w:tcPr>
            <w:tcW w:w="1134" w:type="dxa"/>
            <w:vAlign w:val="center"/>
          </w:tcPr>
          <w:p>
            <w:pPr>
              <w:pStyle w:val="13"/>
            </w:pPr>
            <w:r>
              <w:t>22.90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225.07</w:t>
            </w:r>
          </w:p>
        </w:tc>
        <w:tc>
          <w:tcPr>
            <w:tcW w:w="1134" w:type="dxa"/>
            <w:vAlign w:val="center"/>
          </w:tcPr>
          <w:p>
            <w:pPr>
              <w:pStyle w:val="13"/>
            </w:pPr>
            <w:r>
              <w:t>35.07</w:t>
            </w:r>
          </w:p>
        </w:tc>
        <w:tc>
          <w:tcPr>
            <w:tcW w:w="1134" w:type="dxa"/>
            <w:vAlign w:val="center"/>
          </w:tcPr>
          <w:p>
            <w:pPr>
              <w:pStyle w:val="13"/>
            </w:pPr>
            <w:r>
              <w:t>35.07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190.00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2100410</w:t>
            </w:r>
          </w:p>
        </w:tc>
        <w:tc>
          <w:tcPr>
            <w:tcW w:w="1559" w:type="dxa"/>
            <w:vAlign w:val="center"/>
          </w:tcPr>
          <w:p>
            <w:pPr>
              <w:pStyle w:val="14"/>
            </w:pPr>
            <w:r>
              <w:t>突发公共卫生事件应急处置</w:t>
            </w:r>
          </w:p>
        </w:tc>
        <w:tc>
          <w:tcPr>
            <w:tcW w:w="1134" w:type="dxa"/>
            <w:vAlign w:val="center"/>
          </w:tcPr>
          <w:p>
            <w:pPr>
              <w:pStyle w:val="13"/>
            </w:pPr>
            <w:r>
              <w:t>190.00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35.07</w:t>
            </w:r>
          </w:p>
        </w:tc>
        <w:tc>
          <w:tcPr>
            <w:tcW w:w="1134" w:type="dxa"/>
            <w:vAlign w:val="center"/>
          </w:tcPr>
          <w:p>
            <w:pPr>
              <w:pStyle w:val="13"/>
            </w:pPr>
            <w:r>
              <w:t>35.07</w:t>
            </w:r>
          </w:p>
        </w:tc>
        <w:tc>
          <w:tcPr>
            <w:tcW w:w="1134" w:type="dxa"/>
            <w:vAlign w:val="center"/>
          </w:tcPr>
          <w:p>
            <w:pPr>
              <w:pStyle w:val="13"/>
            </w:pPr>
            <w:r>
              <w:t>35.07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20.93</w:t>
            </w:r>
          </w:p>
        </w:tc>
        <w:tc>
          <w:tcPr>
            <w:tcW w:w="1134" w:type="dxa"/>
            <w:vAlign w:val="center"/>
          </w:tcPr>
          <w:p>
            <w:pPr>
              <w:pStyle w:val="13"/>
            </w:pPr>
            <w:r>
              <w:t>20.93</w:t>
            </w:r>
          </w:p>
        </w:tc>
        <w:tc>
          <w:tcPr>
            <w:tcW w:w="1134" w:type="dxa"/>
            <w:vAlign w:val="center"/>
          </w:tcPr>
          <w:p>
            <w:pPr>
              <w:pStyle w:val="13"/>
            </w:pPr>
            <w:r>
              <w:t>20.93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14.15</w:t>
            </w:r>
          </w:p>
        </w:tc>
        <w:tc>
          <w:tcPr>
            <w:tcW w:w="1134" w:type="dxa"/>
            <w:vAlign w:val="center"/>
          </w:tcPr>
          <w:p>
            <w:pPr>
              <w:pStyle w:val="13"/>
            </w:pPr>
            <w:r>
              <w:t>14.15</w:t>
            </w:r>
          </w:p>
        </w:tc>
        <w:tc>
          <w:tcPr>
            <w:tcW w:w="1134" w:type="dxa"/>
            <w:vAlign w:val="center"/>
          </w:tcPr>
          <w:p>
            <w:pPr>
              <w:pStyle w:val="13"/>
            </w:pPr>
            <w:r>
              <w:t>14.15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1099.15</w:t>
            </w:r>
          </w:p>
        </w:tc>
        <w:tc>
          <w:tcPr>
            <w:tcW w:w="1134" w:type="dxa"/>
            <w:vAlign w:val="center"/>
          </w:tcPr>
          <w:p>
            <w:pPr>
              <w:pStyle w:val="13"/>
            </w:pPr>
            <w:r>
              <w:t>939.25</w:t>
            </w:r>
          </w:p>
        </w:tc>
        <w:tc>
          <w:tcPr>
            <w:tcW w:w="1134" w:type="dxa"/>
            <w:vAlign w:val="center"/>
          </w:tcPr>
          <w:p>
            <w:pPr>
              <w:pStyle w:val="13"/>
            </w:pPr>
            <w:r>
              <w:t>939.25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21203</w:t>
            </w:r>
          </w:p>
        </w:tc>
        <w:tc>
          <w:tcPr>
            <w:tcW w:w="1559" w:type="dxa"/>
            <w:vAlign w:val="center"/>
          </w:tcPr>
          <w:p>
            <w:pPr>
              <w:pStyle w:val="14"/>
            </w:pPr>
            <w:r>
              <w:t>城乡社区公共设施</w:t>
            </w:r>
          </w:p>
        </w:tc>
        <w:tc>
          <w:tcPr>
            <w:tcW w:w="1134" w:type="dxa"/>
            <w:vAlign w:val="center"/>
          </w:tcPr>
          <w:p>
            <w:pPr>
              <w:pStyle w:val="13"/>
            </w:pPr>
            <w:r>
              <w:t>249.15</w:t>
            </w:r>
          </w:p>
        </w:tc>
        <w:tc>
          <w:tcPr>
            <w:tcW w:w="1134" w:type="dxa"/>
            <w:vAlign w:val="center"/>
          </w:tcPr>
          <w:p>
            <w:pPr>
              <w:pStyle w:val="13"/>
            </w:pPr>
            <w:r>
              <w:t>89.25</w:t>
            </w:r>
          </w:p>
        </w:tc>
        <w:tc>
          <w:tcPr>
            <w:tcW w:w="1134" w:type="dxa"/>
            <w:vAlign w:val="center"/>
          </w:tcPr>
          <w:p>
            <w:pPr>
              <w:pStyle w:val="13"/>
            </w:pPr>
            <w:r>
              <w:t>89.25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2120399</w:t>
            </w:r>
          </w:p>
        </w:tc>
        <w:tc>
          <w:tcPr>
            <w:tcW w:w="1559" w:type="dxa"/>
            <w:vAlign w:val="center"/>
          </w:tcPr>
          <w:p>
            <w:pPr>
              <w:pStyle w:val="14"/>
            </w:pPr>
            <w:r>
              <w:t>其他城乡社区公共设施支出</w:t>
            </w:r>
          </w:p>
        </w:tc>
        <w:tc>
          <w:tcPr>
            <w:tcW w:w="1134" w:type="dxa"/>
            <w:vAlign w:val="center"/>
          </w:tcPr>
          <w:p>
            <w:pPr>
              <w:pStyle w:val="13"/>
            </w:pPr>
            <w:r>
              <w:t>249.15</w:t>
            </w:r>
          </w:p>
        </w:tc>
        <w:tc>
          <w:tcPr>
            <w:tcW w:w="1134" w:type="dxa"/>
            <w:vAlign w:val="center"/>
          </w:tcPr>
          <w:p>
            <w:pPr>
              <w:pStyle w:val="13"/>
            </w:pPr>
            <w:r>
              <w:t>89.25</w:t>
            </w:r>
          </w:p>
        </w:tc>
        <w:tc>
          <w:tcPr>
            <w:tcW w:w="1134" w:type="dxa"/>
            <w:vAlign w:val="center"/>
          </w:tcPr>
          <w:p>
            <w:pPr>
              <w:pStyle w:val="13"/>
            </w:pPr>
            <w:r>
              <w:t>89.25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850.00</w:t>
            </w:r>
          </w:p>
        </w:tc>
        <w:tc>
          <w:tcPr>
            <w:tcW w:w="1134" w:type="dxa"/>
            <w:vAlign w:val="center"/>
          </w:tcPr>
          <w:p>
            <w:pPr>
              <w:pStyle w:val="13"/>
            </w:pPr>
            <w:r>
              <w:t>850.00</w:t>
            </w:r>
          </w:p>
        </w:tc>
        <w:tc>
          <w:tcPr>
            <w:tcW w:w="1134" w:type="dxa"/>
            <w:vAlign w:val="center"/>
          </w:tcPr>
          <w:p>
            <w:pPr>
              <w:pStyle w:val="13"/>
            </w:pPr>
            <w:r>
              <w:t>850.00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2120899</w:t>
            </w:r>
          </w:p>
        </w:tc>
        <w:tc>
          <w:tcPr>
            <w:tcW w:w="1559" w:type="dxa"/>
            <w:vAlign w:val="center"/>
          </w:tcPr>
          <w:p>
            <w:pPr>
              <w:pStyle w:val="14"/>
            </w:pPr>
            <w:r>
              <w:t>其他国有土地使用权出让收入安排的支出</w:t>
            </w:r>
          </w:p>
        </w:tc>
        <w:tc>
          <w:tcPr>
            <w:tcW w:w="1134" w:type="dxa"/>
            <w:vAlign w:val="center"/>
          </w:tcPr>
          <w:p>
            <w:pPr>
              <w:pStyle w:val="13"/>
            </w:pPr>
            <w:r>
              <w:t>850.00</w:t>
            </w:r>
          </w:p>
        </w:tc>
        <w:tc>
          <w:tcPr>
            <w:tcW w:w="1134" w:type="dxa"/>
            <w:vAlign w:val="center"/>
          </w:tcPr>
          <w:p>
            <w:pPr>
              <w:pStyle w:val="13"/>
            </w:pPr>
            <w:r>
              <w:t>850.00</w:t>
            </w:r>
          </w:p>
        </w:tc>
        <w:tc>
          <w:tcPr>
            <w:tcW w:w="1134" w:type="dxa"/>
            <w:vAlign w:val="center"/>
          </w:tcPr>
          <w:p>
            <w:pPr>
              <w:pStyle w:val="13"/>
            </w:pPr>
            <w:r>
              <w:t>850.00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48.60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21301</w:t>
            </w:r>
          </w:p>
        </w:tc>
        <w:tc>
          <w:tcPr>
            <w:tcW w:w="1559" w:type="dxa"/>
            <w:vAlign w:val="center"/>
          </w:tcPr>
          <w:p>
            <w:pPr>
              <w:pStyle w:val="14"/>
            </w:pPr>
            <w:r>
              <w:t>农业农村</w:t>
            </w:r>
          </w:p>
        </w:tc>
        <w:tc>
          <w:tcPr>
            <w:tcW w:w="1134" w:type="dxa"/>
            <w:vAlign w:val="center"/>
          </w:tcPr>
          <w:p>
            <w:pPr>
              <w:pStyle w:val="13"/>
            </w:pPr>
            <w:r>
              <w:t>48.60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2130122</w:t>
            </w:r>
          </w:p>
        </w:tc>
        <w:tc>
          <w:tcPr>
            <w:tcW w:w="1559" w:type="dxa"/>
            <w:vAlign w:val="center"/>
          </w:tcPr>
          <w:p>
            <w:pPr>
              <w:pStyle w:val="14"/>
            </w:pPr>
            <w:r>
              <w:t>农业生产发展</w:t>
            </w:r>
          </w:p>
        </w:tc>
        <w:tc>
          <w:tcPr>
            <w:tcW w:w="1134" w:type="dxa"/>
            <w:vAlign w:val="center"/>
          </w:tcPr>
          <w:p>
            <w:pPr>
              <w:pStyle w:val="13"/>
            </w:pPr>
            <w:r>
              <w:t>48.60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215</w:t>
            </w:r>
          </w:p>
        </w:tc>
        <w:tc>
          <w:tcPr>
            <w:tcW w:w="1559" w:type="dxa"/>
            <w:vAlign w:val="center"/>
          </w:tcPr>
          <w:p>
            <w:pPr>
              <w:pStyle w:val="14"/>
            </w:pPr>
            <w:r>
              <w:t>资源勘探工业信息等支出</w:t>
            </w:r>
          </w:p>
        </w:tc>
        <w:tc>
          <w:tcPr>
            <w:tcW w:w="1134" w:type="dxa"/>
            <w:vAlign w:val="center"/>
          </w:tcPr>
          <w:p>
            <w:pPr>
              <w:pStyle w:val="13"/>
            </w:pPr>
            <w:r>
              <w:t>4.76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48</w:t>
            </w:r>
          </w:p>
        </w:tc>
        <w:tc>
          <w:tcPr>
            <w:tcW w:w="992" w:type="dxa"/>
            <w:vAlign w:val="center"/>
          </w:tcPr>
          <w:p>
            <w:pPr>
              <w:pStyle w:val="14"/>
            </w:pPr>
            <w:r>
              <w:t>21508</w:t>
            </w:r>
          </w:p>
        </w:tc>
        <w:tc>
          <w:tcPr>
            <w:tcW w:w="1559" w:type="dxa"/>
            <w:vAlign w:val="center"/>
          </w:tcPr>
          <w:p>
            <w:pPr>
              <w:pStyle w:val="14"/>
            </w:pPr>
            <w:r>
              <w:t>支持中小企业发展和管理支出</w:t>
            </w:r>
          </w:p>
        </w:tc>
        <w:tc>
          <w:tcPr>
            <w:tcW w:w="1134" w:type="dxa"/>
            <w:vAlign w:val="center"/>
          </w:tcPr>
          <w:p>
            <w:pPr>
              <w:pStyle w:val="13"/>
            </w:pPr>
            <w:r>
              <w:t>4.76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49</w:t>
            </w:r>
          </w:p>
        </w:tc>
        <w:tc>
          <w:tcPr>
            <w:tcW w:w="992" w:type="dxa"/>
            <w:vAlign w:val="center"/>
          </w:tcPr>
          <w:p>
            <w:pPr>
              <w:pStyle w:val="14"/>
            </w:pPr>
            <w:r>
              <w:t>2150805</w:t>
            </w:r>
          </w:p>
        </w:tc>
        <w:tc>
          <w:tcPr>
            <w:tcW w:w="1559" w:type="dxa"/>
            <w:vAlign w:val="center"/>
          </w:tcPr>
          <w:p>
            <w:pPr>
              <w:pStyle w:val="14"/>
            </w:pPr>
            <w:r>
              <w:t>中小企业发展专项</w:t>
            </w:r>
          </w:p>
        </w:tc>
        <w:tc>
          <w:tcPr>
            <w:tcW w:w="1134" w:type="dxa"/>
            <w:vAlign w:val="center"/>
          </w:tcPr>
          <w:p>
            <w:pPr>
              <w:pStyle w:val="13"/>
            </w:pPr>
            <w:r>
              <w:t>4.76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50</w:t>
            </w:r>
          </w:p>
        </w:tc>
        <w:tc>
          <w:tcPr>
            <w:tcW w:w="992" w:type="dxa"/>
            <w:vAlign w:val="center"/>
          </w:tcPr>
          <w:p>
            <w:pPr>
              <w:pStyle w:val="14"/>
            </w:pPr>
            <w:r>
              <w:t>216</w:t>
            </w:r>
          </w:p>
        </w:tc>
        <w:tc>
          <w:tcPr>
            <w:tcW w:w="1559" w:type="dxa"/>
            <w:vAlign w:val="center"/>
          </w:tcPr>
          <w:p>
            <w:pPr>
              <w:pStyle w:val="14"/>
            </w:pPr>
            <w:r>
              <w:t>商业服务业等支出</w:t>
            </w:r>
          </w:p>
        </w:tc>
        <w:tc>
          <w:tcPr>
            <w:tcW w:w="1134" w:type="dxa"/>
            <w:vAlign w:val="center"/>
          </w:tcPr>
          <w:p>
            <w:pPr>
              <w:pStyle w:val="13"/>
            </w:pPr>
            <w:r>
              <w:t>460.00</w:t>
            </w:r>
          </w:p>
        </w:tc>
        <w:tc>
          <w:tcPr>
            <w:tcW w:w="1134" w:type="dxa"/>
            <w:vAlign w:val="center"/>
          </w:tcPr>
          <w:p>
            <w:pPr>
              <w:pStyle w:val="13"/>
            </w:pPr>
            <w:r>
              <w:t>460.00</w:t>
            </w:r>
          </w:p>
        </w:tc>
        <w:tc>
          <w:tcPr>
            <w:tcW w:w="1134" w:type="dxa"/>
            <w:vAlign w:val="center"/>
          </w:tcPr>
          <w:p>
            <w:pPr>
              <w:pStyle w:val="13"/>
            </w:pPr>
            <w:r>
              <w:t>460.00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51</w:t>
            </w:r>
          </w:p>
        </w:tc>
        <w:tc>
          <w:tcPr>
            <w:tcW w:w="992" w:type="dxa"/>
            <w:vAlign w:val="center"/>
          </w:tcPr>
          <w:p>
            <w:pPr>
              <w:pStyle w:val="14"/>
            </w:pPr>
            <w:r>
              <w:t>21602</w:t>
            </w:r>
          </w:p>
        </w:tc>
        <w:tc>
          <w:tcPr>
            <w:tcW w:w="1559" w:type="dxa"/>
            <w:vAlign w:val="center"/>
          </w:tcPr>
          <w:p>
            <w:pPr>
              <w:pStyle w:val="14"/>
            </w:pPr>
            <w:r>
              <w:t>商业流通事务</w:t>
            </w:r>
          </w:p>
        </w:tc>
        <w:tc>
          <w:tcPr>
            <w:tcW w:w="1134" w:type="dxa"/>
            <w:vAlign w:val="center"/>
          </w:tcPr>
          <w:p>
            <w:pPr>
              <w:pStyle w:val="13"/>
            </w:pPr>
            <w:r>
              <w:t>460.00</w:t>
            </w:r>
          </w:p>
        </w:tc>
        <w:tc>
          <w:tcPr>
            <w:tcW w:w="1134" w:type="dxa"/>
            <w:vAlign w:val="center"/>
          </w:tcPr>
          <w:p>
            <w:pPr>
              <w:pStyle w:val="13"/>
            </w:pPr>
            <w:r>
              <w:t>460.00</w:t>
            </w:r>
          </w:p>
        </w:tc>
        <w:tc>
          <w:tcPr>
            <w:tcW w:w="1134" w:type="dxa"/>
            <w:vAlign w:val="center"/>
          </w:tcPr>
          <w:p>
            <w:pPr>
              <w:pStyle w:val="13"/>
            </w:pPr>
            <w:r>
              <w:t>460.00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52</w:t>
            </w:r>
          </w:p>
        </w:tc>
        <w:tc>
          <w:tcPr>
            <w:tcW w:w="992" w:type="dxa"/>
            <w:vAlign w:val="center"/>
          </w:tcPr>
          <w:p>
            <w:pPr>
              <w:pStyle w:val="14"/>
            </w:pPr>
            <w:r>
              <w:t>2160299</w:t>
            </w:r>
          </w:p>
        </w:tc>
        <w:tc>
          <w:tcPr>
            <w:tcW w:w="1559" w:type="dxa"/>
            <w:vAlign w:val="center"/>
          </w:tcPr>
          <w:p>
            <w:pPr>
              <w:pStyle w:val="14"/>
            </w:pPr>
            <w:r>
              <w:t>其他商业流通事务支出</w:t>
            </w:r>
          </w:p>
        </w:tc>
        <w:tc>
          <w:tcPr>
            <w:tcW w:w="1134" w:type="dxa"/>
            <w:vAlign w:val="center"/>
          </w:tcPr>
          <w:p>
            <w:pPr>
              <w:pStyle w:val="13"/>
            </w:pPr>
            <w:r>
              <w:t>460.00</w:t>
            </w:r>
          </w:p>
        </w:tc>
        <w:tc>
          <w:tcPr>
            <w:tcW w:w="1134" w:type="dxa"/>
            <w:vAlign w:val="center"/>
          </w:tcPr>
          <w:p>
            <w:pPr>
              <w:pStyle w:val="13"/>
            </w:pPr>
            <w:r>
              <w:t>460.00</w:t>
            </w:r>
          </w:p>
        </w:tc>
        <w:tc>
          <w:tcPr>
            <w:tcW w:w="1134" w:type="dxa"/>
            <w:vAlign w:val="center"/>
          </w:tcPr>
          <w:p>
            <w:pPr>
              <w:pStyle w:val="13"/>
            </w:pPr>
            <w:r>
              <w:t>460.00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53</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35.39</w:t>
            </w:r>
          </w:p>
        </w:tc>
        <w:tc>
          <w:tcPr>
            <w:tcW w:w="1134" w:type="dxa"/>
            <w:vAlign w:val="center"/>
          </w:tcPr>
          <w:p>
            <w:pPr>
              <w:pStyle w:val="13"/>
            </w:pPr>
            <w:r>
              <w:t>35.39</w:t>
            </w:r>
          </w:p>
        </w:tc>
        <w:tc>
          <w:tcPr>
            <w:tcW w:w="1134" w:type="dxa"/>
            <w:vAlign w:val="center"/>
          </w:tcPr>
          <w:p>
            <w:pPr>
              <w:pStyle w:val="13"/>
            </w:pPr>
            <w:r>
              <w:t>35.39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54</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35.39</w:t>
            </w:r>
          </w:p>
        </w:tc>
        <w:tc>
          <w:tcPr>
            <w:tcW w:w="1134" w:type="dxa"/>
            <w:vAlign w:val="center"/>
          </w:tcPr>
          <w:p>
            <w:pPr>
              <w:pStyle w:val="13"/>
            </w:pPr>
            <w:r>
              <w:t>35.39</w:t>
            </w:r>
          </w:p>
        </w:tc>
        <w:tc>
          <w:tcPr>
            <w:tcW w:w="1134" w:type="dxa"/>
            <w:vAlign w:val="center"/>
          </w:tcPr>
          <w:p>
            <w:pPr>
              <w:pStyle w:val="13"/>
            </w:pPr>
            <w:r>
              <w:t>35.39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55</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35.39</w:t>
            </w:r>
          </w:p>
        </w:tc>
        <w:tc>
          <w:tcPr>
            <w:tcW w:w="1134" w:type="dxa"/>
            <w:vAlign w:val="center"/>
          </w:tcPr>
          <w:p>
            <w:pPr>
              <w:pStyle w:val="13"/>
            </w:pPr>
            <w:r>
              <w:t>35.39</w:t>
            </w:r>
          </w:p>
        </w:tc>
        <w:tc>
          <w:tcPr>
            <w:tcW w:w="1134" w:type="dxa"/>
            <w:vAlign w:val="center"/>
          </w:tcPr>
          <w:p>
            <w:pPr>
              <w:pStyle w:val="13"/>
            </w:pPr>
            <w:r>
              <w:t>35.39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56</w:t>
            </w:r>
          </w:p>
        </w:tc>
        <w:tc>
          <w:tcPr>
            <w:tcW w:w="992" w:type="dxa"/>
            <w:vAlign w:val="center"/>
          </w:tcPr>
          <w:p>
            <w:pPr>
              <w:pStyle w:val="14"/>
            </w:pPr>
            <w:r>
              <w:t>222</w:t>
            </w:r>
          </w:p>
        </w:tc>
        <w:tc>
          <w:tcPr>
            <w:tcW w:w="1559" w:type="dxa"/>
            <w:vAlign w:val="center"/>
          </w:tcPr>
          <w:p>
            <w:pPr>
              <w:pStyle w:val="14"/>
            </w:pPr>
            <w:r>
              <w:t>粮油物资储备支出</w:t>
            </w:r>
          </w:p>
        </w:tc>
        <w:tc>
          <w:tcPr>
            <w:tcW w:w="1134" w:type="dxa"/>
            <w:vAlign w:val="center"/>
          </w:tcPr>
          <w:p>
            <w:pPr>
              <w:pStyle w:val="13"/>
            </w:pPr>
            <w:r>
              <w:t>213.07</w:t>
            </w:r>
          </w:p>
        </w:tc>
        <w:tc>
          <w:tcPr>
            <w:tcW w:w="1134" w:type="dxa"/>
            <w:vAlign w:val="center"/>
          </w:tcPr>
          <w:p>
            <w:pPr>
              <w:pStyle w:val="13"/>
            </w:pPr>
            <w:r>
              <w:t>210.30</w:t>
            </w:r>
          </w:p>
        </w:tc>
        <w:tc>
          <w:tcPr>
            <w:tcW w:w="1134" w:type="dxa"/>
            <w:vAlign w:val="center"/>
          </w:tcPr>
          <w:p>
            <w:pPr>
              <w:pStyle w:val="13"/>
            </w:pPr>
            <w:r>
              <w:t>210.30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57</w:t>
            </w:r>
          </w:p>
        </w:tc>
        <w:tc>
          <w:tcPr>
            <w:tcW w:w="992" w:type="dxa"/>
            <w:vAlign w:val="center"/>
          </w:tcPr>
          <w:p>
            <w:pPr>
              <w:pStyle w:val="14"/>
            </w:pPr>
            <w:r>
              <w:t>22201</w:t>
            </w:r>
          </w:p>
        </w:tc>
        <w:tc>
          <w:tcPr>
            <w:tcW w:w="1559" w:type="dxa"/>
            <w:vAlign w:val="center"/>
          </w:tcPr>
          <w:p>
            <w:pPr>
              <w:pStyle w:val="14"/>
            </w:pPr>
            <w:r>
              <w:t>粮油物资事务</w:t>
            </w:r>
          </w:p>
        </w:tc>
        <w:tc>
          <w:tcPr>
            <w:tcW w:w="1134" w:type="dxa"/>
            <w:vAlign w:val="center"/>
          </w:tcPr>
          <w:p>
            <w:pPr>
              <w:pStyle w:val="13"/>
            </w:pPr>
            <w:r>
              <w:t>54.67</w:t>
            </w:r>
          </w:p>
        </w:tc>
        <w:tc>
          <w:tcPr>
            <w:tcW w:w="1134" w:type="dxa"/>
            <w:vAlign w:val="center"/>
          </w:tcPr>
          <w:p>
            <w:pPr>
              <w:pStyle w:val="13"/>
            </w:pPr>
            <w:r>
              <w:t>51.90</w:t>
            </w:r>
          </w:p>
        </w:tc>
        <w:tc>
          <w:tcPr>
            <w:tcW w:w="1134" w:type="dxa"/>
            <w:vAlign w:val="center"/>
          </w:tcPr>
          <w:p>
            <w:pPr>
              <w:pStyle w:val="13"/>
            </w:pPr>
            <w:r>
              <w:t>51.90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58</w:t>
            </w:r>
          </w:p>
        </w:tc>
        <w:tc>
          <w:tcPr>
            <w:tcW w:w="992" w:type="dxa"/>
            <w:vAlign w:val="center"/>
          </w:tcPr>
          <w:p>
            <w:pPr>
              <w:pStyle w:val="14"/>
            </w:pPr>
            <w:r>
              <w:t>2220102</w:t>
            </w:r>
          </w:p>
        </w:tc>
        <w:tc>
          <w:tcPr>
            <w:tcW w:w="1559" w:type="dxa"/>
            <w:vAlign w:val="center"/>
          </w:tcPr>
          <w:p>
            <w:pPr>
              <w:pStyle w:val="14"/>
            </w:pPr>
            <w:r>
              <w:t>一般行政管理事务</w:t>
            </w:r>
          </w:p>
        </w:tc>
        <w:tc>
          <w:tcPr>
            <w:tcW w:w="1134" w:type="dxa"/>
            <w:vAlign w:val="center"/>
          </w:tcPr>
          <w:p>
            <w:pPr>
              <w:pStyle w:val="13"/>
            </w:pPr>
            <w:r>
              <w:t>4.86</w:t>
            </w:r>
          </w:p>
        </w:tc>
        <w:tc>
          <w:tcPr>
            <w:tcW w:w="1134" w:type="dxa"/>
            <w:vAlign w:val="center"/>
          </w:tcPr>
          <w:p>
            <w:pPr>
              <w:pStyle w:val="13"/>
            </w:pPr>
            <w:r>
              <w:t>4.28</w:t>
            </w:r>
          </w:p>
        </w:tc>
        <w:tc>
          <w:tcPr>
            <w:tcW w:w="1134" w:type="dxa"/>
            <w:vAlign w:val="center"/>
          </w:tcPr>
          <w:p>
            <w:pPr>
              <w:pStyle w:val="13"/>
            </w:pPr>
            <w:r>
              <w:t>4.28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59</w:t>
            </w:r>
          </w:p>
        </w:tc>
        <w:tc>
          <w:tcPr>
            <w:tcW w:w="992" w:type="dxa"/>
            <w:vAlign w:val="center"/>
          </w:tcPr>
          <w:p>
            <w:pPr>
              <w:pStyle w:val="14"/>
            </w:pPr>
            <w:r>
              <w:t>2220105</w:t>
            </w:r>
          </w:p>
        </w:tc>
        <w:tc>
          <w:tcPr>
            <w:tcW w:w="1559" w:type="dxa"/>
            <w:vAlign w:val="center"/>
          </w:tcPr>
          <w:p>
            <w:pPr>
              <w:pStyle w:val="14"/>
            </w:pPr>
            <w:r>
              <w:t>信息统计</w:t>
            </w:r>
          </w:p>
        </w:tc>
        <w:tc>
          <w:tcPr>
            <w:tcW w:w="1134" w:type="dxa"/>
            <w:vAlign w:val="center"/>
          </w:tcPr>
          <w:p>
            <w:pPr>
              <w:pStyle w:val="13"/>
            </w:pPr>
            <w:r>
              <w:t>1.50</w:t>
            </w:r>
          </w:p>
        </w:tc>
        <w:tc>
          <w:tcPr>
            <w:tcW w:w="1134" w:type="dxa"/>
            <w:vAlign w:val="center"/>
          </w:tcPr>
          <w:p>
            <w:pPr>
              <w:pStyle w:val="13"/>
            </w:pPr>
            <w:r>
              <w:t>1.50</w:t>
            </w:r>
          </w:p>
        </w:tc>
        <w:tc>
          <w:tcPr>
            <w:tcW w:w="1134" w:type="dxa"/>
            <w:vAlign w:val="center"/>
          </w:tcPr>
          <w:p>
            <w:pPr>
              <w:pStyle w:val="13"/>
            </w:pPr>
            <w:r>
              <w:t>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60</w:t>
            </w:r>
          </w:p>
        </w:tc>
        <w:tc>
          <w:tcPr>
            <w:tcW w:w="992" w:type="dxa"/>
            <w:vAlign w:val="center"/>
          </w:tcPr>
          <w:p>
            <w:pPr>
              <w:pStyle w:val="14"/>
            </w:pPr>
            <w:r>
              <w:t>2220112</w:t>
            </w:r>
          </w:p>
        </w:tc>
        <w:tc>
          <w:tcPr>
            <w:tcW w:w="1559" w:type="dxa"/>
            <w:vAlign w:val="center"/>
          </w:tcPr>
          <w:p>
            <w:pPr>
              <w:pStyle w:val="14"/>
            </w:pPr>
            <w:r>
              <w:t>粮食财务挂账利息补贴</w:t>
            </w:r>
          </w:p>
        </w:tc>
        <w:tc>
          <w:tcPr>
            <w:tcW w:w="1134" w:type="dxa"/>
            <w:vAlign w:val="center"/>
          </w:tcPr>
          <w:p>
            <w:pPr>
              <w:pStyle w:val="13"/>
            </w:pPr>
            <w:r>
              <w:t>46.12</w:t>
            </w:r>
          </w:p>
        </w:tc>
        <w:tc>
          <w:tcPr>
            <w:tcW w:w="1134" w:type="dxa"/>
            <w:vAlign w:val="center"/>
          </w:tcPr>
          <w:p>
            <w:pPr>
              <w:pStyle w:val="13"/>
            </w:pPr>
            <w:r>
              <w:t>46.12</w:t>
            </w:r>
          </w:p>
        </w:tc>
        <w:tc>
          <w:tcPr>
            <w:tcW w:w="1134" w:type="dxa"/>
            <w:vAlign w:val="center"/>
          </w:tcPr>
          <w:p>
            <w:pPr>
              <w:pStyle w:val="13"/>
            </w:pPr>
            <w:r>
              <w:t>46.12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61</w:t>
            </w:r>
          </w:p>
        </w:tc>
        <w:tc>
          <w:tcPr>
            <w:tcW w:w="992" w:type="dxa"/>
            <w:vAlign w:val="center"/>
          </w:tcPr>
          <w:p>
            <w:pPr>
              <w:pStyle w:val="14"/>
            </w:pPr>
            <w:r>
              <w:t>2220120</w:t>
            </w:r>
          </w:p>
        </w:tc>
        <w:tc>
          <w:tcPr>
            <w:tcW w:w="1559" w:type="dxa"/>
            <w:vAlign w:val="center"/>
          </w:tcPr>
          <w:p>
            <w:pPr>
              <w:pStyle w:val="14"/>
            </w:pPr>
            <w:r>
              <w:t>设施安全</w:t>
            </w:r>
          </w:p>
        </w:tc>
        <w:tc>
          <w:tcPr>
            <w:tcW w:w="1134" w:type="dxa"/>
            <w:vAlign w:val="center"/>
          </w:tcPr>
          <w:p>
            <w:pPr>
              <w:pStyle w:val="13"/>
            </w:pPr>
            <w:r>
              <w:t>2.19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62</w:t>
            </w:r>
          </w:p>
        </w:tc>
        <w:tc>
          <w:tcPr>
            <w:tcW w:w="992" w:type="dxa"/>
            <w:vAlign w:val="center"/>
          </w:tcPr>
          <w:p>
            <w:pPr>
              <w:pStyle w:val="14"/>
            </w:pPr>
            <w:r>
              <w:t>22204</w:t>
            </w:r>
          </w:p>
        </w:tc>
        <w:tc>
          <w:tcPr>
            <w:tcW w:w="1559" w:type="dxa"/>
            <w:vAlign w:val="center"/>
          </w:tcPr>
          <w:p>
            <w:pPr>
              <w:pStyle w:val="14"/>
            </w:pPr>
            <w:r>
              <w:t>粮油储备</w:t>
            </w:r>
          </w:p>
        </w:tc>
        <w:tc>
          <w:tcPr>
            <w:tcW w:w="1134" w:type="dxa"/>
            <w:vAlign w:val="center"/>
          </w:tcPr>
          <w:p>
            <w:pPr>
              <w:pStyle w:val="13"/>
            </w:pPr>
            <w:r>
              <w:t>158.40</w:t>
            </w:r>
          </w:p>
        </w:tc>
        <w:tc>
          <w:tcPr>
            <w:tcW w:w="1134" w:type="dxa"/>
            <w:vAlign w:val="center"/>
          </w:tcPr>
          <w:p>
            <w:pPr>
              <w:pStyle w:val="13"/>
            </w:pPr>
            <w:r>
              <w:t>158.40</w:t>
            </w:r>
          </w:p>
        </w:tc>
        <w:tc>
          <w:tcPr>
            <w:tcW w:w="1134" w:type="dxa"/>
            <w:vAlign w:val="center"/>
          </w:tcPr>
          <w:p>
            <w:pPr>
              <w:pStyle w:val="13"/>
            </w:pPr>
            <w:r>
              <w:t>158.40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63</w:t>
            </w:r>
          </w:p>
        </w:tc>
        <w:tc>
          <w:tcPr>
            <w:tcW w:w="992" w:type="dxa"/>
            <w:vAlign w:val="center"/>
          </w:tcPr>
          <w:p>
            <w:pPr>
              <w:pStyle w:val="14"/>
            </w:pPr>
            <w:r>
              <w:t>2220401</w:t>
            </w:r>
          </w:p>
        </w:tc>
        <w:tc>
          <w:tcPr>
            <w:tcW w:w="1559" w:type="dxa"/>
            <w:vAlign w:val="center"/>
          </w:tcPr>
          <w:p>
            <w:pPr>
              <w:pStyle w:val="14"/>
            </w:pPr>
            <w:r>
              <w:t>储备粮油补贴</w:t>
            </w:r>
          </w:p>
        </w:tc>
        <w:tc>
          <w:tcPr>
            <w:tcW w:w="1134" w:type="dxa"/>
            <w:vAlign w:val="center"/>
          </w:tcPr>
          <w:p>
            <w:pPr>
              <w:pStyle w:val="13"/>
            </w:pPr>
            <w:r>
              <w:t>158.40</w:t>
            </w:r>
          </w:p>
        </w:tc>
        <w:tc>
          <w:tcPr>
            <w:tcW w:w="1134" w:type="dxa"/>
            <w:vAlign w:val="center"/>
          </w:tcPr>
          <w:p>
            <w:pPr>
              <w:pStyle w:val="13"/>
            </w:pPr>
            <w:r>
              <w:t>158.40</w:t>
            </w:r>
          </w:p>
        </w:tc>
        <w:tc>
          <w:tcPr>
            <w:tcW w:w="1134" w:type="dxa"/>
            <w:vAlign w:val="center"/>
          </w:tcPr>
          <w:p>
            <w:pPr>
              <w:pStyle w:val="13"/>
            </w:pPr>
            <w:r>
              <w:t>158.40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3919.09</w:t>
            </w:r>
          </w:p>
        </w:tc>
        <w:tc>
          <w:tcPr>
            <w:tcW w:w="1361" w:type="dxa"/>
            <w:vAlign w:val="center"/>
          </w:tcPr>
          <w:p>
            <w:pPr>
              <w:pStyle w:val="17"/>
            </w:pPr>
            <w:r>
              <w:t>884.74</w:t>
            </w:r>
          </w:p>
        </w:tc>
        <w:tc>
          <w:tcPr>
            <w:tcW w:w="1361" w:type="dxa"/>
            <w:vAlign w:val="center"/>
          </w:tcPr>
          <w:p>
            <w:pPr>
              <w:pStyle w:val="17"/>
            </w:pPr>
            <w:r>
              <w:t>3034.35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147.59</w:t>
            </w:r>
          </w:p>
        </w:tc>
        <w:tc>
          <w:tcPr>
            <w:tcW w:w="1361" w:type="dxa"/>
            <w:vAlign w:val="center"/>
          </w:tcPr>
          <w:p>
            <w:pPr>
              <w:pStyle w:val="13"/>
            </w:pPr>
          </w:p>
        </w:tc>
        <w:tc>
          <w:tcPr>
            <w:tcW w:w="1361" w:type="dxa"/>
            <w:vAlign w:val="center"/>
          </w:tcPr>
          <w:p>
            <w:pPr>
              <w:pStyle w:val="13"/>
            </w:pPr>
            <w:r>
              <w:t>147.59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20104</w:t>
            </w:r>
          </w:p>
        </w:tc>
        <w:tc>
          <w:tcPr>
            <w:tcW w:w="4535" w:type="dxa"/>
            <w:vAlign w:val="center"/>
          </w:tcPr>
          <w:p>
            <w:pPr>
              <w:pStyle w:val="14"/>
            </w:pPr>
            <w:r>
              <w:t>发展与改革事务</w:t>
            </w:r>
          </w:p>
        </w:tc>
        <w:tc>
          <w:tcPr>
            <w:tcW w:w="1361" w:type="dxa"/>
            <w:vAlign w:val="center"/>
          </w:tcPr>
          <w:p>
            <w:pPr>
              <w:pStyle w:val="13"/>
            </w:pPr>
            <w:r>
              <w:t>145.59</w:t>
            </w:r>
          </w:p>
        </w:tc>
        <w:tc>
          <w:tcPr>
            <w:tcW w:w="1361" w:type="dxa"/>
            <w:vAlign w:val="center"/>
          </w:tcPr>
          <w:p>
            <w:pPr>
              <w:pStyle w:val="13"/>
            </w:pPr>
          </w:p>
        </w:tc>
        <w:tc>
          <w:tcPr>
            <w:tcW w:w="1361" w:type="dxa"/>
            <w:vAlign w:val="center"/>
          </w:tcPr>
          <w:p>
            <w:pPr>
              <w:pStyle w:val="13"/>
            </w:pPr>
            <w:r>
              <w:t>145.59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2010402</w:t>
            </w:r>
          </w:p>
        </w:tc>
        <w:tc>
          <w:tcPr>
            <w:tcW w:w="4535" w:type="dxa"/>
            <w:vAlign w:val="center"/>
          </w:tcPr>
          <w:p>
            <w:pPr>
              <w:pStyle w:val="14"/>
            </w:pPr>
            <w:r>
              <w:t>一般行政管理事务</w:t>
            </w:r>
          </w:p>
        </w:tc>
        <w:tc>
          <w:tcPr>
            <w:tcW w:w="1361" w:type="dxa"/>
            <w:vAlign w:val="center"/>
          </w:tcPr>
          <w:p>
            <w:pPr>
              <w:pStyle w:val="13"/>
            </w:pPr>
            <w:r>
              <w:t>78.59</w:t>
            </w:r>
          </w:p>
        </w:tc>
        <w:tc>
          <w:tcPr>
            <w:tcW w:w="1361" w:type="dxa"/>
            <w:vAlign w:val="center"/>
          </w:tcPr>
          <w:p>
            <w:pPr>
              <w:pStyle w:val="13"/>
            </w:pPr>
          </w:p>
        </w:tc>
        <w:tc>
          <w:tcPr>
            <w:tcW w:w="1361" w:type="dxa"/>
            <w:vAlign w:val="center"/>
          </w:tcPr>
          <w:p>
            <w:pPr>
              <w:pStyle w:val="13"/>
            </w:pPr>
            <w:r>
              <w:t>78.59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2010408</w:t>
            </w:r>
          </w:p>
        </w:tc>
        <w:tc>
          <w:tcPr>
            <w:tcW w:w="4535" w:type="dxa"/>
            <w:vAlign w:val="center"/>
          </w:tcPr>
          <w:p>
            <w:pPr>
              <w:pStyle w:val="14"/>
            </w:pPr>
            <w:r>
              <w:t>物价管理</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2010499</w:t>
            </w:r>
          </w:p>
        </w:tc>
        <w:tc>
          <w:tcPr>
            <w:tcW w:w="4535" w:type="dxa"/>
            <w:vAlign w:val="center"/>
          </w:tcPr>
          <w:p>
            <w:pPr>
              <w:pStyle w:val="14"/>
            </w:pPr>
            <w:r>
              <w:t>其他发展与改革事务支出</w:t>
            </w:r>
          </w:p>
        </w:tc>
        <w:tc>
          <w:tcPr>
            <w:tcW w:w="1361" w:type="dxa"/>
            <w:vAlign w:val="center"/>
          </w:tcPr>
          <w:p>
            <w:pPr>
              <w:pStyle w:val="13"/>
            </w:pPr>
            <w:r>
              <w:t>65.00</w:t>
            </w:r>
          </w:p>
        </w:tc>
        <w:tc>
          <w:tcPr>
            <w:tcW w:w="1361" w:type="dxa"/>
            <w:vAlign w:val="center"/>
          </w:tcPr>
          <w:p>
            <w:pPr>
              <w:pStyle w:val="13"/>
            </w:pPr>
          </w:p>
        </w:tc>
        <w:tc>
          <w:tcPr>
            <w:tcW w:w="1361" w:type="dxa"/>
            <w:vAlign w:val="center"/>
          </w:tcPr>
          <w:p>
            <w:pPr>
              <w:pStyle w:val="13"/>
            </w:pPr>
            <w:r>
              <w:t>65.00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206</w:t>
            </w:r>
          </w:p>
        </w:tc>
        <w:tc>
          <w:tcPr>
            <w:tcW w:w="4535" w:type="dxa"/>
            <w:vAlign w:val="center"/>
          </w:tcPr>
          <w:p>
            <w:pPr>
              <w:pStyle w:val="14"/>
            </w:pPr>
            <w:r>
              <w:t>科学技术支出</w:t>
            </w:r>
          </w:p>
        </w:tc>
        <w:tc>
          <w:tcPr>
            <w:tcW w:w="1361" w:type="dxa"/>
            <w:vAlign w:val="center"/>
          </w:tcPr>
          <w:p>
            <w:pPr>
              <w:pStyle w:val="13"/>
            </w:pPr>
            <w:r>
              <w:t>768.68</w:t>
            </w:r>
          </w:p>
        </w:tc>
        <w:tc>
          <w:tcPr>
            <w:tcW w:w="1361" w:type="dxa"/>
            <w:vAlign w:val="center"/>
          </w:tcPr>
          <w:p>
            <w:pPr>
              <w:pStyle w:val="13"/>
            </w:pPr>
            <w:r>
              <w:t>570.70</w:t>
            </w:r>
          </w:p>
        </w:tc>
        <w:tc>
          <w:tcPr>
            <w:tcW w:w="1361" w:type="dxa"/>
            <w:vAlign w:val="center"/>
          </w:tcPr>
          <w:p>
            <w:pPr>
              <w:pStyle w:val="13"/>
            </w:pPr>
            <w:r>
              <w:t>197.99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20601</w:t>
            </w:r>
          </w:p>
        </w:tc>
        <w:tc>
          <w:tcPr>
            <w:tcW w:w="4535" w:type="dxa"/>
            <w:vAlign w:val="center"/>
          </w:tcPr>
          <w:p>
            <w:pPr>
              <w:pStyle w:val="14"/>
            </w:pPr>
            <w:r>
              <w:t>科学技术管理事务</w:t>
            </w:r>
          </w:p>
        </w:tc>
        <w:tc>
          <w:tcPr>
            <w:tcW w:w="1361" w:type="dxa"/>
            <w:vAlign w:val="center"/>
          </w:tcPr>
          <w:p>
            <w:pPr>
              <w:pStyle w:val="13"/>
            </w:pPr>
            <w:r>
              <w:t>684.95</w:t>
            </w:r>
          </w:p>
        </w:tc>
        <w:tc>
          <w:tcPr>
            <w:tcW w:w="1361" w:type="dxa"/>
            <w:vAlign w:val="center"/>
          </w:tcPr>
          <w:p>
            <w:pPr>
              <w:pStyle w:val="13"/>
            </w:pPr>
            <w:r>
              <w:t>570.70</w:t>
            </w:r>
          </w:p>
        </w:tc>
        <w:tc>
          <w:tcPr>
            <w:tcW w:w="1361" w:type="dxa"/>
            <w:vAlign w:val="center"/>
          </w:tcPr>
          <w:p>
            <w:pPr>
              <w:pStyle w:val="13"/>
            </w:pPr>
            <w:r>
              <w:t>114.26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2060101</w:t>
            </w:r>
          </w:p>
        </w:tc>
        <w:tc>
          <w:tcPr>
            <w:tcW w:w="4535" w:type="dxa"/>
            <w:vAlign w:val="center"/>
          </w:tcPr>
          <w:p>
            <w:pPr>
              <w:pStyle w:val="14"/>
            </w:pPr>
            <w:r>
              <w:t>行政运行</w:t>
            </w:r>
          </w:p>
        </w:tc>
        <w:tc>
          <w:tcPr>
            <w:tcW w:w="1361" w:type="dxa"/>
            <w:vAlign w:val="center"/>
          </w:tcPr>
          <w:p>
            <w:pPr>
              <w:pStyle w:val="13"/>
            </w:pPr>
            <w:r>
              <w:t>570.70</w:t>
            </w:r>
          </w:p>
        </w:tc>
        <w:tc>
          <w:tcPr>
            <w:tcW w:w="1361" w:type="dxa"/>
            <w:vAlign w:val="center"/>
          </w:tcPr>
          <w:p>
            <w:pPr>
              <w:pStyle w:val="13"/>
            </w:pPr>
            <w:r>
              <w:t>570.70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2060102</w:t>
            </w:r>
          </w:p>
        </w:tc>
        <w:tc>
          <w:tcPr>
            <w:tcW w:w="4535" w:type="dxa"/>
            <w:vAlign w:val="center"/>
          </w:tcPr>
          <w:p>
            <w:pPr>
              <w:pStyle w:val="14"/>
            </w:pPr>
            <w:r>
              <w:t>一般行政管理事务</w:t>
            </w:r>
          </w:p>
        </w:tc>
        <w:tc>
          <w:tcPr>
            <w:tcW w:w="1361" w:type="dxa"/>
            <w:vAlign w:val="center"/>
          </w:tcPr>
          <w:p>
            <w:pPr>
              <w:pStyle w:val="13"/>
            </w:pPr>
            <w:r>
              <w:t>62.16</w:t>
            </w:r>
          </w:p>
        </w:tc>
        <w:tc>
          <w:tcPr>
            <w:tcW w:w="1361" w:type="dxa"/>
            <w:vAlign w:val="center"/>
          </w:tcPr>
          <w:p>
            <w:pPr>
              <w:pStyle w:val="13"/>
            </w:pPr>
          </w:p>
        </w:tc>
        <w:tc>
          <w:tcPr>
            <w:tcW w:w="1361" w:type="dxa"/>
            <w:vAlign w:val="center"/>
          </w:tcPr>
          <w:p>
            <w:pPr>
              <w:pStyle w:val="13"/>
            </w:pPr>
            <w:r>
              <w:t>62.16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2060199</w:t>
            </w:r>
          </w:p>
        </w:tc>
        <w:tc>
          <w:tcPr>
            <w:tcW w:w="4535" w:type="dxa"/>
            <w:vAlign w:val="center"/>
          </w:tcPr>
          <w:p>
            <w:pPr>
              <w:pStyle w:val="14"/>
            </w:pPr>
            <w:r>
              <w:t>其他科学技术管理事务支出</w:t>
            </w:r>
          </w:p>
        </w:tc>
        <w:tc>
          <w:tcPr>
            <w:tcW w:w="1361" w:type="dxa"/>
            <w:vAlign w:val="center"/>
          </w:tcPr>
          <w:p>
            <w:pPr>
              <w:pStyle w:val="13"/>
            </w:pPr>
            <w:r>
              <w:t>52.10</w:t>
            </w:r>
          </w:p>
        </w:tc>
        <w:tc>
          <w:tcPr>
            <w:tcW w:w="1361" w:type="dxa"/>
            <w:vAlign w:val="center"/>
          </w:tcPr>
          <w:p>
            <w:pPr>
              <w:pStyle w:val="13"/>
            </w:pPr>
          </w:p>
        </w:tc>
        <w:tc>
          <w:tcPr>
            <w:tcW w:w="1361" w:type="dxa"/>
            <w:vAlign w:val="center"/>
          </w:tcPr>
          <w:p>
            <w:pPr>
              <w:pStyle w:val="13"/>
            </w:pPr>
            <w:r>
              <w:t>52.10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20605</w:t>
            </w:r>
          </w:p>
        </w:tc>
        <w:tc>
          <w:tcPr>
            <w:tcW w:w="4535" w:type="dxa"/>
            <w:vAlign w:val="center"/>
          </w:tcPr>
          <w:p>
            <w:pPr>
              <w:pStyle w:val="14"/>
            </w:pPr>
            <w:r>
              <w:t>科技条件与服务</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2060502</w:t>
            </w:r>
          </w:p>
        </w:tc>
        <w:tc>
          <w:tcPr>
            <w:tcW w:w="4535" w:type="dxa"/>
            <w:vAlign w:val="center"/>
          </w:tcPr>
          <w:p>
            <w:pPr>
              <w:pStyle w:val="14"/>
            </w:pPr>
            <w:r>
              <w:t>技术创新服务体系</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20609</w:t>
            </w:r>
          </w:p>
        </w:tc>
        <w:tc>
          <w:tcPr>
            <w:tcW w:w="4535" w:type="dxa"/>
            <w:vAlign w:val="center"/>
          </w:tcPr>
          <w:p>
            <w:pPr>
              <w:pStyle w:val="14"/>
            </w:pPr>
            <w:r>
              <w:t>科技重大项目</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2060999</w:t>
            </w:r>
          </w:p>
        </w:tc>
        <w:tc>
          <w:tcPr>
            <w:tcW w:w="4535" w:type="dxa"/>
            <w:vAlign w:val="center"/>
          </w:tcPr>
          <w:p>
            <w:pPr>
              <w:pStyle w:val="14"/>
            </w:pPr>
            <w:r>
              <w:t>其他科技重大项目</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20699</w:t>
            </w:r>
          </w:p>
        </w:tc>
        <w:tc>
          <w:tcPr>
            <w:tcW w:w="4535" w:type="dxa"/>
            <w:vAlign w:val="center"/>
          </w:tcPr>
          <w:p>
            <w:pPr>
              <w:pStyle w:val="14"/>
            </w:pPr>
            <w:r>
              <w:t>其他科学技术支出</w:t>
            </w:r>
          </w:p>
        </w:tc>
        <w:tc>
          <w:tcPr>
            <w:tcW w:w="1361" w:type="dxa"/>
            <w:vAlign w:val="center"/>
          </w:tcPr>
          <w:p>
            <w:pPr>
              <w:pStyle w:val="13"/>
            </w:pPr>
            <w:r>
              <w:t>44.73</w:t>
            </w:r>
          </w:p>
        </w:tc>
        <w:tc>
          <w:tcPr>
            <w:tcW w:w="1361" w:type="dxa"/>
            <w:vAlign w:val="center"/>
          </w:tcPr>
          <w:p>
            <w:pPr>
              <w:pStyle w:val="13"/>
            </w:pPr>
          </w:p>
        </w:tc>
        <w:tc>
          <w:tcPr>
            <w:tcW w:w="1361" w:type="dxa"/>
            <w:vAlign w:val="center"/>
          </w:tcPr>
          <w:p>
            <w:pPr>
              <w:pStyle w:val="13"/>
            </w:pPr>
            <w:r>
              <w:t>44.73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2069999</w:t>
            </w:r>
          </w:p>
        </w:tc>
        <w:tc>
          <w:tcPr>
            <w:tcW w:w="4535" w:type="dxa"/>
            <w:vAlign w:val="center"/>
          </w:tcPr>
          <w:p>
            <w:pPr>
              <w:pStyle w:val="14"/>
            </w:pPr>
            <w:r>
              <w:t>其他科学技术支出</w:t>
            </w:r>
          </w:p>
        </w:tc>
        <w:tc>
          <w:tcPr>
            <w:tcW w:w="1361" w:type="dxa"/>
            <w:vAlign w:val="center"/>
          </w:tcPr>
          <w:p>
            <w:pPr>
              <w:pStyle w:val="13"/>
            </w:pPr>
            <w:r>
              <w:t>44.73</w:t>
            </w:r>
          </w:p>
        </w:tc>
        <w:tc>
          <w:tcPr>
            <w:tcW w:w="1361" w:type="dxa"/>
            <w:vAlign w:val="center"/>
          </w:tcPr>
          <w:p>
            <w:pPr>
              <w:pStyle w:val="13"/>
            </w:pPr>
          </w:p>
        </w:tc>
        <w:tc>
          <w:tcPr>
            <w:tcW w:w="1361" w:type="dxa"/>
            <w:vAlign w:val="center"/>
          </w:tcPr>
          <w:p>
            <w:pPr>
              <w:pStyle w:val="13"/>
            </w:pPr>
            <w:r>
              <w:t>44.73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616.76</w:t>
            </w:r>
          </w:p>
        </w:tc>
        <w:tc>
          <w:tcPr>
            <w:tcW w:w="1361" w:type="dxa"/>
            <w:vAlign w:val="center"/>
          </w:tcPr>
          <w:p>
            <w:pPr>
              <w:pStyle w:val="13"/>
            </w:pPr>
            <w:r>
              <w:t>243.58</w:t>
            </w:r>
          </w:p>
        </w:tc>
        <w:tc>
          <w:tcPr>
            <w:tcW w:w="1361" w:type="dxa"/>
            <w:vAlign w:val="center"/>
          </w:tcPr>
          <w:p>
            <w:pPr>
              <w:pStyle w:val="13"/>
            </w:pPr>
            <w:r>
              <w:t>373.19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163.52</w:t>
            </w:r>
          </w:p>
        </w:tc>
        <w:tc>
          <w:tcPr>
            <w:tcW w:w="1361" w:type="dxa"/>
            <w:vAlign w:val="center"/>
          </w:tcPr>
          <w:p>
            <w:pPr>
              <w:pStyle w:val="13"/>
            </w:pPr>
            <w:r>
              <w:t>163.52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115.96</w:t>
            </w:r>
          </w:p>
        </w:tc>
        <w:tc>
          <w:tcPr>
            <w:tcW w:w="1361" w:type="dxa"/>
            <w:vAlign w:val="center"/>
          </w:tcPr>
          <w:p>
            <w:pPr>
              <w:pStyle w:val="13"/>
            </w:pPr>
            <w:r>
              <w:t>115.96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36.37</w:t>
            </w:r>
          </w:p>
        </w:tc>
        <w:tc>
          <w:tcPr>
            <w:tcW w:w="1361" w:type="dxa"/>
            <w:vAlign w:val="center"/>
          </w:tcPr>
          <w:p>
            <w:pPr>
              <w:pStyle w:val="13"/>
            </w:pPr>
            <w:r>
              <w:t>36.37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5.26</w:t>
            </w:r>
          </w:p>
        </w:tc>
        <w:tc>
          <w:tcPr>
            <w:tcW w:w="1361" w:type="dxa"/>
            <w:vAlign w:val="center"/>
          </w:tcPr>
          <w:p>
            <w:pPr>
              <w:pStyle w:val="13"/>
            </w:pPr>
            <w:r>
              <w:t>5.26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5.92</w:t>
            </w:r>
          </w:p>
        </w:tc>
        <w:tc>
          <w:tcPr>
            <w:tcW w:w="1361" w:type="dxa"/>
            <w:vAlign w:val="center"/>
          </w:tcPr>
          <w:p>
            <w:pPr>
              <w:pStyle w:val="13"/>
            </w:pPr>
            <w:r>
              <w:t>5.92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453.24</w:t>
            </w:r>
          </w:p>
        </w:tc>
        <w:tc>
          <w:tcPr>
            <w:tcW w:w="1361" w:type="dxa"/>
            <w:vAlign w:val="center"/>
          </w:tcPr>
          <w:p>
            <w:pPr>
              <w:pStyle w:val="13"/>
            </w:pPr>
            <w:r>
              <w:t>80.06</w:t>
            </w:r>
          </w:p>
        </w:tc>
        <w:tc>
          <w:tcPr>
            <w:tcW w:w="1361" w:type="dxa"/>
            <w:vAlign w:val="center"/>
          </w:tcPr>
          <w:p>
            <w:pPr>
              <w:pStyle w:val="13"/>
            </w:pPr>
            <w:r>
              <w:t>373.19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43.57</w:t>
            </w:r>
          </w:p>
        </w:tc>
        <w:tc>
          <w:tcPr>
            <w:tcW w:w="1361" w:type="dxa"/>
            <w:vAlign w:val="center"/>
          </w:tcPr>
          <w:p>
            <w:pPr>
              <w:pStyle w:val="13"/>
            </w:pPr>
            <w:r>
              <w:t>43.57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2080802</w:t>
            </w:r>
          </w:p>
        </w:tc>
        <w:tc>
          <w:tcPr>
            <w:tcW w:w="4535" w:type="dxa"/>
            <w:vAlign w:val="center"/>
          </w:tcPr>
          <w:p>
            <w:pPr>
              <w:pStyle w:val="14"/>
            </w:pPr>
            <w:r>
              <w:t>伤残抚恤</w:t>
            </w:r>
          </w:p>
        </w:tc>
        <w:tc>
          <w:tcPr>
            <w:tcW w:w="1361" w:type="dxa"/>
            <w:vAlign w:val="center"/>
          </w:tcPr>
          <w:p>
            <w:pPr>
              <w:pStyle w:val="13"/>
            </w:pPr>
            <w:r>
              <w:t>350.00</w:t>
            </w:r>
          </w:p>
        </w:tc>
        <w:tc>
          <w:tcPr>
            <w:tcW w:w="1361" w:type="dxa"/>
            <w:vAlign w:val="center"/>
          </w:tcPr>
          <w:p>
            <w:pPr>
              <w:pStyle w:val="13"/>
            </w:pPr>
          </w:p>
        </w:tc>
        <w:tc>
          <w:tcPr>
            <w:tcW w:w="1361" w:type="dxa"/>
            <w:vAlign w:val="center"/>
          </w:tcPr>
          <w:p>
            <w:pPr>
              <w:pStyle w:val="13"/>
            </w:pPr>
            <w:r>
              <w:t>350.00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59.68</w:t>
            </w:r>
          </w:p>
        </w:tc>
        <w:tc>
          <w:tcPr>
            <w:tcW w:w="1361" w:type="dxa"/>
            <w:vAlign w:val="center"/>
          </w:tcPr>
          <w:p>
            <w:pPr>
              <w:pStyle w:val="13"/>
            </w:pPr>
            <w:r>
              <w:t>36.49</w:t>
            </w:r>
          </w:p>
        </w:tc>
        <w:tc>
          <w:tcPr>
            <w:tcW w:w="1361" w:type="dxa"/>
            <w:vAlign w:val="center"/>
          </w:tcPr>
          <w:p>
            <w:pPr>
              <w:pStyle w:val="13"/>
            </w:pPr>
            <w:r>
              <w:t>23.19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225.07</w:t>
            </w:r>
          </w:p>
        </w:tc>
        <w:tc>
          <w:tcPr>
            <w:tcW w:w="1361" w:type="dxa"/>
            <w:vAlign w:val="center"/>
          </w:tcPr>
          <w:p>
            <w:pPr>
              <w:pStyle w:val="13"/>
            </w:pPr>
            <w:r>
              <w:t>35.07</w:t>
            </w:r>
          </w:p>
        </w:tc>
        <w:tc>
          <w:tcPr>
            <w:tcW w:w="1361" w:type="dxa"/>
            <w:vAlign w:val="center"/>
          </w:tcPr>
          <w:p>
            <w:pPr>
              <w:pStyle w:val="13"/>
            </w:pPr>
            <w:r>
              <w:t>190.00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21004</w:t>
            </w:r>
          </w:p>
        </w:tc>
        <w:tc>
          <w:tcPr>
            <w:tcW w:w="4535" w:type="dxa"/>
            <w:vAlign w:val="center"/>
          </w:tcPr>
          <w:p>
            <w:pPr>
              <w:pStyle w:val="14"/>
            </w:pPr>
            <w:r>
              <w:t>公共卫生</w:t>
            </w:r>
          </w:p>
        </w:tc>
        <w:tc>
          <w:tcPr>
            <w:tcW w:w="1361" w:type="dxa"/>
            <w:vAlign w:val="center"/>
          </w:tcPr>
          <w:p>
            <w:pPr>
              <w:pStyle w:val="13"/>
            </w:pPr>
            <w:r>
              <w:t>190.00</w:t>
            </w:r>
          </w:p>
        </w:tc>
        <w:tc>
          <w:tcPr>
            <w:tcW w:w="1361" w:type="dxa"/>
            <w:vAlign w:val="center"/>
          </w:tcPr>
          <w:p>
            <w:pPr>
              <w:pStyle w:val="13"/>
            </w:pPr>
          </w:p>
        </w:tc>
        <w:tc>
          <w:tcPr>
            <w:tcW w:w="1361" w:type="dxa"/>
            <w:vAlign w:val="center"/>
          </w:tcPr>
          <w:p>
            <w:pPr>
              <w:pStyle w:val="13"/>
            </w:pPr>
            <w:r>
              <w:t>190.00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2100410</w:t>
            </w:r>
          </w:p>
        </w:tc>
        <w:tc>
          <w:tcPr>
            <w:tcW w:w="4535" w:type="dxa"/>
            <w:vAlign w:val="center"/>
          </w:tcPr>
          <w:p>
            <w:pPr>
              <w:pStyle w:val="14"/>
            </w:pPr>
            <w:r>
              <w:t>突发公共卫生事件应急处置</w:t>
            </w:r>
          </w:p>
        </w:tc>
        <w:tc>
          <w:tcPr>
            <w:tcW w:w="1361" w:type="dxa"/>
            <w:vAlign w:val="center"/>
          </w:tcPr>
          <w:p>
            <w:pPr>
              <w:pStyle w:val="13"/>
            </w:pPr>
            <w:r>
              <w:t>190.00</w:t>
            </w:r>
          </w:p>
        </w:tc>
        <w:tc>
          <w:tcPr>
            <w:tcW w:w="1361" w:type="dxa"/>
            <w:vAlign w:val="center"/>
          </w:tcPr>
          <w:p>
            <w:pPr>
              <w:pStyle w:val="13"/>
            </w:pPr>
          </w:p>
        </w:tc>
        <w:tc>
          <w:tcPr>
            <w:tcW w:w="1361" w:type="dxa"/>
            <w:vAlign w:val="center"/>
          </w:tcPr>
          <w:p>
            <w:pPr>
              <w:pStyle w:val="13"/>
            </w:pPr>
            <w:r>
              <w:t>190.00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35.07</w:t>
            </w:r>
          </w:p>
        </w:tc>
        <w:tc>
          <w:tcPr>
            <w:tcW w:w="1361" w:type="dxa"/>
            <w:vAlign w:val="center"/>
          </w:tcPr>
          <w:p>
            <w:pPr>
              <w:pStyle w:val="13"/>
            </w:pPr>
            <w:r>
              <w:t>35.07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20.93</w:t>
            </w:r>
          </w:p>
        </w:tc>
        <w:tc>
          <w:tcPr>
            <w:tcW w:w="1361" w:type="dxa"/>
            <w:vAlign w:val="center"/>
          </w:tcPr>
          <w:p>
            <w:pPr>
              <w:pStyle w:val="13"/>
            </w:pPr>
            <w:r>
              <w:t>20.93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14.15</w:t>
            </w:r>
          </w:p>
        </w:tc>
        <w:tc>
          <w:tcPr>
            <w:tcW w:w="1361" w:type="dxa"/>
            <w:vAlign w:val="center"/>
          </w:tcPr>
          <w:p>
            <w:pPr>
              <w:pStyle w:val="13"/>
            </w:pPr>
            <w:r>
              <w:t>14.15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1099.15</w:t>
            </w:r>
          </w:p>
        </w:tc>
        <w:tc>
          <w:tcPr>
            <w:tcW w:w="1361" w:type="dxa"/>
            <w:vAlign w:val="center"/>
          </w:tcPr>
          <w:p>
            <w:pPr>
              <w:pStyle w:val="13"/>
            </w:pPr>
          </w:p>
        </w:tc>
        <w:tc>
          <w:tcPr>
            <w:tcW w:w="1361" w:type="dxa"/>
            <w:vAlign w:val="center"/>
          </w:tcPr>
          <w:p>
            <w:pPr>
              <w:pStyle w:val="13"/>
            </w:pPr>
            <w:r>
              <w:t>1099.15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21203</w:t>
            </w:r>
          </w:p>
        </w:tc>
        <w:tc>
          <w:tcPr>
            <w:tcW w:w="4535" w:type="dxa"/>
            <w:vAlign w:val="center"/>
          </w:tcPr>
          <w:p>
            <w:pPr>
              <w:pStyle w:val="14"/>
            </w:pPr>
            <w:r>
              <w:t>城乡社区公共设施</w:t>
            </w:r>
          </w:p>
        </w:tc>
        <w:tc>
          <w:tcPr>
            <w:tcW w:w="1361" w:type="dxa"/>
            <w:vAlign w:val="center"/>
          </w:tcPr>
          <w:p>
            <w:pPr>
              <w:pStyle w:val="13"/>
            </w:pPr>
            <w:r>
              <w:t>249.15</w:t>
            </w:r>
          </w:p>
        </w:tc>
        <w:tc>
          <w:tcPr>
            <w:tcW w:w="1361" w:type="dxa"/>
            <w:vAlign w:val="center"/>
          </w:tcPr>
          <w:p>
            <w:pPr>
              <w:pStyle w:val="13"/>
            </w:pPr>
          </w:p>
        </w:tc>
        <w:tc>
          <w:tcPr>
            <w:tcW w:w="1361" w:type="dxa"/>
            <w:vAlign w:val="center"/>
          </w:tcPr>
          <w:p>
            <w:pPr>
              <w:pStyle w:val="13"/>
            </w:pPr>
            <w:r>
              <w:t>249.15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2120399</w:t>
            </w:r>
          </w:p>
        </w:tc>
        <w:tc>
          <w:tcPr>
            <w:tcW w:w="4535" w:type="dxa"/>
            <w:vAlign w:val="center"/>
          </w:tcPr>
          <w:p>
            <w:pPr>
              <w:pStyle w:val="14"/>
            </w:pPr>
            <w:r>
              <w:t>其他城乡社区公共设施支出</w:t>
            </w:r>
          </w:p>
        </w:tc>
        <w:tc>
          <w:tcPr>
            <w:tcW w:w="1361" w:type="dxa"/>
            <w:vAlign w:val="center"/>
          </w:tcPr>
          <w:p>
            <w:pPr>
              <w:pStyle w:val="13"/>
            </w:pPr>
            <w:r>
              <w:t>249.15</w:t>
            </w:r>
          </w:p>
        </w:tc>
        <w:tc>
          <w:tcPr>
            <w:tcW w:w="1361" w:type="dxa"/>
            <w:vAlign w:val="center"/>
          </w:tcPr>
          <w:p>
            <w:pPr>
              <w:pStyle w:val="13"/>
            </w:pPr>
          </w:p>
        </w:tc>
        <w:tc>
          <w:tcPr>
            <w:tcW w:w="1361" w:type="dxa"/>
            <w:vAlign w:val="center"/>
          </w:tcPr>
          <w:p>
            <w:pPr>
              <w:pStyle w:val="13"/>
            </w:pPr>
            <w:r>
              <w:t>249.15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850.00</w:t>
            </w:r>
          </w:p>
        </w:tc>
        <w:tc>
          <w:tcPr>
            <w:tcW w:w="1361" w:type="dxa"/>
            <w:vAlign w:val="center"/>
          </w:tcPr>
          <w:p>
            <w:pPr>
              <w:pStyle w:val="13"/>
            </w:pPr>
          </w:p>
        </w:tc>
        <w:tc>
          <w:tcPr>
            <w:tcW w:w="1361" w:type="dxa"/>
            <w:vAlign w:val="center"/>
          </w:tcPr>
          <w:p>
            <w:pPr>
              <w:pStyle w:val="13"/>
            </w:pPr>
            <w:r>
              <w:t>850.00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2120899</w:t>
            </w:r>
          </w:p>
        </w:tc>
        <w:tc>
          <w:tcPr>
            <w:tcW w:w="4535" w:type="dxa"/>
            <w:vAlign w:val="center"/>
          </w:tcPr>
          <w:p>
            <w:pPr>
              <w:pStyle w:val="14"/>
            </w:pPr>
            <w:r>
              <w:t>其他国有土地使用权出让收入安排的支出</w:t>
            </w:r>
          </w:p>
        </w:tc>
        <w:tc>
          <w:tcPr>
            <w:tcW w:w="1361" w:type="dxa"/>
            <w:vAlign w:val="center"/>
          </w:tcPr>
          <w:p>
            <w:pPr>
              <w:pStyle w:val="13"/>
            </w:pPr>
            <w:r>
              <w:t>850.00</w:t>
            </w:r>
          </w:p>
        </w:tc>
        <w:tc>
          <w:tcPr>
            <w:tcW w:w="1361" w:type="dxa"/>
            <w:vAlign w:val="center"/>
          </w:tcPr>
          <w:p>
            <w:pPr>
              <w:pStyle w:val="13"/>
            </w:pPr>
          </w:p>
        </w:tc>
        <w:tc>
          <w:tcPr>
            <w:tcW w:w="1361" w:type="dxa"/>
            <w:vAlign w:val="center"/>
          </w:tcPr>
          <w:p>
            <w:pPr>
              <w:pStyle w:val="13"/>
            </w:pPr>
            <w:r>
              <w:t>850.00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48.60</w:t>
            </w:r>
          </w:p>
        </w:tc>
        <w:tc>
          <w:tcPr>
            <w:tcW w:w="1361" w:type="dxa"/>
            <w:vAlign w:val="center"/>
          </w:tcPr>
          <w:p>
            <w:pPr>
              <w:pStyle w:val="13"/>
            </w:pPr>
          </w:p>
        </w:tc>
        <w:tc>
          <w:tcPr>
            <w:tcW w:w="1361" w:type="dxa"/>
            <w:vAlign w:val="center"/>
          </w:tcPr>
          <w:p>
            <w:pPr>
              <w:pStyle w:val="13"/>
            </w:pPr>
            <w:r>
              <w:t>48.60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21301</w:t>
            </w:r>
          </w:p>
        </w:tc>
        <w:tc>
          <w:tcPr>
            <w:tcW w:w="4535" w:type="dxa"/>
            <w:vAlign w:val="center"/>
          </w:tcPr>
          <w:p>
            <w:pPr>
              <w:pStyle w:val="14"/>
            </w:pPr>
            <w:r>
              <w:t>农业农村</w:t>
            </w:r>
          </w:p>
        </w:tc>
        <w:tc>
          <w:tcPr>
            <w:tcW w:w="1361" w:type="dxa"/>
            <w:vAlign w:val="center"/>
          </w:tcPr>
          <w:p>
            <w:pPr>
              <w:pStyle w:val="13"/>
            </w:pPr>
            <w:r>
              <w:t>48.60</w:t>
            </w:r>
          </w:p>
        </w:tc>
        <w:tc>
          <w:tcPr>
            <w:tcW w:w="1361" w:type="dxa"/>
            <w:vAlign w:val="center"/>
          </w:tcPr>
          <w:p>
            <w:pPr>
              <w:pStyle w:val="13"/>
            </w:pPr>
          </w:p>
        </w:tc>
        <w:tc>
          <w:tcPr>
            <w:tcW w:w="1361" w:type="dxa"/>
            <w:vAlign w:val="center"/>
          </w:tcPr>
          <w:p>
            <w:pPr>
              <w:pStyle w:val="13"/>
            </w:pPr>
            <w:r>
              <w:t>48.60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2130122</w:t>
            </w:r>
          </w:p>
        </w:tc>
        <w:tc>
          <w:tcPr>
            <w:tcW w:w="4535" w:type="dxa"/>
            <w:vAlign w:val="center"/>
          </w:tcPr>
          <w:p>
            <w:pPr>
              <w:pStyle w:val="14"/>
            </w:pPr>
            <w:r>
              <w:t>农业生产发展</w:t>
            </w:r>
          </w:p>
        </w:tc>
        <w:tc>
          <w:tcPr>
            <w:tcW w:w="1361" w:type="dxa"/>
            <w:vAlign w:val="center"/>
          </w:tcPr>
          <w:p>
            <w:pPr>
              <w:pStyle w:val="13"/>
            </w:pPr>
            <w:r>
              <w:t>48.60</w:t>
            </w:r>
          </w:p>
        </w:tc>
        <w:tc>
          <w:tcPr>
            <w:tcW w:w="1361" w:type="dxa"/>
            <w:vAlign w:val="center"/>
          </w:tcPr>
          <w:p>
            <w:pPr>
              <w:pStyle w:val="13"/>
            </w:pPr>
          </w:p>
        </w:tc>
        <w:tc>
          <w:tcPr>
            <w:tcW w:w="1361" w:type="dxa"/>
            <w:vAlign w:val="center"/>
          </w:tcPr>
          <w:p>
            <w:pPr>
              <w:pStyle w:val="13"/>
            </w:pPr>
            <w:r>
              <w:t>48.60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215</w:t>
            </w:r>
          </w:p>
        </w:tc>
        <w:tc>
          <w:tcPr>
            <w:tcW w:w="4535" w:type="dxa"/>
            <w:vAlign w:val="center"/>
          </w:tcPr>
          <w:p>
            <w:pPr>
              <w:pStyle w:val="14"/>
            </w:pPr>
            <w:r>
              <w:t>资源勘探工业信息等支出</w:t>
            </w:r>
          </w:p>
        </w:tc>
        <w:tc>
          <w:tcPr>
            <w:tcW w:w="1361" w:type="dxa"/>
            <w:vAlign w:val="center"/>
          </w:tcPr>
          <w:p>
            <w:pPr>
              <w:pStyle w:val="13"/>
            </w:pPr>
            <w:r>
              <w:t>4.76</w:t>
            </w:r>
          </w:p>
        </w:tc>
        <w:tc>
          <w:tcPr>
            <w:tcW w:w="1361" w:type="dxa"/>
            <w:vAlign w:val="center"/>
          </w:tcPr>
          <w:p>
            <w:pPr>
              <w:pStyle w:val="13"/>
            </w:pPr>
          </w:p>
        </w:tc>
        <w:tc>
          <w:tcPr>
            <w:tcW w:w="1361" w:type="dxa"/>
            <w:vAlign w:val="center"/>
          </w:tcPr>
          <w:p>
            <w:pPr>
              <w:pStyle w:val="13"/>
            </w:pPr>
            <w:r>
              <w:t>4.76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992" w:type="dxa"/>
            <w:vAlign w:val="center"/>
          </w:tcPr>
          <w:p>
            <w:pPr>
              <w:pStyle w:val="14"/>
            </w:pPr>
            <w:r>
              <w:t>21508</w:t>
            </w:r>
          </w:p>
        </w:tc>
        <w:tc>
          <w:tcPr>
            <w:tcW w:w="4535" w:type="dxa"/>
            <w:vAlign w:val="center"/>
          </w:tcPr>
          <w:p>
            <w:pPr>
              <w:pStyle w:val="14"/>
            </w:pPr>
            <w:r>
              <w:t>支持中小企业发展和管理支出</w:t>
            </w:r>
          </w:p>
        </w:tc>
        <w:tc>
          <w:tcPr>
            <w:tcW w:w="1361" w:type="dxa"/>
            <w:vAlign w:val="center"/>
          </w:tcPr>
          <w:p>
            <w:pPr>
              <w:pStyle w:val="13"/>
            </w:pPr>
            <w:r>
              <w:t>4.76</w:t>
            </w:r>
          </w:p>
        </w:tc>
        <w:tc>
          <w:tcPr>
            <w:tcW w:w="1361" w:type="dxa"/>
            <w:vAlign w:val="center"/>
          </w:tcPr>
          <w:p>
            <w:pPr>
              <w:pStyle w:val="13"/>
            </w:pPr>
          </w:p>
        </w:tc>
        <w:tc>
          <w:tcPr>
            <w:tcW w:w="1361" w:type="dxa"/>
            <w:vAlign w:val="center"/>
          </w:tcPr>
          <w:p>
            <w:pPr>
              <w:pStyle w:val="13"/>
            </w:pPr>
            <w:r>
              <w:t>4.76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992" w:type="dxa"/>
            <w:vAlign w:val="center"/>
          </w:tcPr>
          <w:p>
            <w:pPr>
              <w:pStyle w:val="14"/>
            </w:pPr>
            <w:r>
              <w:t>2150805</w:t>
            </w:r>
          </w:p>
        </w:tc>
        <w:tc>
          <w:tcPr>
            <w:tcW w:w="4535" w:type="dxa"/>
            <w:vAlign w:val="center"/>
          </w:tcPr>
          <w:p>
            <w:pPr>
              <w:pStyle w:val="14"/>
            </w:pPr>
            <w:r>
              <w:t>中小企业发展专项</w:t>
            </w:r>
          </w:p>
        </w:tc>
        <w:tc>
          <w:tcPr>
            <w:tcW w:w="1361" w:type="dxa"/>
            <w:vAlign w:val="center"/>
          </w:tcPr>
          <w:p>
            <w:pPr>
              <w:pStyle w:val="13"/>
            </w:pPr>
            <w:r>
              <w:t>4.76</w:t>
            </w:r>
          </w:p>
        </w:tc>
        <w:tc>
          <w:tcPr>
            <w:tcW w:w="1361" w:type="dxa"/>
            <w:vAlign w:val="center"/>
          </w:tcPr>
          <w:p>
            <w:pPr>
              <w:pStyle w:val="13"/>
            </w:pPr>
          </w:p>
        </w:tc>
        <w:tc>
          <w:tcPr>
            <w:tcW w:w="1361" w:type="dxa"/>
            <w:vAlign w:val="center"/>
          </w:tcPr>
          <w:p>
            <w:pPr>
              <w:pStyle w:val="13"/>
            </w:pPr>
            <w:r>
              <w:t>4.76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992" w:type="dxa"/>
            <w:vAlign w:val="center"/>
          </w:tcPr>
          <w:p>
            <w:pPr>
              <w:pStyle w:val="14"/>
            </w:pPr>
            <w:r>
              <w:t>216</w:t>
            </w:r>
          </w:p>
        </w:tc>
        <w:tc>
          <w:tcPr>
            <w:tcW w:w="4535" w:type="dxa"/>
            <w:vAlign w:val="center"/>
          </w:tcPr>
          <w:p>
            <w:pPr>
              <w:pStyle w:val="14"/>
            </w:pPr>
            <w:r>
              <w:t>商业服务业等支出</w:t>
            </w:r>
          </w:p>
        </w:tc>
        <w:tc>
          <w:tcPr>
            <w:tcW w:w="1361" w:type="dxa"/>
            <w:vAlign w:val="center"/>
          </w:tcPr>
          <w:p>
            <w:pPr>
              <w:pStyle w:val="13"/>
            </w:pPr>
            <w:r>
              <w:t>460.00</w:t>
            </w:r>
          </w:p>
        </w:tc>
        <w:tc>
          <w:tcPr>
            <w:tcW w:w="1361" w:type="dxa"/>
            <w:vAlign w:val="center"/>
          </w:tcPr>
          <w:p>
            <w:pPr>
              <w:pStyle w:val="13"/>
            </w:pPr>
          </w:p>
        </w:tc>
        <w:tc>
          <w:tcPr>
            <w:tcW w:w="1361" w:type="dxa"/>
            <w:vAlign w:val="center"/>
          </w:tcPr>
          <w:p>
            <w:pPr>
              <w:pStyle w:val="13"/>
            </w:pPr>
            <w:r>
              <w:t>460.00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992" w:type="dxa"/>
            <w:vAlign w:val="center"/>
          </w:tcPr>
          <w:p>
            <w:pPr>
              <w:pStyle w:val="14"/>
            </w:pPr>
            <w:r>
              <w:t>21602</w:t>
            </w:r>
          </w:p>
        </w:tc>
        <w:tc>
          <w:tcPr>
            <w:tcW w:w="4535" w:type="dxa"/>
            <w:vAlign w:val="center"/>
          </w:tcPr>
          <w:p>
            <w:pPr>
              <w:pStyle w:val="14"/>
            </w:pPr>
            <w:r>
              <w:t>商业流通事务</w:t>
            </w:r>
          </w:p>
        </w:tc>
        <w:tc>
          <w:tcPr>
            <w:tcW w:w="1361" w:type="dxa"/>
            <w:vAlign w:val="center"/>
          </w:tcPr>
          <w:p>
            <w:pPr>
              <w:pStyle w:val="13"/>
            </w:pPr>
            <w:r>
              <w:t>460.00</w:t>
            </w:r>
          </w:p>
        </w:tc>
        <w:tc>
          <w:tcPr>
            <w:tcW w:w="1361" w:type="dxa"/>
            <w:vAlign w:val="center"/>
          </w:tcPr>
          <w:p>
            <w:pPr>
              <w:pStyle w:val="13"/>
            </w:pPr>
          </w:p>
        </w:tc>
        <w:tc>
          <w:tcPr>
            <w:tcW w:w="1361" w:type="dxa"/>
            <w:vAlign w:val="center"/>
          </w:tcPr>
          <w:p>
            <w:pPr>
              <w:pStyle w:val="13"/>
            </w:pPr>
            <w:r>
              <w:t>460.00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992" w:type="dxa"/>
            <w:vAlign w:val="center"/>
          </w:tcPr>
          <w:p>
            <w:pPr>
              <w:pStyle w:val="14"/>
            </w:pPr>
            <w:r>
              <w:t>2160299</w:t>
            </w:r>
          </w:p>
        </w:tc>
        <w:tc>
          <w:tcPr>
            <w:tcW w:w="4535" w:type="dxa"/>
            <w:vAlign w:val="center"/>
          </w:tcPr>
          <w:p>
            <w:pPr>
              <w:pStyle w:val="14"/>
            </w:pPr>
            <w:r>
              <w:t>其他商业流通事务支出</w:t>
            </w:r>
          </w:p>
        </w:tc>
        <w:tc>
          <w:tcPr>
            <w:tcW w:w="1361" w:type="dxa"/>
            <w:vAlign w:val="center"/>
          </w:tcPr>
          <w:p>
            <w:pPr>
              <w:pStyle w:val="13"/>
            </w:pPr>
            <w:r>
              <w:t>460.00</w:t>
            </w:r>
          </w:p>
        </w:tc>
        <w:tc>
          <w:tcPr>
            <w:tcW w:w="1361" w:type="dxa"/>
            <w:vAlign w:val="center"/>
          </w:tcPr>
          <w:p>
            <w:pPr>
              <w:pStyle w:val="13"/>
            </w:pPr>
          </w:p>
        </w:tc>
        <w:tc>
          <w:tcPr>
            <w:tcW w:w="1361" w:type="dxa"/>
            <w:vAlign w:val="center"/>
          </w:tcPr>
          <w:p>
            <w:pPr>
              <w:pStyle w:val="13"/>
            </w:pPr>
            <w:r>
              <w:t>460.00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35.39</w:t>
            </w:r>
          </w:p>
        </w:tc>
        <w:tc>
          <w:tcPr>
            <w:tcW w:w="1361" w:type="dxa"/>
            <w:vAlign w:val="center"/>
          </w:tcPr>
          <w:p>
            <w:pPr>
              <w:pStyle w:val="13"/>
            </w:pPr>
            <w:r>
              <w:t>35.39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35.39</w:t>
            </w:r>
          </w:p>
        </w:tc>
        <w:tc>
          <w:tcPr>
            <w:tcW w:w="1361" w:type="dxa"/>
            <w:vAlign w:val="center"/>
          </w:tcPr>
          <w:p>
            <w:pPr>
              <w:pStyle w:val="13"/>
            </w:pPr>
            <w:r>
              <w:t>35.39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35.39</w:t>
            </w:r>
          </w:p>
        </w:tc>
        <w:tc>
          <w:tcPr>
            <w:tcW w:w="1361" w:type="dxa"/>
            <w:vAlign w:val="center"/>
          </w:tcPr>
          <w:p>
            <w:pPr>
              <w:pStyle w:val="13"/>
            </w:pPr>
            <w:r>
              <w:t>35.39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56</w:t>
            </w:r>
          </w:p>
        </w:tc>
        <w:tc>
          <w:tcPr>
            <w:tcW w:w="992" w:type="dxa"/>
            <w:vAlign w:val="center"/>
          </w:tcPr>
          <w:p>
            <w:pPr>
              <w:pStyle w:val="14"/>
            </w:pPr>
            <w:r>
              <w:t>222</w:t>
            </w:r>
          </w:p>
        </w:tc>
        <w:tc>
          <w:tcPr>
            <w:tcW w:w="4535" w:type="dxa"/>
            <w:vAlign w:val="center"/>
          </w:tcPr>
          <w:p>
            <w:pPr>
              <w:pStyle w:val="14"/>
            </w:pPr>
            <w:r>
              <w:t>粮油物资储备支出</w:t>
            </w:r>
          </w:p>
        </w:tc>
        <w:tc>
          <w:tcPr>
            <w:tcW w:w="1361" w:type="dxa"/>
            <w:vAlign w:val="center"/>
          </w:tcPr>
          <w:p>
            <w:pPr>
              <w:pStyle w:val="13"/>
            </w:pPr>
            <w:r>
              <w:t>213.07</w:t>
            </w:r>
          </w:p>
        </w:tc>
        <w:tc>
          <w:tcPr>
            <w:tcW w:w="1361" w:type="dxa"/>
            <w:vAlign w:val="center"/>
          </w:tcPr>
          <w:p>
            <w:pPr>
              <w:pStyle w:val="13"/>
            </w:pPr>
          </w:p>
        </w:tc>
        <w:tc>
          <w:tcPr>
            <w:tcW w:w="1361" w:type="dxa"/>
            <w:vAlign w:val="center"/>
          </w:tcPr>
          <w:p>
            <w:pPr>
              <w:pStyle w:val="13"/>
            </w:pPr>
            <w:r>
              <w:t>213.07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57</w:t>
            </w:r>
          </w:p>
        </w:tc>
        <w:tc>
          <w:tcPr>
            <w:tcW w:w="992" w:type="dxa"/>
            <w:vAlign w:val="center"/>
          </w:tcPr>
          <w:p>
            <w:pPr>
              <w:pStyle w:val="14"/>
            </w:pPr>
            <w:r>
              <w:t>22201</w:t>
            </w:r>
          </w:p>
        </w:tc>
        <w:tc>
          <w:tcPr>
            <w:tcW w:w="4535" w:type="dxa"/>
            <w:vAlign w:val="center"/>
          </w:tcPr>
          <w:p>
            <w:pPr>
              <w:pStyle w:val="14"/>
            </w:pPr>
            <w:r>
              <w:t>粮油物资事务</w:t>
            </w:r>
          </w:p>
        </w:tc>
        <w:tc>
          <w:tcPr>
            <w:tcW w:w="1361" w:type="dxa"/>
            <w:vAlign w:val="center"/>
          </w:tcPr>
          <w:p>
            <w:pPr>
              <w:pStyle w:val="13"/>
            </w:pPr>
            <w:r>
              <w:t>54.67</w:t>
            </w:r>
          </w:p>
        </w:tc>
        <w:tc>
          <w:tcPr>
            <w:tcW w:w="1361" w:type="dxa"/>
            <w:vAlign w:val="center"/>
          </w:tcPr>
          <w:p>
            <w:pPr>
              <w:pStyle w:val="13"/>
            </w:pPr>
          </w:p>
        </w:tc>
        <w:tc>
          <w:tcPr>
            <w:tcW w:w="1361" w:type="dxa"/>
            <w:vAlign w:val="center"/>
          </w:tcPr>
          <w:p>
            <w:pPr>
              <w:pStyle w:val="13"/>
            </w:pPr>
            <w:r>
              <w:t>54.67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58</w:t>
            </w:r>
          </w:p>
        </w:tc>
        <w:tc>
          <w:tcPr>
            <w:tcW w:w="992" w:type="dxa"/>
            <w:vAlign w:val="center"/>
          </w:tcPr>
          <w:p>
            <w:pPr>
              <w:pStyle w:val="14"/>
            </w:pPr>
            <w:r>
              <w:t>2220102</w:t>
            </w:r>
          </w:p>
        </w:tc>
        <w:tc>
          <w:tcPr>
            <w:tcW w:w="4535" w:type="dxa"/>
            <w:vAlign w:val="center"/>
          </w:tcPr>
          <w:p>
            <w:pPr>
              <w:pStyle w:val="14"/>
            </w:pPr>
            <w:r>
              <w:t>一般行政管理事务</w:t>
            </w: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59</w:t>
            </w:r>
          </w:p>
        </w:tc>
        <w:tc>
          <w:tcPr>
            <w:tcW w:w="992" w:type="dxa"/>
            <w:vAlign w:val="center"/>
          </w:tcPr>
          <w:p>
            <w:pPr>
              <w:pStyle w:val="14"/>
            </w:pPr>
            <w:r>
              <w:t>2220105</w:t>
            </w:r>
          </w:p>
        </w:tc>
        <w:tc>
          <w:tcPr>
            <w:tcW w:w="4535" w:type="dxa"/>
            <w:vAlign w:val="center"/>
          </w:tcPr>
          <w:p>
            <w:pPr>
              <w:pStyle w:val="14"/>
            </w:pPr>
            <w:r>
              <w:t>信息统计</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60</w:t>
            </w:r>
          </w:p>
        </w:tc>
        <w:tc>
          <w:tcPr>
            <w:tcW w:w="992" w:type="dxa"/>
            <w:vAlign w:val="center"/>
          </w:tcPr>
          <w:p>
            <w:pPr>
              <w:pStyle w:val="14"/>
            </w:pPr>
            <w:r>
              <w:t>2220112</w:t>
            </w:r>
          </w:p>
        </w:tc>
        <w:tc>
          <w:tcPr>
            <w:tcW w:w="4535" w:type="dxa"/>
            <w:vAlign w:val="center"/>
          </w:tcPr>
          <w:p>
            <w:pPr>
              <w:pStyle w:val="14"/>
            </w:pPr>
            <w:r>
              <w:t>粮食财务挂账利息补贴</w:t>
            </w:r>
          </w:p>
        </w:tc>
        <w:tc>
          <w:tcPr>
            <w:tcW w:w="1361" w:type="dxa"/>
            <w:vAlign w:val="center"/>
          </w:tcPr>
          <w:p>
            <w:pPr>
              <w:pStyle w:val="13"/>
            </w:pPr>
            <w:r>
              <w:t>46.12</w:t>
            </w:r>
          </w:p>
        </w:tc>
        <w:tc>
          <w:tcPr>
            <w:tcW w:w="1361" w:type="dxa"/>
            <w:vAlign w:val="center"/>
          </w:tcPr>
          <w:p>
            <w:pPr>
              <w:pStyle w:val="13"/>
            </w:pPr>
          </w:p>
        </w:tc>
        <w:tc>
          <w:tcPr>
            <w:tcW w:w="1361" w:type="dxa"/>
            <w:vAlign w:val="center"/>
          </w:tcPr>
          <w:p>
            <w:pPr>
              <w:pStyle w:val="13"/>
            </w:pPr>
            <w:r>
              <w:t>46.12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61</w:t>
            </w:r>
          </w:p>
        </w:tc>
        <w:tc>
          <w:tcPr>
            <w:tcW w:w="992" w:type="dxa"/>
            <w:vAlign w:val="center"/>
          </w:tcPr>
          <w:p>
            <w:pPr>
              <w:pStyle w:val="14"/>
            </w:pPr>
            <w:r>
              <w:t>2220120</w:t>
            </w:r>
          </w:p>
        </w:tc>
        <w:tc>
          <w:tcPr>
            <w:tcW w:w="4535" w:type="dxa"/>
            <w:vAlign w:val="center"/>
          </w:tcPr>
          <w:p>
            <w:pPr>
              <w:pStyle w:val="14"/>
            </w:pPr>
            <w:r>
              <w:t>设施安全</w:t>
            </w:r>
          </w:p>
        </w:tc>
        <w:tc>
          <w:tcPr>
            <w:tcW w:w="1361" w:type="dxa"/>
            <w:vAlign w:val="center"/>
          </w:tcPr>
          <w:p>
            <w:pPr>
              <w:pStyle w:val="13"/>
            </w:pPr>
            <w:r>
              <w:t>2.19</w:t>
            </w:r>
          </w:p>
        </w:tc>
        <w:tc>
          <w:tcPr>
            <w:tcW w:w="1361" w:type="dxa"/>
            <w:vAlign w:val="center"/>
          </w:tcPr>
          <w:p>
            <w:pPr>
              <w:pStyle w:val="13"/>
            </w:pPr>
          </w:p>
        </w:tc>
        <w:tc>
          <w:tcPr>
            <w:tcW w:w="1361" w:type="dxa"/>
            <w:vAlign w:val="center"/>
          </w:tcPr>
          <w:p>
            <w:pPr>
              <w:pStyle w:val="13"/>
            </w:pPr>
            <w:r>
              <w:t>2.19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62</w:t>
            </w:r>
          </w:p>
        </w:tc>
        <w:tc>
          <w:tcPr>
            <w:tcW w:w="992" w:type="dxa"/>
            <w:vAlign w:val="center"/>
          </w:tcPr>
          <w:p>
            <w:pPr>
              <w:pStyle w:val="14"/>
            </w:pPr>
            <w:r>
              <w:t>22204</w:t>
            </w:r>
          </w:p>
        </w:tc>
        <w:tc>
          <w:tcPr>
            <w:tcW w:w="4535" w:type="dxa"/>
            <w:vAlign w:val="center"/>
          </w:tcPr>
          <w:p>
            <w:pPr>
              <w:pStyle w:val="14"/>
            </w:pPr>
            <w:r>
              <w:t>粮油储备</w:t>
            </w:r>
          </w:p>
        </w:tc>
        <w:tc>
          <w:tcPr>
            <w:tcW w:w="1361" w:type="dxa"/>
            <w:vAlign w:val="center"/>
          </w:tcPr>
          <w:p>
            <w:pPr>
              <w:pStyle w:val="13"/>
            </w:pPr>
            <w:r>
              <w:t>158.40</w:t>
            </w:r>
          </w:p>
        </w:tc>
        <w:tc>
          <w:tcPr>
            <w:tcW w:w="1361" w:type="dxa"/>
            <w:vAlign w:val="center"/>
          </w:tcPr>
          <w:p>
            <w:pPr>
              <w:pStyle w:val="13"/>
            </w:pPr>
          </w:p>
        </w:tc>
        <w:tc>
          <w:tcPr>
            <w:tcW w:w="1361" w:type="dxa"/>
            <w:vAlign w:val="center"/>
          </w:tcPr>
          <w:p>
            <w:pPr>
              <w:pStyle w:val="13"/>
            </w:pPr>
            <w:r>
              <w:t>158.40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63</w:t>
            </w:r>
          </w:p>
        </w:tc>
        <w:tc>
          <w:tcPr>
            <w:tcW w:w="992" w:type="dxa"/>
            <w:vAlign w:val="center"/>
          </w:tcPr>
          <w:p>
            <w:pPr>
              <w:pStyle w:val="14"/>
            </w:pPr>
            <w:r>
              <w:t>2220401</w:t>
            </w:r>
          </w:p>
        </w:tc>
        <w:tc>
          <w:tcPr>
            <w:tcW w:w="4535" w:type="dxa"/>
            <w:vAlign w:val="center"/>
          </w:tcPr>
          <w:p>
            <w:pPr>
              <w:pStyle w:val="14"/>
            </w:pPr>
            <w:r>
              <w:t>储备粮油补贴</w:t>
            </w:r>
          </w:p>
        </w:tc>
        <w:tc>
          <w:tcPr>
            <w:tcW w:w="1361" w:type="dxa"/>
            <w:vAlign w:val="center"/>
          </w:tcPr>
          <w:p>
            <w:pPr>
              <w:pStyle w:val="13"/>
            </w:pPr>
            <w:r>
              <w:t>158.40</w:t>
            </w:r>
          </w:p>
        </w:tc>
        <w:tc>
          <w:tcPr>
            <w:tcW w:w="1361" w:type="dxa"/>
            <w:vAlign w:val="center"/>
          </w:tcPr>
          <w:p>
            <w:pPr>
              <w:pStyle w:val="13"/>
            </w:pPr>
          </w:p>
        </w:tc>
        <w:tc>
          <w:tcPr>
            <w:tcW w:w="1361" w:type="dxa"/>
            <w:vAlign w:val="center"/>
          </w:tcPr>
          <w:p>
            <w:pPr>
              <w:pStyle w:val="13"/>
            </w:pPr>
            <w:r>
              <w:t>158.40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2213.74</w:t>
            </w:r>
          </w:p>
        </w:tc>
        <w:tc>
          <w:tcPr>
            <w:tcW w:w="3402" w:type="dxa"/>
            <w:vAlign w:val="center"/>
          </w:tcPr>
          <w:p>
            <w:pPr>
              <w:pStyle w:val="14"/>
            </w:pPr>
            <w:r>
              <w:t>一、一般公共服务支出</w:t>
            </w:r>
          </w:p>
        </w:tc>
        <w:tc>
          <w:tcPr>
            <w:tcW w:w="1474" w:type="dxa"/>
            <w:vAlign w:val="center"/>
          </w:tcPr>
          <w:p>
            <w:pPr>
              <w:pStyle w:val="13"/>
            </w:pPr>
            <w:r>
              <w:t>147.59</w:t>
            </w:r>
          </w:p>
        </w:tc>
        <w:tc>
          <w:tcPr>
            <w:tcW w:w="1474" w:type="dxa"/>
            <w:vAlign w:val="center"/>
          </w:tcPr>
          <w:p>
            <w:pPr>
              <w:pStyle w:val="13"/>
            </w:pPr>
            <w:r>
              <w:t>147.59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850.00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r>
              <w:t>768.68</w:t>
            </w:r>
          </w:p>
        </w:tc>
        <w:tc>
          <w:tcPr>
            <w:tcW w:w="1474" w:type="dxa"/>
            <w:vAlign w:val="center"/>
          </w:tcPr>
          <w:p>
            <w:pPr>
              <w:pStyle w:val="13"/>
            </w:pPr>
            <w:r>
              <w:t>768.68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616.76</w:t>
            </w:r>
          </w:p>
        </w:tc>
        <w:tc>
          <w:tcPr>
            <w:tcW w:w="1474" w:type="dxa"/>
            <w:vAlign w:val="center"/>
          </w:tcPr>
          <w:p>
            <w:pPr>
              <w:pStyle w:val="13"/>
            </w:pPr>
            <w:r>
              <w:t>616.76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225.07</w:t>
            </w:r>
          </w:p>
        </w:tc>
        <w:tc>
          <w:tcPr>
            <w:tcW w:w="1474" w:type="dxa"/>
            <w:vAlign w:val="center"/>
          </w:tcPr>
          <w:p>
            <w:pPr>
              <w:pStyle w:val="13"/>
            </w:pPr>
            <w:r>
              <w:t>225.07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300.00</w:t>
            </w:r>
          </w:p>
        </w:tc>
        <w:tc>
          <w:tcPr>
            <w:tcW w:w="1474" w:type="dxa"/>
            <w:vAlign w:val="center"/>
          </w:tcPr>
          <w:p>
            <w:pPr>
              <w:pStyle w:val="13"/>
            </w:pPr>
            <w:r>
              <w:t>300.00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1099.15</w:t>
            </w:r>
          </w:p>
        </w:tc>
        <w:tc>
          <w:tcPr>
            <w:tcW w:w="1474" w:type="dxa"/>
            <w:vAlign w:val="center"/>
          </w:tcPr>
          <w:p>
            <w:pPr>
              <w:pStyle w:val="13"/>
            </w:pPr>
            <w:r>
              <w:t>249.15</w:t>
            </w:r>
          </w:p>
        </w:tc>
        <w:tc>
          <w:tcPr>
            <w:tcW w:w="1474" w:type="dxa"/>
            <w:vAlign w:val="center"/>
          </w:tcPr>
          <w:p>
            <w:pPr>
              <w:pStyle w:val="13"/>
            </w:pPr>
            <w:r>
              <w:t>850.00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48.60</w:t>
            </w:r>
          </w:p>
        </w:tc>
        <w:tc>
          <w:tcPr>
            <w:tcW w:w="1474" w:type="dxa"/>
            <w:vAlign w:val="center"/>
          </w:tcPr>
          <w:p>
            <w:pPr>
              <w:pStyle w:val="13"/>
            </w:pPr>
            <w:r>
              <w:t>48.60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r>
              <w:t>4.76</w:t>
            </w:r>
          </w:p>
        </w:tc>
        <w:tc>
          <w:tcPr>
            <w:tcW w:w="1474" w:type="dxa"/>
            <w:vAlign w:val="center"/>
          </w:tcPr>
          <w:p>
            <w:pPr>
              <w:pStyle w:val="13"/>
            </w:pPr>
            <w:r>
              <w:t>4.76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r>
              <w:t>460.00</w:t>
            </w:r>
          </w:p>
        </w:tc>
        <w:tc>
          <w:tcPr>
            <w:tcW w:w="1474" w:type="dxa"/>
            <w:vAlign w:val="center"/>
          </w:tcPr>
          <w:p>
            <w:pPr>
              <w:pStyle w:val="13"/>
            </w:pPr>
            <w:r>
              <w:t>460.00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35.39</w:t>
            </w:r>
          </w:p>
        </w:tc>
        <w:tc>
          <w:tcPr>
            <w:tcW w:w="1474" w:type="dxa"/>
            <w:vAlign w:val="center"/>
          </w:tcPr>
          <w:p>
            <w:pPr>
              <w:pStyle w:val="13"/>
            </w:pPr>
            <w:r>
              <w:t>35.39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r>
              <w:t>213.07</w:t>
            </w:r>
          </w:p>
        </w:tc>
        <w:tc>
          <w:tcPr>
            <w:tcW w:w="1474" w:type="dxa"/>
            <w:vAlign w:val="center"/>
          </w:tcPr>
          <w:p>
            <w:pPr>
              <w:pStyle w:val="13"/>
            </w:pPr>
            <w:r>
              <w:t>213.07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3063.74</w:t>
            </w:r>
          </w:p>
        </w:tc>
        <w:tc>
          <w:tcPr>
            <w:tcW w:w="3402" w:type="dxa"/>
            <w:vAlign w:val="center"/>
          </w:tcPr>
          <w:p>
            <w:pPr>
              <w:pStyle w:val="16"/>
            </w:pPr>
            <w:r>
              <w:t>本年支出合计</w:t>
            </w:r>
          </w:p>
        </w:tc>
        <w:tc>
          <w:tcPr>
            <w:tcW w:w="1474" w:type="dxa"/>
            <w:vAlign w:val="center"/>
          </w:tcPr>
          <w:p>
            <w:pPr>
              <w:pStyle w:val="17"/>
            </w:pPr>
            <w:r>
              <w:t>3919.09</w:t>
            </w:r>
          </w:p>
        </w:tc>
        <w:tc>
          <w:tcPr>
            <w:tcW w:w="1474" w:type="dxa"/>
            <w:vAlign w:val="center"/>
          </w:tcPr>
          <w:p>
            <w:pPr>
              <w:pStyle w:val="17"/>
            </w:pPr>
            <w:r>
              <w:t>3069.09</w:t>
            </w:r>
          </w:p>
        </w:tc>
        <w:tc>
          <w:tcPr>
            <w:tcW w:w="1474" w:type="dxa"/>
            <w:vAlign w:val="center"/>
          </w:tcPr>
          <w:p>
            <w:pPr>
              <w:pStyle w:val="17"/>
            </w:pPr>
            <w:r>
              <w:t>850.00</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855.35</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855.35</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3919.09</w:t>
            </w:r>
          </w:p>
        </w:tc>
        <w:tc>
          <w:tcPr>
            <w:tcW w:w="3402" w:type="dxa"/>
            <w:vAlign w:val="center"/>
          </w:tcPr>
          <w:p>
            <w:pPr>
              <w:pStyle w:val="16"/>
            </w:pPr>
            <w:r>
              <w:t>支出总计</w:t>
            </w:r>
          </w:p>
        </w:tc>
        <w:tc>
          <w:tcPr>
            <w:tcW w:w="1474" w:type="dxa"/>
            <w:vAlign w:val="center"/>
          </w:tcPr>
          <w:p>
            <w:pPr>
              <w:pStyle w:val="17"/>
            </w:pPr>
            <w:r>
              <w:t>3919.09</w:t>
            </w:r>
          </w:p>
        </w:tc>
        <w:tc>
          <w:tcPr>
            <w:tcW w:w="1474" w:type="dxa"/>
            <w:vAlign w:val="center"/>
          </w:tcPr>
          <w:p>
            <w:pPr>
              <w:pStyle w:val="17"/>
            </w:pPr>
            <w:r>
              <w:t>3069.09</w:t>
            </w:r>
          </w:p>
        </w:tc>
        <w:tc>
          <w:tcPr>
            <w:tcW w:w="1474" w:type="dxa"/>
            <w:vAlign w:val="center"/>
          </w:tcPr>
          <w:p>
            <w:pPr>
              <w:pStyle w:val="17"/>
            </w:pPr>
            <w:r>
              <w:t>850.00</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3069.09</w:t>
            </w:r>
          </w:p>
        </w:tc>
        <w:tc>
          <w:tcPr>
            <w:tcW w:w="2551" w:type="dxa"/>
            <w:vAlign w:val="center"/>
          </w:tcPr>
          <w:p>
            <w:pPr>
              <w:pStyle w:val="17"/>
            </w:pPr>
            <w:r>
              <w:t>884.74</w:t>
            </w:r>
          </w:p>
        </w:tc>
        <w:tc>
          <w:tcPr>
            <w:tcW w:w="2551" w:type="dxa"/>
            <w:vAlign w:val="center"/>
          </w:tcPr>
          <w:p>
            <w:pPr>
              <w:pStyle w:val="17"/>
            </w:pPr>
            <w:r>
              <w:t>2184.35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147.59</w:t>
            </w:r>
          </w:p>
        </w:tc>
        <w:tc>
          <w:tcPr>
            <w:tcW w:w="2551" w:type="dxa"/>
            <w:vAlign w:val="center"/>
          </w:tcPr>
          <w:p>
            <w:pPr>
              <w:pStyle w:val="13"/>
            </w:pPr>
          </w:p>
        </w:tc>
        <w:tc>
          <w:tcPr>
            <w:tcW w:w="2551" w:type="dxa"/>
            <w:vAlign w:val="center"/>
          </w:tcPr>
          <w:p>
            <w:pPr>
              <w:pStyle w:val="13"/>
            </w:pPr>
            <w:r>
              <w:t>147.59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20104</w:t>
            </w:r>
          </w:p>
        </w:tc>
        <w:tc>
          <w:tcPr>
            <w:tcW w:w="4535" w:type="dxa"/>
            <w:vAlign w:val="center"/>
          </w:tcPr>
          <w:p>
            <w:pPr>
              <w:pStyle w:val="14"/>
            </w:pPr>
            <w:r>
              <w:t>发展与改革事务</w:t>
            </w:r>
          </w:p>
        </w:tc>
        <w:tc>
          <w:tcPr>
            <w:tcW w:w="2551" w:type="dxa"/>
            <w:vAlign w:val="center"/>
          </w:tcPr>
          <w:p>
            <w:pPr>
              <w:pStyle w:val="13"/>
            </w:pPr>
            <w:r>
              <w:t>145.59</w:t>
            </w:r>
          </w:p>
        </w:tc>
        <w:tc>
          <w:tcPr>
            <w:tcW w:w="2551" w:type="dxa"/>
            <w:vAlign w:val="center"/>
          </w:tcPr>
          <w:p>
            <w:pPr>
              <w:pStyle w:val="13"/>
            </w:pPr>
          </w:p>
        </w:tc>
        <w:tc>
          <w:tcPr>
            <w:tcW w:w="2551" w:type="dxa"/>
            <w:vAlign w:val="center"/>
          </w:tcPr>
          <w:p>
            <w:pPr>
              <w:pStyle w:val="13"/>
            </w:pPr>
            <w:r>
              <w:t>145.59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2010402</w:t>
            </w:r>
          </w:p>
        </w:tc>
        <w:tc>
          <w:tcPr>
            <w:tcW w:w="4535" w:type="dxa"/>
            <w:vAlign w:val="center"/>
          </w:tcPr>
          <w:p>
            <w:pPr>
              <w:pStyle w:val="14"/>
            </w:pPr>
            <w:r>
              <w:t>一般行政管理事务</w:t>
            </w:r>
          </w:p>
        </w:tc>
        <w:tc>
          <w:tcPr>
            <w:tcW w:w="2551" w:type="dxa"/>
            <w:vAlign w:val="center"/>
          </w:tcPr>
          <w:p>
            <w:pPr>
              <w:pStyle w:val="13"/>
            </w:pPr>
            <w:r>
              <w:t>78.59</w:t>
            </w:r>
          </w:p>
        </w:tc>
        <w:tc>
          <w:tcPr>
            <w:tcW w:w="2551" w:type="dxa"/>
            <w:vAlign w:val="center"/>
          </w:tcPr>
          <w:p>
            <w:pPr>
              <w:pStyle w:val="13"/>
            </w:pPr>
          </w:p>
        </w:tc>
        <w:tc>
          <w:tcPr>
            <w:tcW w:w="2551" w:type="dxa"/>
            <w:vAlign w:val="center"/>
          </w:tcPr>
          <w:p>
            <w:pPr>
              <w:pStyle w:val="13"/>
            </w:pPr>
            <w:r>
              <w:t>78.59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2010408</w:t>
            </w:r>
          </w:p>
        </w:tc>
        <w:tc>
          <w:tcPr>
            <w:tcW w:w="4535" w:type="dxa"/>
            <w:vAlign w:val="center"/>
          </w:tcPr>
          <w:p>
            <w:pPr>
              <w:pStyle w:val="14"/>
            </w:pPr>
            <w:r>
              <w:t>物价管理</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2010499</w:t>
            </w:r>
          </w:p>
        </w:tc>
        <w:tc>
          <w:tcPr>
            <w:tcW w:w="4535" w:type="dxa"/>
            <w:vAlign w:val="center"/>
          </w:tcPr>
          <w:p>
            <w:pPr>
              <w:pStyle w:val="14"/>
            </w:pPr>
            <w:r>
              <w:t>其他发展与改革事务支出</w:t>
            </w:r>
          </w:p>
        </w:tc>
        <w:tc>
          <w:tcPr>
            <w:tcW w:w="2551" w:type="dxa"/>
            <w:vAlign w:val="center"/>
          </w:tcPr>
          <w:p>
            <w:pPr>
              <w:pStyle w:val="13"/>
            </w:pPr>
            <w:r>
              <w:t>65.00</w:t>
            </w:r>
          </w:p>
        </w:tc>
        <w:tc>
          <w:tcPr>
            <w:tcW w:w="2551" w:type="dxa"/>
            <w:vAlign w:val="center"/>
          </w:tcPr>
          <w:p>
            <w:pPr>
              <w:pStyle w:val="13"/>
            </w:pPr>
          </w:p>
        </w:tc>
        <w:tc>
          <w:tcPr>
            <w:tcW w:w="2551" w:type="dxa"/>
            <w:vAlign w:val="center"/>
          </w:tcPr>
          <w:p>
            <w:pPr>
              <w:pStyle w:val="13"/>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206</w:t>
            </w:r>
          </w:p>
        </w:tc>
        <w:tc>
          <w:tcPr>
            <w:tcW w:w="4535" w:type="dxa"/>
            <w:vAlign w:val="center"/>
          </w:tcPr>
          <w:p>
            <w:pPr>
              <w:pStyle w:val="14"/>
            </w:pPr>
            <w:r>
              <w:t>科学技术支出</w:t>
            </w:r>
          </w:p>
        </w:tc>
        <w:tc>
          <w:tcPr>
            <w:tcW w:w="2551" w:type="dxa"/>
            <w:vAlign w:val="center"/>
          </w:tcPr>
          <w:p>
            <w:pPr>
              <w:pStyle w:val="13"/>
            </w:pPr>
            <w:r>
              <w:t>768.68</w:t>
            </w:r>
          </w:p>
        </w:tc>
        <w:tc>
          <w:tcPr>
            <w:tcW w:w="2551" w:type="dxa"/>
            <w:vAlign w:val="center"/>
          </w:tcPr>
          <w:p>
            <w:pPr>
              <w:pStyle w:val="13"/>
            </w:pPr>
            <w:r>
              <w:t>570.70</w:t>
            </w:r>
          </w:p>
        </w:tc>
        <w:tc>
          <w:tcPr>
            <w:tcW w:w="2551" w:type="dxa"/>
            <w:vAlign w:val="center"/>
          </w:tcPr>
          <w:p>
            <w:pPr>
              <w:pStyle w:val="13"/>
            </w:pPr>
            <w:r>
              <w:t>197.99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20601</w:t>
            </w:r>
          </w:p>
        </w:tc>
        <w:tc>
          <w:tcPr>
            <w:tcW w:w="4535" w:type="dxa"/>
            <w:vAlign w:val="center"/>
          </w:tcPr>
          <w:p>
            <w:pPr>
              <w:pStyle w:val="14"/>
            </w:pPr>
            <w:r>
              <w:t>科学技术管理事务</w:t>
            </w:r>
          </w:p>
        </w:tc>
        <w:tc>
          <w:tcPr>
            <w:tcW w:w="2551" w:type="dxa"/>
            <w:vAlign w:val="center"/>
          </w:tcPr>
          <w:p>
            <w:pPr>
              <w:pStyle w:val="13"/>
            </w:pPr>
            <w:r>
              <w:t>684.95</w:t>
            </w:r>
          </w:p>
        </w:tc>
        <w:tc>
          <w:tcPr>
            <w:tcW w:w="2551" w:type="dxa"/>
            <w:vAlign w:val="center"/>
          </w:tcPr>
          <w:p>
            <w:pPr>
              <w:pStyle w:val="13"/>
            </w:pPr>
            <w:r>
              <w:t>570.70</w:t>
            </w:r>
          </w:p>
        </w:tc>
        <w:tc>
          <w:tcPr>
            <w:tcW w:w="2551" w:type="dxa"/>
            <w:vAlign w:val="center"/>
          </w:tcPr>
          <w:p>
            <w:pPr>
              <w:pStyle w:val="13"/>
            </w:pPr>
            <w:r>
              <w:t>114.26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2060101</w:t>
            </w:r>
          </w:p>
        </w:tc>
        <w:tc>
          <w:tcPr>
            <w:tcW w:w="4535" w:type="dxa"/>
            <w:vAlign w:val="center"/>
          </w:tcPr>
          <w:p>
            <w:pPr>
              <w:pStyle w:val="14"/>
            </w:pPr>
            <w:r>
              <w:t>行政运行</w:t>
            </w:r>
          </w:p>
        </w:tc>
        <w:tc>
          <w:tcPr>
            <w:tcW w:w="2551" w:type="dxa"/>
            <w:vAlign w:val="center"/>
          </w:tcPr>
          <w:p>
            <w:pPr>
              <w:pStyle w:val="13"/>
            </w:pPr>
            <w:r>
              <w:t>570.70</w:t>
            </w:r>
          </w:p>
        </w:tc>
        <w:tc>
          <w:tcPr>
            <w:tcW w:w="2551" w:type="dxa"/>
            <w:vAlign w:val="center"/>
          </w:tcPr>
          <w:p>
            <w:pPr>
              <w:pStyle w:val="13"/>
            </w:pPr>
            <w:r>
              <w:t>570.70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2060102</w:t>
            </w:r>
          </w:p>
        </w:tc>
        <w:tc>
          <w:tcPr>
            <w:tcW w:w="4535" w:type="dxa"/>
            <w:vAlign w:val="center"/>
          </w:tcPr>
          <w:p>
            <w:pPr>
              <w:pStyle w:val="14"/>
            </w:pPr>
            <w:r>
              <w:t>一般行政管理事务</w:t>
            </w:r>
          </w:p>
        </w:tc>
        <w:tc>
          <w:tcPr>
            <w:tcW w:w="2551" w:type="dxa"/>
            <w:vAlign w:val="center"/>
          </w:tcPr>
          <w:p>
            <w:pPr>
              <w:pStyle w:val="13"/>
            </w:pPr>
            <w:r>
              <w:t>62.16</w:t>
            </w:r>
          </w:p>
        </w:tc>
        <w:tc>
          <w:tcPr>
            <w:tcW w:w="2551" w:type="dxa"/>
            <w:vAlign w:val="center"/>
          </w:tcPr>
          <w:p>
            <w:pPr>
              <w:pStyle w:val="13"/>
            </w:pPr>
          </w:p>
        </w:tc>
        <w:tc>
          <w:tcPr>
            <w:tcW w:w="2551" w:type="dxa"/>
            <w:vAlign w:val="center"/>
          </w:tcPr>
          <w:p>
            <w:pPr>
              <w:pStyle w:val="13"/>
            </w:pPr>
            <w:r>
              <w:t>62.16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2060199</w:t>
            </w:r>
          </w:p>
        </w:tc>
        <w:tc>
          <w:tcPr>
            <w:tcW w:w="4535" w:type="dxa"/>
            <w:vAlign w:val="center"/>
          </w:tcPr>
          <w:p>
            <w:pPr>
              <w:pStyle w:val="14"/>
            </w:pPr>
            <w:r>
              <w:t>其他科学技术管理事务支出</w:t>
            </w:r>
          </w:p>
        </w:tc>
        <w:tc>
          <w:tcPr>
            <w:tcW w:w="2551" w:type="dxa"/>
            <w:vAlign w:val="center"/>
          </w:tcPr>
          <w:p>
            <w:pPr>
              <w:pStyle w:val="13"/>
            </w:pPr>
            <w:r>
              <w:t>52.10</w:t>
            </w:r>
          </w:p>
        </w:tc>
        <w:tc>
          <w:tcPr>
            <w:tcW w:w="2551" w:type="dxa"/>
            <w:vAlign w:val="center"/>
          </w:tcPr>
          <w:p>
            <w:pPr>
              <w:pStyle w:val="13"/>
            </w:pPr>
          </w:p>
        </w:tc>
        <w:tc>
          <w:tcPr>
            <w:tcW w:w="2551" w:type="dxa"/>
            <w:vAlign w:val="center"/>
          </w:tcPr>
          <w:p>
            <w:pPr>
              <w:pStyle w:val="13"/>
            </w:pPr>
            <w:r>
              <w:t>52.10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20605</w:t>
            </w:r>
          </w:p>
        </w:tc>
        <w:tc>
          <w:tcPr>
            <w:tcW w:w="4535" w:type="dxa"/>
            <w:vAlign w:val="center"/>
          </w:tcPr>
          <w:p>
            <w:pPr>
              <w:pStyle w:val="14"/>
            </w:pPr>
            <w:r>
              <w:t>科技条件与服务</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2060502</w:t>
            </w:r>
          </w:p>
        </w:tc>
        <w:tc>
          <w:tcPr>
            <w:tcW w:w="4535" w:type="dxa"/>
            <w:vAlign w:val="center"/>
          </w:tcPr>
          <w:p>
            <w:pPr>
              <w:pStyle w:val="14"/>
            </w:pPr>
            <w:r>
              <w:t>技术创新服务体系</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20609</w:t>
            </w:r>
          </w:p>
        </w:tc>
        <w:tc>
          <w:tcPr>
            <w:tcW w:w="4535" w:type="dxa"/>
            <w:vAlign w:val="center"/>
          </w:tcPr>
          <w:p>
            <w:pPr>
              <w:pStyle w:val="14"/>
            </w:pPr>
            <w:r>
              <w:t>科技重大项目</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2060999</w:t>
            </w:r>
          </w:p>
        </w:tc>
        <w:tc>
          <w:tcPr>
            <w:tcW w:w="4535" w:type="dxa"/>
            <w:vAlign w:val="center"/>
          </w:tcPr>
          <w:p>
            <w:pPr>
              <w:pStyle w:val="14"/>
            </w:pPr>
            <w:r>
              <w:t>其他科技重大项目</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20699</w:t>
            </w:r>
          </w:p>
        </w:tc>
        <w:tc>
          <w:tcPr>
            <w:tcW w:w="4535" w:type="dxa"/>
            <w:vAlign w:val="center"/>
          </w:tcPr>
          <w:p>
            <w:pPr>
              <w:pStyle w:val="14"/>
            </w:pPr>
            <w:r>
              <w:t>其他科学技术支出</w:t>
            </w:r>
          </w:p>
        </w:tc>
        <w:tc>
          <w:tcPr>
            <w:tcW w:w="2551" w:type="dxa"/>
            <w:vAlign w:val="center"/>
          </w:tcPr>
          <w:p>
            <w:pPr>
              <w:pStyle w:val="13"/>
            </w:pPr>
            <w:r>
              <w:t>44.73</w:t>
            </w:r>
          </w:p>
        </w:tc>
        <w:tc>
          <w:tcPr>
            <w:tcW w:w="2551" w:type="dxa"/>
            <w:vAlign w:val="center"/>
          </w:tcPr>
          <w:p>
            <w:pPr>
              <w:pStyle w:val="13"/>
            </w:pPr>
          </w:p>
        </w:tc>
        <w:tc>
          <w:tcPr>
            <w:tcW w:w="2551" w:type="dxa"/>
            <w:vAlign w:val="center"/>
          </w:tcPr>
          <w:p>
            <w:pPr>
              <w:pStyle w:val="13"/>
            </w:pPr>
            <w:r>
              <w:t>44.73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2069999</w:t>
            </w:r>
          </w:p>
        </w:tc>
        <w:tc>
          <w:tcPr>
            <w:tcW w:w="4535" w:type="dxa"/>
            <w:vAlign w:val="center"/>
          </w:tcPr>
          <w:p>
            <w:pPr>
              <w:pStyle w:val="14"/>
            </w:pPr>
            <w:r>
              <w:t>其他科学技术支出</w:t>
            </w:r>
          </w:p>
        </w:tc>
        <w:tc>
          <w:tcPr>
            <w:tcW w:w="2551" w:type="dxa"/>
            <w:vAlign w:val="center"/>
          </w:tcPr>
          <w:p>
            <w:pPr>
              <w:pStyle w:val="13"/>
            </w:pPr>
            <w:r>
              <w:t>44.73</w:t>
            </w:r>
          </w:p>
        </w:tc>
        <w:tc>
          <w:tcPr>
            <w:tcW w:w="2551" w:type="dxa"/>
            <w:vAlign w:val="center"/>
          </w:tcPr>
          <w:p>
            <w:pPr>
              <w:pStyle w:val="13"/>
            </w:pPr>
          </w:p>
        </w:tc>
        <w:tc>
          <w:tcPr>
            <w:tcW w:w="2551" w:type="dxa"/>
            <w:vAlign w:val="center"/>
          </w:tcPr>
          <w:p>
            <w:pPr>
              <w:pStyle w:val="13"/>
            </w:pPr>
            <w:r>
              <w:t>44.73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616.76</w:t>
            </w:r>
          </w:p>
        </w:tc>
        <w:tc>
          <w:tcPr>
            <w:tcW w:w="2551" w:type="dxa"/>
            <w:vAlign w:val="center"/>
          </w:tcPr>
          <w:p>
            <w:pPr>
              <w:pStyle w:val="13"/>
            </w:pPr>
            <w:r>
              <w:t>243.58</w:t>
            </w:r>
          </w:p>
        </w:tc>
        <w:tc>
          <w:tcPr>
            <w:tcW w:w="2551" w:type="dxa"/>
            <w:vAlign w:val="center"/>
          </w:tcPr>
          <w:p>
            <w:pPr>
              <w:pStyle w:val="13"/>
            </w:pPr>
            <w:r>
              <w:t>373.19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163.52</w:t>
            </w:r>
          </w:p>
        </w:tc>
        <w:tc>
          <w:tcPr>
            <w:tcW w:w="2551" w:type="dxa"/>
            <w:vAlign w:val="center"/>
          </w:tcPr>
          <w:p>
            <w:pPr>
              <w:pStyle w:val="13"/>
            </w:pPr>
            <w:r>
              <w:t>163.52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115.96</w:t>
            </w:r>
          </w:p>
        </w:tc>
        <w:tc>
          <w:tcPr>
            <w:tcW w:w="2551" w:type="dxa"/>
            <w:vAlign w:val="center"/>
          </w:tcPr>
          <w:p>
            <w:pPr>
              <w:pStyle w:val="13"/>
            </w:pPr>
            <w:r>
              <w:t>115.96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36.37</w:t>
            </w:r>
          </w:p>
        </w:tc>
        <w:tc>
          <w:tcPr>
            <w:tcW w:w="2551" w:type="dxa"/>
            <w:vAlign w:val="center"/>
          </w:tcPr>
          <w:p>
            <w:pPr>
              <w:pStyle w:val="13"/>
            </w:pPr>
            <w:r>
              <w:t>36.37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5.26</w:t>
            </w:r>
          </w:p>
        </w:tc>
        <w:tc>
          <w:tcPr>
            <w:tcW w:w="2551" w:type="dxa"/>
            <w:vAlign w:val="center"/>
          </w:tcPr>
          <w:p>
            <w:pPr>
              <w:pStyle w:val="13"/>
            </w:pPr>
            <w:r>
              <w:t>5.26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5.92</w:t>
            </w:r>
          </w:p>
        </w:tc>
        <w:tc>
          <w:tcPr>
            <w:tcW w:w="2551" w:type="dxa"/>
            <w:vAlign w:val="center"/>
          </w:tcPr>
          <w:p>
            <w:pPr>
              <w:pStyle w:val="13"/>
            </w:pPr>
            <w:r>
              <w:t>5.92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453.24</w:t>
            </w:r>
          </w:p>
        </w:tc>
        <w:tc>
          <w:tcPr>
            <w:tcW w:w="2551" w:type="dxa"/>
            <w:vAlign w:val="center"/>
          </w:tcPr>
          <w:p>
            <w:pPr>
              <w:pStyle w:val="13"/>
            </w:pPr>
            <w:r>
              <w:t>80.06</w:t>
            </w:r>
          </w:p>
        </w:tc>
        <w:tc>
          <w:tcPr>
            <w:tcW w:w="2551" w:type="dxa"/>
            <w:vAlign w:val="center"/>
          </w:tcPr>
          <w:p>
            <w:pPr>
              <w:pStyle w:val="13"/>
            </w:pPr>
            <w:r>
              <w:t>373.19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43.57</w:t>
            </w:r>
          </w:p>
        </w:tc>
        <w:tc>
          <w:tcPr>
            <w:tcW w:w="2551" w:type="dxa"/>
            <w:vAlign w:val="center"/>
          </w:tcPr>
          <w:p>
            <w:pPr>
              <w:pStyle w:val="13"/>
            </w:pPr>
            <w:r>
              <w:t>43.57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2080802</w:t>
            </w:r>
          </w:p>
        </w:tc>
        <w:tc>
          <w:tcPr>
            <w:tcW w:w="4535" w:type="dxa"/>
            <w:vAlign w:val="center"/>
          </w:tcPr>
          <w:p>
            <w:pPr>
              <w:pStyle w:val="14"/>
            </w:pPr>
            <w:r>
              <w:t>伤残抚恤</w:t>
            </w:r>
          </w:p>
        </w:tc>
        <w:tc>
          <w:tcPr>
            <w:tcW w:w="2551" w:type="dxa"/>
            <w:vAlign w:val="center"/>
          </w:tcPr>
          <w:p>
            <w:pPr>
              <w:pStyle w:val="13"/>
            </w:pPr>
            <w:r>
              <w:t>350.00</w:t>
            </w:r>
          </w:p>
        </w:tc>
        <w:tc>
          <w:tcPr>
            <w:tcW w:w="2551" w:type="dxa"/>
            <w:vAlign w:val="center"/>
          </w:tcPr>
          <w:p>
            <w:pPr>
              <w:pStyle w:val="13"/>
            </w:pPr>
          </w:p>
        </w:tc>
        <w:tc>
          <w:tcPr>
            <w:tcW w:w="2551" w:type="dxa"/>
            <w:vAlign w:val="center"/>
          </w:tcPr>
          <w:p>
            <w:pPr>
              <w:pStyle w:val="13"/>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59.68</w:t>
            </w:r>
          </w:p>
        </w:tc>
        <w:tc>
          <w:tcPr>
            <w:tcW w:w="2551" w:type="dxa"/>
            <w:vAlign w:val="center"/>
          </w:tcPr>
          <w:p>
            <w:pPr>
              <w:pStyle w:val="13"/>
            </w:pPr>
            <w:r>
              <w:t>36.49</w:t>
            </w:r>
          </w:p>
        </w:tc>
        <w:tc>
          <w:tcPr>
            <w:tcW w:w="2551" w:type="dxa"/>
            <w:vAlign w:val="center"/>
          </w:tcPr>
          <w:p>
            <w:pPr>
              <w:pStyle w:val="13"/>
            </w:pPr>
            <w:r>
              <w:t>23.19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225.07</w:t>
            </w:r>
          </w:p>
        </w:tc>
        <w:tc>
          <w:tcPr>
            <w:tcW w:w="2551" w:type="dxa"/>
            <w:vAlign w:val="center"/>
          </w:tcPr>
          <w:p>
            <w:pPr>
              <w:pStyle w:val="13"/>
            </w:pPr>
            <w:r>
              <w:t>35.07</w:t>
            </w:r>
          </w:p>
        </w:tc>
        <w:tc>
          <w:tcPr>
            <w:tcW w:w="2551" w:type="dxa"/>
            <w:vAlign w:val="center"/>
          </w:tcPr>
          <w:p>
            <w:pPr>
              <w:pStyle w:val="13"/>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190.00</w:t>
            </w:r>
          </w:p>
        </w:tc>
        <w:tc>
          <w:tcPr>
            <w:tcW w:w="2551" w:type="dxa"/>
            <w:vAlign w:val="center"/>
          </w:tcPr>
          <w:p>
            <w:pPr>
              <w:pStyle w:val="13"/>
            </w:pPr>
          </w:p>
        </w:tc>
        <w:tc>
          <w:tcPr>
            <w:tcW w:w="2551" w:type="dxa"/>
            <w:vAlign w:val="center"/>
          </w:tcPr>
          <w:p>
            <w:pPr>
              <w:pStyle w:val="13"/>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2100410</w:t>
            </w:r>
          </w:p>
        </w:tc>
        <w:tc>
          <w:tcPr>
            <w:tcW w:w="4535" w:type="dxa"/>
            <w:vAlign w:val="center"/>
          </w:tcPr>
          <w:p>
            <w:pPr>
              <w:pStyle w:val="14"/>
            </w:pPr>
            <w:r>
              <w:t>突发公共卫生事件应急处置</w:t>
            </w:r>
          </w:p>
        </w:tc>
        <w:tc>
          <w:tcPr>
            <w:tcW w:w="2551" w:type="dxa"/>
            <w:vAlign w:val="center"/>
          </w:tcPr>
          <w:p>
            <w:pPr>
              <w:pStyle w:val="13"/>
            </w:pPr>
            <w:r>
              <w:t>190.00</w:t>
            </w:r>
          </w:p>
        </w:tc>
        <w:tc>
          <w:tcPr>
            <w:tcW w:w="2551" w:type="dxa"/>
            <w:vAlign w:val="center"/>
          </w:tcPr>
          <w:p>
            <w:pPr>
              <w:pStyle w:val="13"/>
            </w:pPr>
          </w:p>
        </w:tc>
        <w:tc>
          <w:tcPr>
            <w:tcW w:w="2551" w:type="dxa"/>
            <w:vAlign w:val="center"/>
          </w:tcPr>
          <w:p>
            <w:pPr>
              <w:pStyle w:val="13"/>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35.07</w:t>
            </w:r>
          </w:p>
        </w:tc>
        <w:tc>
          <w:tcPr>
            <w:tcW w:w="2551" w:type="dxa"/>
            <w:vAlign w:val="center"/>
          </w:tcPr>
          <w:p>
            <w:pPr>
              <w:pStyle w:val="13"/>
            </w:pPr>
            <w:r>
              <w:t>35.07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20.93</w:t>
            </w:r>
          </w:p>
        </w:tc>
        <w:tc>
          <w:tcPr>
            <w:tcW w:w="2551" w:type="dxa"/>
            <w:vAlign w:val="center"/>
          </w:tcPr>
          <w:p>
            <w:pPr>
              <w:pStyle w:val="13"/>
            </w:pPr>
            <w:r>
              <w:t>20.93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14.15</w:t>
            </w:r>
          </w:p>
        </w:tc>
        <w:tc>
          <w:tcPr>
            <w:tcW w:w="2551" w:type="dxa"/>
            <w:vAlign w:val="center"/>
          </w:tcPr>
          <w:p>
            <w:pPr>
              <w:pStyle w:val="13"/>
            </w:pPr>
            <w:r>
              <w:t>14.15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300.00</w:t>
            </w:r>
          </w:p>
        </w:tc>
        <w:tc>
          <w:tcPr>
            <w:tcW w:w="2551" w:type="dxa"/>
            <w:vAlign w:val="center"/>
          </w:tcPr>
          <w:p>
            <w:pPr>
              <w:pStyle w:val="13"/>
            </w:pPr>
          </w:p>
        </w:tc>
        <w:tc>
          <w:tcPr>
            <w:tcW w:w="2551"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300.00</w:t>
            </w:r>
          </w:p>
        </w:tc>
        <w:tc>
          <w:tcPr>
            <w:tcW w:w="2551" w:type="dxa"/>
            <w:vAlign w:val="center"/>
          </w:tcPr>
          <w:p>
            <w:pPr>
              <w:pStyle w:val="13"/>
            </w:pPr>
          </w:p>
        </w:tc>
        <w:tc>
          <w:tcPr>
            <w:tcW w:w="2551"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300.00</w:t>
            </w:r>
          </w:p>
        </w:tc>
        <w:tc>
          <w:tcPr>
            <w:tcW w:w="2551" w:type="dxa"/>
            <w:vAlign w:val="center"/>
          </w:tcPr>
          <w:p>
            <w:pPr>
              <w:pStyle w:val="13"/>
            </w:pPr>
          </w:p>
        </w:tc>
        <w:tc>
          <w:tcPr>
            <w:tcW w:w="2551"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249.15</w:t>
            </w:r>
          </w:p>
        </w:tc>
        <w:tc>
          <w:tcPr>
            <w:tcW w:w="2551" w:type="dxa"/>
            <w:vAlign w:val="center"/>
          </w:tcPr>
          <w:p>
            <w:pPr>
              <w:pStyle w:val="13"/>
            </w:pPr>
          </w:p>
        </w:tc>
        <w:tc>
          <w:tcPr>
            <w:tcW w:w="2551" w:type="dxa"/>
            <w:vAlign w:val="center"/>
          </w:tcPr>
          <w:p>
            <w:pPr>
              <w:pStyle w:val="13"/>
            </w:pPr>
            <w:r>
              <w:t>249.15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21203</w:t>
            </w:r>
          </w:p>
        </w:tc>
        <w:tc>
          <w:tcPr>
            <w:tcW w:w="4535" w:type="dxa"/>
            <w:vAlign w:val="center"/>
          </w:tcPr>
          <w:p>
            <w:pPr>
              <w:pStyle w:val="14"/>
            </w:pPr>
            <w:r>
              <w:t>城乡社区公共设施</w:t>
            </w:r>
          </w:p>
        </w:tc>
        <w:tc>
          <w:tcPr>
            <w:tcW w:w="2551" w:type="dxa"/>
            <w:vAlign w:val="center"/>
          </w:tcPr>
          <w:p>
            <w:pPr>
              <w:pStyle w:val="13"/>
            </w:pPr>
            <w:r>
              <w:t>249.15</w:t>
            </w:r>
          </w:p>
        </w:tc>
        <w:tc>
          <w:tcPr>
            <w:tcW w:w="2551" w:type="dxa"/>
            <w:vAlign w:val="center"/>
          </w:tcPr>
          <w:p>
            <w:pPr>
              <w:pStyle w:val="13"/>
            </w:pPr>
          </w:p>
        </w:tc>
        <w:tc>
          <w:tcPr>
            <w:tcW w:w="2551" w:type="dxa"/>
            <w:vAlign w:val="center"/>
          </w:tcPr>
          <w:p>
            <w:pPr>
              <w:pStyle w:val="13"/>
            </w:pPr>
            <w:r>
              <w:t>249.15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2120399</w:t>
            </w:r>
          </w:p>
        </w:tc>
        <w:tc>
          <w:tcPr>
            <w:tcW w:w="4535" w:type="dxa"/>
            <w:vAlign w:val="center"/>
          </w:tcPr>
          <w:p>
            <w:pPr>
              <w:pStyle w:val="14"/>
            </w:pPr>
            <w:r>
              <w:t>其他城乡社区公共设施支出</w:t>
            </w:r>
          </w:p>
        </w:tc>
        <w:tc>
          <w:tcPr>
            <w:tcW w:w="2551" w:type="dxa"/>
            <w:vAlign w:val="center"/>
          </w:tcPr>
          <w:p>
            <w:pPr>
              <w:pStyle w:val="13"/>
            </w:pPr>
            <w:r>
              <w:t>249.15</w:t>
            </w:r>
          </w:p>
        </w:tc>
        <w:tc>
          <w:tcPr>
            <w:tcW w:w="2551" w:type="dxa"/>
            <w:vAlign w:val="center"/>
          </w:tcPr>
          <w:p>
            <w:pPr>
              <w:pStyle w:val="13"/>
            </w:pPr>
          </w:p>
        </w:tc>
        <w:tc>
          <w:tcPr>
            <w:tcW w:w="2551" w:type="dxa"/>
            <w:vAlign w:val="center"/>
          </w:tcPr>
          <w:p>
            <w:pPr>
              <w:pStyle w:val="13"/>
            </w:pPr>
            <w:r>
              <w:t>249.15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48.60</w:t>
            </w:r>
          </w:p>
        </w:tc>
        <w:tc>
          <w:tcPr>
            <w:tcW w:w="2551" w:type="dxa"/>
            <w:vAlign w:val="center"/>
          </w:tcPr>
          <w:p>
            <w:pPr>
              <w:pStyle w:val="13"/>
            </w:pPr>
          </w:p>
        </w:tc>
        <w:tc>
          <w:tcPr>
            <w:tcW w:w="2551" w:type="dxa"/>
            <w:vAlign w:val="center"/>
          </w:tcPr>
          <w:p>
            <w:pPr>
              <w:pStyle w:val="13"/>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21301</w:t>
            </w:r>
          </w:p>
        </w:tc>
        <w:tc>
          <w:tcPr>
            <w:tcW w:w="4535" w:type="dxa"/>
            <w:vAlign w:val="center"/>
          </w:tcPr>
          <w:p>
            <w:pPr>
              <w:pStyle w:val="14"/>
            </w:pPr>
            <w:r>
              <w:t>农业农村</w:t>
            </w:r>
          </w:p>
        </w:tc>
        <w:tc>
          <w:tcPr>
            <w:tcW w:w="2551" w:type="dxa"/>
            <w:vAlign w:val="center"/>
          </w:tcPr>
          <w:p>
            <w:pPr>
              <w:pStyle w:val="13"/>
            </w:pPr>
            <w:r>
              <w:t>48.60</w:t>
            </w:r>
          </w:p>
        </w:tc>
        <w:tc>
          <w:tcPr>
            <w:tcW w:w="2551" w:type="dxa"/>
            <w:vAlign w:val="center"/>
          </w:tcPr>
          <w:p>
            <w:pPr>
              <w:pStyle w:val="13"/>
            </w:pPr>
          </w:p>
        </w:tc>
        <w:tc>
          <w:tcPr>
            <w:tcW w:w="2551" w:type="dxa"/>
            <w:vAlign w:val="center"/>
          </w:tcPr>
          <w:p>
            <w:pPr>
              <w:pStyle w:val="13"/>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2130122</w:t>
            </w:r>
          </w:p>
        </w:tc>
        <w:tc>
          <w:tcPr>
            <w:tcW w:w="4535" w:type="dxa"/>
            <w:vAlign w:val="center"/>
          </w:tcPr>
          <w:p>
            <w:pPr>
              <w:pStyle w:val="14"/>
            </w:pPr>
            <w:r>
              <w:t>农业生产发展</w:t>
            </w:r>
          </w:p>
        </w:tc>
        <w:tc>
          <w:tcPr>
            <w:tcW w:w="2551" w:type="dxa"/>
            <w:vAlign w:val="center"/>
          </w:tcPr>
          <w:p>
            <w:pPr>
              <w:pStyle w:val="13"/>
            </w:pPr>
            <w:r>
              <w:t>48.60</w:t>
            </w:r>
          </w:p>
        </w:tc>
        <w:tc>
          <w:tcPr>
            <w:tcW w:w="2551" w:type="dxa"/>
            <w:vAlign w:val="center"/>
          </w:tcPr>
          <w:p>
            <w:pPr>
              <w:pStyle w:val="13"/>
            </w:pPr>
          </w:p>
        </w:tc>
        <w:tc>
          <w:tcPr>
            <w:tcW w:w="2551" w:type="dxa"/>
            <w:vAlign w:val="center"/>
          </w:tcPr>
          <w:p>
            <w:pPr>
              <w:pStyle w:val="13"/>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215</w:t>
            </w:r>
          </w:p>
        </w:tc>
        <w:tc>
          <w:tcPr>
            <w:tcW w:w="4535" w:type="dxa"/>
            <w:vAlign w:val="center"/>
          </w:tcPr>
          <w:p>
            <w:pPr>
              <w:pStyle w:val="14"/>
            </w:pPr>
            <w:r>
              <w:t>资源勘探工业信息等支出</w:t>
            </w:r>
          </w:p>
        </w:tc>
        <w:tc>
          <w:tcPr>
            <w:tcW w:w="2551" w:type="dxa"/>
            <w:vAlign w:val="center"/>
          </w:tcPr>
          <w:p>
            <w:pPr>
              <w:pStyle w:val="13"/>
            </w:pPr>
            <w:r>
              <w:t>4.76</w:t>
            </w:r>
          </w:p>
        </w:tc>
        <w:tc>
          <w:tcPr>
            <w:tcW w:w="2551" w:type="dxa"/>
            <w:vAlign w:val="center"/>
          </w:tcPr>
          <w:p>
            <w:pPr>
              <w:pStyle w:val="13"/>
            </w:pPr>
          </w:p>
        </w:tc>
        <w:tc>
          <w:tcPr>
            <w:tcW w:w="2551" w:type="dxa"/>
            <w:vAlign w:val="center"/>
          </w:tcPr>
          <w:p>
            <w:pPr>
              <w:pStyle w:val="13"/>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21508</w:t>
            </w:r>
          </w:p>
        </w:tc>
        <w:tc>
          <w:tcPr>
            <w:tcW w:w="4535" w:type="dxa"/>
            <w:vAlign w:val="center"/>
          </w:tcPr>
          <w:p>
            <w:pPr>
              <w:pStyle w:val="14"/>
            </w:pPr>
            <w:r>
              <w:t>支持中小企业发展和管理支出</w:t>
            </w:r>
          </w:p>
        </w:tc>
        <w:tc>
          <w:tcPr>
            <w:tcW w:w="2551" w:type="dxa"/>
            <w:vAlign w:val="center"/>
          </w:tcPr>
          <w:p>
            <w:pPr>
              <w:pStyle w:val="13"/>
            </w:pPr>
            <w:r>
              <w:t>4.76</w:t>
            </w:r>
          </w:p>
        </w:tc>
        <w:tc>
          <w:tcPr>
            <w:tcW w:w="2551" w:type="dxa"/>
            <w:vAlign w:val="center"/>
          </w:tcPr>
          <w:p>
            <w:pPr>
              <w:pStyle w:val="13"/>
            </w:pPr>
          </w:p>
        </w:tc>
        <w:tc>
          <w:tcPr>
            <w:tcW w:w="2551" w:type="dxa"/>
            <w:vAlign w:val="center"/>
          </w:tcPr>
          <w:p>
            <w:pPr>
              <w:pStyle w:val="13"/>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1191" w:type="dxa"/>
            <w:vAlign w:val="center"/>
          </w:tcPr>
          <w:p>
            <w:pPr>
              <w:pStyle w:val="14"/>
            </w:pPr>
            <w:r>
              <w:t>2150805</w:t>
            </w:r>
          </w:p>
        </w:tc>
        <w:tc>
          <w:tcPr>
            <w:tcW w:w="4535" w:type="dxa"/>
            <w:vAlign w:val="center"/>
          </w:tcPr>
          <w:p>
            <w:pPr>
              <w:pStyle w:val="14"/>
            </w:pPr>
            <w:r>
              <w:t>中小企业发展专项</w:t>
            </w:r>
          </w:p>
        </w:tc>
        <w:tc>
          <w:tcPr>
            <w:tcW w:w="2551" w:type="dxa"/>
            <w:vAlign w:val="center"/>
          </w:tcPr>
          <w:p>
            <w:pPr>
              <w:pStyle w:val="13"/>
            </w:pPr>
            <w:r>
              <w:t>4.76</w:t>
            </w:r>
          </w:p>
        </w:tc>
        <w:tc>
          <w:tcPr>
            <w:tcW w:w="2551" w:type="dxa"/>
            <w:vAlign w:val="center"/>
          </w:tcPr>
          <w:p>
            <w:pPr>
              <w:pStyle w:val="13"/>
            </w:pPr>
          </w:p>
        </w:tc>
        <w:tc>
          <w:tcPr>
            <w:tcW w:w="2551" w:type="dxa"/>
            <w:vAlign w:val="center"/>
          </w:tcPr>
          <w:p>
            <w:pPr>
              <w:pStyle w:val="13"/>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1191" w:type="dxa"/>
            <w:vAlign w:val="center"/>
          </w:tcPr>
          <w:p>
            <w:pPr>
              <w:pStyle w:val="14"/>
            </w:pPr>
            <w:r>
              <w:t>216</w:t>
            </w:r>
          </w:p>
        </w:tc>
        <w:tc>
          <w:tcPr>
            <w:tcW w:w="4535" w:type="dxa"/>
            <w:vAlign w:val="center"/>
          </w:tcPr>
          <w:p>
            <w:pPr>
              <w:pStyle w:val="14"/>
            </w:pPr>
            <w:r>
              <w:t>商业服务业等支出</w:t>
            </w:r>
          </w:p>
        </w:tc>
        <w:tc>
          <w:tcPr>
            <w:tcW w:w="2551" w:type="dxa"/>
            <w:vAlign w:val="center"/>
          </w:tcPr>
          <w:p>
            <w:pPr>
              <w:pStyle w:val="13"/>
            </w:pPr>
            <w:r>
              <w:t>460.00</w:t>
            </w:r>
          </w:p>
        </w:tc>
        <w:tc>
          <w:tcPr>
            <w:tcW w:w="2551" w:type="dxa"/>
            <w:vAlign w:val="center"/>
          </w:tcPr>
          <w:p>
            <w:pPr>
              <w:pStyle w:val="13"/>
            </w:pPr>
          </w:p>
        </w:tc>
        <w:tc>
          <w:tcPr>
            <w:tcW w:w="2551" w:type="dxa"/>
            <w:vAlign w:val="center"/>
          </w:tcPr>
          <w:p>
            <w:pPr>
              <w:pStyle w:val="13"/>
            </w:pPr>
            <w: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1191" w:type="dxa"/>
            <w:vAlign w:val="center"/>
          </w:tcPr>
          <w:p>
            <w:pPr>
              <w:pStyle w:val="14"/>
            </w:pPr>
            <w:r>
              <w:t>21602</w:t>
            </w:r>
          </w:p>
        </w:tc>
        <w:tc>
          <w:tcPr>
            <w:tcW w:w="4535" w:type="dxa"/>
            <w:vAlign w:val="center"/>
          </w:tcPr>
          <w:p>
            <w:pPr>
              <w:pStyle w:val="14"/>
            </w:pPr>
            <w:r>
              <w:t>商业流通事务</w:t>
            </w:r>
          </w:p>
        </w:tc>
        <w:tc>
          <w:tcPr>
            <w:tcW w:w="2551" w:type="dxa"/>
            <w:vAlign w:val="center"/>
          </w:tcPr>
          <w:p>
            <w:pPr>
              <w:pStyle w:val="13"/>
            </w:pPr>
            <w:r>
              <w:t>460.00</w:t>
            </w:r>
          </w:p>
        </w:tc>
        <w:tc>
          <w:tcPr>
            <w:tcW w:w="2551" w:type="dxa"/>
            <w:vAlign w:val="center"/>
          </w:tcPr>
          <w:p>
            <w:pPr>
              <w:pStyle w:val="13"/>
            </w:pPr>
          </w:p>
        </w:tc>
        <w:tc>
          <w:tcPr>
            <w:tcW w:w="2551" w:type="dxa"/>
            <w:vAlign w:val="center"/>
          </w:tcPr>
          <w:p>
            <w:pPr>
              <w:pStyle w:val="13"/>
            </w:pPr>
            <w: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1191" w:type="dxa"/>
            <w:vAlign w:val="center"/>
          </w:tcPr>
          <w:p>
            <w:pPr>
              <w:pStyle w:val="14"/>
            </w:pPr>
            <w:r>
              <w:t>2160299</w:t>
            </w:r>
          </w:p>
        </w:tc>
        <w:tc>
          <w:tcPr>
            <w:tcW w:w="4535" w:type="dxa"/>
            <w:vAlign w:val="center"/>
          </w:tcPr>
          <w:p>
            <w:pPr>
              <w:pStyle w:val="14"/>
            </w:pPr>
            <w:r>
              <w:t>其他商业流通事务支出</w:t>
            </w:r>
          </w:p>
        </w:tc>
        <w:tc>
          <w:tcPr>
            <w:tcW w:w="2551" w:type="dxa"/>
            <w:vAlign w:val="center"/>
          </w:tcPr>
          <w:p>
            <w:pPr>
              <w:pStyle w:val="13"/>
            </w:pPr>
            <w:r>
              <w:t>460.00</w:t>
            </w:r>
          </w:p>
        </w:tc>
        <w:tc>
          <w:tcPr>
            <w:tcW w:w="2551" w:type="dxa"/>
            <w:vAlign w:val="center"/>
          </w:tcPr>
          <w:p>
            <w:pPr>
              <w:pStyle w:val="13"/>
            </w:pPr>
          </w:p>
        </w:tc>
        <w:tc>
          <w:tcPr>
            <w:tcW w:w="2551" w:type="dxa"/>
            <w:vAlign w:val="center"/>
          </w:tcPr>
          <w:p>
            <w:pPr>
              <w:pStyle w:val="13"/>
            </w:pPr>
            <w: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35.39</w:t>
            </w:r>
          </w:p>
        </w:tc>
        <w:tc>
          <w:tcPr>
            <w:tcW w:w="2551" w:type="dxa"/>
            <w:vAlign w:val="center"/>
          </w:tcPr>
          <w:p>
            <w:pPr>
              <w:pStyle w:val="13"/>
            </w:pPr>
            <w:r>
              <w:t>35.39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35.39</w:t>
            </w:r>
          </w:p>
        </w:tc>
        <w:tc>
          <w:tcPr>
            <w:tcW w:w="2551" w:type="dxa"/>
            <w:vAlign w:val="center"/>
          </w:tcPr>
          <w:p>
            <w:pPr>
              <w:pStyle w:val="13"/>
            </w:pPr>
            <w:r>
              <w:t>35.39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35.39</w:t>
            </w:r>
          </w:p>
        </w:tc>
        <w:tc>
          <w:tcPr>
            <w:tcW w:w="2551" w:type="dxa"/>
            <w:vAlign w:val="center"/>
          </w:tcPr>
          <w:p>
            <w:pPr>
              <w:pStyle w:val="13"/>
            </w:pPr>
            <w:r>
              <w:t>35.39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1191" w:type="dxa"/>
            <w:vAlign w:val="center"/>
          </w:tcPr>
          <w:p>
            <w:pPr>
              <w:pStyle w:val="14"/>
            </w:pPr>
            <w:r>
              <w:t>222</w:t>
            </w:r>
          </w:p>
        </w:tc>
        <w:tc>
          <w:tcPr>
            <w:tcW w:w="4535" w:type="dxa"/>
            <w:vAlign w:val="center"/>
          </w:tcPr>
          <w:p>
            <w:pPr>
              <w:pStyle w:val="14"/>
            </w:pPr>
            <w:r>
              <w:t>粮油物资储备支出</w:t>
            </w:r>
          </w:p>
        </w:tc>
        <w:tc>
          <w:tcPr>
            <w:tcW w:w="2551" w:type="dxa"/>
            <w:vAlign w:val="center"/>
          </w:tcPr>
          <w:p>
            <w:pPr>
              <w:pStyle w:val="13"/>
            </w:pPr>
            <w:r>
              <w:t>213.07</w:t>
            </w:r>
          </w:p>
        </w:tc>
        <w:tc>
          <w:tcPr>
            <w:tcW w:w="2551" w:type="dxa"/>
            <w:vAlign w:val="center"/>
          </w:tcPr>
          <w:p>
            <w:pPr>
              <w:pStyle w:val="13"/>
            </w:pPr>
          </w:p>
        </w:tc>
        <w:tc>
          <w:tcPr>
            <w:tcW w:w="2551" w:type="dxa"/>
            <w:vAlign w:val="center"/>
          </w:tcPr>
          <w:p>
            <w:pPr>
              <w:pStyle w:val="13"/>
            </w:pPr>
            <w:r>
              <w:t>213.07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1191" w:type="dxa"/>
            <w:vAlign w:val="center"/>
          </w:tcPr>
          <w:p>
            <w:pPr>
              <w:pStyle w:val="14"/>
            </w:pPr>
            <w:r>
              <w:t>22201</w:t>
            </w:r>
          </w:p>
        </w:tc>
        <w:tc>
          <w:tcPr>
            <w:tcW w:w="4535" w:type="dxa"/>
            <w:vAlign w:val="center"/>
          </w:tcPr>
          <w:p>
            <w:pPr>
              <w:pStyle w:val="14"/>
            </w:pPr>
            <w:r>
              <w:t>粮油物资事务</w:t>
            </w:r>
          </w:p>
        </w:tc>
        <w:tc>
          <w:tcPr>
            <w:tcW w:w="2551" w:type="dxa"/>
            <w:vAlign w:val="center"/>
          </w:tcPr>
          <w:p>
            <w:pPr>
              <w:pStyle w:val="13"/>
            </w:pPr>
            <w:r>
              <w:t>54.67</w:t>
            </w:r>
          </w:p>
        </w:tc>
        <w:tc>
          <w:tcPr>
            <w:tcW w:w="2551" w:type="dxa"/>
            <w:vAlign w:val="center"/>
          </w:tcPr>
          <w:p>
            <w:pPr>
              <w:pStyle w:val="13"/>
            </w:pPr>
          </w:p>
        </w:tc>
        <w:tc>
          <w:tcPr>
            <w:tcW w:w="2551" w:type="dxa"/>
            <w:vAlign w:val="center"/>
          </w:tcPr>
          <w:p>
            <w:pPr>
              <w:pStyle w:val="13"/>
            </w:pPr>
            <w:r>
              <w:t>54.67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56</w:t>
            </w:r>
          </w:p>
        </w:tc>
        <w:tc>
          <w:tcPr>
            <w:tcW w:w="1191" w:type="dxa"/>
            <w:vAlign w:val="center"/>
          </w:tcPr>
          <w:p>
            <w:pPr>
              <w:pStyle w:val="14"/>
            </w:pPr>
            <w:r>
              <w:t>2220102</w:t>
            </w:r>
          </w:p>
        </w:tc>
        <w:tc>
          <w:tcPr>
            <w:tcW w:w="4535" w:type="dxa"/>
            <w:vAlign w:val="center"/>
          </w:tcPr>
          <w:p>
            <w:pPr>
              <w:pStyle w:val="14"/>
            </w:pPr>
            <w:r>
              <w:t>一般行政管理事务</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57</w:t>
            </w:r>
          </w:p>
        </w:tc>
        <w:tc>
          <w:tcPr>
            <w:tcW w:w="1191" w:type="dxa"/>
            <w:vAlign w:val="center"/>
          </w:tcPr>
          <w:p>
            <w:pPr>
              <w:pStyle w:val="14"/>
            </w:pPr>
            <w:r>
              <w:t>2220105</w:t>
            </w:r>
          </w:p>
        </w:tc>
        <w:tc>
          <w:tcPr>
            <w:tcW w:w="4535" w:type="dxa"/>
            <w:vAlign w:val="center"/>
          </w:tcPr>
          <w:p>
            <w:pPr>
              <w:pStyle w:val="14"/>
            </w:pPr>
            <w:r>
              <w:t>信息统计</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58</w:t>
            </w:r>
          </w:p>
        </w:tc>
        <w:tc>
          <w:tcPr>
            <w:tcW w:w="1191" w:type="dxa"/>
            <w:vAlign w:val="center"/>
          </w:tcPr>
          <w:p>
            <w:pPr>
              <w:pStyle w:val="14"/>
            </w:pPr>
            <w:r>
              <w:t>2220112</w:t>
            </w:r>
          </w:p>
        </w:tc>
        <w:tc>
          <w:tcPr>
            <w:tcW w:w="4535" w:type="dxa"/>
            <w:vAlign w:val="center"/>
          </w:tcPr>
          <w:p>
            <w:pPr>
              <w:pStyle w:val="14"/>
            </w:pPr>
            <w:r>
              <w:t>粮食财务挂账利息补贴</w:t>
            </w:r>
          </w:p>
        </w:tc>
        <w:tc>
          <w:tcPr>
            <w:tcW w:w="2551" w:type="dxa"/>
            <w:vAlign w:val="center"/>
          </w:tcPr>
          <w:p>
            <w:pPr>
              <w:pStyle w:val="13"/>
            </w:pPr>
            <w:r>
              <w:t>46.12</w:t>
            </w:r>
          </w:p>
        </w:tc>
        <w:tc>
          <w:tcPr>
            <w:tcW w:w="2551" w:type="dxa"/>
            <w:vAlign w:val="center"/>
          </w:tcPr>
          <w:p>
            <w:pPr>
              <w:pStyle w:val="13"/>
            </w:pPr>
          </w:p>
        </w:tc>
        <w:tc>
          <w:tcPr>
            <w:tcW w:w="2551" w:type="dxa"/>
            <w:vAlign w:val="center"/>
          </w:tcPr>
          <w:p>
            <w:pPr>
              <w:pStyle w:val="13"/>
            </w:pPr>
            <w:r>
              <w:t>46.12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59</w:t>
            </w:r>
          </w:p>
        </w:tc>
        <w:tc>
          <w:tcPr>
            <w:tcW w:w="1191" w:type="dxa"/>
            <w:vAlign w:val="center"/>
          </w:tcPr>
          <w:p>
            <w:pPr>
              <w:pStyle w:val="14"/>
            </w:pPr>
            <w:r>
              <w:t>2220120</w:t>
            </w:r>
          </w:p>
        </w:tc>
        <w:tc>
          <w:tcPr>
            <w:tcW w:w="4535" w:type="dxa"/>
            <w:vAlign w:val="center"/>
          </w:tcPr>
          <w:p>
            <w:pPr>
              <w:pStyle w:val="14"/>
            </w:pPr>
            <w:r>
              <w:t>设施安全</w:t>
            </w:r>
          </w:p>
        </w:tc>
        <w:tc>
          <w:tcPr>
            <w:tcW w:w="2551" w:type="dxa"/>
            <w:vAlign w:val="center"/>
          </w:tcPr>
          <w:p>
            <w:pPr>
              <w:pStyle w:val="13"/>
            </w:pPr>
            <w:r>
              <w:t>2.19</w:t>
            </w:r>
          </w:p>
        </w:tc>
        <w:tc>
          <w:tcPr>
            <w:tcW w:w="2551" w:type="dxa"/>
            <w:vAlign w:val="center"/>
          </w:tcPr>
          <w:p>
            <w:pPr>
              <w:pStyle w:val="13"/>
            </w:pPr>
          </w:p>
        </w:tc>
        <w:tc>
          <w:tcPr>
            <w:tcW w:w="2551" w:type="dxa"/>
            <w:vAlign w:val="center"/>
          </w:tcPr>
          <w:p>
            <w:pPr>
              <w:pStyle w:val="13"/>
            </w:pPr>
            <w:r>
              <w:t>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60</w:t>
            </w:r>
          </w:p>
        </w:tc>
        <w:tc>
          <w:tcPr>
            <w:tcW w:w="1191" w:type="dxa"/>
            <w:vAlign w:val="center"/>
          </w:tcPr>
          <w:p>
            <w:pPr>
              <w:pStyle w:val="14"/>
            </w:pPr>
            <w:r>
              <w:t>22204</w:t>
            </w:r>
          </w:p>
        </w:tc>
        <w:tc>
          <w:tcPr>
            <w:tcW w:w="4535" w:type="dxa"/>
            <w:vAlign w:val="center"/>
          </w:tcPr>
          <w:p>
            <w:pPr>
              <w:pStyle w:val="14"/>
            </w:pPr>
            <w:r>
              <w:t>粮油储备</w:t>
            </w:r>
          </w:p>
        </w:tc>
        <w:tc>
          <w:tcPr>
            <w:tcW w:w="2551" w:type="dxa"/>
            <w:vAlign w:val="center"/>
          </w:tcPr>
          <w:p>
            <w:pPr>
              <w:pStyle w:val="13"/>
            </w:pPr>
            <w:r>
              <w:t>158.40</w:t>
            </w:r>
          </w:p>
        </w:tc>
        <w:tc>
          <w:tcPr>
            <w:tcW w:w="2551" w:type="dxa"/>
            <w:vAlign w:val="center"/>
          </w:tcPr>
          <w:p>
            <w:pPr>
              <w:pStyle w:val="13"/>
            </w:pPr>
          </w:p>
        </w:tc>
        <w:tc>
          <w:tcPr>
            <w:tcW w:w="2551" w:type="dxa"/>
            <w:vAlign w:val="center"/>
          </w:tcPr>
          <w:p>
            <w:pPr>
              <w:pStyle w:val="13"/>
            </w:pPr>
            <w:r>
              <w:t>158.40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61</w:t>
            </w:r>
          </w:p>
        </w:tc>
        <w:tc>
          <w:tcPr>
            <w:tcW w:w="1191" w:type="dxa"/>
            <w:vAlign w:val="center"/>
          </w:tcPr>
          <w:p>
            <w:pPr>
              <w:pStyle w:val="14"/>
            </w:pPr>
            <w:r>
              <w:t>2220401</w:t>
            </w:r>
          </w:p>
        </w:tc>
        <w:tc>
          <w:tcPr>
            <w:tcW w:w="4535" w:type="dxa"/>
            <w:vAlign w:val="center"/>
          </w:tcPr>
          <w:p>
            <w:pPr>
              <w:pStyle w:val="14"/>
            </w:pPr>
            <w:r>
              <w:t>储备粮油补贴</w:t>
            </w:r>
          </w:p>
        </w:tc>
        <w:tc>
          <w:tcPr>
            <w:tcW w:w="2551" w:type="dxa"/>
            <w:vAlign w:val="center"/>
          </w:tcPr>
          <w:p>
            <w:pPr>
              <w:pStyle w:val="13"/>
            </w:pPr>
            <w:r>
              <w:t>158.40</w:t>
            </w:r>
          </w:p>
        </w:tc>
        <w:tc>
          <w:tcPr>
            <w:tcW w:w="2551" w:type="dxa"/>
            <w:vAlign w:val="center"/>
          </w:tcPr>
          <w:p>
            <w:pPr>
              <w:pStyle w:val="13"/>
            </w:pPr>
          </w:p>
        </w:tc>
        <w:tc>
          <w:tcPr>
            <w:tcW w:w="2551" w:type="dxa"/>
            <w:vAlign w:val="center"/>
          </w:tcPr>
          <w:p>
            <w:pPr>
              <w:pStyle w:val="13"/>
            </w:pPr>
            <w:r>
              <w:t>158.40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支出单位经济分类科目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884.74</w:t>
            </w:r>
          </w:p>
        </w:tc>
        <w:tc>
          <w:tcPr>
            <w:tcW w:w="2551" w:type="dxa"/>
            <w:vAlign w:val="center"/>
          </w:tcPr>
          <w:p>
            <w:pPr>
              <w:pStyle w:val="17"/>
            </w:pPr>
            <w:r>
              <w:t>832.00</w:t>
            </w:r>
          </w:p>
        </w:tc>
        <w:tc>
          <w:tcPr>
            <w:tcW w:w="2551" w:type="dxa"/>
            <w:vAlign w:val="center"/>
          </w:tcPr>
          <w:p>
            <w:pPr>
              <w:pStyle w:val="17"/>
            </w:pPr>
            <w:r>
              <w:t>52.74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599.61</w:t>
            </w:r>
          </w:p>
        </w:tc>
        <w:tc>
          <w:tcPr>
            <w:tcW w:w="2551" w:type="dxa"/>
            <w:vAlign w:val="center"/>
          </w:tcPr>
          <w:p>
            <w:pPr>
              <w:pStyle w:val="13"/>
            </w:pPr>
            <w:r>
              <w:t>599.61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263.83</w:t>
            </w:r>
          </w:p>
        </w:tc>
        <w:tc>
          <w:tcPr>
            <w:tcW w:w="2551" w:type="dxa"/>
            <w:vAlign w:val="center"/>
          </w:tcPr>
          <w:p>
            <w:pPr>
              <w:pStyle w:val="13"/>
            </w:pPr>
            <w:r>
              <w:t>263.83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85.36</w:t>
            </w:r>
          </w:p>
        </w:tc>
        <w:tc>
          <w:tcPr>
            <w:tcW w:w="2551" w:type="dxa"/>
            <w:vAlign w:val="center"/>
          </w:tcPr>
          <w:p>
            <w:pPr>
              <w:pStyle w:val="13"/>
            </w:pPr>
            <w:r>
              <w:t>85.36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43.74</w:t>
            </w:r>
          </w:p>
        </w:tc>
        <w:tc>
          <w:tcPr>
            <w:tcW w:w="2551" w:type="dxa"/>
            <w:vAlign w:val="center"/>
          </w:tcPr>
          <w:p>
            <w:pPr>
              <w:pStyle w:val="13"/>
            </w:pPr>
            <w:r>
              <w:t>43.74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54.42</w:t>
            </w:r>
          </w:p>
        </w:tc>
        <w:tc>
          <w:tcPr>
            <w:tcW w:w="2551" w:type="dxa"/>
            <w:vAlign w:val="center"/>
          </w:tcPr>
          <w:p>
            <w:pPr>
              <w:pStyle w:val="13"/>
            </w:pPr>
            <w:r>
              <w:t>54.42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73.73</w:t>
            </w:r>
          </w:p>
        </w:tc>
        <w:tc>
          <w:tcPr>
            <w:tcW w:w="2551" w:type="dxa"/>
            <w:vAlign w:val="center"/>
          </w:tcPr>
          <w:p>
            <w:pPr>
              <w:pStyle w:val="13"/>
            </w:pPr>
            <w:r>
              <w:t>73.73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5.92</w:t>
            </w:r>
          </w:p>
        </w:tc>
        <w:tc>
          <w:tcPr>
            <w:tcW w:w="2551" w:type="dxa"/>
            <w:vAlign w:val="center"/>
          </w:tcPr>
          <w:p>
            <w:pPr>
              <w:pStyle w:val="13"/>
            </w:pPr>
            <w:r>
              <w:t>5.92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31.97</w:t>
            </w:r>
          </w:p>
        </w:tc>
        <w:tc>
          <w:tcPr>
            <w:tcW w:w="2551" w:type="dxa"/>
            <w:vAlign w:val="center"/>
          </w:tcPr>
          <w:p>
            <w:pPr>
              <w:pStyle w:val="13"/>
            </w:pPr>
            <w:r>
              <w:t>31.97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5.24</w:t>
            </w:r>
          </w:p>
        </w:tc>
        <w:tc>
          <w:tcPr>
            <w:tcW w:w="2551" w:type="dxa"/>
            <w:vAlign w:val="center"/>
          </w:tcPr>
          <w:p>
            <w:pPr>
              <w:pStyle w:val="13"/>
            </w:pPr>
            <w:r>
              <w:t>5.24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35.39</w:t>
            </w:r>
          </w:p>
        </w:tc>
        <w:tc>
          <w:tcPr>
            <w:tcW w:w="2551" w:type="dxa"/>
            <w:vAlign w:val="center"/>
          </w:tcPr>
          <w:p>
            <w:pPr>
              <w:pStyle w:val="13"/>
            </w:pPr>
            <w:r>
              <w:t>35.39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52.74</w:t>
            </w:r>
          </w:p>
        </w:tc>
        <w:tc>
          <w:tcPr>
            <w:tcW w:w="2551" w:type="dxa"/>
            <w:vAlign w:val="center"/>
          </w:tcPr>
          <w:p>
            <w:pPr>
              <w:pStyle w:val="13"/>
            </w:pPr>
          </w:p>
        </w:tc>
        <w:tc>
          <w:tcPr>
            <w:tcW w:w="2551" w:type="dxa"/>
            <w:vAlign w:val="center"/>
          </w:tcPr>
          <w:p>
            <w:pPr>
              <w:pStyle w:val="13"/>
            </w:pPr>
            <w:r>
              <w:t>52.74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2.20</w:t>
            </w:r>
          </w:p>
        </w:tc>
        <w:tc>
          <w:tcPr>
            <w:tcW w:w="2551" w:type="dxa"/>
            <w:vAlign w:val="center"/>
          </w:tcPr>
          <w:p>
            <w:pPr>
              <w:pStyle w:val="13"/>
            </w:pPr>
          </w:p>
        </w:tc>
        <w:tc>
          <w:tcPr>
            <w:tcW w:w="2551" w:type="dxa"/>
            <w:vAlign w:val="center"/>
          </w:tcPr>
          <w:p>
            <w:pPr>
              <w:pStyle w:val="13"/>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0.10</w:t>
            </w:r>
          </w:p>
        </w:tc>
        <w:tc>
          <w:tcPr>
            <w:tcW w:w="2551" w:type="dxa"/>
            <w:vAlign w:val="center"/>
          </w:tcPr>
          <w:p>
            <w:pPr>
              <w:pStyle w:val="13"/>
            </w:pPr>
          </w:p>
        </w:tc>
        <w:tc>
          <w:tcPr>
            <w:tcW w:w="2551" w:type="dxa"/>
            <w:vAlign w:val="center"/>
          </w:tcPr>
          <w:p>
            <w:pPr>
              <w:pStyle w:val="13"/>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2.72</w:t>
            </w:r>
          </w:p>
        </w:tc>
        <w:tc>
          <w:tcPr>
            <w:tcW w:w="2551" w:type="dxa"/>
            <w:vAlign w:val="center"/>
          </w:tcPr>
          <w:p>
            <w:pPr>
              <w:pStyle w:val="13"/>
            </w:pPr>
          </w:p>
        </w:tc>
        <w:tc>
          <w:tcPr>
            <w:tcW w:w="2551" w:type="dxa"/>
            <w:vAlign w:val="center"/>
          </w:tcPr>
          <w:p>
            <w:pPr>
              <w:pStyle w:val="13"/>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7.17</w:t>
            </w:r>
          </w:p>
        </w:tc>
        <w:tc>
          <w:tcPr>
            <w:tcW w:w="2551" w:type="dxa"/>
            <w:vAlign w:val="center"/>
          </w:tcPr>
          <w:p>
            <w:pPr>
              <w:pStyle w:val="13"/>
            </w:pPr>
          </w:p>
        </w:tc>
        <w:tc>
          <w:tcPr>
            <w:tcW w:w="2551" w:type="dxa"/>
            <w:vAlign w:val="center"/>
          </w:tcPr>
          <w:p>
            <w:pPr>
              <w:pStyle w:val="13"/>
            </w:pPr>
            <w:r>
              <w:t>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2.57</w:t>
            </w:r>
          </w:p>
        </w:tc>
        <w:tc>
          <w:tcPr>
            <w:tcW w:w="2551" w:type="dxa"/>
            <w:vAlign w:val="center"/>
          </w:tcPr>
          <w:p>
            <w:pPr>
              <w:pStyle w:val="13"/>
            </w:pPr>
          </w:p>
        </w:tc>
        <w:tc>
          <w:tcPr>
            <w:tcW w:w="2551" w:type="dxa"/>
            <w:vAlign w:val="center"/>
          </w:tcPr>
          <w:p>
            <w:pPr>
              <w:pStyle w:val="13"/>
            </w:pPr>
            <w:r>
              <w:t>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22.98</w:t>
            </w:r>
          </w:p>
        </w:tc>
        <w:tc>
          <w:tcPr>
            <w:tcW w:w="2551" w:type="dxa"/>
            <w:vAlign w:val="center"/>
          </w:tcPr>
          <w:p>
            <w:pPr>
              <w:pStyle w:val="13"/>
            </w:pPr>
          </w:p>
        </w:tc>
        <w:tc>
          <w:tcPr>
            <w:tcW w:w="2551" w:type="dxa"/>
            <w:vAlign w:val="center"/>
          </w:tcPr>
          <w:p>
            <w:pPr>
              <w:pStyle w:val="13"/>
            </w:pPr>
            <w:r>
              <w:t>22.98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232.40</w:t>
            </w:r>
          </w:p>
        </w:tc>
        <w:tc>
          <w:tcPr>
            <w:tcW w:w="2551" w:type="dxa"/>
            <w:vAlign w:val="center"/>
          </w:tcPr>
          <w:p>
            <w:pPr>
              <w:pStyle w:val="13"/>
            </w:pPr>
            <w:r>
              <w:t>232.40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30301</w:t>
            </w:r>
          </w:p>
        </w:tc>
        <w:tc>
          <w:tcPr>
            <w:tcW w:w="4535" w:type="dxa"/>
            <w:vAlign w:val="center"/>
          </w:tcPr>
          <w:p>
            <w:pPr>
              <w:pStyle w:val="14"/>
            </w:pPr>
            <w:r>
              <w:t>离休费</w:t>
            </w:r>
          </w:p>
        </w:tc>
        <w:tc>
          <w:tcPr>
            <w:tcW w:w="2551" w:type="dxa"/>
            <w:vAlign w:val="center"/>
          </w:tcPr>
          <w:p>
            <w:pPr>
              <w:pStyle w:val="13"/>
            </w:pPr>
            <w:r>
              <w:t>22.68</w:t>
            </w:r>
          </w:p>
        </w:tc>
        <w:tc>
          <w:tcPr>
            <w:tcW w:w="2551" w:type="dxa"/>
            <w:vAlign w:val="center"/>
          </w:tcPr>
          <w:p>
            <w:pPr>
              <w:pStyle w:val="13"/>
            </w:pPr>
            <w:r>
              <w:t>22.68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129.66</w:t>
            </w:r>
          </w:p>
        </w:tc>
        <w:tc>
          <w:tcPr>
            <w:tcW w:w="2551" w:type="dxa"/>
            <w:vAlign w:val="center"/>
          </w:tcPr>
          <w:p>
            <w:pPr>
              <w:pStyle w:val="13"/>
            </w:pPr>
            <w:r>
              <w:t>129.66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30304</w:t>
            </w:r>
          </w:p>
        </w:tc>
        <w:tc>
          <w:tcPr>
            <w:tcW w:w="4535" w:type="dxa"/>
            <w:vAlign w:val="center"/>
          </w:tcPr>
          <w:p>
            <w:pPr>
              <w:pStyle w:val="14"/>
            </w:pPr>
            <w:r>
              <w:t>抚恤金</w:t>
            </w:r>
          </w:p>
        </w:tc>
        <w:tc>
          <w:tcPr>
            <w:tcW w:w="2551" w:type="dxa"/>
            <w:vAlign w:val="center"/>
          </w:tcPr>
          <w:p>
            <w:pPr>
              <w:pStyle w:val="13"/>
            </w:pPr>
            <w:r>
              <w:t>43.57</w:t>
            </w:r>
          </w:p>
        </w:tc>
        <w:tc>
          <w:tcPr>
            <w:tcW w:w="2551" w:type="dxa"/>
            <w:vAlign w:val="center"/>
          </w:tcPr>
          <w:p>
            <w:pPr>
              <w:pStyle w:val="13"/>
            </w:pPr>
            <w:r>
              <w:t>43.57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36.49</w:t>
            </w:r>
          </w:p>
        </w:tc>
        <w:tc>
          <w:tcPr>
            <w:tcW w:w="2551" w:type="dxa"/>
            <w:vAlign w:val="center"/>
          </w:tcPr>
          <w:p>
            <w:pPr>
              <w:pStyle w:val="13"/>
            </w:pPr>
            <w:r>
              <w:t>36.49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850.00</w:t>
            </w:r>
          </w:p>
        </w:tc>
        <w:tc>
          <w:tcPr>
            <w:tcW w:w="2551" w:type="dxa"/>
            <w:vAlign w:val="center"/>
          </w:tcPr>
          <w:p>
            <w:pPr>
              <w:pStyle w:val="17"/>
            </w:pPr>
          </w:p>
        </w:tc>
        <w:tc>
          <w:tcPr>
            <w:tcW w:w="2551" w:type="dxa"/>
            <w:vAlign w:val="center"/>
          </w:tcPr>
          <w:p>
            <w:pPr>
              <w:pStyle w:val="17"/>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850.00</w:t>
            </w:r>
          </w:p>
        </w:tc>
        <w:tc>
          <w:tcPr>
            <w:tcW w:w="2551" w:type="dxa"/>
            <w:vAlign w:val="center"/>
          </w:tcPr>
          <w:p>
            <w:pPr>
              <w:pStyle w:val="13"/>
            </w:pPr>
          </w:p>
        </w:tc>
        <w:tc>
          <w:tcPr>
            <w:tcW w:w="2551" w:type="dxa"/>
            <w:vAlign w:val="center"/>
          </w:tcPr>
          <w:p>
            <w:pPr>
              <w:pStyle w:val="13"/>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850.00</w:t>
            </w:r>
          </w:p>
        </w:tc>
        <w:tc>
          <w:tcPr>
            <w:tcW w:w="2551" w:type="dxa"/>
            <w:vAlign w:val="center"/>
          </w:tcPr>
          <w:p>
            <w:pPr>
              <w:pStyle w:val="13"/>
            </w:pPr>
          </w:p>
        </w:tc>
        <w:tc>
          <w:tcPr>
            <w:tcW w:w="2551" w:type="dxa"/>
            <w:vAlign w:val="center"/>
          </w:tcPr>
          <w:p>
            <w:pPr>
              <w:pStyle w:val="13"/>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2120899</w:t>
            </w:r>
          </w:p>
        </w:tc>
        <w:tc>
          <w:tcPr>
            <w:tcW w:w="4535" w:type="dxa"/>
            <w:vAlign w:val="center"/>
          </w:tcPr>
          <w:p>
            <w:pPr>
              <w:pStyle w:val="14"/>
            </w:pPr>
            <w:r>
              <w:t>其他国有土地使用权出让收入安排的支出</w:t>
            </w:r>
          </w:p>
        </w:tc>
        <w:tc>
          <w:tcPr>
            <w:tcW w:w="2551" w:type="dxa"/>
            <w:vAlign w:val="center"/>
          </w:tcPr>
          <w:p>
            <w:pPr>
              <w:pStyle w:val="13"/>
            </w:pPr>
            <w:r>
              <w:t>850.00</w:t>
            </w:r>
          </w:p>
        </w:tc>
        <w:tc>
          <w:tcPr>
            <w:tcW w:w="2551" w:type="dxa"/>
            <w:vAlign w:val="center"/>
          </w:tcPr>
          <w:p>
            <w:pPr>
              <w:pStyle w:val="13"/>
            </w:pPr>
          </w:p>
        </w:tc>
        <w:tc>
          <w:tcPr>
            <w:tcW w:w="2551" w:type="dxa"/>
            <w:vAlign w:val="center"/>
          </w:tcPr>
          <w:p>
            <w:pPr>
              <w:pStyle w:val="13"/>
            </w:pPr>
            <w:r>
              <w:t>850.00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“三公”经费小计</w:t>
            </w:r>
          </w:p>
        </w:tc>
        <w:tc>
          <w:tcPr>
            <w:tcW w:w="2381" w:type="dxa"/>
            <w:vAlign w:val="center"/>
          </w:tcPr>
          <w:p>
            <w:pPr>
              <w:pStyle w:val="17"/>
            </w:pPr>
            <w:r>
              <w:t>24.00</w:t>
            </w:r>
          </w:p>
        </w:tc>
        <w:tc>
          <w:tcPr>
            <w:tcW w:w="2381" w:type="dxa"/>
            <w:vAlign w:val="center"/>
          </w:tcPr>
          <w:p>
            <w:pPr>
              <w:pStyle w:val="17"/>
            </w:pPr>
            <w:r>
              <w:t>24.00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二、公务用车购置及运维费</w:t>
            </w:r>
          </w:p>
        </w:tc>
        <w:tc>
          <w:tcPr>
            <w:tcW w:w="2381" w:type="dxa"/>
            <w:vAlign w:val="center"/>
          </w:tcPr>
          <w:p>
            <w:pPr>
              <w:pStyle w:val="13"/>
            </w:pPr>
            <w:r>
              <w:t>19.00</w:t>
            </w:r>
          </w:p>
        </w:tc>
        <w:tc>
          <w:tcPr>
            <w:tcW w:w="2381" w:type="dxa"/>
            <w:vAlign w:val="center"/>
          </w:tcPr>
          <w:p>
            <w:pPr>
              <w:pStyle w:val="13"/>
            </w:pPr>
            <w:r>
              <w:t>19.00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公务用车运行维护费</w:t>
            </w:r>
          </w:p>
        </w:tc>
        <w:tc>
          <w:tcPr>
            <w:tcW w:w="2381" w:type="dxa"/>
            <w:vAlign w:val="center"/>
          </w:tcPr>
          <w:p>
            <w:pPr>
              <w:pStyle w:val="13"/>
            </w:pPr>
            <w:r>
              <w:t>19.00</w:t>
            </w:r>
          </w:p>
        </w:tc>
        <w:tc>
          <w:tcPr>
            <w:tcW w:w="2381" w:type="dxa"/>
            <w:vAlign w:val="center"/>
          </w:tcPr>
          <w:p>
            <w:pPr>
              <w:pStyle w:val="13"/>
            </w:pPr>
            <w:r>
              <w:t>19.00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三、公务接待费</w:t>
            </w:r>
          </w:p>
        </w:tc>
        <w:tc>
          <w:tcPr>
            <w:tcW w:w="2381" w:type="dxa"/>
            <w:vAlign w:val="center"/>
          </w:tcPr>
          <w:p>
            <w:pPr>
              <w:pStyle w:val="13"/>
            </w:pPr>
            <w:r>
              <w:t>5.00</w:t>
            </w:r>
          </w:p>
        </w:tc>
        <w:tc>
          <w:tcPr>
            <w:tcW w:w="2381" w:type="dxa"/>
            <w:vAlign w:val="center"/>
          </w:tcPr>
          <w:p>
            <w:pPr>
              <w:pStyle w:val="13"/>
            </w:pPr>
            <w:r>
              <w:t>5.00</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青龙满族自治县发展和改革局本级2024年单位预算信息公开情况说明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按照《中华人民共和国预算法》、《地方预决算公开操作规程》和《关于进一步推进预算公开工作的实施意见》规定，现将青龙满族自治县发展和改革局本级2024年单位预算公开如下：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7"/>
      </w:pPr>
      <w:r>
        <w:t>一、根据《发展和改革局职能配置、内设机构和人员编制规定》，发展和改革局的主要职责是：</w:t>
      </w:r>
    </w:p>
    <w:p>
      <w:pPr>
        <w:pStyle w:val="27"/>
      </w:pPr>
      <w:r>
        <w:t>1、机关日常管理负责各科室综合协调、文秘文电、机要通讯、档案管理、会务安排、公车管理、人事管理、信息上报，以及工青妇和离退休老干部工作。负责局党委系统党建及机关支部日常工作。保障机关正常高效运转。</w:t>
      </w:r>
    </w:p>
    <w:p>
      <w:pPr>
        <w:pStyle w:val="27"/>
      </w:pPr>
      <w:r>
        <w:t>2、加快投资建设拟订全社会固定资产投资规模和投资结构的调控目标、政策措施。安排国家、省、市、县拨款或承担贷款责任的建设项目。进一步优化投资结构。</w:t>
      </w:r>
    </w:p>
    <w:p>
      <w:pPr>
        <w:pStyle w:val="27"/>
      </w:pPr>
      <w:r>
        <w:t>3、推动农村经济发展拟订全县农业和农村经济发展战略，实施并组织工代赈工程和异地扶贫搬迁工程。加快农村经济发展步伐。</w:t>
      </w:r>
    </w:p>
    <w:p>
      <w:pPr>
        <w:pStyle w:val="27"/>
      </w:pPr>
      <w:r>
        <w:t>4、开展农业区划相关工作编制农业资源规划，搞好农业区划调研成果转化、应用、推广，对辖区农业资源进行动态监测。推动山区农业资源可持续开发利用。</w:t>
      </w:r>
    </w:p>
    <w:p>
      <w:pPr>
        <w:pStyle w:val="27"/>
      </w:pPr>
      <w:r>
        <w:t>5、搞好经济体制改革制订经济体制方案，指导推进和综合协调经济体制改革。围绕发展与改革的重要问题进行调研，提出相关建议。</w:t>
      </w:r>
    </w:p>
    <w:p>
      <w:pPr>
        <w:pStyle w:val="27"/>
      </w:pPr>
      <w:r>
        <w:t>6、搞好项目审批管理负责固定资产投资项目的审批、核准、备案工作提供优质高效便捷服务，优化投资环境。</w:t>
      </w:r>
    </w:p>
    <w:p>
      <w:pPr>
        <w:pStyle w:val="27"/>
      </w:pPr>
      <w:r>
        <w:t>7、制定发展计划规划拟订并组织实施经济发展战略、中长期规划和年度发展计划。代县政府做国民经济和社会发展计划报告。承担国民经济动员办公室职责优化县域生产力布局。</w:t>
      </w:r>
    </w:p>
    <w:p>
      <w:pPr>
        <w:pStyle w:val="27"/>
      </w:pPr>
      <w:r>
        <w:t>8、加强节能降碳工作组织拟订发展循环经济、节能综合利用规划及政策措施，协调督导落实。加快推进资源节约型、环境友好型社会建设。</w:t>
      </w:r>
    </w:p>
    <w:p>
      <w:pPr>
        <w:pStyle w:val="27"/>
      </w:pPr>
      <w:r>
        <w:t>9、推动社会事业发展组织拟订社会事业发展战略、总体规划和年度计划，推进社会事业建设。研究就业、收入分配、社会保障等政策建议。督导、协调向上争取项目、资金、政策。促进社会各项事业协调发展。</w:t>
      </w:r>
    </w:p>
    <w:p>
      <w:pPr>
        <w:pStyle w:val="27"/>
      </w:pPr>
      <w:r>
        <w:t>10、搞好项目建设管理组织实施综合性产业政策，推进落实重大项目建设优化生产力布局，促进产业结构升级。</w:t>
      </w:r>
    </w:p>
    <w:p>
      <w:pPr>
        <w:pStyle w:val="27"/>
      </w:pPr>
      <w:r>
        <w:t>11、扩大对外对内开放参加各类经济技术交流活动，促进区域经济技术合作。承接京津产业转移，引进一批战略投资者，推动青龙经济快速发展。</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青龙满族自治县发展和改革局本级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反映本单位当年全部收入。2024年预算收入3919.09万元，</w:t>
      </w:r>
      <w:r>
        <w:rPr>
          <w:rFonts w:hint="eastAsia"/>
          <w:lang w:eastAsia="zh-CN"/>
        </w:rPr>
        <w:t>同比上年减少</w:t>
      </w:r>
      <w:r>
        <w:rPr>
          <w:rFonts w:hint="eastAsia"/>
          <w:lang w:val="en-US" w:eastAsia="zh-CN"/>
        </w:rPr>
        <w:t>3312.45万元，减少45.81%。</w:t>
      </w:r>
      <w:r>
        <w:t>其中：一般公共预算收入2213.74万元，</w:t>
      </w:r>
      <w:r>
        <w:rPr>
          <w:rFonts w:hint="eastAsia"/>
          <w:lang w:eastAsia="zh-CN"/>
        </w:rPr>
        <w:t>同比上年增加</w:t>
      </w:r>
      <w:r>
        <w:rPr>
          <w:rFonts w:hint="eastAsia"/>
          <w:lang w:val="en-US" w:eastAsia="zh-CN"/>
        </w:rPr>
        <w:t>1107.7万元，增加100.15%。</w:t>
      </w:r>
      <w:r>
        <w:t>基金预算收入850.00万元，</w:t>
      </w:r>
      <w:r>
        <w:rPr>
          <w:rFonts w:hint="eastAsia"/>
          <w:lang w:eastAsia="zh-CN"/>
        </w:rPr>
        <w:t>同比上年减少</w:t>
      </w:r>
      <w:r>
        <w:rPr>
          <w:rFonts w:hint="eastAsia"/>
          <w:lang w:val="en-US" w:eastAsia="zh-CN"/>
        </w:rPr>
        <w:t>3130.18万元，减少78.64%。</w:t>
      </w:r>
      <w:r>
        <w:t>上年结转</w:t>
      </w:r>
      <w:r>
        <w:rPr>
          <w:rFonts w:hint="eastAsia"/>
          <w:lang w:val="en-US" w:eastAsia="zh-CN"/>
        </w:rPr>
        <w:t>855.35</w:t>
      </w:r>
      <w:r>
        <w:t>万元，</w:t>
      </w:r>
      <w:r>
        <w:rPr>
          <w:rFonts w:hint="eastAsia"/>
          <w:lang w:eastAsia="zh-CN"/>
        </w:rPr>
        <w:t>同比上年减少</w:t>
      </w:r>
      <w:r>
        <w:rPr>
          <w:rFonts w:hint="eastAsia"/>
          <w:lang w:val="en-US" w:eastAsia="zh-CN"/>
        </w:rPr>
        <w:t>1289.96万元，减少60.13%。</w:t>
      </w:r>
      <w:r>
        <w:t>国有资本经营预算收入0.00万元，财政专户核拨收入0.00万元，单位资金收入0.00万元。</w:t>
      </w:r>
    </w:p>
    <w:p>
      <w:pPr>
        <w:pStyle w:val="28"/>
      </w:pPr>
      <w:r>
        <w:t>2、支出说明</w:t>
      </w:r>
    </w:p>
    <w:p>
      <w:pPr>
        <w:pStyle w:val="28"/>
      </w:pPr>
      <w:r>
        <w:t>收支预算总表支出栏、基本支出表、项目支出表按经济分类和支出功能分类科目编制，反映青龙满族自治县发展和改革局本级年度单位预算中支出预算的总体情况。2024年支出预算3919.09万元，</w:t>
      </w:r>
      <w:r>
        <w:rPr>
          <w:rFonts w:hint="eastAsia"/>
          <w:lang w:eastAsia="zh-CN"/>
        </w:rPr>
        <w:t>同比上年减少</w:t>
      </w:r>
      <w:r>
        <w:rPr>
          <w:rFonts w:hint="eastAsia"/>
          <w:lang w:val="en-US" w:eastAsia="zh-CN"/>
        </w:rPr>
        <w:t>3312.45万元，减少45.81%。</w:t>
      </w:r>
      <w:r>
        <w:t>其中基本支出884.74万元，</w:t>
      </w:r>
      <w:r>
        <w:rPr>
          <w:rFonts w:hint="eastAsia"/>
          <w:lang w:eastAsia="zh-CN"/>
        </w:rPr>
        <w:t>同比上年减少</w:t>
      </w:r>
      <w:r>
        <w:rPr>
          <w:rFonts w:hint="eastAsia"/>
          <w:lang w:val="en-US" w:eastAsia="zh-CN"/>
        </w:rPr>
        <w:t>55.09万元，减少5.86%。</w:t>
      </w:r>
      <w:r>
        <w:t>包括人员经费832.00万元和日常公用经费52.74万元；项目支出3034.35万元，</w:t>
      </w:r>
      <w:r>
        <w:rPr>
          <w:rFonts w:hint="eastAsia"/>
          <w:lang w:eastAsia="zh-CN"/>
        </w:rPr>
        <w:t>同比上年减少</w:t>
      </w:r>
      <w:r>
        <w:rPr>
          <w:rFonts w:hint="eastAsia"/>
          <w:lang w:val="en-US" w:eastAsia="zh-CN"/>
        </w:rPr>
        <w:t>3257.35万元，减少51.77%。</w:t>
      </w:r>
      <w:r>
        <w:t>主要为人防工程标志、标牌更换及编制规划等专项资金89.25万元</w:t>
      </w:r>
    </w:p>
    <w:p>
      <w:pPr>
        <w:pStyle w:val="28"/>
      </w:pPr>
      <w:r>
        <w:t>原民爆公司遗留问题费用55万元</w:t>
      </w:r>
    </w:p>
    <w:p>
      <w:pPr>
        <w:pStyle w:val="28"/>
      </w:pPr>
      <w:r>
        <w:t>储备粮利息费用补贴158.4万元</w:t>
      </w:r>
    </w:p>
    <w:p>
      <w:pPr>
        <w:pStyle w:val="28"/>
      </w:pPr>
      <w:r>
        <w:t>客户体验中心项目所需配套资金37.6万元</w:t>
      </w:r>
    </w:p>
    <w:p>
      <w:pPr>
        <w:pStyle w:val="28"/>
      </w:pPr>
      <w:r>
        <w:t>上缴2024年政策性新增粮食财务挂账占用贷款利息支出46.12万元</w:t>
      </w:r>
    </w:p>
    <w:p>
      <w:pPr>
        <w:pStyle w:val="28"/>
      </w:pPr>
      <w:r>
        <w:t>中小企业扶持资金300万元</w:t>
      </w:r>
    </w:p>
    <w:p>
      <w:pPr>
        <w:pStyle w:val="28"/>
      </w:pPr>
      <w:r>
        <w:t>清洁取暖县级配套资金300万元</w:t>
      </w:r>
    </w:p>
    <w:p>
      <w:pPr>
        <w:pStyle w:val="28"/>
      </w:pPr>
      <w:r>
        <w:t>矽肺病人补助资金250万元</w:t>
      </w:r>
    </w:p>
    <w:p>
      <w:pPr>
        <w:pStyle w:val="28"/>
      </w:pPr>
      <w:r>
        <w:t>矽肺病人员补助资金350万元</w:t>
      </w:r>
    </w:p>
    <w:p>
      <w:pPr>
        <w:pStyle w:val="28"/>
      </w:pPr>
      <w:r>
        <w:t>水库粮食移民补贴（二道杖子）48.6万元</w:t>
      </w:r>
    </w:p>
    <w:p>
      <w:pPr>
        <w:pStyle w:val="28"/>
      </w:pPr>
      <w:r>
        <w:t>代发企业改制人员退休费43.73万元</w:t>
      </w:r>
    </w:p>
    <w:p>
      <w:pPr>
        <w:pStyle w:val="28"/>
      </w:pPr>
    </w:p>
    <w:p>
      <w:pPr>
        <w:pStyle w:val="28"/>
      </w:pPr>
    </w:p>
    <w:p>
      <w:pPr>
        <w:pStyle w:val="28"/>
      </w:pPr>
    </w:p>
    <w:p>
      <w:pPr>
        <w:pStyle w:val="28"/>
      </w:pPr>
      <w:r>
        <w:t>3、比上年增减情况</w:t>
      </w:r>
    </w:p>
    <w:p>
      <w:pPr>
        <w:pStyle w:val="28"/>
        <w:rPr>
          <w:rFonts w:hint="eastAsia" w:ascii="黑体" w:hAnsi="黑体" w:eastAsia="方正仿宋_GBK" w:cs="黑体"/>
          <w:color w:val="000000"/>
          <w:sz w:val="32"/>
          <w:lang w:eastAsia="zh-CN"/>
        </w:rPr>
      </w:pPr>
      <w:r>
        <w:t>2024年预算收支安排3919.09万元，较2023年预算减少3312.45万元，其中：基本支出减少55.09万元，</w:t>
      </w:r>
      <w:r>
        <w:rPr>
          <w:rFonts w:hint="eastAsia"/>
        </w:rPr>
        <w:t>有人员退休，人员和经费减少</w:t>
      </w:r>
      <w:r>
        <w:rPr>
          <w:rFonts w:hint="eastAsia"/>
          <w:lang w:eastAsia="zh-CN"/>
        </w:rPr>
        <w:t>，</w:t>
      </w:r>
      <w:r>
        <w:t>项目支出减少3257.36万元，</w:t>
      </w:r>
      <w:r>
        <w:rPr>
          <w:rFonts w:hint="eastAsia"/>
        </w:rPr>
        <w:t>主要为矽肺病人员补助资金、洁净型煤款减少</w:t>
      </w:r>
      <w:r>
        <w:rPr>
          <w:rFonts w:hint="eastAsia"/>
          <w:lang w:eastAsia="zh-CN"/>
        </w:rPr>
        <w:t>。</w:t>
      </w:r>
    </w:p>
    <w:p>
      <w:pPr>
        <w:spacing w:before="10" w:after="10"/>
        <w:ind w:firstLine="640" w:firstLineChars="200"/>
        <w:outlineLvl w:val="5"/>
      </w:pPr>
      <w:r>
        <w:rPr>
          <w:rFonts w:ascii="黑体" w:hAnsi="黑体" w:eastAsia="黑体" w:cs="黑体"/>
          <w:color w:val="000000"/>
          <w:sz w:val="32"/>
        </w:rPr>
        <w:t>三、机关运行经费安排情况</w:t>
      </w:r>
    </w:p>
    <w:p>
      <w:pPr>
        <w:pStyle w:val="29"/>
        <w:rPr>
          <w:rFonts w:ascii="黑体" w:hAnsi="黑体" w:eastAsia="黑体" w:cs="黑体"/>
          <w:color w:val="000000"/>
          <w:sz w:val="32"/>
        </w:rPr>
      </w:pPr>
      <w:r>
        <w:t>机关运行经费安排情况机关运行经费安排情况</w:t>
      </w:r>
      <w:r>
        <w:rPr>
          <w:rFonts w:hint="eastAsia"/>
          <w:lang w:val="en-US" w:eastAsia="zh-CN"/>
        </w:rPr>
        <w:t>2024</w:t>
      </w:r>
      <w:r>
        <w:t>年，我部门机关运行经费共计安排</w:t>
      </w:r>
      <w:r>
        <w:rPr>
          <w:rFonts w:hint="eastAsia"/>
          <w:lang w:val="en-US" w:eastAsia="zh-CN"/>
        </w:rPr>
        <w:t>52.74</w:t>
      </w:r>
      <w:r>
        <w:t>元，主要用于</w:t>
      </w:r>
      <w:r>
        <w:rPr>
          <w:rFonts w:hint="eastAsia"/>
          <w:lang w:eastAsia="zh-CN"/>
        </w:rPr>
        <w:t>办公费</w:t>
      </w:r>
      <w:r>
        <w:rPr>
          <w:rFonts w:hint="eastAsia"/>
          <w:lang w:val="en-US" w:eastAsia="zh-CN"/>
        </w:rPr>
        <w:t>2.2</w:t>
      </w:r>
      <w:r>
        <w:t>万元、</w:t>
      </w:r>
      <w:r>
        <w:rPr>
          <w:rFonts w:hint="eastAsia"/>
          <w:lang w:eastAsia="zh-CN"/>
        </w:rPr>
        <w:t>邮电费</w:t>
      </w:r>
      <w:r>
        <w:rPr>
          <w:rFonts w:hint="eastAsia"/>
          <w:lang w:val="en-US" w:eastAsia="zh-CN"/>
        </w:rPr>
        <w:t>2.72万元、</w:t>
      </w:r>
      <w:r>
        <w:t>维修(护)费</w:t>
      </w:r>
      <w:r>
        <w:rPr>
          <w:rFonts w:hint="eastAsia"/>
          <w:lang w:val="en-US" w:eastAsia="zh-CN"/>
        </w:rPr>
        <w:t>7.17</w:t>
      </w:r>
      <w:r>
        <w:t>万元，</w:t>
      </w:r>
      <w:r>
        <w:rPr>
          <w:rFonts w:hint="eastAsia"/>
          <w:lang w:eastAsia="zh-CN"/>
        </w:rPr>
        <w:t>劳务费</w:t>
      </w:r>
      <w:r>
        <w:rPr>
          <w:rFonts w:hint="eastAsia"/>
          <w:lang w:val="en-US" w:eastAsia="zh-CN"/>
        </w:rPr>
        <w:t>2.57万元，</w:t>
      </w:r>
      <w:r>
        <w:t>公共用车维护</w:t>
      </w:r>
      <w:r>
        <w:rPr>
          <w:rFonts w:hint="eastAsia"/>
          <w:lang w:val="en-US" w:eastAsia="zh-CN"/>
        </w:rPr>
        <w:t>15</w:t>
      </w:r>
      <w:r>
        <w:t>万元、其他交通费</w:t>
      </w:r>
      <w:r>
        <w:rPr>
          <w:rFonts w:hint="eastAsia"/>
          <w:lang w:val="en-US" w:eastAsia="zh-CN"/>
        </w:rPr>
        <w:t>22.08</w:t>
      </w:r>
      <w:r>
        <w:t>万元等日常运行支出。</w:t>
      </w:r>
    </w:p>
    <w:p>
      <w:pPr>
        <w:spacing w:before="10" w:after="10"/>
        <w:ind w:firstLine="640" w:firstLineChars="200"/>
        <w:outlineLvl w:val="5"/>
      </w:pPr>
      <w:r>
        <w:rPr>
          <w:rFonts w:ascii="黑体" w:hAnsi="黑体" w:eastAsia="黑体" w:cs="黑体"/>
          <w:color w:val="000000"/>
          <w:sz w:val="32"/>
        </w:rPr>
        <w:t>四、财政拨款“三公”经费预算情况及增减变化原因</w:t>
      </w:r>
    </w:p>
    <w:p>
      <w:pPr>
        <w:pStyle w:val="28"/>
      </w:pPr>
      <w:r>
        <w:rPr>
          <w:rFonts w:hint="eastAsia"/>
          <w:lang w:val="en-US" w:eastAsia="zh-CN"/>
        </w:rPr>
        <w:t>2024</w:t>
      </w:r>
      <w:r>
        <w:t>年，我部门财政拨款“三公”经费预算安排</w:t>
      </w:r>
      <w:r>
        <w:rPr>
          <w:rFonts w:hint="eastAsia"/>
          <w:lang w:val="en-US" w:eastAsia="zh-CN"/>
        </w:rPr>
        <w:t>24</w:t>
      </w:r>
      <w:r>
        <w:t>万元，同比</w:t>
      </w:r>
      <w:r>
        <w:rPr>
          <w:rFonts w:hint="eastAsia"/>
          <w:lang w:eastAsia="zh-CN"/>
        </w:rPr>
        <w:t>减少</w:t>
      </w:r>
      <w:r>
        <w:rPr>
          <w:rFonts w:hint="eastAsia"/>
          <w:lang w:val="en-US" w:eastAsia="zh-CN"/>
        </w:rPr>
        <w:t>10.18</w:t>
      </w:r>
      <w:r>
        <w:t>万元，</w:t>
      </w:r>
      <w:r>
        <w:rPr>
          <w:rFonts w:hint="eastAsia"/>
          <w:lang w:eastAsia="zh-CN"/>
        </w:rPr>
        <w:t>减少</w:t>
      </w:r>
      <w:r>
        <w:t>了</w:t>
      </w:r>
      <w:r>
        <w:rPr>
          <w:rFonts w:hint="eastAsia"/>
          <w:lang w:val="en-US" w:eastAsia="zh-CN"/>
        </w:rPr>
        <w:t>29.78</w:t>
      </w:r>
      <w:r>
        <w:t>%，主要原因是我部门</w:t>
      </w:r>
      <w:r>
        <w:rPr>
          <w:rFonts w:hint="eastAsia"/>
          <w:lang w:eastAsia="zh-CN"/>
        </w:rPr>
        <w:t>相应政策节省开支。</w:t>
      </w:r>
      <w:r>
        <w:t>其中因公出国（境）费0万元，原因是无因公出国（境）安排；公务用车购置及运维费</w:t>
      </w:r>
      <w:r>
        <w:rPr>
          <w:rFonts w:hint="eastAsia"/>
          <w:lang w:val="en-US" w:eastAsia="zh-CN"/>
        </w:rPr>
        <w:t>19</w:t>
      </w:r>
      <w:r>
        <w:t>万元（其中：公务用车购置费为0万元，公务用车运维费</w:t>
      </w:r>
      <w:r>
        <w:rPr>
          <w:rFonts w:hint="eastAsia"/>
          <w:lang w:val="en-US" w:eastAsia="zh-CN"/>
        </w:rPr>
        <w:t>19</w:t>
      </w:r>
      <w:r>
        <w:t>万元)，同比</w:t>
      </w:r>
      <w:r>
        <w:rPr>
          <w:rFonts w:hint="eastAsia"/>
          <w:lang w:eastAsia="zh-CN"/>
        </w:rPr>
        <w:t>减少</w:t>
      </w:r>
      <w:r>
        <w:rPr>
          <w:rFonts w:hint="eastAsia"/>
          <w:lang w:val="en-US" w:eastAsia="zh-CN"/>
        </w:rPr>
        <w:t>6.68</w:t>
      </w:r>
      <w:r>
        <w:t>万元，</w:t>
      </w:r>
      <w:r>
        <w:rPr>
          <w:rFonts w:hint="eastAsia"/>
          <w:lang w:eastAsia="zh-CN"/>
        </w:rPr>
        <w:t>减少</w:t>
      </w:r>
      <w:r>
        <w:t>了</w:t>
      </w:r>
      <w:r>
        <w:rPr>
          <w:rFonts w:hint="eastAsia"/>
          <w:lang w:val="en-US" w:eastAsia="zh-CN"/>
        </w:rPr>
        <w:t>26.01</w:t>
      </w:r>
      <w:r>
        <w:t>%，主要原因是我部门</w:t>
      </w:r>
      <w:r>
        <w:rPr>
          <w:rFonts w:hint="eastAsia"/>
          <w:lang w:eastAsia="zh-CN"/>
        </w:rPr>
        <w:t>相应政策节省开支。</w:t>
      </w:r>
      <w:r>
        <w:t>公务接待费</w:t>
      </w:r>
      <w:r>
        <w:rPr>
          <w:rFonts w:hint="eastAsia"/>
          <w:lang w:val="en-US" w:eastAsia="zh-CN"/>
        </w:rPr>
        <w:t>5</w:t>
      </w:r>
      <w:r>
        <w:t>万元，同比</w:t>
      </w:r>
      <w:r>
        <w:rPr>
          <w:rFonts w:hint="eastAsia"/>
          <w:lang w:eastAsia="zh-CN"/>
        </w:rPr>
        <w:t>减少</w:t>
      </w:r>
      <w:r>
        <w:rPr>
          <w:rFonts w:hint="eastAsia"/>
          <w:lang w:val="en-US" w:eastAsia="zh-CN"/>
        </w:rPr>
        <w:t>3.5</w:t>
      </w:r>
      <w:r>
        <w:t>万元，</w:t>
      </w:r>
      <w:r>
        <w:rPr>
          <w:rFonts w:hint="eastAsia"/>
          <w:lang w:eastAsia="zh-CN"/>
        </w:rPr>
        <w:t>减少</w:t>
      </w:r>
      <w:r>
        <w:rPr>
          <w:rFonts w:hint="eastAsia"/>
          <w:lang w:val="en-US" w:eastAsia="zh-CN"/>
        </w:rPr>
        <w:t>41.74</w:t>
      </w:r>
      <w:r>
        <w:t>%，</w:t>
      </w:r>
      <w:r>
        <w:rPr>
          <w:rFonts w:hint="eastAsia"/>
          <w:lang w:eastAsia="zh-CN"/>
        </w:rPr>
        <w:t>减少</w:t>
      </w:r>
      <w:r>
        <w:t>的主要原因为我部门</w:t>
      </w:r>
      <w:r>
        <w:rPr>
          <w:rFonts w:hint="eastAsia"/>
          <w:lang w:eastAsia="zh-CN"/>
        </w:rPr>
        <w:t>相应政策节省开支。</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1、板栗产业科技培训费绩效目标表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13032123P00338310021L</w:t>
            </w:r>
          </w:p>
        </w:tc>
        <w:tc>
          <w:tcPr>
            <w:tcW w:w="2835" w:type="dxa"/>
            <w:vAlign w:val="center"/>
          </w:tcPr>
          <w:p>
            <w:pPr>
              <w:pStyle w:val="12"/>
            </w:pPr>
            <w:r>
              <w:t>项目名称</w:t>
            </w:r>
          </w:p>
        </w:tc>
        <w:tc>
          <w:tcPr>
            <w:tcW w:w="6095" w:type="dxa"/>
            <w:gridSpan w:val="3"/>
            <w:vAlign w:val="center"/>
          </w:tcPr>
          <w:p>
            <w:pPr>
              <w:pStyle w:val="14"/>
            </w:pPr>
            <w:r>
              <w:t>板栗产业科技培训费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预算安排4万元，其中，财政资金4万元，主要用于支付板栗产业科技相关费用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25</w:t>
            </w:r>
          </w:p>
        </w:tc>
        <w:tc>
          <w:tcPr>
            <w:tcW w:w="2835" w:type="dxa"/>
            <w:vAlign w:val="center"/>
          </w:tcPr>
          <w:p>
            <w:pPr>
              <w:pStyle w:val="15"/>
            </w:pPr>
            <w:r>
              <w:rPr>
                <w:rFonts w:hint="eastAsia" w:asciiTheme="minorEastAsia" w:hAnsiTheme="minorEastAsia" w:eastAsiaTheme="minorEastAsia"/>
                <w:lang w:eastAsia="zh-CN"/>
              </w:rPr>
              <w:t>75</w:t>
            </w:r>
          </w:p>
        </w:tc>
        <w:tc>
          <w:tcPr>
            <w:tcW w:w="2551" w:type="dxa"/>
            <w:vAlign w:val="center"/>
          </w:tcPr>
          <w:p>
            <w:pPr>
              <w:pStyle w:val="15"/>
            </w:pPr>
            <w:r>
              <w:rPr>
                <w:rFonts w:hint="eastAsia" w:asciiTheme="minorEastAsia" w:hAnsiTheme="minorEastAsia" w:eastAsiaTheme="minorEastAsia"/>
                <w:lang w:eastAsia="zh-CN"/>
              </w:rPr>
              <w:t>100</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1.通过组织专家教授、培训教师、科技人员、农业技术人员开展科技大培训，促进农民科技素质提升。</w:t>
            </w:r>
          </w:p>
          <w:p>
            <w:pPr>
              <w:pStyle w:val="14"/>
            </w:pPr>
            <w:r>
              <w:t>2.通过培训提高农业技术水平，促进农村经济快速发展。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培训次数</w:t>
            </w:r>
          </w:p>
        </w:tc>
        <w:tc>
          <w:tcPr>
            <w:tcW w:w="5386" w:type="dxa"/>
            <w:vAlign w:val="center"/>
          </w:tcPr>
          <w:p>
            <w:pPr>
              <w:pStyle w:val="14"/>
            </w:pPr>
            <w:r>
              <w:t>完成年度培训次数</w:t>
            </w:r>
          </w:p>
        </w:tc>
        <w:tc>
          <w:tcPr>
            <w:tcW w:w="2268" w:type="dxa"/>
            <w:vAlign w:val="center"/>
          </w:tcPr>
          <w:p>
            <w:pPr>
              <w:pStyle w:val="14"/>
            </w:pPr>
            <w:r>
              <w:t>≥15次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聘请专家数量</w:t>
            </w:r>
          </w:p>
        </w:tc>
        <w:tc>
          <w:tcPr>
            <w:tcW w:w="5386" w:type="dxa"/>
            <w:vAlign w:val="center"/>
          </w:tcPr>
          <w:p>
            <w:pPr>
              <w:pStyle w:val="14"/>
            </w:pPr>
            <w:r>
              <w:t>聘请培训专家人数</w:t>
            </w:r>
          </w:p>
        </w:tc>
        <w:tc>
          <w:tcPr>
            <w:tcW w:w="2268" w:type="dxa"/>
            <w:vAlign w:val="center"/>
          </w:tcPr>
          <w:p>
            <w:pPr>
              <w:pStyle w:val="14"/>
            </w:pPr>
            <w:r>
              <w:t>≥1人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培训普及人数</w:t>
            </w:r>
          </w:p>
        </w:tc>
        <w:tc>
          <w:tcPr>
            <w:tcW w:w="5386" w:type="dxa"/>
            <w:vAlign w:val="center"/>
          </w:tcPr>
          <w:p>
            <w:pPr>
              <w:pStyle w:val="14"/>
            </w:pPr>
            <w:r>
              <w:t>培训栗农（人/次）</w:t>
            </w:r>
          </w:p>
        </w:tc>
        <w:tc>
          <w:tcPr>
            <w:tcW w:w="2268" w:type="dxa"/>
            <w:vAlign w:val="center"/>
          </w:tcPr>
          <w:p>
            <w:pPr>
              <w:pStyle w:val="14"/>
            </w:pPr>
            <w:r>
              <w:t>≥1500人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培训技术应用率</w:t>
            </w:r>
          </w:p>
        </w:tc>
        <w:tc>
          <w:tcPr>
            <w:tcW w:w="5386" w:type="dxa"/>
            <w:vAlign w:val="center"/>
          </w:tcPr>
          <w:p>
            <w:pPr>
              <w:pStyle w:val="14"/>
            </w:pPr>
            <w:r>
              <w:t>培训技术应用人数占培训总人数的比例</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按工作计划完成</w:t>
            </w:r>
          </w:p>
        </w:tc>
        <w:tc>
          <w:tcPr>
            <w:tcW w:w="2268" w:type="dxa"/>
            <w:vAlign w:val="center"/>
          </w:tcPr>
          <w:p>
            <w:pPr>
              <w:pStyle w:val="14"/>
            </w:pPr>
            <w:r>
              <w:t>2024年度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专家顾问费</w:t>
            </w:r>
          </w:p>
        </w:tc>
        <w:tc>
          <w:tcPr>
            <w:tcW w:w="5386" w:type="dxa"/>
            <w:vAlign w:val="center"/>
          </w:tcPr>
          <w:p>
            <w:pPr>
              <w:pStyle w:val="14"/>
            </w:pPr>
            <w:r>
              <w:t>专家指导顾问费支付标准</w:t>
            </w:r>
          </w:p>
        </w:tc>
        <w:tc>
          <w:tcPr>
            <w:tcW w:w="2268" w:type="dxa"/>
            <w:vAlign w:val="center"/>
          </w:tcPr>
          <w:p>
            <w:pPr>
              <w:pStyle w:val="14"/>
            </w:pPr>
            <w:r>
              <w:t>≤2000元/半天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委托合作社培训费</w:t>
            </w:r>
          </w:p>
        </w:tc>
        <w:tc>
          <w:tcPr>
            <w:tcW w:w="5386" w:type="dxa"/>
            <w:vAlign w:val="center"/>
          </w:tcPr>
          <w:p>
            <w:pPr>
              <w:pStyle w:val="14"/>
            </w:pPr>
            <w:r>
              <w:t>场地租赁费、餐费、资料费等</w:t>
            </w:r>
          </w:p>
        </w:tc>
        <w:tc>
          <w:tcPr>
            <w:tcW w:w="2268" w:type="dxa"/>
            <w:vAlign w:val="center"/>
          </w:tcPr>
          <w:p>
            <w:pPr>
              <w:pStyle w:val="14"/>
            </w:pPr>
            <w:r>
              <w:t>≤100元/人/天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资料费</w:t>
            </w:r>
          </w:p>
        </w:tc>
        <w:tc>
          <w:tcPr>
            <w:tcW w:w="5386" w:type="dxa"/>
            <w:vAlign w:val="center"/>
          </w:tcPr>
          <w:p>
            <w:pPr>
              <w:pStyle w:val="14"/>
            </w:pPr>
            <w:r>
              <w:t>书籍、光盘等资料制作费</w:t>
            </w:r>
          </w:p>
        </w:tc>
        <w:tc>
          <w:tcPr>
            <w:tcW w:w="2268" w:type="dxa"/>
            <w:vAlign w:val="center"/>
          </w:tcPr>
          <w:p>
            <w:pPr>
              <w:pStyle w:val="14"/>
            </w:pPr>
            <w:r>
              <w:t>≤20元/本（个）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降低人力成本</w:t>
            </w:r>
          </w:p>
        </w:tc>
        <w:tc>
          <w:tcPr>
            <w:tcW w:w="5386" w:type="dxa"/>
            <w:vAlign w:val="center"/>
          </w:tcPr>
          <w:p>
            <w:pPr>
              <w:pStyle w:val="14"/>
            </w:pPr>
            <w:r>
              <w:t>降低板栗修剪管理投入人工成本</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提高百姓板栗种植积极性</w:t>
            </w:r>
          </w:p>
        </w:tc>
        <w:tc>
          <w:tcPr>
            <w:tcW w:w="5386" w:type="dxa"/>
            <w:vAlign w:val="center"/>
          </w:tcPr>
          <w:p>
            <w:pPr>
              <w:pStyle w:val="14"/>
            </w:pPr>
            <w:r>
              <w:t>带动当地百姓发展板栗种植、扩大其种植面积、加强相关技术管理</w:t>
            </w:r>
          </w:p>
        </w:tc>
        <w:tc>
          <w:tcPr>
            <w:tcW w:w="2268" w:type="dxa"/>
            <w:vAlign w:val="center"/>
          </w:tcPr>
          <w:p>
            <w:pPr>
              <w:pStyle w:val="14"/>
            </w:pPr>
            <w:r>
              <w:t>≥1万亩/年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提高板栗产量</w:t>
            </w:r>
          </w:p>
        </w:tc>
        <w:tc>
          <w:tcPr>
            <w:tcW w:w="5386" w:type="dxa"/>
            <w:vAlign w:val="center"/>
          </w:tcPr>
          <w:p>
            <w:pPr>
              <w:pStyle w:val="14"/>
            </w:pPr>
            <w:r>
              <w:t>持续提高板栗每年生产产量</w:t>
            </w:r>
          </w:p>
        </w:tc>
        <w:tc>
          <w:tcPr>
            <w:tcW w:w="2268" w:type="dxa"/>
            <w:vAlign w:val="center"/>
          </w:tcPr>
          <w:p>
            <w:pPr>
              <w:pStyle w:val="14"/>
            </w:pPr>
            <w:r>
              <w:t>≥10%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2、电子政务外网建设专项经费绩效目标表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13032123P00338310034B</w:t>
            </w:r>
          </w:p>
        </w:tc>
        <w:tc>
          <w:tcPr>
            <w:tcW w:w="2835" w:type="dxa"/>
            <w:vAlign w:val="center"/>
          </w:tcPr>
          <w:p>
            <w:pPr>
              <w:pStyle w:val="12"/>
            </w:pPr>
            <w:r>
              <w:t>项目名称</w:t>
            </w:r>
          </w:p>
        </w:tc>
        <w:tc>
          <w:tcPr>
            <w:tcW w:w="6095" w:type="dxa"/>
            <w:gridSpan w:val="3"/>
            <w:vAlign w:val="center"/>
          </w:tcPr>
          <w:p>
            <w:pPr>
              <w:pStyle w:val="14"/>
            </w:pPr>
            <w:r>
              <w:t>电子政务外网建设专项经费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24.60</w:t>
            </w:r>
          </w:p>
        </w:tc>
        <w:tc>
          <w:tcPr>
            <w:tcW w:w="2835" w:type="dxa"/>
            <w:vAlign w:val="center"/>
          </w:tcPr>
          <w:p>
            <w:pPr>
              <w:pStyle w:val="12"/>
            </w:pPr>
            <w:r>
              <w:t>其中：财政    资金</w:t>
            </w:r>
          </w:p>
        </w:tc>
        <w:tc>
          <w:tcPr>
            <w:tcW w:w="2551" w:type="dxa"/>
            <w:vAlign w:val="center"/>
          </w:tcPr>
          <w:p>
            <w:pPr>
              <w:pStyle w:val="14"/>
            </w:pPr>
            <w:r>
              <w:t>24.60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预算安排24.6万元，其中，财政资金24.6万元，主要用于电子政务外网建设专项费用支出。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lang w:val="en-US"/>
              </w:rPr>
            </w:pPr>
            <w:r>
              <w:rPr>
                <w:rFonts w:hint="eastAsia" w:asciiTheme="minorEastAsia" w:hAnsiTheme="minorEastAsia" w:eastAsiaTheme="minorEastAsia"/>
                <w:lang w:val="en-US" w:eastAsia="zh-CN"/>
              </w:rPr>
              <w:t>25</w:t>
            </w:r>
          </w:p>
        </w:tc>
        <w:tc>
          <w:tcPr>
            <w:tcW w:w="2835" w:type="dxa"/>
            <w:vAlign w:val="center"/>
          </w:tcPr>
          <w:p>
            <w:pPr>
              <w:pStyle w:val="15"/>
              <w:rPr>
                <w:rFonts w:hint="default"/>
                <w:lang w:val="en-US"/>
              </w:rPr>
            </w:pPr>
            <w:r>
              <w:rPr>
                <w:rFonts w:hint="eastAsia" w:asciiTheme="minorEastAsia" w:hAnsiTheme="minorEastAsia" w:eastAsiaTheme="minorEastAsia"/>
                <w:lang w:val="en-US" w:eastAsia="zh-CN"/>
              </w:rPr>
              <w:t>50</w:t>
            </w:r>
          </w:p>
        </w:tc>
        <w:tc>
          <w:tcPr>
            <w:tcW w:w="2551" w:type="dxa"/>
            <w:vAlign w:val="center"/>
          </w:tcPr>
          <w:p>
            <w:pPr>
              <w:pStyle w:val="15"/>
            </w:pPr>
            <w:r>
              <w:rPr>
                <w:rFonts w:hint="eastAsia" w:asciiTheme="minorEastAsia" w:hAnsiTheme="minorEastAsia" w:eastAsiaTheme="minorEastAsia"/>
                <w:lang w:eastAsia="zh-CN"/>
              </w:rPr>
              <w:t>75</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1.通过租用移动和联通公司数据专线，实现全县电子政务外网畅通、有效运行。</w:t>
            </w:r>
          </w:p>
          <w:p>
            <w:pPr>
              <w:pStyle w:val="14"/>
            </w:pPr>
            <w:r>
              <w:t>2.通过全县电子政务外网全覆盖，提高政务运行效率。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租用移动数据专线数量</w:t>
            </w:r>
          </w:p>
        </w:tc>
        <w:tc>
          <w:tcPr>
            <w:tcW w:w="5386" w:type="dxa"/>
            <w:vAlign w:val="center"/>
          </w:tcPr>
          <w:p>
            <w:pPr>
              <w:pStyle w:val="14"/>
            </w:pPr>
            <w:r>
              <w:t>租用移动公司专线的数量</w:t>
            </w:r>
          </w:p>
        </w:tc>
        <w:tc>
          <w:tcPr>
            <w:tcW w:w="2268" w:type="dxa"/>
            <w:vAlign w:val="center"/>
          </w:tcPr>
          <w:p>
            <w:pPr>
              <w:pStyle w:val="14"/>
            </w:pPr>
            <w:r>
              <w:t>≥17条</w:t>
            </w:r>
          </w:p>
        </w:tc>
        <w:tc>
          <w:tcPr>
            <w:tcW w:w="1276" w:type="dxa"/>
            <w:vAlign w:val="center"/>
          </w:tcPr>
          <w:p>
            <w:pPr>
              <w:pStyle w:val="14"/>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租用联通数据专线数量</w:t>
            </w:r>
          </w:p>
        </w:tc>
        <w:tc>
          <w:tcPr>
            <w:tcW w:w="5386" w:type="dxa"/>
            <w:vAlign w:val="center"/>
          </w:tcPr>
          <w:p>
            <w:pPr>
              <w:pStyle w:val="14"/>
            </w:pPr>
            <w:r>
              <w:t>租用联通公司专线的数量</w:t>
            </w:r>
          </w:p>
        </w:tc>
        <w:tc>
          <w:tcPr>
            <w:tcW w:w="2268" w:type="dxa"/>
            <w:vAlign w:val="center"/>
          </w:tcPr>
          <w:p>
            <w:pPr>
              <w:pStyle w:val="14"/>
            </w:pPr>
            <w:r>
              <w:t>≥65条</w:t>
            </w:r>
          </w:p>
        </w:tc>
        <w:tc>
          <w:tcPr>
            <w:tcW w:w="1276" w:type="dxa"/>
            <w:vAlign w:val="center"/>
          </w:tcPr>
          <w:p>
            <w:pPr>
              <w:pStyle w:val="14"/>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政务外网覆盖率</w:t>
            </w:r>
          </w:p>
        </w:tc>
        <w:tc>
          <w:tcPr>
            <w:tcW w:w="5386" w:type="dxa"/>
            <w:vAlign w:val="center"/>
          </w:tcPr>
          <w:p>
            <w:pPr>
              <w:pStyle w:val="14"/>
            </w:pPr>
            <w:r>
              <w:t>全县电子政务外网覆盖的比例</w:t>
            </w:r>
          </w:p>
        </w:tc>
        <w:tc>
          <w:tcPr>
            <w:tcW w:w="2268" w:type="dxa"/>
            <w:vAlign w:val="center"/>
          </w:tcPr>
          <w:p>
            <w:pPr>
              <w:pStyle w:val="14"/>
            </w:pPr>
            <w:r>
              <w:t>100%</w:t>
            </w:r>
          </w:p>
        </w:tc>
        <w:tc>
          <w:tcPr>
            <w:tcW w:w="1276" w:type="dxa"/>
            <w:vAlign w:val="center"/>
          </w:tcPr>
          <w:p>
            <w:pPr>
              <w:pStyle w:val="14"/>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网络稳定率</w:t>
            </w:r>
          </w:p>
        </w:tc>
        <w:tc>
          <w:tcPr>
            <w:tcW w:w="5386" w:type="dxa"/>
            <w:vAlign w:val="center"/>
          </w:tcPr>
          <w:p>
            <w:pPr>
              <w:pStyle w:val="14"/>
            </w:pPr>
            <w:r>
              <w:t>电子政务外网日常运行稳定率</w:t>
            </w:r>
          </w:p>
        </w:tc>
        <w:tc>
          <w:tcPr>
            <w:tcW w:w="2268" w:type="dxa"/>
            <w:vAlign w:val="center"/>
          </w:tcPr>
          <w:p>
            <w:pPr>
              <w:pStyle w:val="14"/>
            </w:pPr>
            <w:r>
              <w:t>≥80%</w:t>
            </w:r>
          </w:p>
        </w:tc>
        <w:tc>
          <w:tcPr>
            <w:tcW w:w="1276" w:type="dxa"/>
            <w:vAlign w:val="center"/>
          </w:tcPr>
          <w:p>
            <w:pPr>
              <w:pStyle w:val="14"/>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完成租用专线数据的租赁费支付</w:t>
            </w:r>
          </w:p>
        </w:tc>
        <w:tc>
          <w:tcPr>
            <w:tcW w:w="2268" w:type="dxa"/>
            <w:vAlign w:val="center"/>
          </w:tcPr>
          <w:p>
            <w:pPr>
              <w:pStyle w:val="14"/>
            </w:pPr>
            <w:r>
              <w:t>100%</w:t>
            </w:r>
          </w:p>
        </w:tc>
        <w:tc>
          <w:tcPr>
            <w:tcW w:w="1276" w:type="dxa"/>
            <w:vAlign w:val="center"/>
          </w:tcPr>
          <w:p>
            <w:pPr>
              <w:pStyle w:val="14"/>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租用单位成本</w:t>
            </w:r>
          </w:p>
        </w:tc>
        <w:tc>
          <w:tcPr>
            <w:tcW w:w="5386" w:type="dxa"/>
            <w:vAlign w:val="center"/>
          </w:tcPr>
          <w:p>
            <w:pPr>
              <w:pStyle w:val="14"/>
            </w:pPr>
            <w:r>
              <w:t>100M光纤资费单位成本</w:t>
            </w:r>
          </w:p>
        </w:tc>
        <w:tc>
          <w:tcPr>
            <w:tcW w:w="2268" w:type="dxa"/>
            <w:vAlign w:val="center"/>
          </w:tcPr>
          <w:p>
            <w:pPr>
              <w:pStyle w:val="14"/>
            </w:pPr>
            <w:r>
              <w:t>≤250元/条/月</w:t>
            </w:r>
          </w:p>
        </w:tc>
        <w:tc>
          <w:tcPr>
            <w:tcW w:w="1276" w:type="dxa"/>
            <w:vAlign w:val="center"/>
          </w:tcPr>
          <w:p>
            <w:pPr>
              <w:pStyle w:val="14"/>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提升业务便利性</w:t>
            </w:r>
          </w:p>
        </w:tc>
        <w:tc>
          <w:tcPr>
            <w:tcW w:w="5386" w:type="dxa"/>
            <w:vAlign w:val="center"/>
          </w:tcPr>
          <w:p>
            <w:pPr>
              <w:pStyle w:val="14"/>
            </w:pPr>
            <w:r>
              <w:t>对县政府确定的信息化项目审核提供便利程度</w:t>
            </w:r>
          </w:p>
        </w:tc>
        <w:tc>
          <w:tcPr>
            <w:tcW w:w="2268" w:type="dxa"/>
            <w:vAlign w:val="center"/>
          </w:tcPr>
          <w:p>
            <w:pPr>
              <w:pStyle w:val="14"/>
            </w:pPr>
            <w:r>
              <w:t>≥80%</w:t>
            </w:r>
          </w:p>
        </w:tc>
        <w:tc>
          <w:tcPr>
            <w:tcW w:w="1276" w:type="dxa"/>
            <w:vAlign w:val="center"/>
          </w:tcPr>
          <w:p>
            <w:pPr>
              <w:pStyle w:val="14"/>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长期使用性</w:t>
            </w:r>
          </w:p>
        </w:tc>
        <w:tc>
          <w:tcPr>
            <w:tcW w:w="5386" w:type="dxa"/>
            <w:vAlign w:val="center"/>
          </w:tcPr>
          <w:p>
            <w:pPr>
              <w:pStyle w:val="14"/>
            </w:pPr>
            <w:r>
              <w:t>可长期促进相关业务办理发挥其作用</w:t>
            </w:r>
          </w:p>
        </w:tc>
        <w:tc>
          <w:tcPr>
            <w:tcW w:w="2268" w:type="dxa"/>
            <w:vAlign w:val="center"/>
          </w:tcPr>
          <w:p>
            <w:pPr>
              <w:pStyle w:val="14"/>
            </w:pPr>
            <w:r>
              <w:t>≥1年</w:t>
            </w:r>
          </w:p>
        </w:tc>
        <w:tc>
          <w:tcPr>
            <w:tcW w:w="1276" w:type="dxa"/>
            <w:vAlign w:val="center"/>
          </w:tcPr>
          <w:p>
            <w:pPr>
              <w:pStyle w:val="14"/>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服务对象满意数量占总数的比例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3、光伏、易地搬迁、科技扶贫、消费扶贫后续工作经费</w:t>
      </w:r>
    </w:p>
    <w:p>
      <w:pPr>
        <w:ind w:firstLine="560"/>
      </w:pPr>
      <w:r>
        <w:rPr>
          <w:rFonts w:ascii="方正仿宋_GBK" w:hAnsi="方正仿宋_GBK" w:eastAsia="方正仿宋_GBK" w:cs="方正仿宋_GBK"/>
          <w:b/>
          <w:color w:val="000000"/>
          <w:sz w:val="28"/>
        </w:rPr>
        <w:t>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13032123P00338310011Q</w:t>
            </w:r>
          </w:p>
        </w:tc>
        <w:tc>
          <w:tcPr>
            <w:tcW w:w="2835" w:type="dxa"/>
            <w:vAlign w:val="center"/>
          </w:tcPr>
          <w:p>
            <w:pPr>
              <w:pStyle w:val="12"/>
            </w:pPr>
            <w:r>
              <w:t>项目名称</w:t>
            </w:r>
          </w:p>
        </w:tc>
        <w:tc>
          <w:tcPr>
            <w:tcW w:w="6095" w:type="dxa"/>
            <w:gridSpan w:val="3"/>
            <w:vAlign w:val="center"/>
          </w:tcPr>
          <w:p>
            <w:pPr>
              <w:pStyle w:val="14"/>
            </w:pPr>
            <w:r>
              <w:t>光伏、易地搬迁、科技扶贫、消费扶贫后续工作经费</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预算安排8万元，其中，财政资金8万元，主要用于支付光伏、易地搬迁、科技扶贫、消费扶贫后续工作经费。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25</w:t>
            </w:r>
          </w:p>
        </w:tc>
        <w:tc>
          <w:tcPr>
            <w:tcW w:w="2835" w:type="dxa"/>
            <w:vAlign w:val="center"/>
          </w:tcPr>
          <w:p>
            <w:pPr>
              <w:pStyle w:val="15"/>
            </w:pPr>
            <w:r>
              <w:rPr>
                <w:rFonts w:hint="eastAsia" w:asciiTheme="minorEastAsia" w:hAnsiTheme="minorEastAsia" w:eastAsiaTheme="minorEastAsia"/>
                <w:lang w:eastAsia="zh-CN"/>
              </w:rPr>
              <w:t>50</w:t>
            </w:r>
          </w:p>
        </w:tc>
        <w:tc>
          <w:tcPr>
            <w:tcW w:w="2551" w:type="dxa"/>
            <w:vAlign w:val="center"/>
          </w:tcPr>
          <w:p>
            <w:pPr>
              <w:pStyle w:val="15"/>
            </w:pPr>
            <w:r>
              <w:rPr>
                <w:rFonts w:hint="eastAsia" w:asciiTheme="minorEastAsia" w:hAnsiTheme="minorEastAsia" w:eastAsiaTheme="minorEastAsia"/>
                <w:lang w:eastAsia="zh-CN"/>
              </w:rPr>
              <w:t>100</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1.通过加强资金管理和规范，促进项目实施进程。</w:t>
            </w:r>
          </w:p>
          <w:p>
            <w:pPr>
              <w:pStyle w:val="14"/>
            </w:pPr>
            <w:r>
              <w:t>2.通过对全县光伏、易地搬迁、科技扶贫、消费扶贫项目进行督导检查，促进项目目标有效达成。</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组织易地搬迁下乡考察</w:t>
            </w:r>
          </w:p>
        </w:tc>
        <w:tc>
          <w:tcPr>
            <w:tcW w:w="5386" w:type="dxa"/>
            <w:vAlign w:val="center"/>
          </w:tcPr>
          <w:p>
            <w:pPr>
              <w:pStyle w:val="14"/>
            </w:pPr>
            <w:r>
              <w:t>反映易地搬迁下乡考察的次数</w:t>
            </w:r>
          </w:p>
        </w:tc>
        <w:tc>
          <w:tcPr>
            <w:tcW w:w="2268" w:type="dxa"/>
            <w:vAlign w:val="center"/>
          </w:tcPr>
          <w:p>
            <w:pPr>
              <w:pStyle w:val="14"/>
            </w:pPr>
            <w:r>
              <w:t>≥8次</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参加企业的数量</w:t>
            </w:r>
          </w:p>
        </w:tc>
        <w:tc>
          <w:tcPr>
            <w:tcW w:w="5386" w:type="dxa"/>
            <w:vAlign w:val="center"/>
          </w:tcPr>
          <w:p>
            <w:pPr>
              <w:pStyle w:val="14"/>
            </w:pPr>
            <w:r>
              <w:t>反映每次组织产品对接会和产品推广会参加企业的数量</w:t>
            </w:r>
          </w:p>
        </w:tc>
        <w:tc>
          <w:tcPr>
            <w:tcW w:w="2268" w:type="dxa"/>
            <w:vAlign w:val="center"/>
          </w:tcPr>
          <w:p>
            <w:pPr>
              <w:pStyle w:val="14"/>
            </w:pPr>
            <w:r>
              <w:t>≥6个</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组织产品对接会和产品推广会次数</w:t>
            </w:r>
          </w:p>
        </w:tc>
        <w:tc>
          <w:tcPr>
            <w:tcW w:w="5386" w:type="dxa"/>
            <w:vAlign w:val="center"/>
          </w:tcPr>
          <w:p>
            <w:pPr>
              <w:pStyle w:val="14"/>
            </w:pPr>
            <w:r>
              <w:t>反映组织产品对接会和产品推广会次数</w:t>
            </w:r>
          </w:p>
        </w:tc>
        <w:tc>
          <w:tcPr>
            <w:tcW w:w="2268" w:type="dxa"/>
            <w:vAlign w:val="center"/>
          </w:tcPr>
          <w:p>
            <w:pPr>
              <w:pStyle w:val="14"/>
            </w:pPr>
            <w:r>
              <w:t>≥4次</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组织光伏下乡考察的次数</w:t>
            </w:r>
          </w:p>
        </w:tc>
        <w:tc>
          <w:tcPr>
            <w:tcW w:w="5386" w:type="dxa"/>
            <w:vAlign w:val="center"/>
          </w:tcPr>
          <w:p>
            <w:pPr>
              <w:pStyle w:val="14"/>
            </w:pPr>
            <w:r>
              <w:t>反映组织光伏下乡考察的次数</w:t>
            </w:r>
          </w:p>
        </w:tc>
        <w:tc>
          <w:tcPr>
            <w:tcW w:w="2268" w:type="dxa"/>
            <w:vAlign w:val="center"/>
          </w:tcPr>
          <w:p>
            <w:pPr>
              <w:pStyle w:val="14"/>
            </w:pPr>
            <w:r>
              <w:t>≥5次</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组织开展培训会的次数</w:t>
            </w:r>
          </w:p>
        </w:tc>
        <w:tc>
          <w:tcPr>
            <w:tcW w:w="5386" w:type="dxa"/>
            <w:vAlign w:val="center"/>
          </w:tcPr>
          <w:p>
            <w:pPr>
              <w:pStyle w:val="14"/>
            </w:pPr>
            <w:r>
              <w:t>反映组织开展培训会的次数</w:t>
            </w:r>
          </w:p>
        </w:tc>
        <w:tc>
          <w:tcPr>
            <w:tcW w:w="2268" w:type="dxa"/>
            <w:vAlign w:val="center"/>
          </w:tcPr>
          <w:p>
            <w:pPr>
              <w:pStyle w:val="14"/>
            </w:pPr>
            <w:r>
              <w:t>≥15次</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参加培训会的人数</w:t>
            </w:r>
          </w:p>
        </w:tc>
        <w:tc>
          <w:tcPr>
            <w:tcW w:w="5386" w:type="dxa"/>
            <w:vAlign w:val="center"/>
          </w:tcPr>
          <w:p>
            <w:pPr>
              <w:pStyle w:val="14"/>
            </w:pPr>
            <w:r>
              <w:t>反映每次参加培训会的人数</w:t>
            </w:r>
          </w:p>
        </w:tc>
        <w:tc>
          <w:tcPr>
            <w:tcW w:w="2268" w:type="dxa"/>
            <w:vAlign w:val="center"/>
          </w:tcPr>
          <w:p>
            <w:pPr>
              <w:pStyle w:val="14"/>
            </w:pPr>
            <w:r>
              <w:t>≥30人</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正常运转电网数（个）</w:t>
            </w:r>
          </w:p>
        </w:tc>
        <w:tc>
          <w:tcPr>
            <w:tcW w:w="5386" w:type="dxa"/>
            <w:vAlign w:val="center"/>
          </w:tcPr>
          <w:p>
            <w:pPr>
              <w:pStyle w:val="14"/>
            </w:pPr>
            <w:r>
              <w:t>正常运转电网数（个）</w:t>
            </w:r>
          </w:p>
        </w:tc>
        <w:tc>
          <w:tcPr>
            <w:tcW w:w="2268" w:type="dxa"/>
            <w:vAlign w:val="center"/>
          </w:tcPr>
          <w:p>
            <w:pPr>
              <w:pStyle w:val="14"/>
            </w:pPr>
            <w:r>
              <w:t>≥20个</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各项活动完成率</w:t>
            </w:r>
          </w:p>
        </w:tc>
        <w:tc>
          <w:tcPr>
            <w:tcW w:w="5386" w:type="dxa"/>
            <w:vAlign w:val="center"/>
          </w:tcPr>
          <w:p>
            <w:pPr>
              <w:pStyle w:val="14"/>
            </w:pPr>
            <w:r>
              <w:t>反映组织各项活动完成率</w:t>
            </w:r>
          </w:p>
        </w:tc>
        <w:tc>
          <w:tcPr>
            <w:tcW w:w="2268" w:type="dxa"/>
            <w:vAlign w:val="center"/>
          </w:tcPr>
          <w:p>
            <w:pPr>
              <w:pStyle w:val="14"/>
            </w:pPr>
            <w:r>
              <w:t>≥90%</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对接会达成合作意向金额</w:t>
            </w:r>
          </w:p>
        </w:tc>
        <w:tc>
          <w:tcPr>
            <w:tcW w:w="5386" w:type="dxa"/>
            <w:vAlign w:val="center"/>
          </w:tcPr>
          <w:p>
            <w:pPr>
              <w:pStyle w:val="14"/>
            </w:pPr>
            <w:r>
              <w:t>反映组织产品对接会和产品推广会次数达成合作意向情况</w:t>
            </w:r>
          </w:p>
        </w:tc>
        <w:tc>
          <w:tcPr>
            <w:tcW w:w="2268" w:type="dxa"/>
            <w:vAlign w:val="center"/>
          </w:tcPr>
          <w:p>
            <w:pPr>
              <w:pStyle w:val="14"/>
            </w:pPr>
            <w:r>
              <w:t>≥4万元</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组织推进消费扶贫和产销对接会</w:t>
            </w:r>
          </w:p>
        </w:tc>
        <w:tc>
          <w:tcPr>
            <w:tcW w:w="5386" w:type="dxa"/>
            <w:vAlign w:val="center"/>
          </w:tcPr>
          <w:p>
            <w:pPr>
              <w:pStyle w:val="14"/>
            </w:pPr>
            <w:r>
              <w:t>反映组织产品对接会和产品推广会次数成交情况</w:t>
            </w:r>
          </w:p>
        </w:tc>
        <w:tc>
          <w:tcPr>
            <w:tcW w:w="2268" w:type="dxa"/>
            <w:vAlign w:val="center"/>
          </w:tcPr>
          <w:p>
            <w:pPr>
              <w:pStyle w:val="14"/>
            </w:pPr>
            <w:r>
              <w:t>≥4万元</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自动监测站点良好运行率</w:t>
            </w:r>
          </w:p>
        </w:tc>
        <w:tc>
          <w:tcPr>
            <w:tcW w:w="5386" w:type="dxa"/>
            <w:vAlign w:val="center"/>
          </w:tcPr>
          <w:p>
            <w:pPr>
              <w:pStyle w:val="14"/>
            </w:pPr>
            <w:r>
              <w:t>保证辐射环境自动监测站点的良好运行时间占自动监测站点的全年运行时间的比率</w:t>
            </w:r>
          </w:p>
        </w:tc>
        <w:tc>
          <w:tcPr>
            <w:tcW w:w="2268" w:type="dxa"/>
            <w:vAlign w:val="center"/>
          </w:tcPr>
          <w:p>
            <w:pPr>
              <w:pStyle w:val="14"/>
            </w:pPr>
            <w:r>
              <w:t>≥95%</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及时支持奖励项目情况</w:t>
            </w:r>
          </w:p>
        </w:tc>
        <w:tc>
          <w:tcPr>
            <w:tcW w:w="5386" w:type="dxa"/>
            <w:vAlign w:val="center"/>
          </w:tcPr>
          <w:p>
            <w:pPr>
              <w:pStyle w:val="14"/>
            </w:pPr>
            <w:r>
              <w:t>反映及时支付扶持项目情况</w:t>
            </w:r>
          </w:p>
        </w:tc>
        <w:tc>
          <w:tcPr>
            <w:tcW w:w="2268" w:type="dxa"/>
            <w:vAlign w:val="center"/>
          </w:tcPr>
          <w:p>
            <w:pPr>
              <w:pStyle w:val="14"/>
            </w:pPr>
            <w:r>
              <w:t>2024年</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各项活动完成时间</w:t>
            </w:r>
          </w:p>
        </w:tc>
        <w:tc>
          <w:tcPr>
            <w:tcW w:w="5386" w:type="dxa"/>
            <w:vAlign w:val="center"/>
          </w:tcPr>
          <w:p>
            <w:pPr>
              <w:pStyle w:val="14"/>
            </w:pPr>
            <w:r>
              <w:t>反映各项活动完成时间</w:t>
            </w:r>
          </w:p>
        </w:tc>
        <w:tc>
          <w:tcPr>
            <w:tcW w:w="2268" w:type="dxa"/>
            <w:vAlign w:val="center"/>
          </w:tcPr>
          <w:p>
            <w:pPr>
              <w:pStyle w:val="14"/>
            </w:pPr>
            <w:r>
              <w:t>2024年底前</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按照年度工作计划及时检查</w:t>
            </w:r>
          </w:p>
        </w:tc>
        <w:tc>
          <w:tcPr>
            <w:tcW w:w="5386" w:type="dxa"/>
            <w:vAlign w:val="center"/>
          </w:tcPr>
          <w:p>
            <w:pPr>
              <w:pStyle w:val="14"/>
            </w:pPr>
            <w:r>
              <w:t>反映检查工作的及时性</w:t>
            </w:r>
          </w:p>
        </w:tc>
        <w:tc>
          <w:tcPr>
            <w:tcW w:w="2268" w:type="dxa"/>
            <w:vAlign w:val="center"/>
          </w:tcPr>
          <w:p>
            <w:pPr>
              <w:pStyle w:val="14"/>
            </w:pPr>
            <w:r>
              <w:t>≥90%</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反映办公费成本控制情况</w:t>
            </w:r>
          </w:p>
        </w:tc>
        <w:tc>
          <w:tcPr>
            <w:tcW w:w="2268" w:type="dxa"/>
            <w:vAlign w:val="center"/>
          </w:tcPr>
          <w:p>
            <w:pPr>
              <w:pStyle w:val="14"/>
            </w:pPr>
            <w:r>
              <w:t>≤8万元</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促进农产品销售增长</w:t>
            </w:r>
          </w:p>
        </w:tc>
        <w:tc>
          <w:tcPr>
            <w:tcW w:w="5386" w:type="dxa"/>
            <w:vAlign w:val="center"/>
          </w:tcPr>
          <w:p>
            <w:pPr>
              <w:pStyle w:val="14"/>
            </w:pPr>
            <w:r>
              <w:t>通过新媒体及产销对接会等销售渠道促进农产品销售情况</w:t>
            </w:r>
          </w:p>
        </w:tc>
        <w:tc>
          <w:tcPr>
            <w:tcW w:w="2268" w:type="dxa"/>
            <w:vAlign w:val="center"/>
          </w:tcPr>
          <w:p>
            <w:pPr>
              <w:pStyle w:val="14"/>
            </w:pPr>
            <w:r>
              <w:t>≥5%</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促进农村贫困户脱贫效果明显</w:t>
            </w:r>
          </w:p>
        </w:tc>
        <w:tc>
          <w:tcPr>
            <w:tcW w:w="5386" w:type="dxa"/>
            <w:vAlign w:val="center"/>
          </w:tcPr>
          <w:p>
            <w:pPr>
              <w:pStyle w:val="14"/>
            </w:pPr>
            <w:r>
              <w:t>反映贫困户脱贫情况</w:t>
            </w:r>
          </w:p>
        </w:tc>
        <w:tc>
          <w:tcPr>
            <w:tcW w:w="2268" w:type="dxa"/>
            <w:vAlign w:val="center"/>
          </w:tcPr>
          <w:p>
            <w:pPr>
              <w:pStyle w:val="14"/>
            </w:pPr>
            <w:r>
              <w:t>≥100元</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通过消费脱贫工作促进农</w:t>
            </w:r>
          </w:p>
        </w:tc>
        <w:tc>
          <w:tcPr>
            <w:tcW w:w="5386" w:type="dxa"/>
            <w:vAlign w:val="center"/>
          </w:tcPr>
          <w:p>
            <w:pPr>
              <w:pStyle w:val="14"/>
            </w:pPr>
            <w:r>
              <w:t>消费脱贫工作促进农民脱贫效果情况</w:t>
            </w:r>
          </w:p>
        </w:tc>
        <w:tc>
          <w:tcPr>
            <w:tcW w:w="2268" w:type="dxa"/>
            <w:vAlign w:val="center"/>
          </w:tcPr>
          <w:p>
            <w:pPr>
              <w:pStyle w:val="14"/>
            </w:pPr>
            <w:r>
              <w:t>≥5%</w:t>
            </w:r>
          </w:p>
        </w:tc>
        <w:tc>
          <w:tcPr>
            <w:tcW w:w="1276" w:type="dxa"/>
            <w:vAlign w:val="center"/>
          </w:tcPr>
          <w:p>
            <w:pPr>
              <w:pStyle w:val="14"/>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4、价格认定费项目工作经费绩效目标表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13032123P00338310031G</w:t>
            </w:r>
          </w:p>
        </w:tc>
        <w:tc>
          <w:tcPr>
            <w:tcW w:w="2835" w:type="dxa"/>
            <w:vAlign w:val="center"/>
          </w:tcPr>
          <w:p>
            <w:pPr>
              <w:pStyle w:val="12"/>
            </w:pPr>
            <w:r>
              <w:t>项目名称</w:t>
            </w:r>
          </w:p>
        </w:tc>
        <w:tc>
          <w:tcPr>
            <w:tcW w:w="6095" w:type="dxa"/>
            <w:gridSpan w:val="3"/>
            <w:vAlign w:val="center"/>
          </w:tcPr>
          <w:p>
            <w:pPr>
              <w:pStyle w:val="14"/>
            </w:pPr>
            <w:r>
              <w:t>价格认定费项目工作经费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预算安排2万元，其中，财政资金2万元，主要用于支付价格认定工作费用支出。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50</w:t>
            </w:r>
          </w:p>
        </w:tc>
        <w:tc>
          <w:tcPr>
            <w:tcW w:w="2835" w:type="dxa"/>
            <w:vAlign w:val="center"/>
          </w:tcPr>
          <w:p>
            <w:pPr>
              <w:pStyle w:val="15"/>
            </w:pPr>
            <w:r>
              <w:rPr>
                <w:rFonts w:hint="eastAsia" w:asciiTheme="minorEastAsia" w:hAnsiTheme="minorEastAsia" w:eastAsiaTheme="minorEastAsia"/>
                <w:lang w:eastAsia="zh-CN"/>
              </w:rPr>
              <w:t>50</w:t>
            </w:r>
          </w:p>
        </w:tc>
        <w:tc>
          <w:tcPr>
            <w:tcW w:w="2551" w:type="dxa"/>
            <w:vAlign w:val="center"/>
          </w:tcPr>
          <w:p>
            <w:pPr>
              <w:pStyle w:val="15"/>
            </w:pPr>
            <w:r>
              <w:rPr>
                <w:rFonts w:hint="eastAsia" w:asciiTheme="minorEastAsia" w:hAnsiTheme="minorEastAsia" w:eastAsiaTheme="minorEastAsia"/>
                <w:lang w:eastAsia="zh-CN"/>
              </w:rPr>
              <w:t>100</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1.通过接受司法机关、纪检监察机关、行政机关提出的价格认定事项，完成价格订定工作，促进价格管理规范化。</w:t>
            </w:r>
          </w:p>
          <w:p>
            <w:pPr>
              <w:pStyle w:val="14"/>
            </w:pPr>
            <w:r>
              <w:t>2.通过作出准确、可靠的价格认定结论，为司法机关、纪检监察机关、行政机关办理相关案件提供依据，促进工作顺利进行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价格认定件数</w:t>
            </w:r>
          </w:p>
        </w:tc>
        <w:tc>
          <w:tcPr>
            <w:tcW w:w="5386" w:type="dxa"/>
            <w:vAlign w:val="center"/>
          </w:tcPr>
          <w:p>
            <w:pPr>
              <w:pStyle w:val="14"/>
            </w:pPr>
            <w:r>
              <w:t>全年完成的价格认定件数</w:t>
            </w:r>
          </w:p>
        </w:tc>
        <w:tc>
          <w:tcPr>
            <w:tcW w:w="2268" w:type="dxa"/>
            <w:vAlign w:val="center"/>
          </w:tcPr>
          <w:p>
            <w:pPr>
              <w:pStyle w:val="14"/>
            </w:pPr>
            <w:r>
              <w:t>≥30件</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保障价格认定的单位数</w:t>
            </w:r>
          </w:p>
        </w:tc>
        <w:tc>
          <w:tcPr>
            <w:tcW w:w="5386" w:type="dxa"/>
            <w:vAlign w:val="center"/>
          </w:tcPr>
          <w:p>
            <w:pPr>
              <w:pStyle w:val="14"/>
            </w:pPr>
            <w:r>
              <w:t>全年需要配合需求价格认定的单位数，以保障其进行正常的工作</w:t>
            </w:r>
          </w:p>
        </w:tc>
        <w:tc>
          <w:tcPr>
            <w:tcW w:w="2268" w:type="dxa"/>
            <w:vAlign w:val="center"/>
          </w:tcPr>
          <w:p>
            <w:pPr>
              <w:pStyle w:val="14"/>
            </w:pPr>
            <w:r>
              <w:t>≥5个</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价格认定准确率</w:t>
            </w:r>
          </w:p>
        </w:tc>
        <w:tc>
          <w:tcPr>
            <w:tcW w:w="5386" w:type="dxa"/>
            <w:vAlign w:val="center"/>
          </w:tcPr>
          <w:p>
            <w:pPr>
              <w:pStyle w:val="14"/>
            </w:pPr>
            <w:r>
              <w:t>维持价格认定的件数除以价格认定的总数</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价格认定的完成率</w:t>
            </w:r>
          </w:p>
        </w:tc>
        <w:tc>
          <w:tcPr>
            <w:tcW w:w="5386" w:type="dxa"/>
            <w:vAlign w:val="center"/>
          </w:tcPr>
          <w:p>
            <w:pPr>
              <w:pStyle w:val="14"/>
            </w:pPr>
            <w:r>
              <w:t>被委托价格认定数除以已完成价格认定数</w:t>
            </w:r>
          </w:p>
        </w:tc>
        <w:tc>
          <w:tcPr>
            <w:tcW w:w="2268" w:type="dxa"/>
            <w:vAlign w:val="center"/>
          </w:tcPr>
          <w:p>
            <w:pPr>
              <w:pStyle w:val="14"/>
            </w:pPr>
            <w:r>
              <w:t>≥98%</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价格认定办结率</w:t>
            </w:r>
          </w:p>
        </w:tc>
        <w:tc>
          <w:tcPr>
            <w:tcW w:w="5386" w:type="dxa"/>
            <w:vAlign w:val="center"/>
          </w:tcPr>
          <w:p>
            <w:pPr>
              <w:pStyle w:val="14"/>
            </w:pPr>
            <w:r>
              <w:t>在规定时限内出具认定结论的份数占总数的比例</w:t>
            </w:r>
          </w:p>
        </w:tc>
        <w:tc>
          <w:tcPr>
            <w:tcW w:w="2268" w:type="dxa"/>
            <w:vAlign w:val="center"/>
          </w:tcPr>
          <w:p>
            <w:pPr>
              <w:pStyle w:val="14"/>
            </w:pPr>
            <w:r>
              <w:t>≥99%</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费用控制</w:t>
            </w:r>
          </w:p>
        </w:tc>
        <w:tc>
          <w:tcPr>
            <w:tcW w:w="5386" w:type="dxa"/>
            <w:vAlign w:val="center"/>
          </w:tcPr>
          <w:p>
            <w:pPr>
              <w:pStyle w:val="14"/>
            </w:pPr>
            <w:r>
              <w:t>严格进行差旅费成本控制，不超过预算数</w:t>
            </w:r>
          </w:p>
        </w:tc>
        <w:tc>
          <w:tcPr>
            <w:tcW w:w="2268" w:type="dxa"/>
            <w:vAlign w:val="center"/>
          </w:tcPr>
          <w:p>
            <w:pPr>
              <w:pStyle w:val="14"/>
            </w:pPr>
            <w:r>
              <w:t>≤2万元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通过价格认定，提高公共服务质量，促进社会和谐和稳定</w:t>
            </w:r>
          </w:p>
        </w:tc>
        <w:tc>
          <w:tcPr>
            <w:tcW w:w="2268" w:type="dxa"/>
            <w:vAlign w:val="center"/>
          </w:tcPr>
          <w:p>
            <w:pPr>
              <w:pStyle w:val="14"/>
            </w:pPr>
            <w:r>
              <w:t>≥1%</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保障价格的公平公正，维护市场经济秩序</w:t>
            </w:r>
          </w:p>
        </w:tc>
        <w:tc>
          <w:tcPr>
            <w:tcW w:w="2268" w:type="dxa"/>
            <w:vAlign w:val="center"/>
          </w:tcPr>
          <w:p>
            <w:pPr>
              <w:pStyle w:val="14"/>
            </w:pPr>
            <w:r>
              <w:t>≥1年</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司法机构满意度</w:t>
            </w:r>
          </w:p>
        </w:tc>
        <w:tc>
          <w:tcPr>
            <w:tcW w:w="5386" w:type="dxa"/>
            <w:vAlign w:val="center"/>
          </w:tcPr>
          <w:p>
            <w:pPr>
              <w:pStyle w:val="14"/>
            </w:pPr>
            <w:r>
              <w:t>司法机构对价格认定工作的满意程度</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5、节能执法监察经费绩效目标表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13032123P00338310016T</w:t>
            </w:r>
          </w:p>
        </w:tc>
        <w:tc>
          <w:tcPr>
            <w:tcW w:w="2835" w:type="dxa"/>
            <w:vAlign w:val="center"/>
          </w:tcPr>
          <w:p>
            <w:pPr>
              <w:pStyle w:val="12"/>
            </w:pPr>
            <w:r>
              <w:t>项目名称</w:t>
            </w:r>
          </w:p>
        </w:tc>
        <w:tc>
          <w:tcPr>
            <w:tcW w:w="6094" w:type="dxa"/>
            <w:gridSpan w:val="3"/>
            <w:vAlign w:val="center"/>
          </w:tcPr>
          <w:p>
            <w:pPr>
              <w:pStyle w:val="14"/>
            </w:pPr>
            <w:r>
              <w:t>节能执法监察经费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3.53</w:t>
            </w:r>
          </w:p>
        </w:tc>
        <w:tc>
          <w:tcPr>
            <w:tcW w:w="2835" w:type="dxa"/>
            <w:vAlign w:val="center"/>
          </w:tcPr>
          <w:p>
            <w:pPr>
              <w:pStyle w:val="12"/>
            </w:pPr>
            <w:r>
              <w:t>其中：财政    资金</w:t>
            </w:r>
          </w:p>
        </w:tc>
        <w:tc>
          <w:tcPr>
            <w:tcW w:w="2551" w:type="dxa"/>
            <w:vAlign w:val="center"/>
          </w:tcPr>
          <w:p>
            <w:pPr>
              <w:pStyle w:val="14"/>
            </w:pPr>
            <w:r>
              <w:t>3.53</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预算安排0.027万元，其中财政资金0.027万元，主要用于节能执法监察工作费用支出。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rPr>
                <w:rFonts w:hint="eastAsia" w:asciiTheme="minorEastAsia" w:hAnsiTheme="minorEastAsia" w:eastAsiaTheme="minorEastAsia"/>
                <w:lang w:eastAsia="zh-CN"/>
              </w:rPr>
              <w:t>100</w:t>
            </w:r>
          </w:p>
        </w:tc>
        <w:tc>
          <w:tcPr>
            <w:tcW w:w="2835" w:type="dxa"/>
            <w:vAlign w:val="center"/>
          </w:tcPr>
          <w:p>
            <w:pPr>
              <w:pStyle w:val="15"/>
            </w:pPr>
            <w:r>
              <w:rPr>
                <w:rFonts w:hint="eastAsia" w:asciiTheme="minorEastAsia" w:hAnsiTheme="minorEastAsia" w:eastAsiaTheme="minorEastAsia"/>
                <w:lang w:eastAsia="zh-CN"/>
              </w:rPr>
              <w:t>100</w:t>
            </w:r>
          </w:p>
        </w:tc>
        <w:tc>
          <w:tcPr>
            <w:tcW w:w="2551" w:type="dxa"/>
            <w:vAlign w:val="center"/>
          </w:tcPr>
          <w:p>
            <w:pPr>
              <w:pStyle w:val="15"/>
            </w:pPr>
            <w:r>
              <w:rPr>
                <w:rFonts w:hint="eastAsia" w:asciiTheme="minorEastAsia" w:hAnsiTheme="minorEastAsia" w:eastAsiaTheme="minorEastAsia"/>
                <w:lang w:eastAsia="zh-CN"/>
              </w:rPr>
              <w:t>100</w:t>
            </w:r>
          </w:p>
        </w:tc>
        <w:tc>
          <w:tcPr>
            <w:tcW w:w="3543"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1.通过引导行业健康发展，提高全县产业和行业竞争力。</w:t>
            </w:r>
          </w:p>
          <w:p>
            <w:pPr>
              <w:pStyle w:val="14"/>
            </w:pPr>
            <w:r>
              <w:t>2.通过编制循环经济、节能等规划，促进全县节能工作有效提升。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编制循环经济节能等规划计划个数</w:t>
            </w:r>
          </w:p>
        </w:tc>
        <w:tc>
          <w:tcPr>
            <w:tcW w:w="5386" w:type="dxa"/>
            <w:vAlign w:val="center"/>
          </w:tcPr>
          <w:p>
            <w:pPr>
              <w:pStyle w:val="14"/>
            </w:pPr>
            <w:r>
              <w:t>反映编制循环经济节能等规划计划个数情况</w:t>
            </w:r>
          </w:p>
        </w:tc>
        <w:tc>
          <w:tcPr>
            <w:tcW w:w="2268" w:type="dxa"/>
            <w:vAlign w:val="center"/>
          </w:tcPr>
          <w:p>
            <w:pPr>
              <w:pStyle w:val="14"/>
            </w:pPr>
            <w:r>
              <w:t>≥5个</w:t>
            </w:r>
          </w:p>
        </w:tc>
        <w:tc>
          <w:tcPr>
            <w:tcW w:w="1276" w:type="dxa"/>
            <w:vAlign w:val="center"/>
          </w:tcPr>
          <w:p>
            <w:pPr>
              <w:pStyle w:val="14"/>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开展节能评估审查项目个数</w:t>
            </w:r>
          </w:p>
        </w:tc>
        <w:tc>
          <w:tcPr>
            <w:tcW w:w="5386" w:type="dxa"/>
            <w:vAlign w:val="center"/>
          </w:tcPr>
          <w:p>
            <w:pPr>
              <w:pStyle w:val="14"/>
            </w:pPr>
            <w:r>
              <w:t>反映开展节能评估审查项目个数</w:t>
            </w:r>
          </w:p>
        </w:tc>
        <w:tc>
          <w:tcPr>
            <w:tcW w:w="2268" w:type="dxa"/>
            <w:vAlign w:val="center"/>
          </w:tcPr>
          <w:p>
            <w:pPr>
              <w:pStyle w:val="14"/>
            </w:pPr>
            <w:r>
              <w:t>≥10个</w:t>
            </w:r>
          </w:p>
        </w:tc>
        <w:tc>
          <w:tcPr>
            <w:tcW w:w="1276" w:type="dxa"/>
            <w:vAlign w:val="center"/>
          </w:tcPr>
          <w:p>
            <w:pPr>
              <w:pStyle w:val="14"/>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检查指导资数</w:t>
            </w:r>
          </w:p>
        </w:tc>
        <w:tc>
          <w:tcPr>
            <w:tcW w:w="5386" w:type="dxa"/>
            <w:vAlign w:val="center"/>
          </w:tcPr>
          <w:p>
            <w:pPr>
              <w:pStyle w:val="14"/>
            </w:pPr>
            <w:r>
              <w:t>反映到乡镇和企业检查指导工作次</w:t>
            </w:r>
            <w:bookmarkStart w:id="1" w:name="_GoBack"/>
            <w:bookmarkEnd w:id="1"/>
          </w:p>
        </w:tc>
        <w:tc>
          <w:tcPr>
            <w:tcW w:w="2268" w:type="dxa"/>
            <w:vAlign w:val="center"/>
          </w:tcPr>
          <w:p>
            <w:pPr>
              <w:pStyle w:val="14"/>
            </w:pPr>
            <w:r>
              <w:t>≥100次</w:t>
            </w:r>
          </w:p>
        </w:tc>
        <w:tc>
          <w:tcPr>
            <w:tcW w:w="1276" w:type="dxa"/>
            <w:vAlign w:val="center"/>
          </w:tcPr>
          <w:p>
            <w:pPr>
              <w:pStyle w:val="14"/>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开展监察工作次数</w:t>
            </w:r>
          </w:p>
        </w:tc>
        <w:tc>
          <w:tcPr>
            <w:tcW w:w="5386" w:type="dxa"/>
            <w:vAlign w:val="center"/>
          </w:tcPr>
          <w:p>
            <w:pPr>
              <w:pStyle w:val="14"/>
            </w:pPr>
            <w:r>
              <w:t>反映开展监察工作次数</w:t>
            </w:r>
          </w:p>
        </w:tc>
        <w:tc>
          <w:tcPr>
            <w:tcW w:w="2268" w:type="dxa"/>
            <w:vAlign w:val="center"/>
          </w:tcPr>
          <w:p>
            <w:pPr>
              <w:pStyle w:val="14"/>
            </w:pPr>
            <w:r>
              <w:t>≥10次</w:t>
            </w:r>
          </w:p>
        </w:tc>
        <w:tc>
          <w:tcPr>
            <w:tcW w:w="1276" w:type="dxa"/>
            <w:vAlign w:val="center"/>
          </w:tcPr>
          <w:p>
            <w:pPr>
              <w:pStyle w:val="14"/>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邀请相关专家指导人次</w:t>
            </w:r>
          </w:p>
        </w:tc>
        <w:tc>
          <w:tcPr>
            <w:tcW w:w="5386" w:type="dxa"/>
            <w:vAlign w:val="center"/>
          </w:tcPr>
          <w:p>
            <w:pPr>
              <w:pStyle w:val="14"/>
            </w:pPr>
            <w:r>
              <w:t>反映邀请相关专家指导人次</w:t>
            </w:r>
          </w:p>
        </w:tc>
        <w:tc>
          <w:tcPr>
            <w:tcW w:w="2268" w:type="dxa"/>
            <w:vAlign w:val="center"/>
          </w:tcPr>
          <w:p>
            <w:pPr>
              <w:pStyle w:val="14"/>
            </w:pPr>
            <w:r>
              <w:t>≥5人/次</w:t>
            </w:r>
          </w:p>
        </w:tc>
        <w:tc>
          <w:tcPr>
            <w:tcW w:w="1276" w:type="dxa"/>
            <w:vAlign w:val="center"/>
          </w:tcPr>
          <w:p>
            <w:pPr>
              <w:pStyle w:val="14"/>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完成市县节能指标任务</w:t>
            </w:r>
          </w:p>
        </w:tc>
        <w:tc>
          <w:tcPr>
            <w:tcW w:w="5386" w:type="dxa"/>
            <w:vAlign w:val="center"/>
          </w:tcPr>
          <w:p>
            <w:pPr>
              <w:pStyle w:val="14"/>
            </w:pPr>
            <w:r>
              <w:t>反映完成市县节能指标任务情况</w:t>
            </w:r>
          </w:p>
        </w:tc>
        <w:tc>
          <w:tcPr>
            <w:tcW w:w="2268" w:type="dxa"/>
            <w:vAlign w:val="center"/>
          </w:tcPr>
          <w:p>
            <w:pPr>
              <w:pStyle w:val="14"/>
            </w:pPr>
            <w:r>
              <w:t>≥90%</w:t>
            </w:r>
          </w:p>
        </w:tc>
        <w:tc>
          <w:tcPr>
            <w:tcW w:w="1276" w:type="dxa"/>
            <w:vAlign w:val="center"/>
          </w:tcPr>
          <w:p>
            <w:pPr>
              <w:pStyle w:val="14"/>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完成执法监察计划及时性</w:t>
            </w:r>
          </w:p>
        </w:tc>
        <w:tc>
          <w:tcPr>
            <w:tcW w:w="5386" w:type="dxa"/>
            <w:vAlign w:val="center"/>
          </w:tcPr>
          <w:p>
            <w:pPr>
              <w:pStyle w:val="14"/>
            </w:pPr>
            <w:r>
              <w:t>反映完成执法监察计划及时性</w:t>
            </w:r>
          </w:p>
        </w:tc>
        <w:tc>
          <w:tcPr>
            <w:tcW w:w="2268" w:type="dxa"/>
            <w:vAlign w:val="center"/>
          </w:tcPr>
          <w:p>
            <w:pPr>
              <w:pStyle w:val="14"/>
            </w:pPr>
            <w:r>
              <w:t>2024年</w:t>
            </w:r>
          </w:p>
        </w:tc>
        <w:tc>
          <w:tcPr>
            <w:tcW w:w="1276" w:type="dxa"/>
            <w:vAlign w:val="center"/>
          </w:tcPr>
          <w:p>
            <w:pPr>
              <w:pStyle w:val="14"/>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反映办公费成本控制情况</w:t>
            </w:r>
          </w:p>
        </w:tc>
        <w:tc>
          <w:tcPr>
            <w:tcW w:w="2268" w:type="dxa"/>
            <w:vAlign w:val="center"/>
          </w:tcPr>
          <w:p>
            <w:pPr>
              <w:pStyle w:val="14"/>
            </w:pPr>
            <w:r>
              <w:t>≤2万元</w:t>
            </w:r>
          </w:p>
        </w:tc>
        <w:tc>
          <w:tcPr>
            <w:tcW w:w="1276" w:type="dxa"/>
            <w:vAlign w:val="center"/>
          </w:tcPr>
          <w:p>
            <w:pPr>
              <w:pStyle w:val="14"/>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反映其他交通费成本控制情况</w:t>
            </w:r>
          </w:p>
        </w:tc>
        <w:tc>
          <w:tcPr>
            <w:tcW w:w="2268" w:type="dxa"/>
            <w:vAlign w:val="center"/>
          </w:tcPr>
          <w:p>
            <w:pPr>
              <w:pStyle w:val="14"/>
            </w:pPr>
            <w:r>
              <w:t>≤1.5万元</w:t>
            </w:r>
          </w:p>
        </w:tc>
        <w:tc>
          <w:tcPr>
            <w:tcW w:w="1276" w:type="dxa"/>
            <w:vAlign w:val="center"/>
          </w:tcPr>
          <w:p>
            <w:pPr>
              <w:pStyle w:val="14"/>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促进节能降耗</w:t>
            </w:r>
          </w:p>
        </w:tc>
        <w:tc>
          <w:tcPr>
            <w:tcW w:w="5386" w:type="dxa"/>
            <w:vAlign w:val="center"/>
          </w:tcPr>
          <w:p>
            <w:pPr>
              <w:pStyle w:val="14"/>
            </w:pPr>
            <w:r>
              <w:t>反映促进节能降耗煤炭消耗控制情况</w:t>
            </w:r>
          </w:p>
        </w:tc>
        <w:tc>
          <w:tcPr>
            <w:tcW w:w="2268" w:type="dxa"/>
            <w:vAlign w:val="center"/>
          </w:tcPr>
          <w:p>
            <w:pPr>
              <w:pStyle w:val="14"/>
            </w:pPr>
            <w:r>
              <w:t>≥5%</w:t>
            </w:r>
          </w:p>
        </w:tc>
        <w:tc>
          <w:tcPr>
            <w:tcW w:w="1276" w:type="dxa"/>
            <w:vAlign w:val="center"/>
          </w:tcPr>
          <w:p>
            <w:pPr>
              <w:pStyle w:val="14"/>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≥95%</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6、洁净型煤推广项目经费绩效目标表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13032123P00338310014K</w:t>
            </w:r>
          </w:p>
        </w:tc>
        <w:tc>
          <w:tcPr>
            <w:tcW w:w="2835" w:type="dxa"/>
            <w:vAlign w:val="center"/>
          </w:tcPr>
          <w:p>
            <w:pPr>
              <w:pStyle w:val="12"/>
            </w:pPr>
            <w:r>
              <w:t>项目名称</w:t>
            </w:r>
          </w:p>
        </w:tc>
        <w:tc>
          <w:tcPr>
            <w:tcW w:w="6094" w:type="dxa"/>
            <w:gridSpan w:val="3"/>
            <w:vAlign w:val="center"/>
          </w:tcPr>
          <w:p>
            <w:pPr>
              <w:pStyle w:val="14"/>
            </w:pPr>
            <w:r>
              <w:t>洁净型煤推广项目经费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预算安排2万元，其中，财政资金2万元，主要用于洁净煤推广项目支出。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rPr>
                <w:rFonts w:hint="eastAsia" w:asciiTheme="minorEastAsia" w:hAnsiTheme="minorEastAsia" w:eastAsiaTheme="minorEastAsia"/>
                <w:lang w:eastAsia="zh-CN"/>
              </w:rPr>
              <w:t>50</w:t>
            </w:r>
          </w:p>
        </w:tc>
        <w:tc>
          <w:tcPr>
            <w:tcW w:w="2835" w:type="dxa"/>
            <w:vAlign w:val="center"/>
          </w:tcPr>
          <w:p>
            <w:pPr>
              <w:pStyle w:val="15"/>
            </w:pPr>
            <w:r>
              <w:rPr>
                <w:rFonts w:hint="eastAsia" w:asciiTheme="minorEastAsia" w:hAnsiTheme="minorEastAsia" w:eastAsiaTheme="minorEastAsia"/>
                <w:lang w:eastAsia="zh-CN"/>
              </w:rPr>
              <w:t>50</w:t>
            </w:r>
          </w:p>
        </w:tc>
        <w:tc>
          <w:tcPr>
            <w:tcW w:w="2551" w:type="dxa"/>
            <w:vAlign w:val="center"/>
          </w:tcPr>
          <w:p>
            <w:pPr>
              <w:pStyle w:val="15"/>
            </w:pPr>
            <w:r>
              <w:rPr>
                <w:rFonts w:hint="eastAsia" w:asciiTheme="minorEastAsia" w:hAnsiTheme="minorEastAsia" w:eastAsiaTheme="minorEastAsia"/>
                <w:lang w:eastAsia="zh-CN"/>
              </w:rPr>
              <w:t>50</w:t>
            </w:r>
          </w:p>
        </w:tc>
        <w:tc>
          <w:tcPr>
            <w:tcW w:w="3543"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1.通过开展洁净煤取暖工，实现群众温暖过冬的美好愿景。</w:t>
            </w:r>
          </w:p>
          <w:p>
            <w:pPr>
              <w:pStyle w:val="14"/>
            </w:pPr>
            <w:r>
              <w:t>2.通过工作有效开展，提高洁净型煤资金使用效益。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印制宣传册数</w:t>
            </w:r>
          </w:p>
        </w:tc>
        <w:tc>
          <w:tcPr>
            <w:tcW w:w="5386" w:type="dxa"/>
            <w:vAlign w:val="center"/>
          </w:tcPr>
          <w:p>
            <w:pPr>
              <w:pStyle w:val="14"/>
            </w:pPr>
            <w:r>
              <w:t>印制的宣传、推广册数</w:t>
            </w:r>
          </w:p>
        </w:tc>
        <w:tc>
          <w:tcPr>
            <w:tcW w:w="2268" w:type="dxa"/>
            <w:vAlign w:val="center"/>
          </w:tcPr>
          <w:p>
            <w:pPr>
              <w:pStyle w:val="14"/>
            </w:pPr>
            <w:r>
              <w:t>≥2万册</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下乡督导、检查次数</w:t>
            </w:r>
          </w:p>
        </w:tc>
        <w:tc>
          <w:tcPr>
            <w:tcW w:w="5386" w:type="dxa"/>
            <w:vAlign w:val="center"/>
          </w:tcPr>
          <w:p>
            <w:pPr>
              <w:pStyle w:val="14"/>
            </w:pPr>
            <w:r>
              <w:t>下乡督导、检查次数</w:t>
            </w:r>
          </w:p>
        </w:tc>
        <w:tc>
          <w:tcPr>
            <w:tcW w:w="2268" w:type="dxa"/>
            <w:vAlign w:val="center"/>
          </w:tcPr>
          <w:p>
            <w:pPr>
              <w:pStyle w:val="14"/>
            </w:pPr>
            <w:r>
              <w:t>≥20次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督导、检查的户数</w:t>
            </w:r>
          </w:p>
        </w:tc>
        <w:tc>
          <w:tcPr>
            <w:tcW w:w="5386" w:type="dxa"/>
            <w:vAlign w:val="center"/>
          </w:tcPr>
          <w:p>
            <w:pPr>
              <w:pStyle w:val="14"/>
            </w:pPr>
            <w:r>
              <w:t>下乡督导、检查的采暖用户数</w:t>
            </w:r>
          </w:p>
        </w:tc>
        <w:tc>
          <w:tcPr>
            <w:tcW w:w="2268" w:type="dxa"/>
            <w:vAlign w:val="center"/>
          </w:tcPr>
          <w:p>
            <w:pPr>
              <w:pStyle w:val="14"/>
            </w:pPr>
            <w:r>
              <w:t>≥1000户</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宣传合格率</w:t>
            </w:r>
          </w:p>
        </w:tc>
        <w:tc>
          <w:tcPr>
            <w:tcW w:w="5386" w:type="dxa"/>
            <w:vAlign w:val="center"/>
          </w:tcPr>
          <w:p>
            <w:pPr>
              <w:pStyle w:val="14"/>
            </w:pPr>
            <w:r>
              <w:t>印刷产品、多媒体手段等宣传材料制作的合格率</w:t>
            </w:r>
          </w:p>
        </w:tc>
        <w:tc>
          <w:tcPr>
            <w:tcW w:w="2268" w:type="dxa"/>
            <w:vAlign w:val="center"/>
          </w:tcPr>
          <w:p>
            <w:pPr>
              <w:pStyle w:val="14"/>
            </w:pPr>
            <w:r>
              <w:t>≥25%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5386" w:type="dxa"/>
            <w:vAlign w:val="center"/>
          </w:tcPr>
          <w:p>
            <w:pPr>
              <w:pStyle w:val="14"/>
            </w:pPr>
            <w:r>
              <w:t>督导、检查的完成率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按照年度工作计划及时组织宣传</w:t>
            </w:r>
          </w:p>
        </w:tc>
        <w:tc>
          <w:tcPr>
            <w:tcW w:w="2268" w:type="dxa"/>
            <w:vAlign w:val="center"/>
          </w:tcPr>
          <w:p>
            <w:pPr>
              <w:pStyle w:val="14"/>
            </w:pPr>
            <w:r>
              <w:t>2024年</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宣传册单位成本</w:t>
            </w:r>
          </w:p>
        </w:tc>
        <w:tc>
          <w:tcPr>
            <w:tcW w:w="5386" w:type="dxa"/>
            <w:vAlign w:val="center"/>
          </w:tcPr>
          <w:p>
            <w:pPr>
              <w:pStyle w:val="14"/>
            </w:pPr>
            <w:r>
              <w:t>宣传册的单位成本</w:t>
            </w:r>
          </w:p>
        </w:tc>
        <w:tc>
          <w:tcPr>
            <w:tcW w:w="2268" w:type="dxa"/>
            <w:vAlign w:val="center"/>
          </w:tcPr>
          <w:p>
            <w:pPr>
              <w:pStyle w:val="14"/>
            </w:pPr>
            <w:r>
              <w:t>≤1元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检查、督导的单位成本</w:t>
            </w:r>
          </w:p>
        </w:tc>
        <w:tc>
          <w:tcPr>
            <w:tcW w:w="5386" w:type="dxa"/>
            <w:vAlign w:val="center"/>
          </w:tcPr>
          <w:p>
            <w:pPr>
              <w:pStyle w:val="14"/>
            </w:pPr>
            <w:r>
              <w:t>-次检查、督导的单位成本</w:t>
            </w:r>
          </w:p>
        </w:tc>
        <w:tc>
          <w:tcPr>
            <w:tcW w:w="2268" w:type="dxa"/>
            <w:vAlign w:val="center"/>
          </w:tcPr>
          <w:p>
            <w:pPr>
              <w:pStyle w:val="14"/>
            </w:pPr>
            <w:r>
              <w:t>≤200次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污染物排放降低率（%）</w:t>
            </w:r>
          </w:p>
        </w:tc>
        <w:tc>
          <w:tcPr>
            <w:tcW w:w="5386" w:type="dxa"/>
            <w:vAlign w:val="center"/>
          </w:tcPr>
          <w:p>
            <w:pPr>
              <w:pStyle w:val="14"/>
            </w:pPr>
            <w:r>
              <w:t>污染物排放总量同期下降的比率</w:t>
            </w:r>
          </w:p>
        </w:tc>
        <w:tc>
          <w:tcPr>
            <w:tcW w:w="2268" w:type="dxa"/>
            <w:vAlign w:val="center"/>
          </w:tcPr>
          <w:p>
            <w:pPr>
              <w:pStyle w:val="14"/>
            </w:pPr>
            <w:r>
              <w:t>≤20%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单位GDP能耗下降率（%）</w:t>
            </w:r>
          </w:p>
        </w:tc>
        <w:tc>
          <w:tcPr>
            <w:tcW w:w="5386" w:type="dxa"/>
            <w:vAlign w:val="center"/>
          </w:tcPr>
          <w:p>
            <w:pPr>
              <w:pStyle w:val="14"/>
            </w:pPr>
            <w:r>
              <w:t>单位GDP能耗的同期下降比率</w:t>
            </w:r>
          </w:p>
        </w:tc>
        <w:tc>
          <w:tcPr>
            <w:tcW w:w="2268" w:type="dxa"/>
            <w:vAlign w:val="center"/>
          </w:tcPr>
          <w:p>
            <w:pPr>
              <w:pStyle w:val="14"/>
            </w:pPr>
            <w:r>
              <w:t>≥25%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7、科技创新支撑和科技管理经费绩效目标表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13032123P00338310019M</w:t>
            </w:r>
          </w:p>
        </w:tc>
        <w:tc>
          <w:tcPr>
            <w:tcW w:w="2835" w:type="dxa"/>
            <w:vAlign w:val="center"/>
          </w:tcPr>
          <w:p>
            <w:pPr>
              <w:pStyle w:val="12"/>
            </w:pPr>
            <w:r>
              <w:t>项目名称</w:t>
            </w:r>
          </w:p>
        </w:tc>
        <w:tc>
          <w:tcPr>
            <w:tcW w:w="6094" w:type="dxa"/>
            <w:gridSpan w:val="3"/>
            <w:vAlign w:val="center"/>
          </w:tcPr>
          <w:p>
            <w:pPr>
              <w:pStyle w:val="14"/>
            </w:pPr>
            <w:r>
              <w:t>科技创新支撑和科技管理经费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3.38</w:t>
            </w:r>
          </w:p>
        </w:tc>
        <w:tc>
          <w:tcPr>
            <w:tcW w:w="2835" w:type="dxa"/>
            <w:vAlign w:val="center"/>
          </w:tcPr>
          <w:p>
            <w:pPr>
              <w:pStyle w:val="12"/>
            </w:pPr>
            <w:r>
              <w:t>其中：财政    资金</w:t>
            </w:r>
          </w:p>
        </w:tc>
        <w:tc>
          <w:tcPr>
            <w:tcW w:w="2551" w:type="dxa"/>
            <w:vAlign w:val="center"/>
          </w:tcPr>
          <w:p>
            <w:pPr>
              <w:pStyle w:val="14"/>
            </w:pPr>
            <w:r>
              <w:t>3.38</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预算安排0.38万元，其中，财政资金0.38万元，主要用于科技创新支撑和科技管理费用支出。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rPr>
                <w:rFonts w:hint="eastAsia" w:asciiTheme="minorEastAsia" w:hAnsiTheme="minorEastAsia" w:eastAsiaTheme="minorEastAsia"/>
                <w:lang w:eastAsia="zh-CN"/>
              </w:rPr>
              <w:t>100</w:t>
            </w:r>
          </w:p>
        </w:tc>
        <w:tc>
          <w:tcPr>
            <w:tcW w:w="2835" w:type="dxa"/>
            <w:vAlign w:val="center"/>
          </w:tcPr>
          <w:p>
            <w:pPr>
              <w:pStyle w:val="15"/>
            </w:pPr>
            <w:r>
              <w:rPr>
                <w:rFonts w:hint="eastAsia" w:asciiTheme="minorEastAsia" w:hAnsiTheme="minorEastAsia" w:eastAsiaTheme="minorEastAsia"/>
                <w:lang w:eastAsia="zh-CN"/>
              </w:rPr>
              <w:t>100</w:t>
            </w:r>
          </w:p>
        </w:tc>
        <w:tc>
          <w:tcPr>
            <w:tcW w:w="2551" w:type="dxa"/>
            <w:vAlign w:val="center"/>
          </w:tcPr>
          <w:p>
            <w:pPr>
              <w:pStyle w:val="15"/>
            </w:pPr>
            <w:r>
              <w:rPr>
                <w:rFonts w:hint="eastAsia" w:asciiTheme="minorEastAsia" w:hAnsiTheme="minorEastAsia" w:eastAsiaTheme="minorEastAsia"/>
                <w:lang w:eastAsia="zh-CN"/>
              </w:rPr>
              <w:t>100</w:t>
            </w:r>
          </w:p>
        </w:tc>
        <w:tc>
          <w:tcPr>
            <w:tcW w:w="3543"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1.通过开展市级科技示范园区、工程技术研究中心建设工作，促进全县科技创新有序发展。</w:t>
            </w:r>
          </w:p>
          <w:p>
            <w:pPr>
              <w:pStyle w:val="14"/>
            </w:pPr>
            <w:r>
              <w:t>2.通过培育发展众创空间、科技型中小企业、高新技术企业，提高全县科技型企业竞争能力。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科技创新平台增加数量</w:t>
            </w:r>
          </w:p>
        </w:tc>
        <w:tc>
          <w:tcPr>
            <w:tcW w:w="5386" w:type="dxa"/>
            <w:vAlign w:val="center"/>
          </w:tcPr>
          <w:p>
            <w:pPr>
              <w:pStyle w:val="14"/>
            </w:pPr>
            <w:r>
              <w:t>新增重点实验室、工程技术研究中心、产业技术研究院数量之和</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科技企业孵化器孵化企业数量</w:t>
            </w:r>
          </w:p>
        </w:tc>
        <w:tc>
          <w:tcPr>
            <w:tcW w:w="5386" w:type="dxa"/>
            <w:vAlign w:val="center"/>
          </w:tcPr>
          <w:p>
            <w:pPr>
              <w:pStyle w:val="14"/>
            </w:pPr>
            <w:r>
              <w:t>科技企业孵化器年度在孵科技企业数量</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组织项目申报、中期检查</w:t>
            </w:r>
          </w:p>
        </w:tc>
        <w:tc>
          <w:tcPr>
            <w:tcW w:w="5386" w:type="dxa"/>
            <w:vAlign w:val="center"/>
          </w:tcPr>
          <w:p>
            <w:pPr>
              <w:pStyle w:val="14"/>
            </w:pPr>
            <w:r>
              <w:t>组织项目年度申报、检查项目数量</w:t>
            </w:r>
          </w:p>
        </w:tc>
        <w:tc>
          <w:tcPr>
            <w:tcW w:w="2268" w:type="dxa"/>
            <w:vAlign w:val="center"/>
          </w:tcPr>
          <w:p>
            <w:pPr>
              <w:pStyle w:val="14"/>
            </w:pPr>
            <w:r>
              <w:t>≥2个</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发布科技信息新闻数量</w:t>
            </w:r>
          </w:p>
        </w:tc>
        <w:tc>
          <w:tcPr>
            <w:tcW w:w="5386" w:type="dxa"/>
            <w:vAlign w:val="center"/>
          </w:tcPr>
          <w:p>
            <w:pPr>
              <w:pStyle w:val="14"/>
            </w:pPr>
            <w:r>
              <w:t>年内在县级以上新闻媒体发布的科技信息及新闻数量</w:t>
            </w:r>
          </w:p>
        </w:tc>
        <w:tc>
          <w:tcPr>
            <w:tcW w:w="2268" w:type="dxa"/>
            <w:vAlign w:val="center"/>
          </w:tcPr>
          <w:p>
            <w:pPr>
              <w:pStyle w:val="14"/>
            </w:pPr>
            <w:r>
              <w:t>≥20条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深入企业、园区调研指导</w:t>
            </w:r>
          </w:p>
        </w:tc>
        <w:tc>
          <w:tcPr>
            <w:tcW w:w="5386" w:type="dxa"/>
            <w:vAlign w:val="center"/>
          </w:tcPr>
          <w:p>
            <w:pPr>
              <w:pStyle w:val="14"/>
            </w:pPr>
            <w:r>
              <w:t>到企业、园区开展宣传、调研、指导服务数量</w:t>
            </w:r>
          </w:p>
        </w:tc>
        <w:tc>
          <w:tcPr>
            <w:tcW w:w="2268" w:type="dxa"/>
            <w:vAlign w:val="center"/>
          </w:tcPr>
          <w:p>
            <w:pPr>
              <w:pStyle w:val="14"/>
            </w:pPr>
            <w:r>
              <w:t>≥15次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科技调研报告</w:t>
            </w:r>
          </w:p>
        </w:tc>
        <w:tc>
          <w:tcPr>
            <w:tcW w:w="5386" w:type="dxa"/>
            <w:vAlign w:val="center"/>
          </w:tcPr>
          <w:p>
            <w:pPr>
              <w:pStyle w:val="14"/>
            </w:pPr>
            <w:r>
              <w:t>完成年度内科技专项调研报告的数量</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发展高新技术企业</w:t>
            </w:r>
          </w:p>
        </w:tc>
        <w:tc>
          <w:tcPr>
            <w:tcW w:w="5386" w:type="dxa"/>
            <w:vAlign w:val="center"/>
          </w:tcPr>
          <w:p>
            <w:pPr>
              <w:pStyle w:val="14"/>
            </w:pPr>
            <w:r>
              <w:t>高新技术企业增加数量</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发展省级科技型中小企业</w:t>
            </w:r>
          </w:p>
        </w:tc>
        <w:tc>
          <w:tcPr>
            <w:tcW w:w="5386" w:type="dxa"/>
            <w:vAlign w:val="center"/>
          </w:tcPr>
          <w:p>
            <w:pPr>
              <w:pStyle w:val="14"/>
            </w:pPr>
            <w:r>
              <w:t>省级科技型中小企业增加数量</w:t>
            </w:r>
          </w:p>
        </w:tc>
        <w:tc>
          <w:tcPr>
            <w:tcW w:w="2268" w:type="dxa"/>
            <w:vAlign w:val="center"/>
          </w:tcPr>
          <w:p>
            <w:pPr>
              <w:pStyle w:val="14"/>
            </w:pPr>
            <w:r>
              <w:t>≥10个</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推广普及率</w:t>
            </w:r>
          </w:p>
        </w:tc>
        <w:tc>
          <w:tcPr>
            <w:tcW w:w="5386" w:type="dxa"/>
            <w:vAlign w:val="center"/>
          </w:tcPr>
          <w:p>
            <w:pPr>
              <w:pStyle w:val="14"/>
            </w:pPr>
            <w:r>
              <w:t>重点企业对科技创新政策知晓率</w:t>
            </w:r>
          </w:p>
        </w:tc>
        <w:tc>
          <w:tcPr>
            <w:tcW w:w="2268" w:type="dxa"/>
            <w:vAlign w:val="center"/>
          </w:tcPr>
          <w:p>
            <w:pPr>
              <w:pStyle w:val="14"/>
            </w:pPr>
            <w:r>
              <w:t>≥80%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按计划时限组织完成各项工作</w:t>
            </w:r>
          </w:p>
        </w:tc>
        <w:tc>
          <w:tcPr>
            <w:tcW w:w="2268" w:type="dxa"/>
            <w:vAlign w:val="center"/>
          </w:tcPr>
          <w:p>
            <w:pPr>
              <w:pStyle w:val="14"/>
            </w:pPr>
            <w:r>
              <w:t>100%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费用控制数</w:t>
            </w:r>
          </w:p>
        </w:tc>
        <w:tc>
          <w:tcPr>
            <w:tcW w:w="5386" w:type="dxa"/>
            <w:vAlign w:val="center"/>
          </w:tcPr>
          <w:p>
            <w:pPr>
              <w:pStyle w:val="14"/>
            </w:pPr>
            <w:r>
              <w:t>办公费用控制在预算内</w:t>
            </w:r>
          </w:p>
        </w:tc>
        <w:tc>
          <w:tcPr>
            <w:tcW w:w="2268" w:type="dxa"/>
            <w:vAlign w:val="center"/>
          </w:tcPr>
          <w:p>
            <w:pPr>
              <w:pStyle w:val="14"/>
            </w:pPr>
            <w:r>
              <w:t>≤0.38万元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县域研发创新能力</w:t>
            </w:r>
          </w:p>
        </w:tc>
        <w:tc>
          <w:tcPr>
            <w:tcW w:w="5386" w:type="dxa"/>
            <w:vAlign w:val="center"/>
          </w:tcPr>
          <w:p>
            <w:pPr>
              <w:pStyle w:val="14"/>
            </w:pPr>
            <w:r>
              <w:t>全社会研发支出占GDP比重</w:t>
            </w:r>
          </w:p>
        </w:tc>
        <w:tc>
          <w:tcPr>
            <w:tcW w:w="2268" w:type="dxa"/>
            <w:vAlign w:val="center"/>
          </w:tcPr>
          <w:p>
            <w:pPr>
              <w:pStyle w:val="14"/>
            </w:pPr>
            <w:r>
              <w:t>≥1%</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≥85%</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8、科技特派员经费绩效目标表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13032123P003383100228</w:t>
            </w:r>
          </w:p>
        </w:tc>
        <w:tc>
          <w:tcPr>
            <w:tcW w:w="2835" w:type="dxa"/>
            <w:vAlign w:val="center"/>
          </w:tcPr>
          <w:p>
            <w:pPr>
              <w:pStyle w:val="12"/>
            </w:pPr>
            <w:r>
              <w:t>项目名称</w:t>
            </w:r>
          </w:p>
        </w:tc>
        <w:tc>
          <w:tcPr>
            <w:tcW w:w="6095" w:type="dxa"/>
            <w:gridSpan w:val="3"/>
            <w:vAlign w:val="center"/>
          </w:tcPr>
          <w:p>
            <w:pPr>
              <w:pStyle w:val="14"/>
            </w:pPr>
            <w:r>
              <w:t>科技特派员经费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w:t>
            </w:r>
          </w:p>
        </w:tc>
        <w:tc>
          <w:tcPr>
            <w:tcW w:w="2835" w:type="dxa"/>
            <w:vAlign w:val="center"/>
          </w:tcPr>
          <w:p>
            <w:pPr>
              <w:pStyle w:val="12"/>
            </w:pPr>
            <w:r>
              <w:t>其中：财政    资金</w:t>
            </w:r>
          </w:p>
        </w:tc>
        <w:tc>
          <w:tcPr>
            <w:tcW w:w="2551" w:type="dxa"/>
            <w:vAlign w:val="center"/>
          </w:tcPr>
          <w:p>
            <w:pPr>
              <w:pStyle w:val="14"/>
            </w:pPr>
            <w:r>
              <w:t>3.50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预算资金3.5万元，其中，财政资金3.5万元，主要用于科技特派员支出。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28</w:t>
            </w:r>
          </w:p>
        </w:tc>
        <w:tc>
          <w:tcPr>
            <w:tcW w:w="2835" w:type="dxa"/>
            <w:vAlign w:val="center"/>
          </w:tcPr>
          <w:p>
            <w:pPr>
              <w:pStyle w:val="15"/>
            </w:pPr>
            <w:r>
              <w:rPr>
                <w:rFonts w:hint="eastAsia" w:asciiTheme="minorEastAsia" w:hAnsiTheme="minorEastAsia" w:eastAsiaTheme="minorEastAsia"/>
                <w:lang w:eastAsia="zh-CN"/>
              </w:rPr>
              <w:t>28</w:t>
            </w:r>
          </w:p>
        </w:tc>
        <w:tc>
          <w:tcPr>
            <w:tcW w:w="2551" w:type="dxa"/>
            <w:vAlign w:val="center"/>
          </w:tcPr>
          <w:p>
            <w:pPr>
              <w:pStyle w:val="15"/>
            </w:pPr>
            <w:r>
              <w:rPr>
                <w:rFonts w:hint="eastAsia" w:asciiTheme="minorEastAsia" w:hAnsiTheme="minorEastAsia" w:eastAsiaTheme="minorEastAsia"/>
                <w:lang w:eastAsia="zh-CN"/>
              </w:rPr>
              <w:t>85</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1.通过引进推广新产品新技术，提高产业技术创新和服务能力。</w:t>
            </w:r>
          </w:p>
          <w:p>
            <w:pPr>
              <w:pStyle w:val="14"/>
            </w:pPr>
          </w:p>
          <w:p>
            <w:pPr>
              <w:pStyle w:val="14"/>
            </w:pPr>
            <w:r>
              <w:t>2.通过组织开展科技特派员创新创业及培训，提高人员创新创业能力。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开展培训次数</w:t>
            </w:r>
          </w:p>
        </w:tc>
        <w:tc>
          <w:tcPr>
            <w:tcW w:w="5386" w:type="dxa"/>
            <w:vAlign w:val="center"/>
          </w:tcPr>
          <w:p>
            <w:pPr>
              <w:pStyle w:val="14"/>
            </w:pPr>
            <w:r>
              <w:t>每名特派员对包联村或企业培训次数</w:t>
            </w:r>
          </w:p>
        </w:tc>
        <w:tc>
          <w:tcPr>
            <w:tcW w:w="2268" w:type="dxa"/>
            <w:vAlign w:val="center"/>
          </w:tcPr>
          <w:p>
            <w:pPr>
              <w:pStyle w:val="14"/>
            </w:pPr>
            <w:r>
              <w:t>≥1次/年</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建设示范基地数量</w:t>
            </w:r>
          </w:p>
        </w:tc>
        <w:tc>
          <w:tcPr>
            <w:tcW w:w="5386" w:type="dxa"/>
            <w:vAlign w:val="center"/>
          </w:tcPr>
          <w:p>
            <w:pPr>
              <w:pStyle w:val="14"/>
            </w:pPr>
            <w:r>
              <w:t>建设科技示范基地</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特派员人才培养数量</w:t>
            </w:r>
          </w:p>
        </w:tc>
        <w:tc>
          <w:tcPr>
            <w:tcW w:w="5386" w:type="dxa"/>
            <w:vAlign w:val="center"/>
          </w:tcPr>
          <w:p>
            <w:pPr>
              <w:pStyle w:val="14"/>
            </w:pPr>
            <w:r>
              <w:t>培养科技特派员的数量</w:t>
            </w:r>
          </w:p>
        </w:tc>
        <w:tc>
          <w:tcPr>
            <w:tcW w:w="2268" w:type="dxa"/>
            <w:vAlign w:val="center"/>
          </w:tcPr>
          <w:p>
            <w:pPr>
              <w:pStyle w:val="14"/>
            </w:pPr>
            <w:r>
              <w:t>≥2个</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特派员培训交流资数</w:t>
            </w:r>
          </w:p>
        </w:tc>
        <w:tc>
          <w:tcPr>
            <w:tcW w:w="5386" w:type="dxa"/>
            <w:vAlign w:val="center"/>
          </w:tcPr>
          <w:p>
            <w:pPr>
              <w:pStyle w:val="14"/>
            </w:pPr>
            <w:r>
              <w:t>每年对科技特派员进行培训，学习交流次数，每资培训人数在20人以上。</w:t>
            </w:r>
          </w:p>
        </w:tc>
        <w:tc>
          <w:tcPr>
            <w:tcW w:w="2268" w:type="dxa"/>
            <w:vAlign w:val="center"/>
          </w:tcPr>
          <w:p>
            <w:pPr>
              <w:pStyle w:val="14"/>
            </w:pPr>
            <w:r>
              <w:t>≥1次/年</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推广实用新技术、新品种数量</w:t>
            </w:r>
          </w:p>
        </w:tc>
        <w:tc>
          <w:tcPr>
            <w:tcW w:w="5386" w:type="dxa"/>
            <w:vAlign w:val="center"/>
          </w:tcPr>
          <w:p>
            <w:pPr>
              <w:pStyle w:val="14"/>
            </w:pPr>
            <w:r>
              <w:t>转化推广新技术、新品种的数量</w:t>
            </w:r>
          </w:p>
        </w:tc>
        <w:tc>
          <w:tcPr>
            <w:tcW w:w="2268" w:type="dxa"/>
            <w:vAlign w:val="center"/>
          </w:tcPr>
          <w:p>
            <w:pPr>
              <w:pStyle w:val="14"/>
            </w:pPr>
            <w:r>
              <w:t>≥5项</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培训完成率</w:t>
            </w:r>
          </w:p>
        </w:tc>
        <w:tc>
          <w:tcPr>
            <w:tcW w:w="5386" w:type="dxa"/>
            <w:vAlign w:val="center"/>
          </w:tcPr>
          <w:p>
            <w:pPr>
              <w:pStyle w:val="14"/>
            </w:pPr>
            <w:r>
              <w:t>开展培训完成任务比例</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奖补发放率</w:t>
            </w:r>
          </w:p>
        </w:tc>
        <w:tc>
          <w:tcPr>
            <w:tcW w:w="5386" w:type="dxa"/>
            <w:vAlign w:val="center"/>
          </w:tcPr>
          <w:p>
            <w:pPr>
              <w:pStyle w:val="14"/>
            </w:pPr>
            <w:r>
              <w:t>对优秀特派员及示范基地奖励补贴发放率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按年度工作计划完成</w:t>
            </w:r>
          </w:p>
        </w:tc>
        <w:tc>
          <w:tcPr>
            <w:tcW w:w="2268" w:type="dxa"/>
            <w:vAlign w:val="center"/>
          </w:tcPr>
          <w:p>
            <w:pPr>
              <w:pStyle w:val="14"/>
            </w:pPr>
            <w:r>
              <w:t>2024年度</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费用控制</w:t>
            </w:r>
          </w:p>
        </w:tc>
        <w:tc>
          <w:tcPr>
            <w:tcW w:w="5386" w:type="dxa"/>
            <w:vAlign w:val="center"/>
          </w:tcPr>
          <w:p>
            <w:pPr>
              <w:pStyle w:val="14"/>
            </w:pPr>
            <w:r>
              <w:t>办公用品费用控制在预算内</w:t>
            </w:r>
          </w:p>
        </w:tc>
        <w:tc>
          <w:tcPr>
            <w:tcW w:w="2268" w:type="dxa"/>
            <w:vAlign w:val="center"/>
          </w:tcPr>
          <w:p>
            <w:pPr>
              <w:pStyle w:val="14"/>
            </w:pPr>
            <w:r>
              <w:t>≤1.5万元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示范带动作用</w:t>
            </w:r>
          </w:p>
        </w:tc>
        <w:tc>
          <w:tcPr>
            <w:tcW w:w="5386" w:type="dxa"/>
            <w:vAlign w:val="center"/>
          </w:tcPr>
          <w:p>
            <w:pPr>
              <w:pStyle w:val="14"/>
            </w:pPr>
            <w:r>
              <w:t>每名特派员培养科技示范户和致富带动人</w:t>
            </w:r>
          </w:p>
        </w:tc>
        <w:tc>
          <w:tcPr>
            <w:tcW w:w="2268" w:type="dxa"/>
            <w:vAlign w:val="center"/>
          </w:tcPr>
          <w:p>
            <w:pPr>
              <w:pStyle w:val="14"/>
            </w:pPr>
            <w:r>
              <w:t>≥1户/人</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长期有效性</w:t>
            </w:r>
          </w:p>
        </w:tc>
        <w:tc>
          <w:tcPr>
            <w:tcW w:w="5386" w:type="dxa"/>
            <w:vAlign w:val="center"/>
          </w:tcPr>
          <w:p>
            <w:pPr>
              <w:pStyle w:val="14"/>
            </w:pPr>
            <w:r>
              <w:t>技术骨干规模不断扩大</w:t>
            </w:r>
          </w:p>
        </w:tc>
        <w:tc>
          <w:tcPr>
            <w:tcW w:w="2268" w:type="dxa"/>
            <w:vAlign w:val="center"/>
          </w:tcPr>
          <w:p>
            <w:pPr>
              <w:pStyle w:val="14"/>
            </w:pPr>
            <w:r>
              <w:t>≥3年</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≥85%</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9、粮食流通统计调查经费绩效目标表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13032123P003383100253</w:t>
            </w:r>
          </w:p>
        </w:tc>
        <w:tc>
          <w:tcPr>
            <w:tcW w:w="2835" w:type="dxa"/>
            <w:vAlign w:val="center"/>
          </w:tcPr>
          <w:p>
            <w:pPr>
              <w:pStyle w:val="12"/>
            </w:pPr>
            <w:r>
              <w:t>项目名称</w:t>
            </w:r>
          </w:p>
        </w:tc>
        <w:tc>
          <w:tcPr>
            <w:tcW w:w="6095" w:type="dxa"/>
            <w:gridSpan w:val="3"/>
            <w:vAlign w:val="center"/>
          </w:tcPr>
          <w:p>
            <w:pPr>
              <w:pStyle w:val="14"/>
            </w:pPr>
            <w:r>
              <w:t>粮食流通统计调查经费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预算安排1.5万元，其中财政资金1.5万元，主要用于粮食流通统计调查经费支出。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66</w:t>
            </w:r>
          </w:p>
        </w:tc>
        <w:tc>
          <w:tcPr>
            <w:tcW w:w="2835" w:type="dxa"/>
            <w:vAlign w:val="center"/>
          </w:tcPr>
          <w:p>
            <w:pPr>
              <w:pStyle w:val="15"/>
            </w:pPr>
            <w:r>
              <w:rPr>
                <w:rFonts w:hint="eastAsia" w:asciiTheme="minorEastAsia" w:hAnsiTheme="minorEastAsia" w:eastAsiaTheme="minorEastAsia"/>
                <w:lang w:eastAsia="zh-CN"/>
              </w:rPr>
              <w:t>100</w:t>
            </w:r>
          </w:p>
        </w:tc>
        <w:tc>
          <w:tcPr>
            <w:tcW w:w="2551" w:type="dxa"/>
            <w:vAlign w:val="center"/>
          </w:tcPr>
          <w:p>
            <w:pPr>
              <w:pStyle w:val="15"/>
            </w:pPr>
            <w:r>
              <w:rPr>
                <w:rFonts w:hint="eastAsia" w:asciiTheme="minorEastAsia" w:hAnsiTheme="minorEastAsia" w:eastAsiaTheme="minorEastAsia"/>
                <w:lang w:eastAsia="zh-CN"/>
              </w:rPr>
              <w:t>100</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1.通过开展粮食产、购、销、存、加等数据统计，促进数据信息全面、完整、正确、及时。</w:t>
            </w:r>
            <w:r>
              <w:tab/>
            </w:r>
            <w:r>
              <w:tab/>
            </w:r>
            <w:r>
              <w:tab/>
            </w:r>
          </w:p>
          <w:p>
            <w:pPr>
              <w:pStyle w:val="14"/>
            </w:pPr>
            <w:r>
              <w:t>2.通过仓储设施、国有资产、经济效益等宏观信息及时上报、汇总，实现国家粮食流通数据完整。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粮食流通统计调查次数</w:t>
            </w:r>
          </w:p>
        </w:tc>
        <w:tc>
          <w:tcPr>
            <w:tcW w:w="5386" w:type="dxa"/>
            <w:vAlign w:val="center"/>
          </w:tcPr>
          <w:p>
            <w:pPr>
              <w:pStyle w:val="14"/>
            </w:pPr>
            <w:r>
              <w:t>对全县居民粮食流通、仓储设施、粮油加工、粮食库存进行入户抽样调查</w:t>
            </w:r>
          </w:p>
        </w:tc>
        <w:tc>
          <w:tcPr>
            <w:tcW w:w="2268" w:type="dxa"/>
            <w:vAlign w:val="center"/>
          </w:tcPr>
          <w:p>
            <w:pPr>
              <w:pStyle w:val="14"/>
            </w:pPr>
            <w:r>
              <w:t>≥2次/年/户</w:t>
            </w:r>
          </w:p>
        </w:tc>
        <w:tc>
          <w:tcPr>
            <w:tcW w:w="1276" w:type="dxa"/>
            <w:vAlign w:val="center"/>
          </w:tcPr>
          <w:p>
            <w:pPr>
              <w:pStyle w:val="14"/>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粮食流通统计调查户数</w:t>
            </w:r>
          </w:p>
        </w:tc>
        <w:tc>
          <w:tcPr>
            <w:tcW w:w="5386" w:type="dxa"/>
            <w:vAlign w:val="center"/>
          </w:tcPr>
          <w:p>
            <w:pPr>
              <w:pStyle w:val="14"/>
            </w:pPr>
            <w:r>
              <w:t>对全县居民粮食流通、仓储设施、粮油加工、粮食库存进行入户抽样调查</w:t>
            </w:r>
          </w:p>
        </w:tc>
        <w:tc>
          <w:tcPr>
            <w:tcW w:w="2268" w:type="dxa"/>
            <w:vAlign w:val="center"/>
          </w:tcPr>
          <w:p>
            <w:pPr>
              <w:pStyle w:val="14"/>
            </w:pPr>
            <w:r>
              <w:t>≥45户</w:t>
            </w:r>
          </w:p>
        </w:tc>
        <w:tc>
          <w:tcPr>
            <w:tcW w:w="1276" w:type="dxa"/>
            <w:vAlign w:val="center"/>
          </w:tcPr>
          <w:p>
            <w:pPr>
              <w:pStyle w:val="14"/>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数据全面性</w:t>
            </w:r>
          </w:p>
        </w:tc>
        <w:tc>
          <w:tcPr>
            <w:tcW w:w="5386" w:type="dxa"/>
            <w:vAlign w:val="center"/>
          </w:tcPr>
          <w:p>
            <w:pPr>
              <w:pStyle w:val="14"/>
            </w:pPr>
            <w:r>
              <w:t>数据能够全面反映全县粮食总合供需状况</w:t>
            </w:r>
          </w:p>
        </w:tc>
        <w:tc>
          <w:tcPr>
            <w:tcW w:w="2268" w:type="dxa"/>
            <w:vAlign w:val="center"/>
          </w:tcPr>
          <w:p>
            <w:pPr>
              <w:pStyle w:val="14"/>
            </w:pPr>
            <w:r>
              <w:t>≥90%</w:t>
            </w:r>
          </w:p>
        </w:tc>
        <w:tc>
          <w:tcPr>
            <w:tcW w:w="1276" w:type="dxa"/>
            <w:vAlign w:val="center"/>
          </w:tcPr>
          <w:p>
            <w:pPr>
              <w:pStyle w:val="14"/>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数据准确率</w:t>
            </w:r>
          </w:p>
        </w:tc>
        <w:tc>
          <w:tcPr>
            <w:tcW w:w="5386" w:type="dxa"/>
            <w:vAlign w:val="center"/>
          </w:tcPr>
          <w:p>
            <w:pPr>
              <w:pStyle w:val="14"/>
            </w:pPr>
            <w:r>
              <w:t>全部数据减去差错数据占全部数据总量的比例</w:t>
            </w:r>
          </w:p>
        </w:tc>
        <w:tc>
          <w:tcPr>
            <w:tcW w:w="2268" w:type="dxa"/>
            <w:vAlign w:val="center"/>
          </w:tcPr>
          <w:p>
            <w:pPr>
              <w:pStyle w:val="14"/>
            </w:pPr>
            <w:r>
              <w:t>≥90%</w:t>
            </w:r>
          </w:p>
        </w:tc>
        <w:tc>
          <w:tcPr>
            <w:tcW w:w="1276" w:type="dxa"/>
            <w:vAlign w:val="center"/>
          </w:tcPr>
          <w:p>
            <w:pPr>
              <w:pStyle w:val="14"/>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调查覆盖率</w:t>
            </w:r>
          </w:p>
        </w:tc>
        <w:tc>
          <w:tcPr>
            <w:tcW w:w="5386" w:type="dxa"/>
            <w:vAlign w:val="center"/>
          </w:tcPr>
          <w:p>
            <w:pPr>
              <w:pStyle w:val="14"/>
            </w:pPr>
            <w:r>
              <w:t>全县抽样96户，每年入户两次，4月份进行一次专项调查，12月进行一次全面调查</w:t>
            </w:r>
          </w:p>
        </w:tc>
        <w:tc>
          <w:tcPr>
            <w:tcW w:w="2268" w:type="dxa"/>
            <w:vAlign w:val="center"/>
          </w:tcPr>
          <w:p>
            <w:pPr>
              <w:pStyle w:val="14"/>
            </w:pPr>
            <w:r>
              <w:t>≥95%</w:t>
            </w:r>
          </w:p>
        </w:tc>
        <w:tc>
          <w:tcPr>
            <w:tcW w:w="1276" w:type="dxa"/>
            <w:vAlign w:val="center"/>
          </w:tcPr>
          <w:p>
            <w:pPr>
              <w:pStyle w:val="14"/>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数据完整率</w:t>
            </w:r>
          </w:p>
        </w:tc>
        <w:tc>
          <w:tcPr>
            <w:tcW w:w="5386" w:type="dxa"/>
            <w:vAlign w:val="center"/>
          </w:tcPr>
          <w:p>
            <w:pPr>
              <w:pStyle w:val="14"/>
            </w:pPr>
            <w:r>
              <w:t>年内按时报送粮食产购销存加数据和仓储设施、国有资产、经济效益等报表数据的次数占全年计划报送次数比重</w:t>
            </w:r>
          </w:p>
        </w:tc>
        <w:tc>
          <w:tcPr>
            <w:tcW w:w="2268" w:type="dxa"/>
            <w:vAlign w:val="center"/>
          </w:tcPr>
          <w:p>
            <w:pPr>
              <w:pStyle w:val="14"/>
            </w:pPr>
            <w:r>
              <w:t>≥96%</w:t>
            </w:r>
          </w:p>
        </w:tc>
        <w:tc>
          <w:tcPr>
            <w:tcW w:w="1276" w:type="dxa"/>
            <w:vAlign w:val="center"/>
          </w:tcPr>
          <w:p>
            <w:pPr>
              <w:pStyle w:val="14"/>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统计上报完成及时性</w:t>
            </w:r>
          </w:p>
        </w:tc>
        <w:tc>
          <w:tcPr>
            <w:tcW w:w="5386" w:type="dxa"/>
            <w:vAlign w:val="center"/>
          </w:tcPr>
          <w:p>
            <w:pPr>
              <w:pStyle w:val="14"/>
            </w:pPr>
            <w:r>
              <w:t>按管理规定完成各项工作任务</w:t>
            </w:r>
          </w:p>
        </w:tc>
        <w:tc>
          <w:tcPr>
            <w:tcW w:w="2268" w:type="dxa"/>
            <w:vAlign w:val="center"/>
          </w:tcPr>
          <w:p>
            <w:pPr>
              <w:pStyle w:val="14"/>
            </w:pPr>
            <w:r>
              <w:t>100%</w:t>
            </w:r>
          </w:p>
        </w:tc>
        <w:tc>
          <w:tcPr>
            <w:tcW w:w="1276" w:type="dxa"/>
            <w:vAlign w:val="center"/>
          </w:tcPr>
          <w:p>
            <w:pPr>
              <w:pStyle w:val="14"/>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粮食流通统计调查成本</w:t>
            </w:r>
          </w:p>
        </w:tc>
        <w:tc>
          <w:tcPr>
            <w:tcW w:w="5386" w:type="dxa"/>
            <w:vAlign w:val="center"/>
          </w:tcPr>
          <w:p>
            <w:pPr>
              <w:pStyle w:val="14"/>
            </w:pPr>
            <w:r>
              <w:t>粮食流通统计调查工作过程中的人工费等各项费用</w:t>
            </w:r>
          </w:p>
        </w:tc>
        <w:tc>
          <w:tcPr>
            <w:tcW w:w="2268" w:type="dxa"/>
            <w:vAlign w:val="center"/>
          </w:tcPr>
          <w:p>
            <w:pPr>
              <w:pStyle w:val="14"/>
            </w:pPr>
            <w:r>
              <w:t>≤1.5万元</w:t>
            </w:r>
          </w:p>
        </w:tc>
        <w:tc>
          <w:tcPr>
            <w:tcW w:w="1276" w:type="dxa"/>
            <w:vAlign w:val="center"/>
          </w:tcPr>
          <w:p>
            <w:pPr>
              <w:pStyle w:val="14"/>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数据参考价值</w:t>
            </w:r>
          </w:p>
        </w:tc>
        <w:tc>
          <w:tcPr>
            <w:tcW w:w="5386" w:type="dxa"/>
            <w:vAlign w:val="center"/>
          </w:tcPr>
          <w:p>
            <w:pPr>
              <w:pStyle w:val="14"/>
            </w:pPr>
            <w:r>
              <w:t>及时准确反映粮食市场总体供需状况，为政府制定宏观调控政策提供数字依据</w:t>
            </w:r>
          </w:p>
        </w:tc>
        <w:tc>
          <w:tcPr>
            <w:tcW w:w="2268" w:type="dxa"/>
            <w:vAlign w:val="center"/>
          </w:tcPr>
          <w:p>
            <w:pPr>
              <w:pStyle w:val="14"/>
            </w:pPr>
            <w:r>
              <w:t>≥90%</w:t>
            </w:r>
          </w:p>
        </w:tc>
        <w:tc>
          <w:tcPr>
            <w:tcW w:w="1276" w:type="dxa"/>
            <w:vAlign w:val="center"/>
          </w:tcPr>
          <w:p>
            <w:pPr>
              <w:pStyle w:val="14"/>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群众对粮食流通满意数量占总数的比例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10、粮食市场监测、粮食流通法规建设与监督检查经费绩效目标表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13032123P00338310029H</w:t>
            </w:r>
          </w:p>
        </w:tc>
        <w:tc>
          <w:tcPr>
            <w:tcW w:w="2835" w:type="dxa"/>
            <w:vAlign w:val="center"/>
          </w:tcPr>
          <w:p>
            <w:pPr>
              <w:pStyle w:val="12"/>
            </w:pPr>
            <w:r>
              <w:t>项目名称</w:t>
            </w:r>
          </w:p>
        </w:tc>
        <w:tc>
          <w:tcPr>
            <w:tcW w:w="6095" w:type="dxa"/>
            <w:gridSpan w:val="3"/>
            <w:vAlign w:val="center"/>
          </w:tcPr>
          <w:p>
            <w:pPr>
              <w:pStyle w:val="14"/>
            </w:pPr>
            <w:r>
              <w:t>粮食市场监测、粮食流通法规建设与监督检查经费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2.58</w:t>
            </w:r>
          </w:p>
        </w:tc>
        <w:tc>
          <w:tcPr>
            <w:tcW w:w="2835" w:type="dxa"/>
            <w:vAlign w:val="center"/>
          </w:tcPr>
          <w:p>
            <w:pPr>
              <w:pStyle w:val="12"/>
            </w:pPr>
            <w:r>
              <w:t>其中：财政    资金</w:t>
            </w:r>
          </w:p>
        </w:tc>
        <w:tc>
          <w:tcPr>
            <w:tcW w:w="2551" w:type="dxa"/>
            <w:vAlign w:val="center"/>
          </w:tcPr>
          <w:p>
            <w:pPr>
              <w:pStyle w:val="14"/>
            </w:pPr>
            <w:r>
              <w:t>2.58</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预算安排0.58万元，其中财政资金0.58万元，主要用于粮食市场监测等。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22</w:t>
            </w:r>
          </w:p>
        </w:tc>
        <w:tc>
          <w:tcPr>
            <w:tcW w:w="2835" w:type="dxa"/>
            <w:vAlign w:val="center"/>
          </w:tcPr>
          <w:p>
            <w:pPr>
              <w:pStyle w:val="15"/>
            </w:pPr>
            <w:r>
              <w:rPr>
                <w:rFonts w:hint="eastAsia" w:asciiTheme="minorEastAsia" w:hAnsiTheme="minorEastAsia" w:eastAsiaTheme="minorEastAsia"/>
                <w:lang w:eastAsia="zh-CN"/>
              </w:rPr>
              <w:t>22</w:t>
            </w:r>
          </w:p>
        </w:tc>
        <w:tc>
          <w:tcPr>
            <w:tcW w:w="2551" w:type="dxa"/>
            <w:vAlign w:val="center"/>
          </w:tcPr>
          <w:p>
            <w:pPr>
              <w:pStyle w:val="15"/>
            </w:pPr>
            <w:r>
              <w:rPr>
                <w:rFonts w:hint="eastAsia" w:asciiTheme="minorEastAsia" w:hAnsiTheme="minorEastAsia" w:eastAsiaTheme="minorEastAsia"/>
                <w:lang w:eastAsia="zh-CN"/>
              </w:rPr>
              <w:t>100</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1.通过开展执法检查常规化，促进粮食流程市场规范运行。</w:t>
            </w:r>
          </w:p>
          <w:p>
            <w:pPr>
              <w:pStyle w:val="14"/>
            </w:pPr>
            <w:r>
              <w:t>2.通过落实行政执法责任制，规范粮食行政执法行为，提高行政执法水平。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执法检查粮食购销企业数量</w:t>
            </w:r>
          </w:p>
        </w:tc>
        <w:tc>
          <w:tcPr>
            <w:tcW w:w="5386" w:type="dxa"/>
            <w:vAlign w:val="center"/>
          </w:tcPr>
          <w:p>
            <w:pPr>
              <w:pStyle w:val="14"/>
            </w:pPr>
            <w:r>
              <w:t>对粮食购销企业定期检查</w:t>
            </w:r>
          </w:p>
        </w:tc>
        <w:tc>
          <w:tcPr>
            <w:tcW w:w="2268" w:type="dxa"/>
            <w:vAlign w:val="center"/>
          </w:tcPr>
          <w:p>
            <w:pPr>
              <w:pStyle w:val="14"/>
            </w:pPr>
            <w:r>
              <w:t>≥6家</w:t>
            </w:r>
          </w:p>
        </w:tc>
        <w:tc>
          <w:tcPr>
            <w:tcW w:w="1276" w:type="dxa"/>
            <w:vAlign w:val="center"/>
          </w:tcPr>
          <w:p>
            <w:pPr>
              <w:pStyle w:val="14"/>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粮食行政执法次数</w:t>
            </w:r>
          </w:p>
        </w:tc>
        <w:tc>
          <w:tcPr>
            <w:tcW w:w="5386" w:type="dxa"/>
            <w:vAlign w:val="center"/>
          </w:tcPr>
          <w:p>
            <w:pPr>
              <w:pStyle w:val="14"/>
            </w:pPr>
            <w:r>
              <w:t>秋粮收购期对全县全面巡查进行粮食行政执法次数</w:t>
            </w:r>
          </w:p>
        </w:tc>
        <w:tc>
          <w:tcPr>
            <w:tcW w:w="2268" w:type="dxa"/>
            <w:vAlign w:val="center"/>
          </w:tcPr>
          <w:p>
            <w:pPr>
              <w:pStyle w:val="14"/>
            </w:pPr>
            <w:r>
              <w:t>≥20次</w:t>
            </w:r>
          </w:p>
        </w:tc>
        <w:tc>
          <w:tcPr>
            <w:tcW w:w="1276" w:type="dxa"/>
            <w:vAlign w:val="center"/>
          </w:tcPr>
          <w:p>
            <w:pPr>
              <w:pStyle w:val="14"/>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执法规范率</w:t>
            </w:r>
          </w:p>
        </w:tc>
        <w:tc>
          <w:tcPr>
            <w:tcW w:w="5386" w:type="dxa"/>
            <w:vAlign w:val="center"/>
          </w:tcPr>
          <w:p>
            <w:pPr>
              <w:pStyle w:val="14"/>
            </w:pPr>
            <w:r>
              <w:t>粮食行政执法过程中持证上岗、依法依规检查</w:t>
            </w:r>
          </w:p>
        </w:tc>
        <w:tc>
          <w:tcPr>
            <w:tcW w:w="2268" w:type="dxa"/>
            <w:vAlign w:val="center"/>
          </w:tcPr>
          <w:p>
            <w:pPr>
              <w:pStyle w:val="14"/>
            </w:pPr>
            <w:r>
              <w:t>≥99%</w:t>
            </w:r>
          </w:p>
        </w:tc>
        <w:tc>
          <w:tcPr>
            <w:tcW w:w="1276" w:type="dxa"/>
            <w:vAlign w:val="center"/>
          </w:tcPr>
          <w:p>
            <w:pPr>
              <w:pStyle w:val="14"/>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案件查处办结及时率</w:t>
            </w:r>
          </w:p>
        </w:tc>
        <w:tc>
          <w:tcPr>
            <w:tcW w:w="5386" w:type="dxa"/>
            <w:vAlign w:val="center"/>
          </w:tcPr>
          <w:p>
            <w:pPr>
              <w:pStyle w:val="14"/>
            </w:pPr>
            <w:r>
              <w:t>按规定时限查处案件数占查处案件总数的比率</w:t>
            </w:r>
          </w:p>
        </w:tc>
        <w:tc>
          <w:tcPr>
            <w:tcW w:w="2268" w:type="dxa"/>
            <w:vAlign w:val="center"/>
          </w:tcPr>
          <w:p>
            <w:pPr>
              <w:pStyle w:val="14"/>
            </w:pPr>
            <w:r>
              <w:t>≥95%</w:t>
            </w:r>
          </w:p>
        </w:tc>
        <w:tc>
          <w:tcPr>
            <w:tcW w:w="1276" w:type="dxa"/>
            <w:vAlign w:val="center"/>
          </w:tcPr>
          <w:p>
            <w:pPr>
              <w:pStyle w:val="14"/>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按工作计划完成各项工作任务</w:t>
            </w:r>
          </w:p>
        </w:tc>
        <w:tc>
          <w:tcPr>
            <w:tcW w:w="2268" w:type="dxa"/>
            <w:vAlign w:val="center"/>
          </w:tcPr>
          <w:p>
            <w:pPr>
              <w:pStyle w:val="14"/>
            </w:pPr>
            <w:r>
              <w:t>100%</w:t>
            </w:r>
          </w:p>
        </w:tc>
        <w:tc>
          <w:tcPr>
            <w:tcW w:w="1276" w:type="dxa"/>
            <w:vAlign w:val="center"/>
          </w:tcPr>
          <w:p>
            <w:pPr>
              <w:pStyle w:val="14"/>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秋粮收购办公费</w:t>
            </w:r>
          </w:p>
        </w:tc>
        <w:tc>
          <w:tcPr>
            <w:tcW w:w="5386" w:type="dxa"/>
            <w:vAlign w:val="center"/>
          </w:tcPr>
          <w:p>
            <w:pPr>
              <w:pStyle w:val="14"/>
            </w:pPr>
            <w:r>
              <w:t>秋粮收购其对全县全面巡查过程产生的办公费</w:t>
            </w:r>
          </w:p>
        </w:tc>
        <w:tc>
          <w:tcPr>
            <w:tcW w:w="2268" w:type="dxa"/>
            <w:vAlign w:val="center"/>
          </w:tcPr>
          <w:p>
            <w:pPr>
              <w:pStyle w:val="14"/>
            </w:pPr>
            <w:r>
              <w:t>≤2万元</w:t>
            </w:r>
          </w:p>
        </w:tc>
        <w:tc>
          <w:tcPr>
            <w:tcW w:w="1276" w:type="dxa"/>
            <w:vAlign w:val="center"/>
          </w:tcPr>
          <w:p>
            <w:pPr>
              <w:pStyle w:val="14"/>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最低保护价落实率</w:t>
            </w:r>
          </w:p>
        </w:tc>
        <w:tc>
          <w:tcPr>
            <w:tcW w:w="5386" w:type="dxa"/>
            <w:vAlign w:val="center"/>
          </w:tcPr>
          <w:p>
            <w:pPr>
              <w:pStyle w:val="14"/>
            </w:pPr>
            <w:r>
              <w:t>规范粮食收购行为，保证粮农利益</w:t>
            </w:r>
          </w:p>
        </w:tc>
        <w:tc>
          <w:tcPr>
            <w:tcW w:w="2268" w:type="dxa"/>
            <w:vAlign w:val="center"/>
          </w:tcPr>
          <w:p>
            <w:pPr>
              <w:pStyle w:val="14"/>
            </w:pPr>
            <w:r>
              <w:t>100%</w:t>
            </w:r>
          </w:p>
        </w:tc>
        <w:tc>
          <w:tcPr>
            <w:tcW w:w="1276" w:type="dxa"/>
            <w:vAlign w:val="center"/>
          </w:tcPr>
          <w:p>
            <w:pPr>
              <w:pStyle w:val="14"/>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提高农民种粮积极性</w:t>
            </w:r>
          </w:p>
        </w:tc>
        <w:tc>
          <w:tcPr>
            <w:tcW w:w="5386" w:type="dxa"/>
            <w:vAlign w:val="center"/>
          </w:tcPr>
          <w:p>
            <w:pPr>
              <w:pStyle w:val="14"/>
            </w:pPr>
            <w:r>
              <w:t>播种面积/耕地面积</w:t>
            </w:r>
          </w:p>
        </w:tc>
        <w:tc>
          <w:tcPr>
            <w:tcW w:w="2268" w:type="dxa"/>
            <w:vAlign w:val="center"/>
          </w:tcPr>
          <w:p>
            <w:pPr>
              <w:pStyle w:val="14"/>
            </w:pPr>
            <w:r>
              <w:t>≥90%</w:t>
            </w:r>
          </w:p>
        </w:tc>
        <w:tc>
          <w:tcPr>
            <w:tcW w:w="1276" w:type="dxa"/>
            <w:vAlign w:val="center"/>
          </w:tcPr>
          <w:p>
            <w:pPr>
              <w:pStyle w:val="14"/>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11、人民防空办公室经费绩效目标表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13032124P00326610018B</w:t>
            </w:r>
          </w:p>
        </w:tc>
        <w:tc>
          <w:tcPr>
            <w:tcW w:w="2835" w:type="dxa"/>
            <w:vAlign w:val="center"/>
          </w:tcPr>
          <w:p>
            <w:pPr>
              <w:pStyle w:val="12"/>
            </w:pPr>
            <w:r>
              <w:t>项目名称</w:t>
            </w:r>
          </w:p>
        </w:tc>
        <w:tc>
          <w:tcPr>
            <w:tcW w:w="6095" w:type="dxa"/>
            <w:gridSpan w:val="3"/>
            <w:vAlign w:val="center"/>
          </w:tcPr>
          <w:p>
            <w:pPr>
              <w:pStyle w:val="14"/>
            </w:pPr>
            <w:r>
              <w:t>人民防空办公室经费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预算安排4万元，其中财政资金4万元，主要用于人民防空办公室经费支出。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25</w:t>
            </w:r>
          </w:p>
        </w:tc>
        <w:tc>
          <w:tcPr>
            <w:tcW w:w="2835" w:type="dxa"/>
            <w:vAlign w:val="center"/>
          </w:tcPr>
          <w:p>
            <w:pPr>
              <w:pStyle w:val="15"/>
            </w:pPr>
            <w:r>
              <w:rPr>
                <w:rFonts w:hint="eastAsia" w:asciiTheme="minorEastAsia" w:hAnsiTheme="minorEastAsia" w:eastAsiaTheme="minorEastAsia"/>
                <w:lang w:eastAsia="zh-CN"/>
              </w:rPr>
              <w:t>50</w:t>
            </w:r>
          </w:p>
        </w:tc>
        <w:tc>
          <w:tcPr>
            <w:tcW w:w="2551" w:type="dxa"/>
            <w:vAlign w:val="center"/>
          </w:tcPr>
          <w:p>
            <w:pPr>
              <w:pStyle w:val="15"/>
            </w:pPr>
            <w:r>
              <w:rPr>
                <w:rFonts w:hint="eastAsia" w:asciiTheme="minorEastAsia" w:hAnsiTheme="minorEastAsia" w:eastAsiaTheme="minorEastAsia"/>
                <w:lang w:eastAsia="zh-CN"/>
              </w:rPr>
              <w:t>75</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1.通过购置办公用品，满足人民防空办公室日常工作需要，保证人民防空工作有序进行。</w:t>
            </w:r>
          </w:p>
          <w:p>
            <w:pPr>
              <w:pStyle w:val="14"/>
            </w:pPr>
            <w:r>
              <w:t>2.通过日常工作有序开展，保证机关工作职能的有效履行。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集中拉练训练</w:t>
            </w:r>
          </w:p>
        </w:tc>
        <w:tc>
          <w:tcPr>
            <w:tcW w:w="5386" w:type="dxa"/>
            <w:vAlign w:val="center"/>
          </w:tcPr>
          <w:p>
            <w:pPr>
              <w:pStyle w:val="14"/>
            </w:pPr>
            <w:r>
              <w:t>市级组织集中拉练次数</w:t>
            </w:r>
          </w:p>
        </w:tc>
        <w:tc>
          <w:tcPr>
            <w:tcW w:w="2268" w:type="dxa"/>
            <w:vAlign w:val="center"/>
          </w:tcPr>
          <w:p>
            <w:pPr>
              <w:pStyle w:val="14"/>
            </w:pPr>
            <w:r>
              <w:t>2次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全国防灾减灾等知识宣传</w:t>
            </w:r>
          </w:p>
        </w:tc>
        <w:tc>
          <w:tcPr>
            <w:tcW w:w="5386" w:type="dxa"/>
            <w:vAlign w:val="center"/>
          </w:tcPr>
          <w:p>
            <w:pPr>
              <w:pStyle w:val="14"/>
            </w:pPr>
            <w:r>
              <w:t>全国防灾减灾等知识宣传次数</w:t>
            </w:r>
          </w:p>
        </w:tc>
        <w:tc>
          <w:tcPr>
            <w:tcW w:w="2268" w:type="dxa"/>
            <w:vAlign w:val="center"/>
          </w:tcPr>
          <w:p>
            <w:pPr>
              <w:pStyle w:val="14"/>
            </w:pPr>
            <w:r>
              <w:t>≥4次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购买办公用品达标率</w:t>
            </w:r>
          </w:p>
        </w:tc>
        <w:tc>
          <w:tcPr>
            <w:tcW w:w="5386" w:type="dxa"/>
            <w:vAlign w:val="center"/>
          </w:tcPr>
          <w:p>
            <w:pPr>
              <w:pStyle w:val="14"/>
            </w:pPr>
            <w:r>
              <w:t>购买办公用品达标率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印刷费用</w:t>
            </w:r>
          </w:p>
        </w:tc>
        <w:tc>
          <w:tcPr>
            <w:tcW w:w="5386" w:type="dxa"/>
            <w:vAlign w:val="center"/>
          </w:tcPr>
          <w:p>
            <w:pPr>
              <w:pStyle w:val="14"/>
            </w:pPr>
            <w:r>
              <w:t>人防办公室印刷各类明白卡、政策宣传品费用</w:t>
            </w:r>
          </w:p>
        </w:tc>
        <w:tc>
          <w:tcPr>
            <w:tcW w:w="2268" w:type="dxa"/>
            <w:vAlign w:val="center"/>
          </w:tcPr>
          <w:p>
            <w:pPr>
              <w:pStyle w:val="14"/>
            </w:pPr>
            <w:r>
              <w:t>≤1万元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电脑耗材成本</w:t>
            </w:r>
          </w:p>
        </w:tc>
        <w:tc>
          <w:tcPr>
            <w:tcW w:w="5386" w:type="dxa"/>
            <w:vAlign w:val="center"/>
          </w:tcPr>
          <w:p>
            <w:pPr>
              <w:pStyle w:val="14"/>
            </w:pPr>
            <w:r>
              <w:t>人民防空办公室年度电脑耗材成本</w:t>
            </w:r>
          </w:p>
        </w:tc>
        <w:tc>
          <w:tcPr>
            <w:tcW w:w="2268" w:type="dxa"/>
            <w:vAlign w:val="center"/>
          </w:tcPr>
          <w:p>
            <w:pPr>
              <w:pStyle w:val="14"/>
            </w:pPr>
            <w:r>
              <w:t>≤1万元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集中拉练成本</w:t>
            </w:r>
          </w:p>
        </w:tc>
        <w:tc>
          <w:tcPr>
            <w:tcW w:w="5386" w:type="dxa"/>
            <w:vAlign w:val="center"/>
          </w:tcPr>
          <w:p>
            <w:pPr>
              <w:pStyle w:val="14"/>
            </w:pPr>
            <w:r>
              <w:t>年度集中拉练成本</w:t>
            </w:r>
          </w:p>
        </w:tc>
        <w:tc>
          <w:tcPr>
            <w:tcW w:w="2268" w:type="dxa"/>
            <w:vAlign w:val="center"/>
          </w:tcPr>
          <w:p>
            <w:pPr>
              <w:pStyle w:val="14"/>
            </w:pPr>
            <w:r>
              <w:t>≤2万元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购买时间</w:t>
            </w:r>
          </w:p>
        </w:tc>
        <w:tc>
          <w:tcPr>
            <w:tcW w:w="5386" w:type="dxa"/>
            <w:vAlign w:val="center"/>
          </w:tcPr>
          <w:p>
            <w:pPr>
              <w:pStyle w:val="14"/>
            </w:pPr>
            <w:r>
              <w:t>购买办公用品到位时间</w:t>
            </w:r>
          </w:p>
        </w:tc>
        <w:tc>
          <w:tcPr>
            <w:tcW w:w="2268" w:type="dxa"/>
            <w:vAlign w:val="center"/>
          </w:tcPr>
          <w:p>
            <w:pPr>
              <w:pStyle w:val="14"/>
            </w:pPr>
            <w:r>
              <w:t>2024年度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做好汛期应急通讯及抢险物资工作</w:t>
            </w:r>
          </w:p>
        </w:tc>
        <w:tc>
          <w:tcPr>
            <w:tcW w:w="5386" w:type="dxa"/>
            <w:vAlign w:val="center"/>
          </w:tcPr>
          <w:p>
            <w:pPr>
              <w:pStyle w:val="14"/>
            </w:pPr>
            <w:r>
              <w:t>保障县内可持续发展</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提高人民群众防震减灾意识</w:t>
            </w:r>
          </w:p>
        </w:tc>
        <w:tc>
          <w:tcPr>
            <w:tcW w:w="5386" w:type="dxa"/>
            <w:vAlign w:val="center"/>
          </w:tcPr>
          <w:p>
            <w:pPr>
              <w:pStyle w:val="14"/>
            </w:pPr>
            <w:r>
              <w:t>通过进行防灾减灾宣传，提高群众安全意识</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5386" w:type="dxa"/>
            <w:vAlign w:val="center"/>
          </w:tcPr>
          <w:p>
            <w:pPr>
              <w:pStyle w:val="14"/>
            </w:pPr>
            <w:r>
              <w:t>通过问卷调查，满意和基本满意的职工占所有调查职工的比例</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12、信访维稳经费绩效目标表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13032123P00338310030W</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预算安排2万元，其中财政资金2万元，主要用于支付信访维稳费用。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100</w:t>
            </w:r>
          </w:p>
        </w:tc>
        <w:tc>
          <w:tcPr>
            <w:tcW w:w="2835" w:type="dxa"/>
            <w:vAlign w:val="center"/>
          </w:tcPr>
          <w:p>
            <w:pPr>
              <w:pStyle w:val="15"/>
            </w:pPr>
            <w:r>
              <w:rPr>
                <w:rFonts w:hint="eastAsia" w:asciiTheme="minorEastAsia" w:hAnsiTheme="minorEastAsia" w:eastAsiaTheme="minorEastAsia"/>
                <w:lang w:eastAsia="zh-CN"/>
              </w:rPr>
              <w:t>100</w:t>
            </w:r>
          </w:p>
        </w:tc>
        <w:tc>
          <w:tcPr>
            <w:tcW w:w="2551" w:type="dxa"/>
            <w:vAlign w:val="center"/>
          </w:tcPr>
          <w:p>
            <w:pPr>
              <w:pStyle w:val="15"/>
            </w:pPr>
            <w:r>
              <w:rPr>
                <w:rFonts w:hint="eastAsia" w:asciiTheme="minorEastAsia" w:hAnsiTheme="minorEastAsia" w:eastAsiaTheme="minorEastAsia"/>
                <w:lang w:eastAsia="zh-CN"/>
              </w:rPr>
              <w:t>100</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1.通过加强信访维稳工作有效开展，促进机关正常工作高效运转，减少信访事件。</w:t>
            </w:r>
          </w:p>
          <w:p>
            <w:pPr>
              <w:pStyle w:val="14"/>
            </w:pPr>
            <w:r>
              <w:t>2.通过及时完成接访任务，实现社会稳定。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案件数量</w:t>
            </w:r>
          </w:p>
        </w:tc>
        <w:tc>
          <w:tcPr>
            <w:tcW w:w="5386" w:type="dxa"/>
            <w:vAlign w:val="center"/>
          </w:tcPr>
          <w:p>
            <w:pPr>
              <w:pStyle w:val="14"/>
            </w:pPr>
            <w:r>
              <w:t>办结信访案件数量</w:t>
            </w:r>
          </w:p>
        </w:tc>
        <w:tc>
          <w:tcPr>
            <w:tcW w:w="2268" w:type="dxa"/>
            <w:vAlign w:val="center"/>
          </w:tcPr>
          <w:p>
            <w:pPr>
              <w:pStyle w:val="14"/>
            </w:pPr>
            <w:r>
              <w:t>≥5件</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案件办结率</w:t>
            </w:r>
          </w:p>
        </w:tc>
        <w:tc>
          <w:tcPr>
            <w:tcW w:w="5386" w:type="dxa"/>
            <w:vAlign w:val="center"/>
          </w:tcPr>
          <w:p>
            <w:pPr>
              <w:pStyle w:val="14"/>
            </w:pPr>
            <w:r>
              <w:t>反映信访案件办结率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案件受理率</w:t>
            </w:r>
          </w:p>
        </w:tc>
        <w:tc>
          <w:tcPr>
            <w:tcW w:w="5386" w:type="dxa"/>
            <w:vAlign w:val="center"/>
          </w:tcPr>
          <w:p>
            <w:pPr>
              <w:pStyle w:val="14"/>
            </w:pPr>
            <w:r>
              <w:t>反映信访案件受理率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信访接待率</w:t>
            </w:r>
          </w:p>
        </w:tc>
        <w:tc>
          <w:tcPr>
            <w:tcW w:w="5386" w:type="dxa"/>
            <w:vAlign w:val="center"/>
          </w:tcPr>
          <w:p>
            <w:pPr>
              <w:pStyle w:val="14"/>
            </w:pPr>
            <w:r>
              <w:t>项目信访群众接待人数占信访群众总人数的比重</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接访安全保障率</w:t>
            </w:r>
          </w:p>
        </w:tc>
        <w:tc>
          <w:tcPr>
            <w:tcW w:w="5386" w:type="dxa"/>
            <w:vAlign w:val="center"/>
          </w:tcPr>
          <w:p>
            <w:pPr>
              <w:pStyle w:val="14"/>
            </w:pPr>
            <w:r>
              <w:t>进京进省接访安全保障措施有效执行，保障安全接访的工作完成</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按年初计划完成各项工作任务</w:t>
            </w:r>
          </w:p>
        </w:tc>
        <w:tc>
          <w:tcPr>
            <w:tcW w:w="2268" w:type="dxa"/>
            <w:vAlign w:val="center"/>
          </w:tcPr>
          <w:p>
            <w:pPr>
              <w:pStyle w:val="14"/>
            </w:pPr>
            <w:r>
              <w:t>2024年度</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信访工作支出</w:t>
            </w:r>
          </w:p>
        </w:tc>
        <w:tc>
          <w:tcPr>
            <w:tcW w:w="5386" w:type="dxa"/>
            <w:vAlign w:val="center"/>
          </w:tcPr>
          <w:p>
            <w:pPr>
              <w:pStyle w:val="14"/>
            </w:pPr>
            <w:r>
              <w:t>项目日常信访工作产生的差旅费等</w:t>
            </w:r>
          </w:p>
        </w:tc>
        <w:tc>
          <w:tcPr>
            <w:tcW w:w="2268" w:type="dxa"/>
            <w:vAlign w:val="center"/>
          </w:tcPr>
          <w:p>
            <w:pPr>
              <w:pStyle w:val="14"/>
            </w:pPr>
            <w:r>
              <w:t>≤1.5万元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信访工作支出</w:t>
            </w:r>
          </w:p>
        </w:tc>
        <w:tc>
          <w:tcPr>
            <w:tcW w:w="5386" w:type="dxa"/>
            <w:vAlign w:val="center"/>
          </w:tcPr>
          <w:p>
            <w:pPr>
              <w:pStyle w:val="14"/>
            </w:pPr>
            <w:r>
              <w:t>个性信访案件处理指出</w:t>
            </w:r>
          </w:p>
        </w:tc>
        <w:tc>
          <w:tcPr>
            <w:tcW w:w="2268" w:type="dxa"/>
            <w:vAlign w:val="center"/>
          </w:tcPr>
          <w:p>
            <w:pPr>
              <w:pStyle w:val="14"/>
            </w:pPr>
            <w:r>
              <w:t>≤0.5万元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无事故发生事件</w:t>
            </w:r>
          </w:p>
        </w:tc>
        <w:tc>
          <w:tcPr>
            <w:tcW w:w="5386" w:type="dxa"/>
            <w:vAlign w:val="center"/>
          </w:tcPr>
          <w:p>
            <w:pPr>
              <w:pStyle w:val="14"/>
            </w:pPr>
            <w:r>
              <w:t>及时化解信访引发的矛盾，解决群众反映强烈的信访问题，降低信访事故发生率</w:t>
            </w:r>
          </w:p>
        </w:tc>
        <w:tc>
          <w:tcPr>
            <w:tcW w:w="2268" w:type="dxa"/>
            <w:vAlign w:val="center"/>
          </w:tcPr>
          <w:p>
            <w:pPr>
              <w:pStyle w:val="14"/>
            </w:pPr>
            <w:r>
              <w:t>≥80%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调查中群众满意的人数占被群众总人数比重</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13、营商办经费绩效目标表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13032124P00326610019Y</w:t>
            </w:r>
          </w:p>
        </w:tc>
        <w:tc>
          <w:tcPr>
            <w:tcW w:w="2835" w:type="dxa"/>
            <w:vAlign w:val="center"/>
          </w:tcPr>
          <w:p>
            <w:pPr>
              <w:pStyle w:val="12"/>
            </w:pPr>
            <w:r>
              <w:t>项目名称</w:t>
            </w:r>
          </w:p>
        </w:tc>
        <w:tc>
          <w:tcPr>
            <w:tcW w:w="6095" w:type="dxa"/>
            <w:gridSpan w:val="3"/>
            <w:vAlign w:val="center"/>
          </w:tcPr>
          <w:p>
            <w:pPr>
              <w:pStyle w:val="14"/>
            </w:pPr>
            <w:r>
              <w:t>营商办经费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预算安排15万元，其中，财政资金15万元，主要用于营商办经费支出。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33</w:t>
            </w:r>
          </w:p>
        </w:tc>
        <w:tc>
          <w:tcPr>
            <w:tcW w:w="2835" w:type="dxa"/>
            <w:vAlign w:val="center"/>
          </w:tcPr>
          <w:p>
            <w:pPr>
              <w:pStyle w:val="15"/>
            </w:pPr>
            <w:r>
              <w:rPr>
                <w:rFonts w:hint="eastAsia" w:asciiTheme="minorEastAsia" w:hAnsiTheme="minorEastAsia" w:eastAsiaTheme="minorEastAsia"/>
                <w:lang w:eastAsia="zh-CN"/>
              </w:rPr>
              <w:t>33</w:t>
            </w:r>
          </w:p>
        </w:tc>
        <w:tc>
          <w:tcPr>
            <w:tcW w:w="2551" w:type="dxa"/>
            <w:vAlign w:val="center"/>
          </w:tcPr>
          <w:p>
            <w:pPr>
              <w:pStyle w:val="15"/>
            </w:pPr>
            <w:r>
              <w:rPr>
                <w:rFonts w:hint="eastAsia" w:asciiTheme="minorEastAsia" w:hAnsiTheme="minorEastAsia" w:eastAsiaTheme="minorEastAsia"/>
                <w:lang w:eastAsia="zh-CN"/>
              </w:rPr>
              <w:t>66</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1.通过进行市场满意度调查，增强市场主体满意度，促进县域经济发展。</w:t>
            </w:r>
          </w:p>
          <w:p>
            <w:pPr>
              <w:pStyle w:val="14"/>
            </w:pPr>
            <w:r>
              <w:t>2.通过日常工作有序开展，推动营商环境持续优化。</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营商办人数</w:t>
            </w:r>
          </w:p>
        </w:tc>
        <w:tc>
          <w:tcPr>
            <w:tcW w:w="5386" w:type="dxa"/>
            <w:vAlign w:val="center"/>
          </w:tcPr>
          <w:p>
            <w:pPr>
              <w:pStyle w:val="14"/>
            </w:pPr>
            <w:r>
              <w:t>营商办日常办公人数</w:t>
            </w:r>
          </w:p>
        </w:tc>
        <w:tc>
          <w:tcPr>
            <w:tcW w:w="2268" w:type="dxa"/>
            <w:vAlign w:val="center"/>
          </w:tcPr>
          <w:p>
            <w:pPr>
              <w:pStyle w:val="14"/>
            </w:pPr>
            <w:r>
              <w:t>10人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营商环境满意度调查次数</w:t>
            </w:r>
          </w:p>
        </w:tc>
        <w:tc>
          <w:tcPr>
            <w:tcW w:w="5386" w:type="dxa"/>
            <w:vAlign w:val="center"/>
          </w:tcPr>
          <w:p>
            <w:pPr>
              <w:pStyle w:val="14"/>
            </w:pPr>
            <w:r>
              <w:t>2024年营商环境满意度调查次数</w:t>
            </w:r>
          </w:p>
        </w:tc>
        <w:tc>
          <w:tcPr>
            <w:tcW w:w="2268" w:type="dxa"/>
            <w:vAlign w:val="center"/>
          </w:tcPr>
          <w:p>
            <w:pPr>
              <w:pStyle w:val="14"/>
            </w:pPr>
            <w:r>
              <w:t>2次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营商环境满意度调查主体企业数量</w:t>
            </w:r>
          </w:p>
        </w:tc>
        <w:tc>
          <w:tcPr>
            <w:tcW w:w="5386" w:type="dxa"/>
            <w:vAlign w:val="center"/>
          </w:tcPr>
          <w:p>
            <w:pPr>
              <w:pStyle w:val="14"/>
            </w:pPr>
            <w:r>
              <w:t>2024年度营商环境满意度调查主体企业数量</w:t>
            </w:r>
          </w:p>
        </w:tc>
        <w:tc>
          <w:tcPr>
            <w:tcW w:w="2268" w:type="dxa"/>
            <w:vAlign w:val="center"/>
          </w:tcPr>
          <w:p>
            <w:pPr>
              <w:pStyle w:val="14"/>
            </w:pPr>
            <w:r>
              <w:t>≥1000家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购买办公用品达标率</w:t>
            </w:r>
          </w:p>
        </w:tc>
        <w:tc>
          <w:tcPr>
            <w:tcW w:w="5386" w:type="dxa"/>
            <w:vAlign w:val="center"/>
          </w:tcPr>
          <w:p>
            <w:pPr>
              <w:pStyle w:val="14"/>
            </w:pPr>
            <w:r>
              <w:t>购买办公用品达标率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印刷费用</w:t>
            </w:r>
          </w:p>
        </w:tc>
        <w:tc>
          <w:tcPr>
            <w:tcW w:w="5386" w:type="dxa"/>
            <w:vAlign w:val="center"/>
          </w:tcPr>
          <w:p>
            <w:pPr>
              <w:pStyle w:val="14"/>
            </w:pPr>
            <w:r>
              <w:t>营商办印刷各类调查问卷、政策宣传品费用</w:t>
            </w:r>
          </w:p>
        </w:tc>
        <w:tc>
          <w:tcPr>
            <w:tcW w:w="2268" w:type="dxa"/>
            <w:vAlign w:val="center"/>
          </w:tcPr>
          <w:p>
            <w:pPr>
              <w:pStyle w:val="14"/>
            </w:pPr>
            <w:r>
              <w:t>≤8万元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电脑耗材成本</w:t>
            </w:r>
          </w:p>
        </w:tc>
        <w:tc>
          <w:tcPr>
            <w:tcW w:w="5386" w:type="dxa"/>
            <w:vAlign w:val="center"/>
          </w:tcPr>
          <w:p>
            <w:pPr>
              <w:pStyle w:val="14"/>
            </w:pPr>
            <w:r>
              <w:t>营商办年度电脑耗材成本</w:t>
            </w:r>
          </w:p>
        </w:tc>
        <w:tc>
          <w:tcPr>
            <w:tcW w:w="2268" w:type="dxa"/>
            <w:vAlign w:val="center"/>
          </w:tcPr>
          <w:p>
            <w:pPr>
              <w:pStyle w:val="14"/>
            </w:pPr>
            <w:r>
              <w:t>≤3万元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办公费成本</w:t>
            </w:r>
          </w:p>
        </w:tc>
        <w:tc>
          <w:tcPr>
            <w:tcW w:w="5386" w:type="dxa"/>
            <w:vAlign w:val="center"/>
          </w:tcPr>
          <w:p>
            <w:pPr>
              <w:pStyle w:val="14"/>
            </w:pPr>
            <w:r>
              <w:t>笔、墨、纸张等日常办公成本</w:t>
            </w:r>
          </w:p>
        </w:tc>
        <w:tc>
          <w:tcPr>
            <w:tcW w:w="2268" w:type="dxa"/>
            <w:vAlign w:val="center"/>
          </w:tcPr>
          <w:p>
            <w:pPr>
              <w:pStyle w:val="14"/>
            </w:pPr>
            <w:r>
              <w:t>≤4万元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购买时间</w:t>
            </w:r>
          </w:p>
        </w:tc>
        <w:tc>
          <w:tcPr>
            <w:tcW w:w="5386" w:type="dxa"/>
            <w:vAlign w:val="center"/>
          </w:tcPr>
          <w:p>
            <w:pPr>
              <w:pStyle w:val="14"/>
            </w:pPr>
            <w:r>
              <w:t>购买办公用品到位时间</w:t>
            </w:r>
          </w:p>
        </w:tc>
        <w:tc>
          <w:tcPr>
            <w:tcW w:w="2268" w:type="dxa"/>
            <w:vAlign w:val="center"/>
          </w:tcPr>
          <w:p>
            <w:pPr>
              <w:pStyle w:val="14"/>
            </w:pPr>
            <w:r>
              <w:t>2024年度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推动营商环境持续优化</w:t>
            </w:r>
          </w:p>
        </w:tc>
        <w:tc>
          <w:tcPr>
            <w:tcW w:w="5386" w:type="dxa"/>
            <w:vAlign w:val="center"/>
          </w:tcPr>
          <w:p>
            <w:pPr>
              <w:pStyle w:val="14"/>
            </w:pPr>
            <w:r>
              <w:t>通过日常工作有序开展，推动营商环境持续优化。</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促进县域经济发展</w:t>
            </w:r>
          </w:p>
        </w:tc>
        <w:tc>
          <w:tcPr>
            <w:tcW w:w="5386" w:type="dxa"/>
            <w:vAlign w:val="center"/>
          </w:tcPr>
          <w:p>
            <w:pPr>
              <w:pStyle w:val="14"/>
            </w:pPr>
            <w:r>
              <w:t>通过进行市场满意度调查，增强市场主体满意度，持续推进县域经济发展。</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通过问卷调查，满意和基本满意的职工占所有调查职工的比例</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14、重大项目前期工作经费绩效目标表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13032123P003383100182</w:t>
            </w:r>
          </w:p>
        </w:tc>
        <w:tc>
          <w:tcPr>
            <w:tcW w:w="2835" w:type="dxa"/>
            <w:vAlign w:val="center"/>
          </w:tcPr>
          <w:p>
            <w:pPr>
              <w:pStyle w:val="12"/>
            </w:pPr>
            <w:r>
              <w:t>项目名称</w:t>
            </w:r>
          </w:p>
        </w:tc>
        <w:tc>
          <w:tcPr>
            <w:tcW w:w="6095" w:type="dxa"/>
            <w:gridSpan w:val="3"/>
            <w:vAlign w:val="center"/>
          </w:tcPr>
          <w:p>
            <w:pPr>
              <w:pStyle w:val="14"/>
            </w:pPr>
            <w:r>
              <w:t>重大项目前期工作经费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51.46</w:t>
            </w:r>
          </w:p>
        </w:tc>
        <w:tc>
          <w:tcPr>
            <w:tcW w:w="2835" w:type="dxa"/>
            <w:vAlign w:val="center"/>
          </w:tcPr>
          <w:p>
            <w:pPr>
              <w:pStyle w:val="12"/>
            </w:pPr>
            <w:r>
              <w:t>其中：财政    资金</w:t>
            </w:r>
          </w:p>
        </w:tc>
        <w:tc>
          <w:tcPr>
            <w:tcW w:w="2551" w:type="dxa"/>
            <w:vAlign w:val="center"/>
          </w:tcPr>
          <w:p>
            <w:pPr>
              <w:pStyle w:val="14"/>
            </w:pPr>
            <w:r>
              <w:t>51.46</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预算安排35万元，其中财政资金35万元，主要用于重大项目 前期工作经费支出。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20</w:t>
            </w:r>
          </w:p>
        </w:tc>
        <w:tc>
          <w:tcPr>
            <w:tcW w:w="2835" w:type="dxa"/>
            <w:vAlign w:val="center"/>
          </w:tcPr>
          <w:p>
            <w:pPr>
              <w:pStyle w:val="15"/>
            </w:pPr>
            <w:r>
              <w:rPr>
                <w:rFonts w:hint="eastAsia" w:asciiTheme="minorEastAsia" w:hAnsiTheme="minorEastAsia" w:eastAsiaTheme="minorEastAsia"/>
                <w:lang w:eastAsia="zh-CN"/>
              </w:rPr>
              <w:t>20</w:t>
            </w:r>
          </w:p>
        </w:tc>
        <w:tc>
          <w:tcPr>
            <w:tcW w:w="2551" w:type="dxa"/>
            <w:vAlign w:val="center"/>
          </w:tcPr>
          <w:p>
            <w:pPr>
              <w:pStyle w:val="15"/>
            </w:pPr>
            <w:r>
              <w:rPr>
                <w:rFonts w:hint="eastAsia" w:asciiTheme="minorEastAsia" w:hAnsiTheme="minorEastAsia" w:eastAsiaTheme="minorEastAsia"/>
                <w:lang w:eastAsia="zh-CN"/>
              </w:rPr>
              <w:t>68</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1.通过邀请知名企业来青考察，开展小团组招商活动，促进招商引资工作目标完成。</w:t>
            </w:r>
          </w:p>
          <w:p>
            <w:pPr>
              <w:pStyle w:val="14"/>
            </w:pPr>
            <w:r>
              <w:t>2.通过举行各类招商座谈会洽谈会，促进招商工作效果提升。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招商活动次数</w:t>
            </w:r>
          </w:p>
        </w:tc>
        <w:tc>
          <w:tcPr>
            <w:tcW w:w="5386" w:type="dxa"/>
            <w:vAlign w:val="center"/>
          </w:tcPr>
          <w:p>
            <w:pPr>
              <w:pStyle w:val="14"/>
            </w:pPr>
            <w:r>
              <w:t>开展小团组招商活动的次数</w:t>
            </w:r>
          </w:p>
        </w:tc>
        <w:tc>
          <w:tcPr>
            <w:tcW w:w="2268" w:type="dxa"/>
            <w:vAlign w:val="center"/>
          </w:tcPr>
          <w:p>
            <w:pPr>
              <w:pStyle w:val="14"/>
            </w:pPr>
            <w:r>
              <w:t>≥30次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招商推介洽谈会批次</w:t>
            </w:r>
          </w:p>
        </w:tc>
        <w:tc>
          <w:tcPr>
            <w:tcW w:w="5386" w:type="dxa"/>
            <w:vAlign w:val="center"/>
          </w:tcPr>
          <w:p>
            <w:pPr>
              <w:pStyle w:val="14"/>
            </w:pPr>
            <w:r>
              <w:t>赴外参加、举办招商推介洽谈会批次批次</w:t>
            </w:r>
          </w:p>
        </w:tc>
        <w:tc>
          <w:tcPr>
            <w:tcW w:w="2268" w:type="dxa"/>
            <w:vAlign w:val="center"/>
          </w:tcPr>
          <w:p>
            <w:pPr>
              <w:pStyle w:val="14"/>
            </w:pPr>
            <w:r>
              <w:t>≥3次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邀请考察洽谈批次</w:t>
            </w:r>
          </w:p>
        </w:tc>
        <w:tc>
          <w:tcPr>
            <w:tcW w:w="5386" w:type="dxa"/>
            <w:vAlign w:val="center"/>
          </w:tcPr>
          <w:p>
            <w:pPr>
              <w:pStyle w:val="14"/>
            </w:pPr>
            <w:r>
              <w:t>邀请企业、客商来青龙考察洽谈批次</w:t>
            </w:r>
          </w:p>
        </w:tc>
        <w:tc>
          <w:tcPr>
            <w:tcW w:w="2268" w:type="dxa"/>
            <w:vAlign w:val="center"/>
          </w:tcPr>
          <w:p>
            <w:pPr>
              <w:pStyle w:val="14"/>
            </w:pPr>
            <w:r>
              <w:t>≥30次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签订项目数量</w:t>
            </w:r>
          </w:p>
        </w:tc>
        <w:tc>
          <w:tcPr>
            <w:tcW w:w="5386" w:type="dxa"/>
            <w:vAlign w:val="center"/>
          </w:tcPr>
          <w:p>
            <w:pPr>
              <w:pStyle w:val="14"/>
            </w:pPr>
            <w:r>
              <w:t>争取签订亿元以上项目的数量（个）</w:t>
            </w:r>
          </w:p>
        </w:tc>
        <w:tc>
          <w:tcPr>
            <w:tcW w:w="2268" w:type="dxa"/>
            <w:vAlign w:val="center"/>
          </w:tcPr>
          <w:p>
            <w:pPr>
              <w:pStyle w:val="14"/>
            </w:pPr>
            <w:r>
              <w:t>≥5个</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签订项目数量</w:t>
            </w:r>
          </w:p>
        </w:tc>
        <w:tc>
          <w:tcPr>
            <w:tcW w:w="5386" w:type="dxa"/>
            <w:vAlign w:val="center"/>
          </w:tcPr>
          <w:p>
            <w:pPr>
              <w:pStyle w:val="14"/>
            </w:pPr>
            <w:r>
              <w:t>包含市重点项目及县级千万元以上项目数量（个）</w:t>
            </w:r>
          </w:p>
        </w:tc>
        <w:tc>
          <w:tcPr>
            <w:tcW w:w="2268" w:type="dxa"/>
            <w:vAlign w:val="center"/>
          </w:tcPr>
          <w:p>
            <w:pPr>
              <w:pStyle w:val="14"/>
            </w:pPr>
            <w:r>
              <w:t>≥10个</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资金数量增长比例</w:t>
            </w:r>
          </w:p>
        </w:tc>
        <w:tc>
          <w:tcPr>
            <w:tcW w:w="5386" w:type="dxa"/>
            <w:vAlign w:val="center"/>
          </w:tcPr>
          <w:p>
            <w:pPr>
              <w:pStyle w:val="14"/>
            </w:pPr>
            <w:r>
              <w:t>引进县外资金数量增长比例</w:t>
            </w:r>
          </w:p>
        </w:tc>
        <w:tc>
          <w:tcPr>
            <w:tcW w:w="2268" w:type="dxa"/>
            <w:vAlign w:val="center"/>
          </w:tcPr>
          <w:p>
            <w:pPr>
              <w:pStyle w:val="14"/>
            </w:pPr>
            <w:r>
              <w:t>≥7%</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招商引资目标完成率</w:t>
            </w:r>
          </w:p>
        </w:tc>
        <w:tc>
          <w:tcPr>
            <w:tcW w:w="5386" w:type="dxa"/>
            <w:vAlign w:val="center"/>
          </w:tcPr>
          <w:p>
            <w:pPr>
              <w:pStyle w:val="14"/>
            </w:pPr>
            <w:r>
              <w:t>成功组织小团组招商活动批次；赴外招商推介洽谈会批次；邀请企业、客商来青龙批次目标。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认真按照年度招商引资工作方案和计划的时间节点推进招商引资工作</w:t>
            </w:r>
          </w:p>
        </w:tc>
        <w:tc>
          <w:tcPr>
            <w:tcW w:w="2268" w:type="dxa"/>
            <w:vAlign w:val="center"/>
          </w:tcPr>
          <w:p>
            <w:pPr>
              <w:pStyle w:val="14"/>
            </w:pPr>
            <w:r>
              <w:t>2024年度</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宣传材料费用</w:t>
            </w:r>
          </w:p>
        </w:tc>
        <w:tc>
          <w:tcPr>
            <w:tcW w:w="5386" w:type="dxa"/>
            <w:vAlign w:val="center"/>
          </w:tcPr>
          <w:p>
            <w:pPr>
              <w:pStyle w:val="14"/>
            </w:pPr>
            <w:r>
              <w:t>严格控制宣传材料设计、制作、印刷、装订、包装费用</w:t>
            </w:r>
          </w:p>
        </w:tc>
        <w:tc>
          <w:tcPr>
            <w:tcW w:w="2268" w:type="dxa"/>
            <w:vAlign w:val="center"/>
          </w:tcPr>
          <w:p>
            <w:pPr>
              <w:pStyle w:val="14"/>
            </w:pPr>
            <w:r>
              <w:t>≤15万元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小团组招商、赴外招商推介</w:t>
            </w:r>
          </w:p>
        </w:tc>
        <w:tc>
          <w:tcPr>
            <w:tcW w:w="5386" w:type="dxa"/>
            <w:vAlign w:val="center"/>
          </w:tcPr>
          <w:p>
            <w:pPr>
              <w:pStyle w:val="14"/>
            </w:pPr>
            <w:r>
              <w:t>严格控制小团组招商、赴外招商推介洽谈活动费用</w:t>
            </w:r>
          </w:p>
        </w:tc>
        <w:tc>
          <w:tcPr>
            <w:tcW w:w="2268" w:type="dxa"/>
            <w:vAlign w:val="center"/>
          </w:tcPr>
          <w:p>
            <w:pPr>
              <w:pStyle w:val="14"/>
            </w:pPr>
            <w:r>
              <w:t>≤10万元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来考察企业、客商接待</w:t>
            </w:r>
          </w:p>
        </w:tc>
        <w:tc>
          <w:tcPr>
            <w:tcW w:w="5386" w:type="dxa"/>
            <w:vAlign w:val="center"/>
          </w:tcPr>
          <w:p>
            <w:pPr>
              <w:pStyle w:val="14"/>
            </w:pPr>
            <w:r>
              <w:t>严格控制来请考察企业、客商接待标准和费用</w:t>
            </w:r>
          </w:p>
        </w:tc>
        <w:tc>
          <w:tcPr>
            <w:tcW w:w="2268" w:type="dxa"/>
            <w:vAlign w:val="center"/>
          </w:tcPr>
          <w:p>
            <w:pPr>
              <w:pStyle w:val="14"/>
            </w:pPr>
            <w:r>
              <w:t>≤10万元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引进投资款增长比率</w:t>
            </w:r>
          </w:p>
        </w:tc>
        <w:tc>
          <w:tcPr>
            <w:tcW w:w="5386" w:type="dxa"/>
            <w:vAlign w:val="center"/>
          </w:tcPr>
          <w:p>
            <w:pPr>
              <w:pStyle w:val="14"/>
            </w:pPr>
            <w:r>
              <w:t>引进投资款增长比率</w:t>
            </w:r>
          </w:p>
        </w:tc>
        <w:tc>
          <w:tcPr>
            <w:tcW w:w="2268" w:type="dxa"/>
            <w:vAlign w:val="center"/>
          </w:tcPr>
          <w:p>
            <w:pPr>
              <w:pStyle w:val="14"/>
            </w:pPr>
            <w:r>
              <w:t>≥5%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对内投资环境影响</w:t>
            </w:r>
          </w:p>
        </w:tc>
        <w:tc>
          <w:tcPr>
            <w:tcW w:w="5386" w:type="dxa"/>
            <w:vAlign w:val="center"/>
          </w:tcPr>
          <w:p>
            <w:pPr>
              <w:pStyle w:val="14"/>
            </w:pPr>
            <w:r>
              <w:t>持续改善我县对内投资环境，不断增加就业岗位</w:t>
            </w:r>
          </w:p>
        </w:tc>
        <w:tc>
          <w:tcPr>
            <w:tcW w:w="2268" w:type="dxa"/>
            <w:vAlign w:val="center"/>
          </w:tcPr>
          <w:p>
            <w:pPr>
              <w:pStyle w:val="14"/>
            </w:pPr>
            <w:r>
              <w:t>≥1%</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长期有效性</w:t>
            </w:r>
          </w:p>
        </w:tc>
        <w:tc>
          <w:tcPr>
            <w:tcW w:w="5386" w:type="dxa"/>
            <w:vAlign w:val="center"/>
          </w:tcPr>
          <w:p>
            <w:pPr>
              <w:pStyle w:val="14"/>
            </w:pPr>
            <w:r>
              <w:t>不断扩大落地投产项目的可持续影响，培育全产业链，推动产项链向上下游的延伸</w:t>
            </w:r>
          </w:p>
        </w:tc>
        <w:tc>
          <w:tcPr>
            <w:tcW w:w="2268" w:type="dxa"/>
            <w:vAlign w:val="center"/>
          </w:tcPr>
          <w:p>
            <w:pPr>
              <w:pStyle w:val="14"/>
            </w:pPr>
            <w:r>
              <w:t>≥3年</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调查中满意和较满意的企业数占全部调查企业数的比率</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15、储备粮利息费用补贴绩效目标表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13032123P003385101219</w:t>
            </w:r>
          </w:p>
        </w:tc>
        <w:tc>
          <w:tcPr>
            <w:tcW w:w="2835" w:type="dxa"/>
            <w:vAlign w:val="center"/>
          </w:tcPr>
          <w:p>
            <w:pPr>
              <w:pStyle w:val="12"/>
            </w:pPr>
            <w:r>
              <w:t>项目名称</w:t>
            </w:r>
          </w:p>
        </w:tc>
        <w:tc>
          <w:tcPr>
            <w:tcW w:w="6095" w:type="dxa"/>
            <w:gridSpan w:val="3"/>
            <w:vAlign w:val="center"/>
          </w:tcPr>
          <w:p>
            <w:pPr>
              <w:pStyle w:val="14"/>
            </w:pPr>
            <w:r>
              <w:t>储备粮利息费用补贴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158.40</w:t>
            </w:r>
          </w:p>
        </w:tc>
        <w:tc>
          <w:tcPr>
            <w:tcW w:w="2835" w:type="dxa"/>
            <w:vAlign w:val="center"/>
          </w:tcPr>
          <w:p>
            <w:pPr>
              <w:pStyle w:val="12"/>
            </w:pPr>
            <w:r>
              <w:t>其中：财政    资金</w:t>
            </w:r>
          </w:p>
        </w:tc>
        <w:tc>
          <w:tcPr>
            <w:tcW w:w="2551" w:type="dxa"/>
            <w:vAlign w:val="center"/>
          </w:tcPr>
          <w:p>
            <w:pPr>
              <w:pStyle w:val="14"/>
            </w:pPr>
            <w:r>
              <w:t>158.40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预算安排158.4万元，其中财政安排158.4万元，主要用于储备粮利息费用补贴。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10</w:t>
            </w:r>
          </w:p>
        </w:tc>
        <w:tc>
          <w:tcPr>
            <w:tcW w:w="2835" w:type="dxa"/>
            <w:vAlign w:val="center"/>
          </w:tcPr>
          <w:p>
            <w:pPr>
              <w:pStyle w:val="15"/>
            </w:pPr>
            <w:r>
              <w:rPr>
                <w:rFonts w:hint="eastAsia" w:asciiTheme="minorEastAsia" w:hAnsiTheme="minorEastAsia" w:eastAsiaTheme="minorEastAsia"/>
                <w:lang w:eastAsia="zh-CN"/>
              </w:rPr>
              <w:t>30</w:t>
            </w:r>
          </w:p>
        </w:tc>
        <w:tc>
          <w:tcPr>
            <w:tcW w:w="2551" w:type="dxa"/>
            <w:vAlign w:val="center"/>
          </w:tcPr>
          <w:p>
            <w:pPr>
              <w:pStyle w:val="15"/>
            </w:pPr>
            <w:r>
              <w:rPr>
                <w:rFonts w:hint="eastAsia" w:asciiTheme="minorEastAsia" w:hAnsiTheme="minorEastAsia" w:eastAsiaTheme="minorEastAsia"/>
                <w:lang w:eastAsia="zh-CN"/>
              </w:rPr>
              <w:t>30</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1.通过足额轮入5200吨优质小麦，促进县级储备粮工作顺利完成</w:t>
            </w:r>
          </w:p>
          <w:p>
            <w:pPr>
              <w:pStyle w:val="14"/>
            </w:pPr>
            <w:r>
              <w:t>2.通过按时支付农业发展银行贷款利息，促进储备粮工作正常运行。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储备粮吨数</w:t>
            </w:r>
          </w:p>
        </w:tc>
        <w:tc>
          <w:tcPr>
            <w:tcW w:w="5386" w:type="dxa"/>
            <w:vAlign w:val="center"/>
          </w:tcPr>
          <w:p>
            <w:pPr>
              <w:pStyle w:val="14"/>
            </w:pPr>
            <w:r>
              <w:t>县级储备粮数量</w:t>
            </w:r>
          </w:p>
        </w:tc>
        <w:tc>
          <w:tcPr>
            <w:tcW w:w="2268" w:type="dxa"/>
            <w:vAlign w:val="center"/>
          </w:tcPr>
          <w:p>
            <w:pPr>
              <w:pStyle w:val="14"/>
            </w:pPr>
            <w:r>
              <w:t>≥5200吨</w:t>
            </w:r>
          </w:p>
        </w:tc>
        <w:tc>
          <w:tcPr>
            <w:tcW w:w="1276" w:type="dxa"/>
            <w:vAlign w:val="center"/>
          </w:tcPr>
          <w:p>
            <w:pPr>
              <w:pStyle w:val="14"/>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储备粮贷款额度</w:t>
            </w:r>
          </w:p>
        </w:tc>
        <w:tc>
          <w:tcPr>
            <w:tcW w:w="5386" w:type="dxa"/>
            <w:vAlign w:val="center"/>
          </w:tcPr>
          <w:p>
            <w:pPr>
              <w:pStyle w:val="14"/>
            </w:pPr>
            <w:r>
              <w:t>保证完成储备粮农业发展银行贷款额度</w:t>
            </w:r>
          </w:p>
        </w:tc>
        <w:tc>
          <w:tcPr>
            <w:tcW w:w="2268" w:type="dxa"/>
            <w:vAlign w:val="center"/>
          </w:tcPr>
          <w:p>
            <w:pPr>
              <w:pStyle w:val="14"/>
            </w:pPr>
            <w:r>
              <w:t>≥1225.6万元</w:t>
            </w:r>
          </w:p>
        </w:tc>
        <w:tc>
          <w:tcPr>
            <w:tcW w:w="1276" w:type="dxa"/>
            <w:vAlign w:val="center"/>
          </w:tcPr>
          <w:p>
            <w:pPr>
              <w:pStyle w:val="14"/>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储备粮达标率</w:t>
            </w:r>
          </w:p>
        </w:tc>
        <w:tc>
          <w:tcPr>
            <w:tcW w:w="5386" w:type="dxa"/>
            <w:vAlign w:val="center"/>
          </w:tcPr>
          <w:p>
            <w:pPr>
              <w:pStyle w:val="14"/>
            </w:pPr>
            <w:r>
              <w:t>达到入库二等以上优质小麦</w:t>
            </w:r>
          </w:p>
        </w:tc>
        <w:tc>
          <w:tcPr>
            <w:tcW w:w="2268" w:type="dxa"/>
            <w:vAlign w:val="center"/>
          </w:tcPr>
          <w:p>
            <w:pPr>
              <w:pStyle w:val="14"/>
            </w:pPr>
            <w:r>
              <w:t>100%</w:t>
            </w:r>
          </w:p>
        </w:tc>
        <w:tc>
          <w:tcPr>
            <w:tcW w:w="1276" w:type="dxa"/>
            <w:vAlign w:val="center"/>
          </w:tcPr>
          <w:p>
            <w:pPr>
              <w:pStyle w:val="14"/>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贷款利息补贴率</w:t>
            </w:r>
          </w:p>
        </w:tc>
        <w:tc>
          <w:tcPr>
            <w:tcW w:w="5386" w:type="dxa"/>
            <w:vAlign w:val="center"/>
          </w:tcPr>
          <w:p>
            <w:pPr>
              <w:pStyle w:val="14"/>
            </w:pPr>
            <w:r>
              <w:t>储备粮农业发展银行贷款利息补贴比率</w:t>
            </w:r>
          </w:p>
        </w:tc>
        <w:tc>
          <w:tcPr>
            <w:tcW w:w="2268" w:type="dxa"/>
            <w:vAlign w:val="center"/>
          </w:tcPr>
          <w:p>
            <w:pPr>
              <w:pStyle w:val="14"/>
            </w:pPr>
            <w:r>
              <w:t>100%</w:t>
            </w:r>
          </w:p>
        </w:tc>
        <w:tc>
          <w:tcPr>
            <w:tcW w:w="1276" w:type="dxa"/>
            <w:vAlign w:val="center"/>
          </w:tcPr>
          <w:p>
            <w:pPr>
              <w:pStyle w:val="14"/>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按县级储备粮管理办法完成各项工作任务</w:t>
            </w:r>
          </w:p>
        </w:tc>
        <w:tc>
          <w:tcPr>
            <w:tcW w:w="2268" w:type="dxa"/>
            <w:vAlign w:val="center"/>
          </w:tcPr>
          <w:p>
            <w:pPr>
              <w:pStyle w:val="14"/>
            </w:pPr>
            <w:r>
              <w:t>2023年底</w:t>
            </w:r>
          </w:p>
        </w:tc>
        <w:tc>
          <w:tcPr>
            <w:tcW w:w="1276" w:type="dxa"/>
            <w:vAlign w:val="center"/>
          </w:tcPr>
          <w:p>
            <w:pPr>
              <w:pStyle w:val="14"/>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县级储备粮管理费</w:t>
            </w:r>
          </w:p>
        </w:tc>
        <w:tc>
          <w:tcPr>
            <w:tcW w:w="5386" w:type="dxa"/>
            <w:vAlign w:val="center"/>
          </w:tcPr>
          <w:p>
            <w:pPr>
              <w:pStyle w:val="14"/>
            </w:pPr>
            <w:r>
              <w:t>每吨县级储备粮管理费补贴</w:t>
            </w:r>
          </w:p>
        </w:tc>
        <w:tc>
          <w:tcPr>
            <w:tcW w:w="2268" w:type="dxa"/>
            <w:vAlign w:val="center"/>
          </w:tcPr>
          <w:p>
            <w:pPr>
              <w:pStyle w:val="14"/>
            </w:pPr>
            <w:r>
              <w:t>≤20万元</w:t>
            </w:r>
          </w:p>
        </w:tc>
        <w:tc>
          <w:tcPr>
            <w:tcW w:w="1276" w:type="dxa"/>
            <w:vAlign w:val="center"/>
          </w:tcPr>
          <w:p>
            <w:pPr>
              <w:pStyle w:val="14"/>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储备粮贷款利息利率</w:t>
            </w:r>
          </w:p>
        </w:tc>
        <w:tc>
          <w:tcPr>
            <w:tcW w:w="5386" w:type="dxa"/>
            <w:vAlign w:val="center"/>
          </w:tcPr>
          <w:p>
            <w:pPr>
              <w:pStyle w:val="14"/>
            </w:pPr>
            <w:r>
              <w:t>储备粮贷款实际利率</w:t>
            </w:r>
          </w:p>
        </w:tc>
        <w:tc>
          <w:tcPr>
            <w:tcW w:w="2268" w:type="dxa"/>
            <w:vAlign w:val="center"/>
          </w:tcPr>
          <w:p>
            <w:pPr>
              <w:pStyle w:val="14"/>
            </w:pPr>
            <w:r>
              <w:t>≤138.4万元</w:t>
            </w:r>
          </w:p>
        </w:tc>
        <w:tc>
          <w:tcPr>
            <w:tcW w:w="1276" w:type="dxa"/>
            <w:vAlign w:val="center"/>
          </w:tcPr>
          <w:p>
            <w:pPr>
              <w:pStyle w:val="14"/>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确保粮食安全</w:t>
            </w:r>
          </w:p>
        </w:tc>
        <w:tc>
          <w:tcPr>
            <w:tcW w:w="5386" w:type="dxa"/>
            <w:vAlign w:val="center"/>
          </w:tcPr>
          <w:p>
            <w:pPr>
              <w:pStyle w:val="14"/>
            </w:pPr>
            <w:r>
              <w:t>落实县级储备计划，确保粮食安全</w:t>
            </w:r>
          </w:p>
        </w:tc>
        <w:tc>
          <w:tcPr>
            <w:tcW w:w="2268" w:type="dxa"/>
            <w:vAlign w:val="center"/>
          </w:tcPr>
          <w:p>
            <w:pPr>
              <w:pStyle w:val="14"/>
            </w:pPr>
            <w:r>
              <w:t>100%</w:t>
            </w:r>
          </w:p>
        </w:tc>
        <w:tc>
          <w:tcPr>
            <w:tcW w:w="1276" w:type="dxa"/>
            <w:vAlign w:val="center"/>
          </w:tcPr>
          <w:p>
            <w:pPr>
              <w:pStyle w:val="14"/>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承储企业和贷款银行满意度</w:t>
            </w:r>
          </w:p>
        </w:tc>
        <w:tc>
          <w:tcPr>
            <w:tcW w:w="5386" w:type="dxa"/>
            <w:vAlign w:val="center"/>
          </w:tcPr>
          <w:p>
            <w:pPr>
              <w:pStyle w:val="14"/>
            </w:pPr>
            <w:r>
              <w:t>承储企业和贷款银行满意数量占总数的比例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16、代发企业改制人员退休费绩效目标表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13032123P00338410016G</w:t>
            </w:r>
          </w:p>
        </w:tc>
        <w:tc>
          <w:tcPr>
            <w:tcW w:w="2835" w:type="dxa"/>
            <w:vAlign w:val="center"/>
          </w:tcPr>
          <w:p>
            <w:pPr>
              <w:pStyle w:val="12"/>
            </w:pPr>
            <w:r>
              <w:t>项目名称</w:t>
            </w:r>
          </w:p>
        </w:tc>
        <w:tc>
          <w:tcPr>
            <w:tcW w:w="6095" w:type="dxa"/>
            <w:gridSpan w:val="3"/>
            <w:vAlign w:val="center"/>
          </w:tcPr>
          <w:p>
            <w:pPr>
              <w:pStyle w:val="14"/>
            </w:pPr>
            <w:r>
              <w:t>代发企业改制人员退休费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69.91</w:t>
            </w:r>
          </w:p>
        </w:tc>
        <w:tc>
          <w:tcPr>
            <w:tcW w:w="2835" w:type="dxa"/>
            <w:vAlign w:val="center"/>
          </w:tcPr>
          <w:p>
            <w:pPr>
              <w:pStyle w:val="12"/>
            </w:pPr>
            <w:r>
              <w:t>其中：财政    资金</w:t>
            </w:r>
          </w:p>
        </w:tc>
        <w:tc>
          <w:tcPr>
            <w:tcW w:w="2551" w:type="dxa"/>
            <w:vAlign w:val="center"/>
          </w:tcPr>
          <w:p>
            <w:pPr>
              <w:pStyle w:val="14"/>
            </w:pPr>
            <w:r>
              <w:t>69.91</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预算安排26.177967万元，其中，财政资金26.177967万元，主要用于代发企业改制人员退休费。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10</w:t>
            </w:r>
          </w:p>
        </w:tc>
        <w:tc>
          <w:tcPr>
            <w:tcW w:w="2835" w:type="dxa"/>
            <w:vAlign w:val="center"/>
          </w:tcPr>
          <w:p>
            <w:pPr>
              <w:pStyle w:val="15"/>
            </w:pPr>
            <w:r>
              <w:rPr>
                <w:rFonts w:hint="eastAsia" w:asciiTheme="minorEastAsia" w:hAnsiTheme="minorEastAsia" w:eastAsiaTheme="minorEastAsia"/>
                <w:lang w:eastAsia="zh-CN"/>
              </w:rPr>
              <w:t>30</w:t>
            </w:r>
          </w:p>
        </w:tc>
        <w:tc>
          <w:tcPr>
            <w:tcW w:w="2551" w:type="dxa"/>
            <w:vAlign w:val="center"/>
          </w:tcPr>
          <w:p>
            <w:pPr>
              <w:pStyle w:val="15"/>
            </w:pPr>
            <w:r>
              <w:rPr>
                <w:rFonts w:hint="eastAsia" w:asciiTheme="minorEastAsia" w:hAnsiTheme="minorEastAsia" w:eastAsiaTheme="minorEastAsia"/>
                <w:lang w:eastAsia="zh-CN"/>
              </w:rPr>
              <w:t>30</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1.通过按工作计划完成全县粮食、商务、工信系统改制人员社保缴费，提高改制人员满意度。</w:t>
            </w:r>
          </w:p>
          <w:p>
            <w:pPr>
              <w:pStyle w:val="14"/>
            </w:pPr>
            <w:r>
              <w:t>2.通过巩固系统改制成果，保证系统改制人员基本生活。</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大病统筹退休人数</w:t>
            </w:r>
          </w:p>
        </w:tc>
        <w:tc>
          <w:tcPr>
            <w:tcW w:w="5386" w:type="dxa"/>
            <w:vAlign w:val="center"/>
          </w:tcPr>
          <w:p>
            <w:pPr>
              <w:pStyle w:val="14"/>
            </w:pPr>
            <w:r>
              <w:t>原粮食、工信、商务、民爆公司改制大病统筹退休人数</w:t>
            </w:r>
          </w:p>
        </w:tc>
        <w:tc>
          <w:tcPr>
            <w:tcW w:w="2268" w:type="dxa"/>
            <w:vAlign w:val="center"/>
          </w:tcPr>
          <w:p>
            <w:pPr>
              <w:pStyle w:val="14"/>
            </w:pPr>
            <w:r>
              <w:t>≥141人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补缴养老保险人数</w:t>
            </w:r>
          </w:p>
        </w:tc>
        <w:tc>
          <w:tcPr>
            <w:tcW w:w="5386" w:type="dxa"/>
            <w:vAlign w:val="center"/>
          </w:tcPr>
          <w:p>
            <w:pPr>
              <w:pStyle w:val="14"/>
            </w:pPr>
            <w:r>
              <w:t>原粮食、原商务局下岗职工补缴养老保险人数</w:t>
            </w:r>
          </w:p>
        </w:tc>
        <w:tc>
          <w:tcPr>
            <w:tcW w:w="2268" w:type="dxa"/>
            <w:vAlign w:val="center"/>
          </w:tcPr>
          <w:p>
            <w:pPr>
              <w:pStyle w:val="14"/>
            </w:pPr>
            <w:r>
              <w:t>40人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离退休护理费人数</w:t>
            </w:r>
          </w:p>
        </w:tc>
        <w:tc>
          <w:tcPr>
            <w:tcW w:w="5386" w:type="dxa"/>
            <w:vAlign w:val="center"/>
          </w:tcPr>
          <w:p>
            <w:pPr>
              <w:pStyle w:val="14"/>
            </w:pPr>
            <w:r>
              <w:t>原粮食、工信、商务护理费退休人数</w:t>
            </w:r>
          </w:p>
        </w:tc>
        <w:tc>
          <w:tcPr>
            <w:tcW w:w="2268" w:type="dxa"/>
            <w:vAlign w:val="center"/>
          </w:tcPr>
          <w:p>
            <w:pPr>
              <w:pStyle w:val="14"/>
            </w:pPr>
            <w:r>
              <w:t>29人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离退休交通费人数</w:t>
            </w:r>
          </w:p>
        </w:tc>
        <w:tc>
          <w:tcPr>
            <w:tcW w:w="5386" w:type="dxa"/>
            <w:vAlign w:val="center"/>
          </w:tcPr>
          <w:p>
            <w:pPr>
              <w:pStyle w:val="14"/>
            </w:pPr>
            <w:r>
              <w:t>原粮食、工信、商务交通费退休人数</w:t>
            </w:r>
          </w:p>
        </w:tc>
        <w:tc>
          <w:tcPr>
            <w:tcW w:w="2268" w:type="dxa"/>
            <w:vAlign w:val="center"/>
          </w:tcPr>
          <w:p>
            <w:pPr>
              <w:pStyle w:val="14"/>
            </w:pPr>
            <w:r>
              <w:t>97人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离退休遗属人数</w:t>
            </w:r>
          </w:p>
        </w:tc>
        <w:tc>
          <w:tcPr>
            <w:tcW w:w="5386" w:type="dxa"/>
            <w:vAlign w:val="center"/>
          </w:tcPr>
          <w:p>
            <w:pPr>
              <w:pStyle w:val="14"/>
            </w:pPr>
            <w:r>
              <w:t>原粮食、工信、商务遗属人数</w:t>
            </w:r>
          </w:p>
        </w:tc>
        <w:tc>
          <w:tcPr>
            <w:tcW w:w="2268" w:type="dxa"/>
            <w:vAlign w:val="center"/>
          </w:tcPr>
          <w:p>
            <w:pPr>
              <w:pStyle w:val="14"/>
            </w:pPr>
            <w:r>
              <w:t>197人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计算准确率</w:t>
            </w:r>
          </w:p>
        </w:tc>
        <w:tc>
          <w:tcPr>
            <w:tcW w:w="5386" w:type="dxa"/>
            <w:vAlign w:val="center"/>
          </w:tcPr>
          <w:p>
            <w:pPr>
              <w:pStyle w:val="14"/>
            </w:pPr>
            <w:r>
              <w:t>社保缴费金额符合有关政策规定</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缴费及时率</w:t>
            </w:r>
          </w:p>
        </w:tc>
        <w:tc>
          <w:tcPr>
            <w:tcW w:w="5386" w:type="dxa"/>
            <w:vAlign w:val="center"/>
          </w:tcPr>
          <w:p>
            <w:pPr>
              <w:pStyle w:val="14"/>
            </w:pPr>
            <w:r>
              <w:t>按工作计划完成统改制人员社保缴费及时率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大病统筹成本</w:t>
            </w:r>
          </w:p>
        </w:tc>
        <w:tc>
          <w:tcPr>
            <w:tcW w:w="5386" w:type="dxa"/>
            <w:vAlign w:val="center"/>
          </w:tcPr>
          <w:p>
            <w:pPr>
              <w:pStyle w:val="14"/>
            </w:pPr>
            <w:r>
              <w:t>原粮食、工信、商务、民爆公司改制大病统筹成本</w:t>
            </w:r>
          </w:p>
        </w:tc>
        <w:tc>
          <w:tcPr>
            <w:tcW w:w="2268" w:type="dxa"/>
            <w:vAlign w:val="center"/>
          </w:tcPr>
          <w:p>
            <w:pPr>
              <w:pStyle w:val="14"/>
            </w:pPr>
            <w:r>
              <w:t>2.12万元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下岗职工补缴养老保险成本</w:t>
            </w:r>
          </w:p>
        </w:tc>
        <w:tc>
          <w:tcPr>
            <w:tcW w:w="5386" w:type="dxa"/>
            <w:vAlign w:val="center"/>
          </w:tcPr>
          <w:p>
            <w:pPr>
              <w:pStyle w:val="14"/>
            </w:pPr>
            <w:r>
              <w:t>原粮食，原商务局下岗职工补缴养老保险成本</w:t>
            </w:r>
          </w:p>
        </w:tc>
        <w:tc>
          <w:tcPr>
            <w:tcW w:w="2268" w:type="dxa"/>
            <w:vAlign w:val="center"/>
          </w:tcPr>
          <w:p>
            <w:pPr>
              <w:pStyle w:val="14"/>
            </w:pPr>
            <w:r>
              <w:t>10万元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护理费成本</w:t>
            </w:r>
          </w:p>
        </w:tc>
        <w:tc>
          <w:tcPr>
            <w:tcW w:w="5386" w:type="dxa"/>
            <w:vAlign w:val="center"/>
          </w:tcPr>
          <w:p>
            <w:pPr>
              <w:pStyle w:val="14"/>
            </w:pPr>
            <w:r>
              <w:t>原粮食、工信、商务护理费成本</w:t>
            </w:r>
          </w:p>
        </w:tc>
        <w:tc>
          <w:tcPr>
            <w:tcW w:w="2268" w:type="dxa"/>
            <w:vAlign w:val="center"/>
          </w:tcPr>
          <w:p>
            <w:pPr>
              <w:pStyle w:val="14"/>
            </w:pPr>
            <w:r>
              <w:t>2.07万元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住房补贴及工伤职工医疗费</w:t>
            </w:r>
          </w:p>
        </w:tc>
        <w:tc>
          <w:tcPr>
            <w:tcW w:w="5386" w:type="dxa"/>
            <w:vAlign w:val="center"/>
          </w:tcPr>
          <w:p>
            <w:pPr>
              <w:pStyle w:val="14"/>
            </w:pPr>
            <w:r>
              <w:t>住房补贴及工伤职工医疗费成本</w:t>
            </w:r>
          </w:p>
        </w:tc>
        <w:tc>
          <w:tcPr>
            <w:tcW w:w="2268" w:type="dxa"/>
            <w:vAlign w:val="center"/>
          </w:tcPr>
          <w:p>
            <w:pPr>
              <w:pStyle w:val="14"/>
            </w:pPr>
            <w:r>
              <w:t>1.3万元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交通费成本</w:t>
            </w:r>
          </w:p>
        </w:tc>
        <w:tc>
          <w:tcPr>
            <w:tcW w:w="5386" w:type="dxa"/>
            <w:vAlign w:val="center"/>
          </w:tcPr>
          <w:p>
            <w:pPr>
              <w:pStyle w:val="14"/>
            </w:pPr>
            <w:r>
              <w:t>原粮食、工信、商务交通费成本</w:t>
            </w:r>
          </w:p>
        </w:tc>
        <w:tc>
          <w:tcPr>
            <w:tcW w:w="2268" w:type="dxa"/>
            <w:vAlign w:val="center"/>
          </w:tcPr>
          <w:p>
            <w:pPr>
              <w:pStyle w:val="14"/>
            </w:pPr>
            <w:r>
              <w:t>7.23万元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遗属成本</w:t>
            </w:r>
          </w:p>
        </w:tc>
        <w:tc>
          <w:tcPr>
            <w:tcW w:w="5386" w:type="dxa"/>
            <w:vAlign w:val="center"/>
          </w:tcPr>
          <w:p>
            <w:pPr>
              <w:pStyle w:val="14"/>
            </w:pPr>
            <w:r>
              <w:t>原粮食、工信、商务遗属成本</w:t>
            </w:r>
          </w:p>
        </w:tc>
        <w:tc>
          <w:tcPr>
            <w:tcW w:w="2268" w:type="dxa"/>
            <w:vAlign w:val="center"/>
          </w:tcPr>
          <w:p>
            <w:pPr>
              <w:pStyle w:val="14"/>
            </w:pPr>
            <w:r>
              <w:t>21.01万元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基本生活保障</w:t>
            </w:r>
          </w:p>
        </w:tc>
        <w:tc>
          <w:tcPr>
            <w:tcW w:w="5386" w:type="dxa"/>
            <w:vAlign w:val="center"/>
          </w:tcPr>
          <w:p>
            <w:pPr>
              <w:pStyle w:val="14"/>
            </w:pPr>
            <w:r>
              <w:t>巩固系统改制成果，保证全县粮食、商务、工信系统改制人员基本生活</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离退休人员中满意人数占调查总人数的比率</w:t>
            </w:r>
          </w:p>
        </w:tc>
        <w:tc>
          <w:tcPr>
            <w:tcW w:w="2268" w:type="dxa"/>
            <w:vAlign w:val="center"/>
          </w:tcPr>
          <w:p>
            <w:pPr>
              <w:pStyle w:val="14"/>
            </w:pPr>
            <w:r>
              <w:t>≥95%</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17、防空预案编制及人防编制规划费绩效目标表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13032123P000076100056</w:t>
            </w:r>
          </w:p>
        </w:tc>
        <w:tc>
          <w:tcPr>
            <w:tcW w:w="2835" w:type="dxa"/>
            <w:vAlign w:val="center"/>
          </w:tcPr>
          <w:p>
            <w:pPr>
              <w:pStyle w:val="12"/>
            </w:pPr>
            <w:r>
              <w:t>项目名称</w:t>
            </w:r>
          </w:p>
        </w:tc>
        <w:tc>
          <w:tcPr>
            <w:tcW w:w="6095" w:type="dxa"/>
            <w:gridSpan w:val="3"/>
            <w:vAlign w:val="center"/>
          </w:tcPr>
          <w:p>
            <w:pPr>
              <w:pStyle w:val="14"/>
            </w:pPr>
            <w:r>
              <w:t>防空预案编制及人防编制规划费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45.00</w:t>
            </w:r>
          </w:p>
        </w:tc>
        <w:tc>
          <w:tcPr>
            <w:tcW w:w="2835" w:type="dxa"/>
            <w:vAlign w:val="center"/>
          </w:tcPr>
          <w:p>
            <w:pPr>
              <w:pStyle w:val="12"/>
            </w:pPr>
            <w:r>
              <w:t>其中：财政    资金</w:t>
            </w:r>
          </w:p>
        </w:tc>
        <w:tc>
          <w:tcPr>
            <w:tcW w:w="2551" w:type="dxa"/>
            <w:vAlign w:val="center"/>
          </w:tcPr>
          <w:p>
            <w:pPr>
              <w:pStyle w:val="14"/>
            </w:pPr>
            <w:r>
              <w:t>45.00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预算安排45万元，其中：财政资金45万元，主要用于防控预案编制及人防编制规划费支出。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22</w:t>
            </w:r>
          </w:p>
        </w:tc>
        <w:tc>
          <w:tcPr>
            <w:tcW w:w="2835" w:type="dxa"/>
            <w:vAlign w:val="center"/>
          </w:tcPr>
          <w:p>
            <w:pPr>
              <w:pStyle w:val="15"/>
            </w:pPr>
            <w:r>
              <w:rPr>
                <w:rFonts w:hint="eastAsia" w:asciiTheme="minorEastAsia" w:hAnsiTheme="minorEastAsia" w:eastAsiaTheme="minorEastAsia"/>
                <w:lang w:eastAsia="zh-CN"/>
              </w:rPr>
              <w:t>55</w:t>
            </w:r>
          </w:p>
        </w:tc>
        <w:tc>
          <w:tcPr>
            <w:tcW w:w="2551" w:type="dxa"/>
            <w:vAlign w:val="center"/>
          </w:tcPr>
          <w:p>
            <w:pPr>
              <w:pStyle w:val="15"/>
            </w:pPr>
            <w:r>
              <w:rPr>
                <w:rFonts w:hint="eastAsia" w:asciiTheme="minorEastAsia" w:hAnsiTheme="minorEastAsia" w:eastAsiaTheme="minorEastAsia"/>
                <w:lang w:eastAsia="zh-CN"/>
              </w:rPr>
              <w:t>100</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1.通过防空预案编制工作，提高处置人防工程突发事件的应对能力。</w:t>
            </w:r>
          </w:p>
          <w:p>
            <w:pPr>
              <w:pStyle w:val="14"/>
            </w:pPr>
            <w:r>
              <w:t>2.通过防空人防规划编制，规范人民防空方案计划编制修订和管理使用。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编制总体方案</w:t>
            </w:r>
          </w:p>
        </w:tc>
        <w:tc>
          <w:tcPr>
            <w:tcW w:w="5386" w:type="dxa"/>
            <w:vAlign w:val="center"/>
          </w:tcPr>
          <w:p>
            <w:pPr>
              <w:pStyle w:val="14"/>
            </w:pPr>
            <w:r>
              <w:t>编制人民防空总体方案</w:t>
            </w:r>
          </w:p>
        </w:tc>
        <w:tc>
          <w:tcPr>
            <w:tcW w:w="2268" w:type="dxa"/>
            <w:vAlign w:val="center"/>
          </w:tcPr>
          <w:p>
            <w:pPr>
              <w:pStyle w:val="14"/>
            </w:pPr>
            <w:r>
              <w:t>1册</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编制行动计划</w:t>
            </w:r>
          </w:p>
        </w:tc>
        <w:tc>
          <w:tcPr>
            <w:tcW w:w="5386" w:type="dxa"/>
            <w:vAlign w:val="center"/>
          </w:tcPr>
          <w:p>
            <w:pPr>
              <w:pStyle w:val="14"/>
            </w:pPr>
            <w:r>
              <w:t>编制人民防空行动计划</w:t>
            </w:r>
          </w:p>
        </w:tc>
        <w:tc>
          <w:tcPr>
            <w:tcW w:w="2268" w:type="dxa"/>
            <w:vAlign w:val="center"/>
          </w:tcPr>
          <w:p>
            <w:pPr>
              <w:pStyle w:val="14"/>
            </w:pPr>
            <w:r>
              <w:t>1册</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编制保障计划</w:t>
            </w:r>
          </w:p>
        </w:tc>
        <w:tc>
          <w:tcPr>
            <w:tcW w:w="5386" w:type="dxa"/>
            <w:vAlign w:val="center"/>
          </w:tcPr>
          <w:p>
            <w:pPr>
              <w:pStyle w:val="14"/>
            </w:pPr>
            <w:r>
              <w:t>编制人民防空保障计划</w:t>
            </w:r>
          </w:p>
        </w:tc>
        <w:tc>
          <w:tcPr>
            <w:tcW w:w="2268" w:type="dxa"/>
            <w:vAlign w:val="center"/>
          </w:tcPr>
          <w:p>
            <w:pPr>
              <w:pStyle w:val="14"/>
            </w:pPr>
            <w:r>
              <w:t>1册</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方案的完成率</w:t>
            </w:r>
          </w:p>
        </w:tc>
        <w:tc>
          <w:tcPr>
            <w:tcW w:w="5386" w:type="dxa"/>
            <w:vAlign w:val="center"/>
          </w:tcPr>
          <w:p>
            <w:pPr>
              <w:pStyle w:val="14"/>
            </w:pPr>
            <w:r>
              <w:t>总体方案、行动计划、保障计划完成</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完成的合格率</w:t>
            </w:r>
          </w:p>
        </w:tc>
        <w:tc>
          <w:tcPr>
            <w:tcW w:w="5386" w:type="dxa"/>
            <w:vAlign w:val="center"/>
          </w:tcPr>
          <w:p>
            <w:pPr>
              <w:pStyle w:val="14"/>
            </w:pPr>
            <w:r>
              <w:t>具有编制资质的专家进行编制</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总体方案完成时间</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行动计划完成时间</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保障计划完成时间</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支出控制成本</w:t>
            </w:r>
          </w:p>
        </w:tc>
        <w:tc>
          <w:tcPr>
            <w:tcW w:w="5386" w:type="dxa"/>
            <w:vAlign w:val="center"/>
          </w:tcPr>
          <w:p>
            <w:pPr>
              <w:pStyle w:val="14"/>
            </w:pPr>
            <w:r>
              <w:t>总体方案、行动计划、保障计划编制成本控制</w:t>
            </w:r>
          </w:p>
        </w:tc>
        <w:tc>
          <w:tcPr>
            <w:tcW w:w="2268" w:type="dxa"/>
            <w:vAlign w:val="center"/>
          </w:tcPr>
          <w:p>
            <w:pPr>
              <w:pStyle w:val="14"/>
            </w:pPr>
            <w:r>
              <w:t>≤45万元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对防空袭斗争进行指导</w:t>
            </w:r>
          </w:p>
        </w:tc>
        <w:tc>
          <w:tcPr>
            <w:tcW w:w="5386" w:type="dxa"/>
            <w:vAlign w:val="center"/>
          </w:tcPr>
          <w:p>
            <w:pPr>
              <w:pStyle w:val="14"/>
            </w:pPr>
            <w:r>
              <w:t>提升对突发事件处置能力</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提高空袭处置能力</w:t>
            </w:r>
          </w:p>
        </w:tc>
        <w:tc>
          <w:tcPr>
            <w:tcW w:w="5386" w:type="dxa"/>
            <w:vAlign w:val="center"/>
          </w:tcPr>
          <w:p>
            <w:pPr>
              <w:pStyle w:val="14"/>
            </w:pPr>
            <w:r>
              <w:t>提高应对空袭的处置能力</w:t>
            </w:r>
          </w:p>
        </w:tc>
        <w:tc>
          <w:tcPr>
            <w:tcW w:w="2268" w:type="dxa"/>
            <w:vAlign w:val="center"/>
          </w:tcPr>
          <w:p>
            <w:pPr>
              <w:pStyle w:val="14"/>
            </w:pPr>
            <w:r>
              <w:t>≥95%</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≥95%</w:t>
            </w:r>
          </w:p>
        </w:tc>
        <w:tc>
          <w:tcPr>
            <w:tcW w:w="1276" w:type="dxa"/>
            <w:vAlign w:val="center"/>
          </w:tcPr>
          <w:p>
            <w:pPr>
              <w:pStyle w:val="14"/>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18、关于拨付洁净型煤生产配送中心项目建设补贴的通知（秦财建【2023】623号）绩效目标表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13032123P003257100016</w:t>
            </w:r>
          </w:p>
        </w:tc>
        <w:tc>
          <w:tcPr>
            <w:tcW w:w="2835" w:type="dxa"/>
            <w:vAlign w:val="center"/>
          </w:tcPr>
          <w:p>
            <w:pPr>
              <w:pStyle w:val="12"/>
            </w:pPr>
            <w:r>
              <w:t>项目名称</w:t>
            </w:r>
          </w:p>
        </w:tc>
        <w:tc>
          <w:tcPr>
            <w:tcW w:w="6095" w:type="dxa"/>
            <w:gridSpan w:val="3"/>
            <w:vAlign w:val="center"/>
          </w:tcPr>
          <w:p>
            <w:pPr>
              <w:pStyle w:val="14"/>
            </w:pPr>
            <w:r>
              <w:t>关于拨付洁净型煤生产配送中心项目建设补贴的通知（秦财建【2023】623号）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57.00</w:t>
            </w:r>
          </w:p>
        </w:tc>
        <w:tc>
          <w:tcPr>
            <w:tcW w:w="2835" w:type="dxa"/>
            <w:vAlign w:val="center"/>
          </w:tcPr>
          <w:p>
            <w:pPr>
              <w:pStyle w:val="12"/>
            </w:pPr>
            <w:r>
              <w:t>其中：财政    资金</w:t>
            </w:r>
          </w:p>
        </w:tc>
        <w:tc>
          <w:tcPr>
            <w:tcW w:w="2551" w:type="dxa"/>
            <w:vAlign w:val="center"/>
          </w:tcPr>
          <w:p>
            <w:pPr>
              <w:pStyle w:val="14"/>
            </w:pPr>
            <w:r>
              <w:t>57.00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预算安排57万元，其中，财政资金57万元，主要用于发放洁净型煤生产配送中心项目建设补贴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100</w:t>
            </w:r>
          </w:p>
        </w:tc>
        <w:tc>
          <w:tcPr>
            <w:tcW w:w="2835" w:type="dxa"/>
            <w:vAlign w:val="center"/>
          </w:tcPr>
          <w:p>
            <w:pPr>
              <w:pStyle w:val="15"/>
            </w:pPr>
            <w:r>
              <w:rPr>
                <w:rFonts w:hint="eastAsia" w:asciiTheme="minorEastAsia" w:hAnsiTheme="minorEastAsia" w:eastAsiaTheme="minorEastAsia"/>
                <w:lang w:eastAsia="zh-CN"/>
              </w:rPr>
              <w:t>100</w:t>
            </w:r>
          </w:p>
        </w:tc>
        <w:tc>
          <w:tcPr>
            <w:tcW w:w="2551" w:type="dxa"/>
            <w:vAlign w:val="center"/>
          </w:tcPr>
          <w:p>
            <w:pPr>
              <w:pStyle w:val="15"/>
            </w:pPr>
            <w:r>
              <w:rPr>
                <w:rFonts w:hint="eastAsia" w:asciiTheme="minorEastAsia" w:hAnsiTheme="minorEastAsia" w:eastAsiaTheme="minorEastAsia"/>
                <w:lang w:eastAsia="zh-CN"/>
              </w:rPr>
              <w:t>1</w:t>
            </w:r>
            <w:r>
              <w:t>00</w:t>
            </w:r>
          </w:p>
        </w:tc>
        <w:tc>
          <w:tcPr>
            <w:tcW w:w="3544" w:type="dxa"/>
            <w:gridSpan w:val="2"/>
            <w:vAlign w:val="center"/>
          </w:tcPr>
          <w:p>
            <w:pPr>
              <w:pStyle w:val="15"/>
            </w:pPr>
            <w:r>
              <w:rPr>
                <w:rFonts w:hint="eastAsia" w:asciiTheme="minorEastAsia" w:hAnsiTheme="minorEastAsia" w:eastAsiaTheme="minorEastAsia"/>
                <w:lang w:eastAsia="zh-CN"/>
              </w:rPr>
              <w:t>1</w:t>
            </w:r>
            <w: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1.通过采暖季洁净煤取暖工作实施和任务顺利完成,保障群众温暖过冬,提高资金使用效益.</w:t>
            </w:r>
          </w:p>
          <w:p>
            <w:pPr>
              <w:pStyle w:val="14"/>
            </w:pPr>
          </w:p>
          <w:p>
            <w:pPr>
              <w:pStyle w:val="14"/>
            </w:pPr>
            <w:r>
              <w:t>2.通过洁净型煤配送中心项目建设补贴，有效禁止散煤复燃，减少大气污染。</w:t>
            </w:r>
            <w:r>
              <w:tab/>
            </w:r>
            <w:r>
              <w:tab/>
            </w:r>
            <w:r>
              <w:tab/>
            </w:r>
            <w:r>
              <w:tab/>
            </w:r>
            <w:r>
              <w:tab/>
            </w:r>
            <w:r>
              <w:tab/>
            </w:r>
            <w:r>
              <w:tab/>
            </w:r>
            <w:r>
              <w:tab/>
            </w:r>
            <w:r>
              <w:tab/>
            </w:r>
            <w:r>
              <w:tab/>
            </w:r>
            <w:r>
              <w:tab/>
            </w:r>
          </w:p>
          <w:p>
            <w:pPr>
              <w:pStyle w:val="14"/>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节能量（标准煤）</w:t>
            </w:r>
          </w:p>
        </w:tc>
        <w:tc>
          <w:tcPr>
            <w:tcW w:w="5386" w:type="dxa"/>
            <w:vAlign w:val="center"/>
          </w:tcPr>
          <w:p>
            <w:pPr>
              <w:pStyle w:val="14"/>
            </w:pPr>
            <w:r>
              <w:t>年可形成的节能量，折算为标准煤</w:t>
            </w:r>
          </w:p>
        </w:tc>
        <w:tc>
          <w:tcPr>
            <w:tcW w:w="2268" w:type="dxa"/>
            <w:vAlign w:val="center"/>
          </w:tcPr>
          <w:p>
            <w:pPr>
              <w:pStyle w:val="14"/>
            </w:pPr>
            <w:r>
              <w:t>≥90%</w:t>
            </w:r>
          </w:p>
        </w:tc>
        <w:tc>
          <w:tcPr>
            <w:tcW w:w="1276" w:type="dxa"/>
            <w:vAlign w:val="center"/>
          </w:tcPr>
          <w:p>
            <w:pPr>
              <w:pStyle w:val="14"/>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二氧化硫削排放减量</w:t>
            </w:r>
          </w:p>
        </w:tc>
        <w:tc>
          <w:tcPr>
            <w:tcW w:w="5386" w:type="dxa"/>
            <w:vAlign w:val="center"/>
          </w:tcPr>
          <w:p>
            <w:pPr>
              <w:pStyle w:val="14"/>
            </w:pPr>
            <w:r>
              <w:t>当年实际二氧化硫排放削减量</w:t>
            </w:r>
          </w:p>
        </w:tc>
        <w:tc>
          <w:tcPr>
            <w:tcW w:w="2268" w:type="dxa"/>
            <w:vAlign w:val="center"/>
          </w:tcPr>
          <w:p>
            <w:pPr>
              <w:pStyle w:val="14"/>
            </w:pPr>
            <w:r>
              <w:t>≥90%</w:t>
            </w:r>
          </w:p>
        </w:tc>
        <w:tc>
          <w:tcPr>
            <w:tcW w:w="1276" w:type="dxa"/>
            <w:vAlign w:val="center"/>
          </w:tcPr>
          <w:p>
            <w:pPr>
              <w:pStyle w:val="14"/>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细颗粒物排放削减量</w:t>
            </w:r>
          </w:p>
        </w:tc>
        <w:tc>
          <w:tcPr>
            <w:tcW w:w="5386" w:type="dxa"/>
            <w:vAlign w:val="center"/>
          </w:tcPr>
          <w:p>
            <w:pPr>
              <w:pStyle w:val="14"/>
            </w:pPr>
            <w:r>
              <w:t>当年实际细颗粒物排放削减量</w:t>
            </w:r>
          </w:p>
        </w:tc>
        <w:tc>
          <w:tcPr>
            <w:tcW w:w="2268" w:type="dxa"/>
            <w:vAlign w:val="center"/>
          </w:tcPr>
          <w:p>
            <w:pPr>
              <w:pStyle w:val="14"/>
            </w:pPr>
            <w:r>
              <w:t>≥90%</w:t>
            </w:r>
          </w:p>
        </w:tc>
        <w:tc>
          <w:tcPr>
            <w:tcW w:w="1276" w:type="dxa"/>
            <w:vAlign w:val="center"/>
          </w:tcPr>
          <w:p>
            <w:pPr>
              <w:pStyle w:val="14"/>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供应的及时率</w:t>
            </w:r>
          </w:p>
        </w:tc>
        <w:tc>
          <w:tcPr>
            <w:tcW w:w="5386" w:type="dxa"/>
            <w:vAlign w:val="center"/>
          </w:tcPr>
          <w:p>
            <w:pPr>
              <w:pStyle w:val="14"/>
            </w:pPr>
            <w:r>
              <w:t>型煤供应到户的及时率</w:t>
            </w:r>
          </w:p>
        </w:tc>
        <w:tc>
          <w:tcPr>
            <w:tcW w:w="2268" w:type="dxa"/>
            <w:vAlign w:val="center"/>
          </w:tcPr>
          <w:p>
            <w:pPr>
              <w:pStyle w:val="14"/>
            </w:pPr>
            <w:r>
              <w:t>≥90%</w:t>
            </w:r>
          </w:p>
        </w:tc>
        <w:tc>
          <w:tcPr>
            <w:tcW w:w="1276" w:type="dxa"/>
            <w:vAlign w:val="center"/>
          </w:tcPr>
          <w:p>
            <w:pPr>
              <w:pStyle w:val="14"/>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补贴成本</w:t>
            </w:r>
          </w:p>
        </w:tc>
        <w:tc>
          <w:tcPr>
            <w:tcW w:w="5386" w:type="dxa"/>
            <w:vAlign w:val="center"/>
          </w:tcPr>
          <w:p>
            <w:pPr>
              <w:pStyle w:val="14"/>
            </w:pPr>
            <w:r>
              <w:t>洁净型煤配送中心项目补贴成本</w:t>
            </w:r>
          </w:p>
        </w:tc>
        <w:tc>
          <w:tcPr>
            <w:tcW w:w="2268" w:type="dxa"/>
            <w:vAlign w:val="center"/>
          </w:tcPr>
          <w:p>
            <w:pPr>
              <w:pStyle w:val="14"/>
            </w:pPr>
            <w:r>
              <w:t>57万元</w:t>
            </w:r>
          </w:p>
        </w:tc>
        <w:tc>
          <w:tcPr>
            <w:tcW w:w="1276" w:type="dxa"/>
            <w:vAlign w:val="center"/>
          </w:tcPr>
          <w:p>
            <w:pPr>
              <w:pStyle w:val="14"/>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污染物排放降低率（%）</w:t>
            </w:r>
          </w:p>
        </w:tc>
        <w:tc>
          <w:tcPr>
            <w:tcW w:w="5386" w:type="dxa"/>
            <w:vAlign w:val="center"/>
          </w:tcPr>
          <w:p>
            <w:pPr>
              <w:pStyle w:val="14"/>
            </w:pPr>
            <w:r>
              <w:t>污染物排放总量同期下降的比率</w:t>
            </w:r>
          </w:p>
        </w:tc>
        <w:tc>
          <w:tcPr>
            <w:tcW w:w="2268" w:type="dxa"/>
            <w:vAlign w:val="center"/>
          </w:tcPr>
          <w:p>
            <w:pPr>
              <w:pStyle w:val="14"/>
            </w:pPr>
            <w:r>
              <w:t>≥90%</w:t>
            </w:r>
          </w:p>
        </w:tc>
        <w:tc>
          <w:tcPr>
            <w:tcW w:w="1276" w:type="dxa"/>
            <w:vAlign w:val="center"/>
          </w:tcPr>
          <w:p>
            <w:pPr>
              <w:pStyle w:val="14"/>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单位GDP能耗下降率（%）</w:t>
            </w:r>
          </w:p>
        </w:tc>
        <w:tc>
          <w:tcPr>
            <w:tcW w:w="5386" w:type="dxa"/>
            <w:vAlign w:val="center"/>
          </w:tcPr>
          <w:p>
            <w:pPr>
              <w:pStyle w:val="14"/>
            </w:pPr>
            <w:r>
              <w:t>单位GDP能耗的同期下降比率</w:t>
            </w:r>
          </w:p>
        </w:tc>
        <w:tc>
          <w:tcPr>
            <w:tcW w:w="2268" w:type="dxa"/>
            <w:vAlign w:val="center"/>
          </w:tcPr>
          <w:p>
            <w:pPr>
              <w:pStyle w:val="14"/>
            </w:pPr>
            <w:r>
              <w:t>≥90%</w:t>
            </w:r>
          </w:p>
        </w:tc>
        <w:tc>
          <w:tcPr>
            <w:tcW w:w="1276" w:type="dxa"/>
            <w:vAlign w:val="center"/>
          </w:tcPr>
          <w:p>
            <w:pPr>
              <w:pStyle w:val="14"/>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固体废弃物综合利用率（%）</w:t>
            </w:r>
          </w:p>
        </w:tc>
        <w:tc>
          <w:tcPr>
            <w:tcW w:w="5386" w:type="dxa"/>
            <w:vAlign w:val="center"/>
          </w:tcPr>
          <w:p>
            <w:pPr>
              <w:pStyle w:val="14"/>
            </w:pPr>
            <w:r>
              <w:t>被综合利用的固体废弃物占所有固体废弃物的比率</w:t>
            </w:r>
          </w:p>
        </w:tc>
        <w:tc>
          <w:tcPr>
            <w:tcW w:w="2268" w:type="dxa"/>
            <w:vAlign w:val="center"/>
          </w:tcPr>
          <w:p>
            <w:pPr>
              <w:pStyle w:val="14"/>
            </w:pPr>
            <w:r>
              <w:t>≥90%</w:t>
            </w:r>
          </w:p>
        </w:tc>
        <w:tc>
          <w:tcPr>
            <w:tcW w:w="1276" w:type="dxa"/>
            <w:vAlign w:val="center"/>
          </w:tcPr>
          <w:p>
            <w:pPr>
              <w:pStyle w:val="14"/>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调查中满意和较满意的企业数占调查总企业数的比率</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19、关于提前下达2024年中央服务业发展资金预算的通知（冀财建【2023】231号）绩效目标表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13032124P003264100032</w:t>
            </w:r>
          </w:p>
        </w:tc>
        <w:tc>
          <w:tcPr>
            <w:tcW w:w="2835" w:type="dxa"/>
            <w:vAlign w:val="center"/>
          </w:tcPr>
          <w:p>
            <w:pPr>
              <w:pStyle w:val="12"/>
            </w:pPr>
            <w:r>
              <w:t>项目名称</w:t>
            </w:r>
          </w:p>
        </w:tc>
        <w:tc>
          <w:tcPr>
            <w:tcW w:w="6095" w:type="dxa"/>
            <w:gridSpan w:val="3"/>
            <w:vAlign w:val="center"/>
          </w:tcPr>
          <w:p>
            <w:pPr>
              <w:pStyle w:val="14"/>
            </w:pPr>
            <w:r>
              <w:t>关于提前下达2024年中央服务业发展资金预算的通知（冀财建【2023】231号）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460.00</w:t>
            </w:r>
          </w:p>
        </w:tc>
        <w:tc>
          <w:tcPr>
            <w:tcW w:w="2835" w:type="dxa"/>
            <w:vAlign w:val="center"/>
          </w:tcPr>
          <w:p>
            <w:pPr>
              <w:pStyle w:val="12"/>
            </w:pPr>
            <w:r>
              <w:t>其中：财政    资金</w:t>
            </w:r>
          </w:p>
        </w:tc>
        <w:tc>
          <w:tcPr>
            <w:tcW w:w="2551" w:type="dxa"/>
            <w:vAlign w:val="center"/>
          </w:tcPr>
          <w:p>
            <w:pPr>
              <w:pStyle w:val="14"/>
            </w:pPr>
            <w:r>
              <w:t>460.00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预算安排460万元，其中财政资金460万元，主要用于县域商业建设行动支出。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100.00</w:t>
            </w:r>
          </w:p>
        </w:tc>
        <w:tc>
          <w:tcPr>
            <w:tcW w:w="2835" w:type="dxa"/>
            <w:vAlign w:val="center"/>
          </w:tcPr>
          <w:p>
            <w:pPr>
              <w:pStyle w:val="15"/>
            </w:pPr>
            <w:r>
              <w:rPr>
                <w:rFonts w:hint="eastAsia" w:asciiTheme="minorEastAsia" w:hAnsiTheme="minorEastAsia" w:eastAsiaTheme="minorEastAsia"/>
                <w:lang w:eastAsia="zh-CN"/>
              </w:rPr>
              <w:t>1</w:t>
            </w:r>
            <w:r>
              <w:t>00.00</w:t>
            </w:r>
          </w:p>
        </w:tc>
        <w:tc>
          <w:tcPr>
            <w:tcW w:w="2551" w:type="dxa"/>
            <w:vAlign w:val="center"/>
          </w:tcPr>
          <w:p>
            <w:pPr>
              <w:pStyle w:val="15"/>
            </w:pPr>
            <w:r>
              <w:rPr>
                <w:rFonts w:hint="eastAsia" w:asciiTheme="minorEastAsia" w:hAnsiTheme="minorEastAsia" w:eastAsiaTheme="minorEastAsia"/>
                <w:lang w:eastAsia="zh-CN"/>
              </w:rPr>
              <w:t>1</w:t>
            </w:r>
            <w:r>
              <w:t>00.00</w:t>
            </w:r>
          </w:p>
        </w:tc>
        <w:tc>
          <w:tcPr>
            <w:tcW w:w="3544" w:type="dxa"/>
            <w:gridSpan w:val="2"/>
            <w:vAlign w:val="center"/>
          </w:tcPr>
          <w:p>
            <w:pPr>
              <w:pStyle w:val="15"/>
            </w:pPr>
            <w:r>
              <w:rPr>
                <w:rFonts w:hint="eastAsia" w:asciiTheme="minorEastAsia" w:hAnsiTheme="minorEastAsia" w:eastAsiaTheme="minorEastAsia"/>
                <w:lang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1.通过发放服务业发展资金，提升流通效率，降低流通成本。</w:t>
            </w:r>
          </w:p>
          <w:p>
            <w:pPr>
              <w:pStyle w:val="14"/>
            </w:pPr>
            <w:r>
              <w:t>2.通过发放服务业发展资金，物资供应充足，流通运转稳定。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重点分拣仓库数量增长</w:t>
            </w:r>
          </w:p>
        </w:tc>
        <w:tc>
          <w:tcPr>
            <w:tcW w:w="5386" w:type="dxa"/>
            <w:vAlign w:val="center"/>
          </w:tcPr>
          <w:p>
            <w:pPr>
              <w:pStyle w:val="14"/>
            </w:pPr>
            <w:r>
              <w:t>县域重点分拣仓库数量增长</w:t>
            </w:r>
          </w:p>
        </w:tc>
        <w:tc>
          <w:tcPr>
            <w:tcW w:w="2268" w:type="dxa"/>
            <w:vAlign w:val="center"/>
          </w:tcPr>
          <w:p>
            <w:pPr>
              <w:pStyle w:val="14"/>
            </w:pPr>
            <w:r>
              <w:t>≥3%</w:t>
            </w:r>
          </w:p>
        </w:tc>
        <w:tc>
          <w:tcPr>
            <w:tcW w:w="1276" w:type="dxa"/>
            <w:vAlign w:val="center"/>
          </w:tcPr>
          <w:p>
            <w:pPr>
              <w:pStyle w:val="14"/>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纳入商务部生活必需品监测预警数量信息报送率</w:t>
            </w:r>
          </w:p>
        </w:tc>
        <w:tc>
          <w:tcPr>
            <w:tcW w:w="5386" w:type="dxa"/>
            <w:vAlign w:val="center"/>
          </w:tcPr>
          <w:p>
            <w:pPr>
              <w:pStyle w:val="14"/>
            </w:pPr>
            <w:r>
              <w:t>县域纳入商务部生活必需品监测预警数量信息报送率</w:t>
            </w:r>
          </w:p>
        </w:tc>
        <w:tc>
          <w:tcPr>
            <w:tcW w:w="2268" w:type="dxa"/>
            <w:vAlign w:val="center"/>
          </w:tcPr>
          <w:p>
            <w:pPr>
              <w:pStyle w:val="14"/>
            </w:pPr>
            <w:r>
              <w:t>≥70%</w:t>
            </w:r>
          </w:p>
        </w:tc>
        <w:tc>
          <w:tcPr>
            <w:tcW w:w="1276" w:type="dxa"/>
            <w:vAlign w:val="center"/>
          </w:tcPr>
          <w:p>
            <w:pPr>
              <w:pStyle w:val="14"/>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县域商品和服务销售额提高时间</w:t>
            </w:r>
          </w:p>
        </w:tc>
        <w:tc>
          <w:tcPr>
            <w:tcW w:w="5386" w:type="dxa"/>
            <w:vAlign w:val="center"/>
          </w:tcPr>
          <w:p>
            <w:pPr>
              <w:pStyle w:val="14"/>
            </w:pPr>
            <w:r>
              <w:t>县域商品和服务销售额提高时间</w:t>
            </w:r>
          </w:p>
        </w:tc>
        <w:tc>
          <w:tcPr>
            <w:tcW w:w="2268" w:type="dxa"/>
            <w:vAlign w:val="center"/>
          </w:tcPr>
          <w:p>
            <w:pPr>
              <w:pStyle w:val="14"/>
            </w:pPr>
            <w:r>
              <w:t>2024年度</w:t>
            </w:r>
          </w:p>
        </w:tc>
        <w:tc>
          <w:tcPr>
            <w:tcW w:w="1276" w:type="dxa"/>
            <w:vAlign w:val="center"/>
          </w:tcPr>
          <w:p>
            <w:pPr>
              <w:pStyle w:val="14"/>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县域商业建设行动成本</w:t>
            </w:r>
          </w:p>
        </w:tc>
        <w:tc>
          <w:tcPr>
            <w:tcW w:w="5386" w:type="dxa"/>
            <w:vAlign w:val="center"/>
          </w:tcPr>
          <w:p>
            <w:pPr>
              <w:pStyle w:val="14"/>
            </w:pPr>
            <w:r>
              <w:t>县域商业建设行动总成本</w:t>
            </w:r>
          </w:p>
        </w:tc>
        <w:tc>
          <w:tcPr>
            <w:tcW w:w="2268" w:type="dxa"/>
            <w:vAlign w:val="center"/>
          </w:tcPr>
          <w:p>
            <w:pPr>
              <w:pStyle w:val="14"/>
            </w:pPr>
            <w:r>
              <w:t>460万元</w:t>
            </w:r>
          </w:p>
        </w:tc>
        <w:tc>
          <w:tcPr>
            <w:tcW w:w="1276" w:type="dxa"/>
            <w:vAlign w:val="center"/>
          </w:tcPr>
          <w:p>
            <w:pPr>
              <w:pStyle w:val="14"/>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重点保供企业城区人口覆盖率</w:t>
            </w:r>
          </w:p>
        </w:tc>
        <w:tc>
          <w:tcPr>
            <w:tcW w:w="5386" w:type="dxa"/>
            <w:vAlign w:val="center"/>
          </w:tcPr>
          <w:p>
            <w:pPr>
              <w:pStyle w:val="14"/>
            </w:pPr>
            <w:r>
              <w:t>县域重点保供企业城区人口覆盖率</w:t>
            </w:r>
          </w:p>
        </w:tc>
        <w:tc>
          <w:tcPr>
            <w:tcW w:w="2268" w:type="dxa"/>
            <w:vAlign w:val="center"/>
          </w:tcPr>
          <w:p>
            <w:pPr>
              <w:pStyle w:val="14"/>
            </w:pPr>
            <w:r>
              <w:t>≥70%</w:t>
            </w:r>
          </w:p>
        </w:tc>
        <w:tc>
          <w:tcPr>
            <w:tcW w:w="1276" w:type="dxa"/>
            <w:vAlign w:val="center"/>
          </w:tcPr>
          <w:p>
            <w:pPr>
              <w:pStyle w:val="14"/>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资金支持期间未发生持续48小时以上某类生活必需品断档脱销</w:t>
            </w:r>
          </w:p>
        </w:tc>
        <w:tc>
          <w:tcPr>
            <w:tcW w:w="5386" w:type="dxa"/>
            <w:vAlign w:val="center"/>
          </w:tcPr>
          <w:p>
            <w:pPr>
              <w:pStyle w:val="14"/>
            </w:pPr>
            <w:r>
              <w:t>资金支持期间未发生持续48小时以上某类生活必需品断档脱销</w:t>
            </w:r>
          </w:p>
        </w:tc>
        <w:tc>
          <w:tcPr>
            <w:tcW w:w="2268" w:type="dxa"/>
            <w:vAlign w:val="center"/>
          </w:tcPr>
          <w:p>
            <w:pPr>
              <w:pStyle w:val="14"/>
            </w:pPr>
            <w:r>
              <w:t>未发生</w:t>
            </w:r>
          </w:p>
        </w:tc>
        <w:tc>
          <w:tcPr>
            <w:tcW w:w="1276" w:type="dxa"/>
            <w:vAlign w:val="center"/>
          </w:tcPr>
          <w:p>
            <w:pPr>
              <w:pStyle w:val="14"/>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政府储备供应城区居民消费天数</w:t>
            </w:r>
          </w:p>
        </w:tc>
        <w:tc>
          <w:tcPr>
            <w:tcW w:w="5386" w:type="dxa"/>
            <w:vAlign w:val="center"/>
          </w:tcPr>
          <w:p>
            <w:pPr>
              <w:pStyle w:val="14"/>
            </w:pPr>
            <w:r>
              <w:t>县域政府储备供应城区居民消费天数</w:t>
            </w:r>
          </w:p>
        </w:tc>
        <w:tc>
          <w:tcPr>
            <w:tcW w:w="2268" w:type="dxa"/>
            <w:vAlign w:val="center"/>
          </w:tcPr>
          <w:p>
            <w:pPr>
              <w:pStyle w:val="14"/>
            </w:pPr>
            <w:r>
              <w:t>稳步增加</w:t>
            </w:r>
          </w:p>
        </w:tc>
        <w:tc>
          <w:tcPr>
            <w:tcW w:w="1276" w:type="dxa"/>
            <w:vAlign w:val="center"/>
          </w:tcPr>
          <w:p>
            <w:pPr>
              <w:pStyle w:val="14"/>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服务对象满意度调查表</w:t>
            </w:r>
          </w:p>
        </w:tc>
        <w:tc>
          <w:tcPr>
            <w:tcW w:w="5386" w:type="dxa"/>
            <w:vAlign w:val="center"/>
          </w:tcPr>
          <w:p>
            <w:pPr>
              <w:pStyle w:val="14"/>
            </w:pPr>
            <w:r>
              <w:t>服务对象满意度调查表</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20、关于下达2023年省级大气污染防治资金预算（用于2023年采暖季洁净煤取暖）的通知（冀财建【2023】201号）绩效目标表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13032123P003254100015</w:t>
            </w:r>
          </w:p>
        </w:tc>
        <w:tc>
          <w:tcPr>
            <w:tcW w:w="2835" w:type="dxa"/>
            <w:vAlign w:val="center"/>
          </w:tcPr>
          <w:p>
            <w:pPr>
              <w:pStyle w:val="12"/>
            </w:pPr>
            <w:r>
              <w:t>项目名称</w:t>
            </w:r>
          </w:p>
        </w:tc>
        <w:tc>
          <w:tcPr>
            <w:tcW w:w="6095" w:type="dxa"/>
            <w:gridSpan w:val="3"/>
            <w:vAlign w:val="center"/>
          </w:tcPr>
          <w:p>
            <w:pPr>
              <w:pStyle w:val="14"/>
            </w:pPr>
            <w:r>
              <w:t>关于下达2023年省级大气污染防治资金预算（用于2023年采暖季洁净煤取暖）的通知（冀财建【2023】201号）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93.00</w:t>
            </w:r>
          </w:p>
        </w:tc>
        <w:tc>
          <w:tcPr>
            <w:tcW w:w="2835" w:type="dxa"/>
            <w:vAlign w:val="center"/>
          </w:tcPr>
          <w:p>
            <w:pPr>
              <w:pStyle w:val="12"/>
            </w:pPr>
            <w:r>
              <w:t>其中：财政    资金</w:t>
            </w:r>
          </w:p>
        </w:tc>
        <w:tc>
          <w:tcPr>
            <w:tcW w:w="2551" w:type="dxa"/>
            <w:vAlign w:val="center"/>
          </w:tcPr>
          <w:p>
            <w:pPr>
              <w:pStyle w:val="14"/>
            </w:pPr>
            <w:r>
              <w:t>93.00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预算安排93万元，其中，财政资金93万元，主要用于2023年洁净煤取暖补助支出。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100.00</w:t>
            </w:r>
          </w:p>
        </w:tc>
        <w:tc>
          <w:tcPr>
            <w:tcW w:w="2835" w:type="dxa"/>
            <w:vAlign w:val="center"/>
          </w:tcPr>
          <w:p>
            <w:pPr>
              <w:pStyle w:val="15"/>
            </w:pPr>
            <w:r>
              <w:rPr>
                <w:rFonts w:hint="eastAsia" w:asciiTheme="minorEastAsia" w:hAnsiTheme="minorEastAsia" w:eastAsiaTheme="minorEastAsia"/>
                <w:lang w:eastAsia="zh-CN"/>
              </w:rPr>
              <w:t>1</w:t>
            </w:r>
            <w:r>
              <w:t>00.00</w:t>
            </w:r>
          </w:p>
        </w:tc>
        <w:tc>
          <w:tcPr>
            <w:tcW w:w="2551" w:type="dxa"/>
            <w:vAlign w:val="center"/>
          </w:tcPr>
          <w:p>
            <w:pPr>
              <w:pStyle w:val="15"/>
            </w:pPr>
            <w:r>
              <w:rPr>
                <w:rFonts w:hint="eastAsia" w:asciiTheme="minorEastAsia" w:hAnsiTheme="minorEastAsia" w:eastAsiaTheme="minorEastAsia"/>
                <w:lang w:eastAsia="zh-CN"/>
              </w:rPr>
              <w:t>1</w:t>
            </w:r>
            <w:r>
              <w:t>00.00</w:t>
            </w:r>
          </w:p>
        </w:tc>
        <w:tc>
          <w:tcPr>
            <w:tcW w:w="3544" w:type="dxa"/>
            <w:gridSpan w:val="2"/>
            <w:vAlign w:val="center"/>
          </w:tcPr>
          <w:p>
            <w:pPr>
              <w:pStyle w:val="15"/>
            </w:pPr>
            <w:r>
              <w:rPr>
                <w:rFonts w:hint="eastAsia" w:asciiTheme="minorEastAsia" w:hAnsiTheme="minorEastAsia" w:eastAsiaTheme="minorEastAsia"/>
                <w:lang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1.通过购买洁净型煤，保证燃煤用户温暖过冬。</w:t>
            </w:r>
            <w:r>
              <w:tab/>
            </w:r>
            <w:r>
              <w:tab/>
            </w:r>
            <w:r>
              <w:tab/>
            </w:r>
            <w:r>
              <w:tab/>
            </w:r>
            <w:r>
              <w:tab/>
            </w:r>
            <w:r>
              <w:tab/>
            </w:r>
            <w:r>
              <w:tab/>
            </w:r>
            <w:r>
              <w:tab/>
            </w:r>
            <w:r>
              <w:tab/>
            </w:r>
            <w:r>
              <w:tab/>
            </w:r>
            <w:r>
              <w:tab/>
            </w:r>
          </w:p>
          <w:p>
            <w:pPr>
              <w:pStyle w:val="14"/>
            </w:pPr>
          </w:p>
          <w:p>
            <w:pPr>
              <w:pStyle w:val="14"/>
            </w:pPr>
            <w:r>
              <w:t>2.通过购买洁净型煤，有效禁止散煤复燃，减少大气污染。</w:t>
            </w:r>
            <w:r>
              <w:tab/>
            </w:r>
            <w:r>
              <w:tab/>
            </w:r>
            <w:r>
              <w:tab/>
            </w:r>
            <w:r>
              <w:tab/>
            </w:r>
            <w:r>
              <w:tab/>
            </w:r>
            <w:r>
              <w:tab/>
            </w:r>
          </w:p>
          <w:p>
            <w:pPr>
              <w:pStyle w:val="14"/>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预供应型煤数量</w:t>
            </w:r>
          </w:p>
        </w:tc>
        <w:tc>
          <w:tcPr>
            <w:tcW w:w="5386" w:type="dxa"/>
            <w:vAlign w:val="center"/>
          </w:tcPr>
          <w:p>
            <w:pPr>
              <w:pStyle w:val="14"/>
            </w:pPr>
            <w:r>
              <w:t>2023年预供应型煤数量</w:t>
            </w:r>
          </w:p>
        </w:tc>
        <w:tc>
          <w:tcPr>
            <w:tcW w:w="2268" w:type="dxa"/>
            <w:vAlign w:val="center"/>
          </w:tcPr>
          <w:p>
            <w:pPr>
              <w:pStyle w:val="14"/>
            </w:pPr>
            <w:r>
              <w:t>≥1.33万吨</w:t>
            </w:r>
          </w:p>
        </w:tc>
        <w:tc>
          <w:tcPr>
            <w:tcW w:w="1276" w:type="dxa"/>
            <w:vAlign w:val="center"/>
          </w:tcPr>
          <w:p>
            <w:pPr>
              <w:pStyle w:val="14"/>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保供乡镇个数</w:t>
            </w:r>
          </w:p>
        </w:tc>
        <w:tc>
          <w:tcPr>
            <w:tcW w:w="5386" w:type="dxa"/>
            <w:vAlign w:val="center"/>
          </w:tcPr>
          <w:p>
            <w:pPr>
              <w:pStyle w:val="14"/>
            </w:pPr>
            <w:r>
              <w:t>洁净型煤保供乡镇个数</w:t>
            </w:r>
          </w:p>
        </w:tc>
        <w:tc>
          <w:tcPr>
            <w:tcW w:w="2268" w:type="dxa"/>
            <w:vAlign w:val="center"/>
          </w:tcPr>
          <w:p>
            <w:pPr>
              <w:pStyle w:val="14"/>
            </w:pPr>
            <w:r>
              <w:t>24个</w:t>
            </w:r>
          </w:p>
        </w:tc>
        <w:tc>
          <w:tcPr>
            <w:tcW w:w="1276" w:type="dxa"/>
            <w:vAlign w:val="center"/>
          </w:tcPr>
          <w:p>
            <w:pPr>
              <w:pStyle w:val="14"/>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达到型煤标准</w:t>
            </w:r>
          </w:p>
        </w:tc>
        <w:tc>
          <w:tcPr>
            <w:tcW w:w="5386" w:type="dxa"/>
            <w:vAlign w:val="center"/>
          </w:tcPr>
          <w:p>
            <w:pPr>
              <w:pStyle w:val="14"/>
            </w:pPr>
            <w:r>
              <w:t>保供煤达到型煤标准</w:t>
            </w:r>
          </w:p>
        </w:tc>
        <w:tc>
          <w:tcPr>
            <w:tcW w:w="2268" w:type="dxa"/>
            <w:vAlign w:val="center"/>
          </w:tcPr>
          <w:p>
            <w:pPr>
              <w:pStyle w:val="14"/>
            </w:pPr>
            <w:r>
              <w:t>100%</w:t>
            </w:r>
          </w:p>
        </w:tc>
        <w:tc>
          <w:tcPr>
            <w:tcW w:w="1276" w:type="dxa"/>
            <w:vAlign w:val="center"/>
          </w:tcPr>
          <w:p>
            <w:pPr>
              <w:pStyle w:val="14"/>
            </w:pPr>
            <w:r>
              <w:t>型煤1号标准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供应的及时率</w:t>
            </w:r>
          </w:p>
        </w:tc>
        <w:tc>
          <w:tcPr>
            <w:tcW w:w="5386" w:type="dxa"/>
            <w:vAlign w:val="center"/>
          </w:tcPr>
          <w:p>
            <w:pPr>
              <w:pStyle w:val="14"/>
            </w:pPr>
            <w:r>
              <w:t>型煤供应到户的及时率</w:t>
            </w:r>
          </w:p>
        </w:tc>
        <w:tc>
          <w:tcPr>
            <w:tcW w:w="2268" w:type="dxa"/>
            <w:vAlign w:val="center"/>
          </w:tcPr>
          <w:p>
            <w:pPr>
              <w:pStyle w:val="14"/>
            </w:pPr>
            <w:r>
              <w:t>≥90%</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型煤购买成本</w:t>
            </w:r>
          </w:p>
        </w:tc>
        <w:tc>
          <w:tcPr>
            <w:tcW w:w="5386" w:type="dxa"/>
            <w:vAlign w:val="center"/>
          </w:tcPr>
          <w:p>
            <w:pPr>
              <w:pStyle w:val="14"/>
            </w:pPr>
            <w:r>
              <w:t>2023年购买清洁型煤省级补助成本</w:t>
            </w:r>
          </w:p>
        </w:tc>
        <w:tc>
          <w:tcPr>
            <w:tcW w:w="2268" w:type="dxa"/>
            <w:vAlign w:val="center"/>
          </w:tcPr>
          <w:p>
            <w:pPr>
              <w:pStyle w:val="14"/>
            </w:pPr>
            <w:r>
              <w:t>93万元</w:t>
            </w:r>
          </w:p>
        </w:tc>
        <w:tc>
          <w:tcPr>
            <w:tcW w:w="1276" w:type="dxa"/>
            <w:vAlign w:val="center"/>
          </w:tcPr>
          <w:p>
            <w:pPr>
              <w:pStyle w:val="14"/>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满足洁净型煤用户取暖需求</w:t>
            </w:r>
          </w:p>
        </w:tc>
        <w:tc>
          <w:tcPr>
            <w:tcW w:w="5386" w:type="dxa"/>
            <w:vAlign w:val="center"/>
          </w:tcPr>
          <w:p>
            <w:pPr>
              <w:pStyle w:val="14"/>
            </w:pPr>
            <w:r>
              <w:t>实现清洁温暖过冬</w:t>
            </w:r>
          </w:p>
        </w:tc>
        <w:tc>
          <w:tcPr>
            <w:tcW w:w="2268" w:type="dxa"/>
            <w:vAlign w:val="center"/>
          </w:tcPr>
          <w:p>
            <w:pPr>
              <w:pStyle w:val="14"/>
            </w:pPr>
            <w:r>
              <w:t>≥90%</w:t>
            </w:r>
          </w:p>
        </w:tc>
        <w:tc>
          <w:tcPr>
            <w:tcW w:w="1276" w:type="dxa"/>
            <w:vAlign w:val="center"/>
          </w:tcPr>
          <w:p>
            <w:pPr>
              <w:pStyle w:val="14"/>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持续促进大气环境改善</w:t>
            </w:r>
          </w:p>
        </w:tc>
        <w:tc>
          <w:tcPr>
            <w:tcW w:w="5386" w:type="dxa"/>
            <w:vAlign w:val="center"/>
          </w:tcPr>
          <w:p>
            <w:pPr>
              <w:pStyle w:val="14"/>
            </w:pPr>
            <w:r>
              <w:t>持续促进大气环境改善，巩固蓝天保卫战成果</w:t>
            </w:r>
          </w:p>
        </w:tc>
        <w:tc>
          <w:tcPr>
            <w:tcW w:w="2268" w:type="dxa"/>
            <w:vAlign w:val="center"/>
          </w:tcPr>
          <w:p>
            <w:pPr>
              <w:pStyle w:val="14"/>
            </w:pPr>
            <w:r>
              <w:t>≥80%</w:t>
            </w:r>
          </w:p>
        </w:tc>
        <w:tc>
          <w:tcPr>
            <w:tcW w:w="1276" w:type="dxa"/>
            <w:vAlign w:val="center"/>
          </w:tcPr>
          <w:p>
            <w:pPr>
              <w:pStyle w:val="14"/>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实现冬季洁净煤需求取暖户清洁取暖，</w:t>
            </w:r>
          </w:p>
        </w:tc>
        <w:tc>
          <w:tcPr>
            <w:tcW w:w="5386" w:type="dxa"/>
            <w:vAlign w:val="center"/>
          </w:tcPr>
          <w:p>
            <w:pPr>
              <w:pStyle w:val="14"/>
            </w:pPr>
            <w:r>
              <w:t>可持续影响，实现冬季洁净煤需求取暖户清洁取暖，保证燃煤用户安全温暖过冬</w:t>
            </w:r>
          </w:p>
        </w:tc>
        <w:tc>
          <w:tcPr>
            <w:tcW w:w="2268" w:type="dxa"/>
            <w:vAlign w:val="center"/>
          </w:tcPr>
          <w:p>
            <w:pPr>
              <w:pStyle w:val="14"/>
            </w:pPr>
            <w:r>
              <w:t>≥90%</w:t>
            </w:r>
          </w:p>
        </w:tc>
        <w:tc>
          <w:tcPr>
            <w:tcW w:w="1276" w:type="dxa"/>
            <w:vAlign w:val="center"/>
          </w:tcPr>
          <w:p>
            <w:pPr>
              <w:pStyle w:val="14"/>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调查中满意和较满意的群众数占调查总群众数的比率</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21、关于下达2023年支持市县科技创新和科学普及专项资金（县区科技创新能力提升）预算的通知（秦财教[2023]373号）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13032123P000015100055</w:t>
            </w:r>
          </w:p>
        </w:tc>
        <w:tc>
          <w:tcPr>
            <w:tcW w:w="2835" w:type="dxa"/>
            <w:vAlign w:val="center"/>
          </w:tcPr>
          <w:p>
            <w:pPr>
              <w:pStyle w:val="12"/>
            </w:pPr>
            <w:r>
              <w:t>项目名称</w:t>
            </w:r>
          </w:p>
        </w:tc>
        <w:tc>
          <w:tcPr>
            <w:tcW w:w="6095" w:type="dxa"/>
            <w:gridSpan w:val="3"/>
            <w:vAlign w:val="center"/>
          </w:tcPr>
          <w:p>
            <w:pPr>
              <w:pStyle w:val="14"/>
            </w:pPr>
            <w:r>
              <w:t>关于下达2023年支持市县科技创新和科学普及专项资金（县区科技创新能力提升）预算的通知（秦财教[2023]373号）</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预算安排1万元，其中，财政资金1万元，主要用于县域科技创新和科学普及活动支出。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100.00</w:t>
            </w:r>
          </w:p>
        </w:tc>
        <w:tc>
          <w:tcPr>
            <w:tcW w:w="2835" w:type="dxa"/>
            <w:vAlign w:val="center"/>
          </w:tcPr>
          <w:p>
            <w:pPr>
              <w:pStyle w:val="15"/>
            </w:pPr>
            <w:r>
              <w:rPr>
                <w:rFonts w:hint="eastAsia" w:asciiTheme="minorEastAsia" w:hAnsiTheme="minorEastAsia" w:eastAsiaTheme="minorEastAsia"/>
                <w:lang w:eastAsia="zh-CN"/>
              </w:rPr>
              <w:t>1</w:t>
            </w:r>
            <w:r>
              <w:t>00.00</w:t>
            </w:r>
          </w:p>
        </w:tc>
        <w:tc>
          <w:tcPr>
            <w:tcW w:w="2551" w:type="dxa"/>
            <w:vAlign w:val="center"/>
          </w:tcPr>
          <w:p>
            <w:pPr>
              <w:pStyle w:val="15"/>
            </w:pPr>
            <w:r>
              <w:rPr>
                <w:rFonts w:hint="eastAsia" w:asciiTheme="minorEastAsia" w:hAnsiTheme="minorEastAsia" w:eastAsiaTheme="minorEastAsia"/>
                <w:lang w:eastAsia="zh-CN"/>
              </w:rPr>
              <w:t>1</w:t>
            </w:r>
            <w:r>
              <w:t>00.00</w:t>
            </w:r>
          </w:p>
        </w:tc>
        <w:tc>
          <w:tcPr>
            <w:tcW w:w="3544" w:type="dxa"/>
            <w:gridSpan w:val="2"/>
            <w:vAlign w:val="center"/>
          </w:tcPr>
          <w:p>
            <w:pPr>
              <w:pStyle w:val="15"/>
            </w:pPr>
            <w:r>
              <w:rPr>
                <w:rFonts w:hint="eastAsia" w:asciiTheme="minorEastAsia" w:hAnsiTheme="minorEastAsia" w:eastAsiaTheme="minorEastAsia"/>
                <w:lang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1.通过开展县域科技创新和科学普及活动，提升县域创新能力。</w:t>
            </w:r>
          </w:p>
          <w:p>
            <w:pPr>
              <w:pStyle w:val="14"/>
            </w:pPr>
            <w:r>
              <w:t>2.通过开展县域科技创新和科学普及活动，增加县域经济收入。</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5386" w:type="dxa"/>
            <w:vAlign w:val="center"/>
          </w:tcPr>
          <w:p>
            <w:pPr>
              <w:pStyle w:val="14"/>
            </w:pPr>
            <w:r>
              <w:t>开展科技创新活动补助企业数量</w:t>
            </w:r>
          </w:p>
        </w:tc>
        <w:tc>
          <w:tcPr>
            <w:tcW w:w="2268" w:type="dxa"/>
            <w:vAlign w:val="center"/>
          </w:tcPr>
          <w:p>
            <w:pPr>
              <w:pStyle w:val="14"/>
            </w:pPr>
            <w:r>
              <w:t>6家</w:t>
            </w:r>
          </w:p>
        </w:tc>
        <w:tc>
          <w:tcPr>
            <w:tcW w:w="1276"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开展科技成果直通车次数</w:t>
            </w:r>
          </w:p>
        </w:tc>
        <w:tc>
          <w:tcPr>
            <w:tcW w:w="5386" w:type="dxa"/>
            <w:vAlign w:val="center"/>
          </w:tcPr>
          <w:p>
            <w:pPr>
              <w:pStyle w:val="14"/>
            </w:pPr>
            <w:r>
              <w:t>科技成果直通车活动</w:t>
            </w:r>
          </w:p>
        </w:tc>
        <w:tc>
          <w:tcPr>
            <w:tcW w:w="2268" w:type="dxa"/>
            <w:vAlign w:val="center"/>
          </w:tcPr>
          <w:p>
            <w:pPr>
              <w:pStyle w:val="14"/>
            </w:pPr>
            <w:r>
              <w:t>1次</w:t>
            </w:r>
          </w:p>
        </w:tc>
        <w:tc>
          <w:tcPr>
            <w:tcW w:w="1276" w:type="dxa"/>
            <w:vAlign w:val="center"/>
          </w:tcPr>
          <w:p>
            <w:pPr>
              <w:pStyle w:val="14"/>
            </w:pPr>
            <w:r>
              <w:t>秦财教[2023]373号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高新技术企业申报成功率</w:t>
            </w:r>
          </w:p>
        </w:tc>
        <w:tc>
          <w:tcPr>
            <w:tcW w:w="5386" w:type="dxa"/>
            <w:vAlign w:val="center"/>
          </w:tcPr>
          <w:p>
            <w:pPr>
              <w:pStyle w:val="14"/>
            </w:pPr>
            <w:r>
              <w:t>申报数的通过情况</w:t>
            </w:r>
          </w:p>
        </w:tc>
        <w:tc>
          <w:tcPr>
            <w:tcW w:w="2268" w:type="dxa"/>
            <w:vAlign w:val="center"/>
          </w:tcPr>
          <w:p>
            <w:pPr>
              <w:pStyle w:val="14"/>
            </w:pPr>
            <w:r>
              <w:t>≥30%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2023年底前完成</w:t>
            </w:r>
          </w:p>
        </w:tc>
        <w:tc>
          <w:tcPr>
            <w:tcW w:w="5386" w:type="dxa"/>
            <w:vAlign w:val="center"/>
          </w:tcPr>
          <w:p>
            <w:pPr>
              <w:pStyle w:val="14"/>
            </w:pPr>
            <w:r>
              <w:t>年底前完成既定指标</w:t>
            </w:r>
          </w:p>
        </w:tc>
        <w:tc>
          <w:tcPr>
            <w:tcW w:w="2268" w:type="dxa"/>
            <w:vAlign w:val="center"/>
          </w:tcPr>
          <w:p>
            <w:pPr>
              <w:pStyle w:val="14"/>
            </w:pPr>
            <w:r>
              <w:t>2024年12月底</w:t>
            </w:r>
          </w:p>
        </w:tc>
        <w:tc>
          <w:tcPr>
            <w:tcW w:w="1276" w:type="dxa"/>
            <w:vAlign w:val="center"/>
          </w:tcPr>
          <w:p>
            <w:pPr>
              <w:pStyle w:val="14"/>
            </w:pPr>
            <w:r>
              <w:t>秦财教[2023]373号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经费开支</w:t>
            </w:r>
          </w:p>
        </w:tc>
        <w:tc>
          <w:tcPr>
            <w:tcW w:w="5386" w:type="dxa"/>
            <w:vAlign w:val="center"/>
          </w:tcPr>
          <w:p>
            <w:pPr>
              <w:pStyle w:val="14"/>
            </w:pPr>
            <w:r>
              <w:t>开展县域科技创新活动总成本</w:t>
            </w:r>
          </w:p>
        </w:tc>
        <w:tc>
          <w:tcPr>
            <w:tcW w:w="2268" w:type="dxa"/>
            <w:vAlign w:val="center"/>
          </w:tcPr>
          <w:p>
            <w:pPr>
              <w:pStyle w:val="14"/>
            </w:pPr>
            <w:r>
              <w:t>≤30万元</w:t>
            </w:r>
          </w:p>
        </w:tc>
        <w:tc>
          <w:tcPr>
            <w:tcW w:w="1276" w:type="dxa"/>
            <w:vAlign w:val="center"/>
          </w:tcPr>
          <w:p>
            <w:pPr>
              <w:pStyle w:val="14"/>
            </w:pPr>
            <w:r>
              <w:t>秦财教[2023]373号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技术合同交易额</w:t>
            </w:r>
          </w:p>
        </w:tc>
        <w:tc>
          <w:tcPr>
            <w:tcW w:w="5386" w:type="dxa"/>
            <w:vAlign w:val="center"/>
          </w:tcPr>
          <w:p>
            <w:pPr>
              <w:pStyle w:val="14"/>
            </w:pPr>
            <w:r>
              <w:t>全县技术合同交易总额</w:t>
            </w:r>
          </w:p>
        </w:tc>
        <w:tc>
          <w:tcPr>
            <w:tcW w:w="2268" w:type="dxa"/>
            <w:vAlign w:val="center"/>
          </w:tcPr>
          <w:p>
            <w:pPr>
              <w:pStyle w:val="14"/>
            </w:pPr>
            <w:r>
              <w:t>≥500万元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成果转化数</w:t>
            </w:r>
          </w:p>
        </w:tc>
        <w:tc>
          <w:tcPr>
            <w:tcW w:w="5386" w:type="dxa"/>
            <w:vAlign w:val="center"/>
          </w:tcPr>
          <w:p>
            <w:pPr>
              <w:pStyle w:val="14"/>
            </w:pPr>
            <w:r>
              <w:t>成果转化数量</w:t>
            </w:r>
          </w:p>
        </w:tc>
        <w:tc>
          <w:tcPr>
            <w:tcW w:w="2268" w:type="dxa"/>
            <w:vAlign w:val="center"/>
          </w:tcPr>
          <w:p>
            <w:pPr>
              <w:pStyle w:val="14"/>
            </w:pPr>
            <w:r>
              <w:t>≥10项</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提升县域科技创新能力</w:t>
            </w:r>
          </w:p>
        </w:tc>
        <w:tc>
          <w:tcPr>
            <w:tcW w:w="5386" w:type="dxa"/>
            <w:vAlign w:val="center"/>
          </w:tcPr>
          <w:p>
            <w:pPr>
              <w:pStyle w:val="14"/>
            </w:pPr>
            <w:r>
              <w:t>提升科技管理单位影响力</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调查受益企业中满意企业数占全部受益企业数的比率</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22、客户体验中心项目所需配套资金绩效目标表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13032123P00338510115U</w:t>
            </w:r>
          </w:p>
        </w:tc>
        <w:tc>
          <w:tcPr>
            <w:tcW w:w="2835" w:type="dxa"/>
            <w:vAlign w:val="center"/>
          </w:tcPr>
          <w:p>
            <w:pPr>
              <w:pStyle w:val="12"/>
            </w:pPr>
            <w:r>
              <w:t>项目名称</w:t>
            </w:r>
          </w:p>
        </w:tc>
        <w:tc>
          <w:tcPr>
            <w:tcW w:w="6094" w:type="dxa"/>
            <w:gridSpan w:val="3"/>
            <w:vAlign w:val="center"/>
          </w:tcPr>
          <w:p>
            <w:pPr>
              <w:pStyle w:val="14"/>
            </w:pPr>
            <w:r>
              <w:t>客户体验中心项目所需配套资金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37.60</w:t>
            </w:r>
          </w:p>
        </w:tc>
        <w:tc>
          <w:tcPr>
            <w:tcW w:w="2835" w:type="dxa"/>
            <w:vAlign w:val="center"/>
          </w:tcPr>
          <w:p>
            <w:pPr>
              <w:pStyle w:val="12"/>
            </w:pPr>
            <w:r>
              <w:t>其中：财政    资金</w:t>
            </w:r>
          </w:p>
        </w:tc>
        <w:tc>
          <w:tcPr>
            <w:tcW w:w="2551" w:type="dxa"/>
            <w:vAlign w:val="center"/>
          </w:tcPr>
          <w:p>
            <w:pPr>
              <w:pStyle w:val="14"/>
            </w:pPr>
            <w:r>
              <w:t>37.60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预算安排37.6万元，其中财政安排37.6万元，主要用于客户体验中心房租。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rPr>
                <w:rFonts w:hint="eastAsia" w:asciiTheme="minorEastAsia" w:hAnsiTheme="minorEastAsia" w:eastAsiaTheme="minorEastAsia"/>
                <w:lang w:eastAsia="zh-CN"/>
              </w:rPr>
              <w:t>50</w:t>
            </w:r>
          </w:p>
        </w:tc>
        <w:tc>
          <w:tcPr>
            <w:tcW w:w="2835" w:type="dxa"/>
            <w:vAlign w:val="center"/>
          </w:tcPr>
          <w:p>
            <w:pPr>
              <w:pStyle w:val="15"/>
            </w:pPr>
            <w:r>
              <w:rPr>
                <w:rFonts w:hint="eastAsia" w:asciiTheme="minorEastAsia" w:hAnsiTheme="minorEastAsia" w:eastAsiaTheme="minorEastAsia"/>
                <w:lang w:eastAsia="zh-CN"/>
              </w:rPr>
              <w:t>50</w:t>
            </w:r>
          </w:p>
        </w:tc>
        <w:tc>
          <w:tcPr>
            <w:tcW w:w="2551" w:type="dxa"/>
            <w:vAlign w:val="center"/>
          </w:tcPr>
          <w:p>
            <w:pPr>
              <w:pStyle w:val="15"/>
            </w:pPr>
            <w:r>
              <w:rPr>
                <w:rFonts w:hint="eastAsia" w:asciiTheme="minorEastAsia" w:hAnsiTheme="minorEastAsia" w:eastAsiaTheme="minorEastAsia"/>
                <w:lang w:eastAsia="zh-CN"/>
              </w:rPr>
              <w:t>50</w:t>
            </w:r>
          </w:p>
        </w:tc>
        <w:tc>
          <w:tcPr>
            <w:tcW w:w="3543"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1.通过资金拨付，促进客户体验中心及时使用。</w:t>
            </w:r>
          </w:p>
          <w:p>
            <w:pPr>
              <w:pStyle w:val="14"/>
            </w:pPr>
            <w:r>
              <w:t>2.通过客户体验中心完善，实现本地电子商务快速发展。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坐席数量</w:t>
            </w:r>
          </w:p>
        </w:tc>
        <w:tc>
          <w:tcPr>
            <w:tcW w:w="5386" w:type="dxa"/>
            <w:vAlign w:val="center"/>
          </w:tcPr>
          <w:p>
            <w:pPr>
              <w:pStyle w:val="14"/>
            </w:pPr>
            <w:r>
              <w:t>体验中心达到坐席数量</w:t>
            </w:r>
          </w:p>
        </w:tc>
        <w:tc>
          <w:tcPr>
            <w:tcW w:w="2268" w:type="dxa"/>
            <w:vAlign w:val="center"/>
          </w:tcPr>
          <w:p>
            <w:pPr>
              <w:pStyle w:val="14"/>
            </w:pPr>
            <w:r>
              <w:t xml:space="preserve">≥200个 </w:t>
            </w:r>
          </w:p>
        </w:tc>
        <w:tc>
          <w:tcPr>
            <w:tcW w:w="1276" w:type="dxa"/>
            <w:vAlign w:val="center"/>
          </w:tcPr>
          <w:p>
            <w:pPr>
              <w:pStyle w:val="14"/>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变压器数量</w:t>
            </w:r>
          </w:p>
        </w:tc>
        <w:tc>
          <w:tcPr>
            <w:tcW w:w="5386" w:type="dxa"/>
            <w:vAlign w:val="center"/>
          </w:tcPr>
          <w:p>
            <w:pPr>
              <w:pStyle w:val="14"/>
            </w:pPr>
            <w:r>
              <w:t>新增变压器数量</w:t>
            </w:r>
          </w:p>
        </w:tc>
        <w:tc>
          <w:tcPr>
            <w:tcW w:w="2268" w:type="dxa"/>
            <w:vAlign w:val="center"/>
          </w:tcPr>
          <w:p>
            <w:pPr>
              <w:pStyle w:val="14"/>
            </w:pPr>
            <w:r>
              <w:t>1个</w:t>
            </w:r>
          </w:p>
        </w:tc>
        <w:tc>
          <w:tcPr>
            <w:tcW w:w="1276" w:type="dxa"/>
            <w:vAlign w:val="center"/>
          </w:tcPr>
          <w:p>
            <w:pPr>
              <w:pStyle w:val="14"/>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购买器材及用具达标率</w:t>
            </w:r>
          </w:p>
        </w:tc>
        <w:tc>
          <w:tcPr>
            <w:tcW w:w="5386" w:type="dxa"/>
            <w:vAlign w:val="center"/>
          </w:tcPr>
          <w:p>
            <w:pPr>
              <w:pStyle w:val="14"/>
            </w:pPr>
            <w:r>
              <w:t>体验中心购买器材及用具达标率</w:t>
            </w:r>
          </w:p>
        </w:tc>
        <w:tc>
          <w:tcPr>
            <w:tcW w:w="2268" w:type="dxa"/>
            <w:vAlign w:val="center"/>
          </w:tcPr>
          <w:p>
            <w:pPr>
              <w:pStyle w:val="14"/>
            </w:pPr>
            <w:r>
              <w:t>≥95%</w:t>
            </w:r>
          </w:p>
        </w:tc>
        <w:tc>
          <w:tcPr>
            <w:tcW w:w="1276" w:type="dxa"/>
            <w:vAlign w:val="center"/>
          </w:tcPr>
          <w:p>
            <w:pPr>
              <w:pStyle w:val="14"/>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w:t>
            </w:r>
          </w:p>
        </w:tc>
        <w:tc>
          <w:tcPr>
            <w:tcW w:w="5386" w:type="dxa"/>
            <w:vAlign w:val="center"/>
          </w:tcPr>
          <w:p>
            <w:pPr>
              <w:pStyle w:val="14"/>
            </w:pPr>
            <w:r>
              <w:t>资金拨付及时率</w:t>
            </w:r>
          </w:p>
        </w:tc>
        <w:tc>
          <w:tcPr>
            <w:tcW w:w="2268" w:type="dxa"/>
            <w:vAlign w:val="center"/>
          </w:tcPr>
          <w:p>
            <w:pPr>
              <w:pStyle w:val="14"/>
            </w:pPr>
            <w:r>
              <w:t>≥90%</w:t>
            </w:r>
          </w:p>
        </w:tc>
        <w:tc>
          <w:tcPr>
            <w:tcW w:w="1276" w:type="dxa"/>
            <w:vAlign w:val="center"/>
          </w:tcPr>
          <w:p>
            <w:pPr>
              <w:pStyle w:val="14"/>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资金拨付时效</w:t>
            </w:r>
          </w:p>
        </w:tc>
        <w:tc>
          <w:tcPr>
            <w:tcW w:w="5386" w:type="dxa"/>
            <w:vAlign w:val="center"/>
          </w:tcPr>
          <w:p>
            <w:pPr>
              <w:pStyle w:val="14"/>
            </w:pPr>
            <w:r>
              <w:t>资金拨付年度</w:t>
            </w:r>
          </w:p>
        </w:tc>
        <w:tc>
          <w:tcPr>
            <w:tcW w:w="2268" w:type="dxa"/>
            <w:vAlign w:val="center"/>
          </w:tcPr>
          <w:p>
            <w:pPr>
              <w:pStyle w:val="14"/>
            </w:pPr>
            <w:r>
              <w:t>2024年</w:t>
            </w:r>
          </w:p>
        </w:tc>
        <w:tc>
          <w:tcPr>
            <w:tcW w:w="1276" w:type="dxa"/>
            <w:vAlign w:val="center"/>
          </w:tcPr>
          <w:p>
            <w:pPr>
              <w:pStyle w:val="14"/>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退换房租单项成本</w:t>
            </w:r>
          </w:p>
        </w:tc>
        <w:tc>
          <w:tcPr>
            <w:tcW w:w="5386" w:type="dxa"/>
            <w:vAlign w:val="center"/>
          </w:tcPr>
          <w:p>
            <w:pPr>
              <w:pStyle w:val="14"/>
            </w:pPr>
            <w:r>
              <w:t>使用商贸中心大楼，退还商户房租</w:t>
            </w:r>
          </w:p>
        </w:tc>
        <w:tc>
          <w:tcPr>
            <w:tcW w:w="2268" w:type="dxa"/>
            <w:vAlign w:val="center"/>
          </w:tcPr>
          <w:p>
            <w:pPr>
              <w:pStyle w:val="14"/>
            </w:pPr>
            <w:r>
              <w:t>≤37.6万元</w:t>
            </w:r>
          </w:p>
        </w:tc>
        <w:tc>
          <w:tcPr>
            <w:tcW w:w="1276" w:type="dxa"/>
            <w:vAlign w:val="center"/>
          </w:tcPr>
          <w:p>
            <w:pPr>
              <w:pStyle w:val="14"/>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拉动本地生产和发展</w:t>
            </w:r>
          </w:p>
        </w:tc>
        <w:tc>
          <w:tcPr>
            <w:tcW w:w="5386" w:type="dxa"/>
            <w:vAlign w:val="center"/>
          </w:tcPr>
          <w:p>
            <w:pPr>
              <w:pStyle w:val="14"/>
            </w:pPr>
            <w:r>
              <w:t>拉动本地生产和发展，助力共同富裕</w:t>
            </w:r>
          </w:p>
        </w:tc>
        <w:tc>
          <w:tcPr>
            <w:tcW w:w="2268" w:type="dxa"/>
            <w:vAlign w:val="center"/>
          </w:tcPr>
          <w:p>
            <w:pPr>
              <w:pStyle w:val="14"/>
            </w:pPr>
            <w:r>
              <w:t>≥2%</w:t>
            </w:r>
          </w:p>
        </w:tc>
        <w:tc>
          <w:tcPr>
            <w:tcW w:w="1276" w:type="dxa"/>
            <w:vAlign w:val="center"/>
          </w:tcPr>
          <w:p>
            <w:pPr>
              <w:pStyle w:val="14"/>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发展电子商务</w:t>
            </w:r>
          </w:p>
        </w:tc>
        <w:tc>
          <w:tcPr>
            <w:tcW w:w="5386" w:type="dxa"/>
            <w:vAlign w:val="center"/>
          </w:tcPr>
          <w:p>
            <w:pPr>
              <w:pStyle w:val="14"/>
            </w:pPr>
            <w:r>
              <w:t>发展电子商务，促进乡村振兴</w:t>
            </w:r>
          </w:p>
        </w:tc>
        <w:tc>
          <w:tcPr>
            <w:tcW w:w="2268" w:type="dxa"/>
            <w:vAlign w:val="center"/>
          </w:tcPr>
          <w:p>
            <w:pPr>
              <w:pStyle w:val="14"/>
            </w:pPr>
            <w:r>
              <w:t>≥5%</w:t>
            </w:r>
          </w:p>
        </w:tc>
        <w:tc>
          <w:tcPr>
            <w:tcW w:w="1276" w:type="dxa"/>
            <w:vAlign w:val="center"/>
          </w:tcPr>
          <w:p>
            <w:pPr>
              <w:pStyle w:val="14"/>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23、粮食基础设施维护资金绩效目标表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13032123P00338410019B</w:t>
            </w:r>
          </w:p>
        </w:tc>
        <w:tc>
          <w:tcPr>
            <w:tcW w:w="2835" w:type="dxa"/>
            <w:vAlign w:val="center"/>
          </w:tcPr>
          <w:p>
            <w:pPr>
              <w:pStyle w:val="12"/>
            </w:pPr>
            <w:r>
              <w:t>项目名称</w:t>
            </w:r>
          </w:p>
        </w:tc>
        <w:tc>
          <w:tcPr>
            <w:tcW w:w="6095" w:type="dxa"/>
            <w:gridSpan w:val="3"/>
            <w:vAlign w:val="center"/>
          </w:tcPr>
          <w:p>
            <w:pPr>
              <w:pStyle w:val="14"/>
            </w:pPr>
            <w:r>
              <w:t>粮食基础设施维护资金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4.47</w:t>
            </w:r>
          </w:p>
        </w:tc>
        <w:tc>
          <w:tcPr>
            <w:tcW w:w="2835" w:type="dxa"/>
            <w:vAlign w:val="center"/>
          </w:tcPr>
          <w:p>
            <w:pPr>
              <w:pStyle w:val="12"/>
            </w:pPr>
            <w:r>
              <w:t>其中：财政    资金</w:t>
            </w:r>
          </w:p>
        </w:tc>
        <w:tc>
          <w:tcPr>
            <w:tcW w:w="2551" w:type="dxa"/>
            <w:vAlign w:val="center"/>
          </w:tcPr>
          <w:p>
            <w:pPr>
              <w:pStyle w:val="14"/>
            </w:pPr>
            <w:r>
              <w:t>4.47</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预算安排2.19万元，其中财政资金2.19万元，主要用于维修人工费。</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10</w:t>
            </w:r>
          </w:p>
        </w:tc>
        <w:tc>
          <w:tcPr>
            <w:tcW w:w="2835" w:type="dxa"/>
            <w:vAlign w:val="center"/>
          </w:tcPr>
          <w:p>
            <w:pPr>
              <w:pStyle w:val="15"/>
            </w:pPr>
            <w:r>
              <w:t>25</w:t>
            </w:r>
          </w:p>
        </w:tc>
        <w:tc>
          <w:tcPr>
            <w:tcW w:w="2551" w:type="dxa"/>
            <w:vAlign w:val="center"/>
          </w:tcPr>
          <w:p>
            <w:pPr>
              <w:pStyle w:val="15"/>
            </w:pPr>
            <w:r>
              <w:t>25</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1.通过粮食基础设施维修，实现粮食仓储损耗控制在国家、省市标准范围内。</w:t>
            </w:r>
            <w:r>
              <w:tab/>
            </w:r>
          </w:p>
          <w:p>
            <w:pPr>
              <w:pStyle w:val="14"/>
            </w:pPr>
          </w:p>
          <w:p>
            <w:pPr>
              <w:pStyle w:val="14"/>
            </w:pPr>
            <w:r>
              <w:t>2.通过科学储粮率技术应用，实现满足应急供给需求。</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粮库维修数量</w:t>
            </w:r>
          </w:p>
        </w:tc>
        <w:tc>
          <w:tcPr>
            <w:tcW w:w="5386" w:type="dxa"/>
            <w:vAlign w:val="center"/>
          </w:tcPr>
          <w:p>
            <w:pPr>
              <w:pStyle w:val="14"/>
            </w:pPr>
            <w:r>
              <w:t>在乡镇、县城维修粮食应急供应点的个数</w:t>
            </w:r>
          </w:p>
        </w:tc>
        <w:tc>
          <w:tcPr>
            <w:tcW w:w="2268" w:type="dxa"/>
            <w:vAlign w:val="center"/>
          </w:tcPr>
          <w:p>
            <w:pPr>
              <w:pStyle w:val="14"/>
            </w:pPr>
            <w:r>
              <w:t>≥31个</w:t>
            </w:r>
          </w:p>
        </w:tc>
        <w:tc>
          <w:tcPr>
            <w:tcW w:w="1276" w:type="dxa"/>
            <w:vAlign w:val="center"/>
          </w:tcPr>
          <w:p>
            <w:pPr>
              <w:pStyle w:val="14"/>
            </w:pPr>
            <w:r>
              <w:t>冀粮维修办[2015]24号和工作计划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增加仓容量</w:t>
            </w:r>
          </w:p>
        </w:tc>
        <w:tc>
          <w:tcPr>
            <w:tcW w:w="5386" w:type="dxa"/>
            <w:vAlign w:val="center"/>
          </w:tcPr>
          <w:p>
            <w:pPr>
              <w:pStyle w:val="14"/>
            </w:pPr>
            <w:r>
              <w:t>新建粮食储备库的粮食仓容量</w:t>
            </w:r>
          </w:p>
        </w:tc>
        <w:tc>
          <w:tcPr>
            <w:tcW w:w="2268" w:type="dxa"/>
            <w:vAlign w:val="center"/>
          </w:tcPr>
          <w:p>
            <w:pPr>
              <w:pStyle w:val="14"/>
            </w:pPr>
            <w:r>
              <w:t>≥2021万吨</w:t>
            </w:r>
          </w:p>
        </w:tc>
        <w:tc>
          <w:tcPr>
            <w:tcW w:w="1276" w:type="dxa"/>
            <w:vAlign w:val="center"/>
          </w:tcPr>
          <w:p>
            <w:pPr>
              <w:pStyle w:val="14"/>
            </w:pPr>
            <w:r>
              <w:t>冀粮维修办[2015]25号和工作计划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仓储设施完好率</w:t>
            </w:r>
          </w:p>
        </w:tc>
        <w:tc>
          <w:tcPr>
            <w:tcW w:w="5386" w:type="dxa"/>
            <w:vAlign w:val="center"/>
          </w:tcPr>
          <w:p>
            <w:pPr>
              <w:pStyle w:val="14"/>
            </w:pPr>
            <w:r>
              <w:t>完好仓房、设备数占全部仓房、设备数的比例</w:t>
            </w:r>
          </w:p>
        </w:tc>
        <w:tc>
          <w:tcPr>
            <w:tcW w:w="2268" w:type="dxa"/>
            <w:vAlign w:val="center"/>
          </w:tcPr>
          <w:p>
            <w:pPr>
              <w:pStyle w:val="14"/>
            </w:pPr>
            <w:r>
              <w:t>≥90%</w:t>
            </w:r>
          </w:p>
        </w:tc>
        <w:tc>
          <w:tcPr>
            <w:tcW w:w="1276" w:type="dxa"/>
            <w:vAlign w:val="center"/>
          </w:tcPr>
          <w:p>
            <w:pPr>
              <w:pStyle w:val="14"/>
            </w:pPr>
            <w:r>
              <w:t>冀粮维修办[2015]26号和工作计划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粮库维修达标率</w:t>
            </w:r>
          </w:p>
        </w:tc>
        <w:tc>
          <w:tcPr>
            <w:tcW w:w="5386" w:type="dxa"/>
            <w:vAlign w:val="center"/>
          </w:tcPr>
          <w:p>
            <w:pPr>
              <w:pStyle w:val="14"/>
            </w:pPr>
            <w:r>
              <w:t>粮库维修达到标准</w:t>
            </w:r>
          </w:p>
        </w:tc>
        <w:tc>
          <w:tcPr>
            <w:tcW w:w="2268" w:type="dxa"/>
            <w:vAlign w:val="center"/>
          </w:tcPr>
          <w:p>
            <w:pPr>
              <w:pStyle w:val="14"/>
            </w:pPr>
            <w:r>
              <w:t>≥95%</w:t>
            </w:r>
          </w:p>
        </w:tc>
        <w:tc>
          <w:tcPr>
            <w:tcW w:w="1276" w:type="dxa"/>
            <w:vAlign w:val="center"/>
          </w:tcPr>
          <w:p>
            <w:pPr>
              <w:pStyle w:val="14"/>
            </w:pPr>
            <w:r>
              <w:t>冀粮维修办[2015]26号和工作计划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工作完成时间</w:t>
            </w:r>
          </w:p>
        </w:tc>
        <w:tc>
          <w:tcPr>
            <w:tcW w:w="5386" w:type="dxa"/>
            <w:vAlign w:val="center"/>
          </w:tcPr>
          <w:p>
            <w:pPr>
              <w:pStyle w:val="14"/>
            </w:pPr>
            <w:r>
              <w:t>按工作计划时间完成各项工作任务</w:t>
            </w:r>
          </w:p>
        </w:tc>
        <w:tc>
          <w:tcPr>
            <w:tcW w:w="2268" w:type="dxa"/>
            <w:vAlign w:val="center"/>
          </w:tcPr>
          <w:p>
            <w:pPr>
              <w:pStyle w:val="14"/>
            </w:pPr>
            <w:r>
              <w:t>2024年底前</w:t>
            </w:r>
          </w:p>
        </w:tc>
        <w:tc>
          <w:tcPr>
            <w:tcW w:w="1276" w:type="dxa"/>
            <w:vAlign w:val="center"/>
          </w:tcPr>
          <w:p>
            <w:pPr>
              <w:pStyle w:val="14"/>
            </w:pPr>
            <w:r>
              <w:t>冀粮维修办[2015]27号和工作计划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粮库基础设施维修</w:t>
            </w:r>
          </w:p>
        </w:tc>
        <w:tc>
          <w:tcPr>
            <w:tcW w:w="5386" w:type="dxa"/>
            <w:vAlign w:val="center"/>
          </w:tcPr>
          <w:p>
            <w:pPr>
              <w:pStyle w:val="14"/>
            </w:pPr>
            <w:r>
              <w:t>粮食应急供应点维修费用</w:t>
            </w:r>
          </w:p>
        </w:tc>
        <w:tc>
          <w:tcPr>
            <w:tcW w:w="2268" w:type="dxa"/>
            <w:vAlign w:val="center"/>
          </w:tcPr>
          <w:p>
            <w:pPr>
              <w:pStyle w:val="14"/>
            </w:pPr>
            <w:r>
              <w:t>≤1.19万元</w:t>
            </w:r>
          </w:p>
        </w:tc>
        <w:tc>
          <w:tcPr>
            <w:tcW w:w="1276" w:type="dxa"/>
            <w:vAlign w:val="center"/>
          </w:tcPr>
          <w:p>
            <w:pPr>
              <w:pStyle w:val="14"/>
            </w:pPr>
            <w:r>
              <w:t>冀粮维修办[2015]28号和工作计划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设备维护费用</w:t>
            </w:r>
          </w:p>
        </w:tc>
        <w:tc>
          <w:tcPr>
            <w:tcW w:w="5386" w:type="dxa"/>
            <w:vAlign w:val="center"/>
          </w:tcPr>
          <w:p>
            <w:pPr>
              <w:pStyle w:val="14"/>
            </w:pPr>
            <w:r>
              <w:t>仓房、设备维护费用</w:t>
            </w:r>
          </w:p>
        </w:tc>
        <w:tc>
          <w:tcPr>
            <w:tcW w:w="2268" w:type="dxa"/>
            <w:vAlign w:val="center"/>
          </w:tcPr>
          <w:p>
            <w:pPr>
              <w:pStyle w:val="14"/>
            </w:pPr>
            <w:r>
              <w:t>≤1万元</w:t>
            </w:r>
          </w:p>
        </w:tc>
        <w:tc>
          <w:tcPr>
            <w:tcW w:w="1276" w:type="dxa"/>
            <w:vAlign w:val="center"/>
          </w:tcPr>
          <w:p>
            <w:pPr>
              <w:pStyle w:val="14"/>
            </w:pPr>
            <w:r>
              <w:t>冀粮维修办[2015]29号和工作计划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仓容利用率</w:t>
            </w:r>
          </w:p>
        </w:tc>
        <w:tc>
          <w:tcPr>
            <w:tcW w:w="5386" w:type="dxa"/>
            <w:vAlign w:val="center"/>
          </w:tcPr>
          <w:p>
            <w:pPr>
              <w:pStyle w:val="14"/>
            </w:pPr>
            <w:r>
              <w:t>仓容实际使用量/仓容总量</w:t>
            </w:r>
          </w:p>
        </w:tc>
        <w:tc>
          <w:tcPr>
            <w:tcW w:w="2268" w:type="dxa"/>
            <w:vAlign w:val="center"/>
          </w:tcPr>
          <w:p>
            <w:pPr>
              <w:pStyle w:val="14"/>
            </w:pPr>
            <w:r>
              <w:t>≥90%</w:t>
            </w:r>
          </w:p>
        </w:tc>
        <w:tc>
          <w:tcPr>
            <w:tcW w:w="1276" w:type="dxa"/>
            <w:vAlign w:val="center"/>
          </w:tcPr>
          <w:p>
            <w:pPr>
              <w:pStyle w:val="14"/>
            </w:pPr>
            <w:r>
              <w:t>冀粮维修办[2015]30号和工作计划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基础设施满足需求率</w:t>
            </w:r>
          </w:p>
        </w:tc>
        <w:tc>
          <w:tcPr>
            <w:tcW w:w="5386" w:type="dxa"/>
            <w:vAlign w:val="center"/>
          </w:tcPr>
          <w:p>
            <w:pPr>
              <w:pStyle w:val="14"/>
            </w:pPr>
            <w:r>
              <w:t>基础设施能满施政策性粮食仓储、应急供给需求</w:t>
            </w:r>
          </w:p>
        </w:tc>
        <w:tc>
          <w:tcPr>
            <w:tcW w:w="2268" w:type="dxa"/>
            <w:vAlign w:val="center"/>
          </w:tcPr>
          <w:p>
            <w:pPr>
              <w:pStyle w:val="14"/>
            </w:pPr>
            <w:r>
              <w:t>≥95%</w:t>
            </w:r>
          </w:p>
        </w:tc>
        <w:tc>
          <w:tcPr>
            <w:tcW w:w="1276" w:type="dxa"/>
            <w:vAlign w:val="center"/>
          </w:tcPr>
          <w:p>
            <w:pPr>
              <w:pStyle w:val="14"/>
            </w:pPr>
            <w:r>
              <w:t>冀粮维修办[2015]31号和工作计划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群众对粮食基础设施维护满意人数占被总人数比重</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24、清洁取暖县级配套资金绩效目标表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13032123P00338510133C</w:t>
            </w:r>
          </w:p>
        </w:tc>
        <w:tc>
          <w:tcPr>
            <w:tcW w:w="2835" w:type="dxa"/>
            <w:vAlign w:val="center"/>
          </w:tcPr>
          <w:p>
            <w:pPr>
              <w:pStyle w:val="12"/>
            </w:pPr>
            <w:r>
              <w:t>项目名称</w:t>
            </w:r>
          </w:p>
        </w:tc>
        <w:tc>
          <w:tcPr>
            <w:tcW w:w="6095" w:type="dxa"/>
            <w:gridSpan w:val="3"/>
            <w:vAlign w:val="center"/>
          </w:tcPr>
          <w:p>
            <w:pPr>
              <w:pStyle w:val="14"/>
            </w:pPr>
            <w:r>
              <w:t>清洁取暖县级配套资金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450.00</w:t>
            </w:r>
          </w:p>
        </w:tc>
        <w:tc>
          <w:tcPr>
            <w:tcW w:w="2835" w:type="dxa"/>
            <w:vAlign w:val="center"/>
          </w:tcPr>
          <w:p>
            <w:pPr>
              <w:pStyle w:val="12"/>
            </w:pPr>
            <w:r>
              <w:t>其中：财政    资金</w:t>
            </w:r>
          </w:p>
        </w:tc>
        <w:tc>
          <w:tcPr>
            <w:tcW w:w="2551" w:type="dxa"/>
            <w:vAlign w:val="center"/>
          </w:tcPr>
          <w:p>
            <w:pPr>
              <w:pStyle w:val="14"/>
            </w:pPr>
            <w:r>
              <w:t>450.00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预算安排150万元，其中财政资金150万元，主要用于洁净型煤资金。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10</w:t>
            </w:r>
          </w:p>
        </w:tc>
        <w:tc>
          <w:tcPr>
            <w:tcW w:w="2835" w:type="dxa"/>
            <w:vAlign w:val="center"/>
          </w:tcPr>
          <w:p>
            <w:pPr>
              <w:pStyle w:val="15"/>
            </w:pPr>
            <w:r>
              <w:t>25</w:t>
            </w:r>
          </w:p>
        </w:tc>
        <w:tc>
          <w:tcPr>
            <w:tcW w:w="2551" w:type="dxa"/>
            <w:vAlign w:val="center"/>
          </w:tcPr>
          <w:p>
            <w:pPr>
              <w:pStyle w:val="15"/>
            </w:pPr>
            <w:r>
              <w:t>25</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1.通过购买洁净型煤，实现燃煤用户温暖过冬。</w:t>
            </w:r>
            <w:r>
              <w:tab/>
            </w:r>
            <w:r>
              <w:tab/>
            </w:r>
            <w:r>
              <w:tab/>
            </w:r>
          </w:p>
          <w:p>
            <w:pPr>
              <w:pStyle w:val="14"/>
            </w:pPr>
          </w:p>
          <w:p>
            <w:pPr>
              <w:pStyle w:val="14"/>
            </w:pPr>
            <w:r>
              <w:t>2.通过有效禁止散煤复燃，实现减少大气污染。</w:t>
            </w:r>
            <w:r>
              <w:tab/>
            </w:r>
            <w:r>
              <w:tab/>
            </w:r>
            <w:r>
              <w:tab/>
            </w:r>
          </w:p>
          <w:p>
            <w:pPr>
              <w:pStyle w:val="14"/>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预供应型煤数量</w:t>
            </w:r>
          </w:p>
        </w:tc>
        <w:tc>
          <w:tcPr>
            <w:tcW w:w="5386" w:type="dxa"/>
            <w:vAlign w:val="center"/>
          </w:tcPr>
          <w:p>
            <w:pPr>
              <w:pStyle w:val="14"/>
            </w:pPr>
            <w:r>
              <w:t>2021年-2022年预供应型煤数量</w:t>
            </w:r>
          </w:p>
        </w:tc>
        <w:tc>
          <w:tcPr>
            <w:tcW w:w="2268" w:type="dxa"/>
            <w:vAlign w:val="center"/>
          </w:tcPr>
          <w:p>
            <w:pPr>
              <w:pStyle w:val="14"/>
            </w:pPr>
            <w:r>
              <w:t>≥1.9万吨</w:t>
            </w:r>
          </w:p>
        </w:tc>
        <w:tc>
          <w:tcPr>
            <w:tcW w:w="1276" w:type="dxa"/>
            <w:vAlign w:val="center"/>
          </w:tcPr>
          <w:p>
            <w:pPr>
              <w:pStyle w:val="14"/>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保供乡镇个数</w:t>
            </w:r>
          </w:p>
        </w:tc>
        <w:tc>
          <w:tcPr>
            <w:tcW w:w="5386" w:type="dxa"/>
            <w:vAlign w:val="center"/>
          </w:tcPr>
          <w:p>
            <w:pPr>
              <w:pStyle w:val="14"/>
            </w:pPr>
            <w:r>
              <w:t>洁净型煤保供乡镇个数</w:t>
            </w:r>
          </w:p>
        </w:tc>
        <w:tc>
          <w:tcPr>
            <w:tcW w:w="2268" w:type="dxa"/>
            <w:vAlign w:val="center"/>
          </w:tcPr>
          <w:p>
            <w:pPr>
              <w:pStyle w:val="14"/>
            </w:pPr>
            <w:r>
              <w:t>≥24个</w:t>
            </w:r>
          </w:p>
        </w:tc>
        <w:tc>
          <w:tcPr>
            <w:tcW w:w="1276" w:type="dxa"/>
            <w:vAlign w:val="center"/>
          </w:tcPr>
          <w:p>
            <w:pPr>
              <w:pStyle w:val="14"/>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达到型煤标准</w:t>
            </w:r>
          </w:p>
        </w:tc>
        <w:tc>
          <w:tcPr>
            <w:tcW w:w="5386" w:type="dxa"/>
            <w:vAlign w:val="center"/>
          </w:tcPr>
          <w:p>
            <w:pPr>
              <w:pStyle w:val="14"/>
            </w:pPr>
            <w:r>
              <w:t>保供煤达到型煤标准</w:t>
            </w:r>
          </w:p>
        </w:tc>
        <w:tc>
          <w:tcPr>
            <w:tcW w:w="2268" w:type="dxa"/>
            <w:vAlign w:val="center"/>
          </w:tcPr>
          <w:p>
            <w:pPr>
              <w:pStyle w:val="14"/>
            </w:pPr>
            <w:r>
              <w:t>≥98%</w:t>
            </w:r>
          </w:p>
        </w:tc>
        <w:tc>
          <w:tcPr>
            <w:tcW w:w="1276" w:type="dxa"/>
            <w:vAlign w:val="center"/>
          </w:tcPr>
          <w:p>
            <w:pPr>
              <w:pStyle w:val="14"/>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供应的及时率</w:t>
            </w:r>
          </w:p>
        </w:tc>
        <w:tc>
          <w:tcPr>
            <w:tcW w:w="5386" w:type="dxa"/>
            <w:vAlign w:val="center"/>
          </w:tcPr>
          <w:p>
            <w:pPr>
              <w:pStyle w:val="14"/>
            </w:pPr>
            <w:r>
              <w:t>型煤供应到户的及时率</w:t>
            </w:r>
          </w:p>
        </w:tc>
        <w:tc>
          <w:tcPr>
            <w:tcW w:w="2268" w:type="dxa"/>
            <w:vAlign w:val="center"/>
          </w:tcPr>
          <w:p>
            <w:pPr>
              <w:pStyle w:val="14"/>
            </w:pPr>
            <w:r>
              <w:t>≥90%</w:t>
            </w:r>
          </w:p>
        </w:tc>
        <w:tc>
          <w:tcPr>
            <w:tcW w:w="1276" w:type="dxa"/>
            <w:vAlign w:val="center"/>
          </w:tcPr>
          <w:p>
            <w:pPr>
              <w:pStyle w:val="14"/>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型煤购买成本</w:t>
            </w:r>
          </w:p>
        </w:tc>
        <w:tc>
          <w:tcPr>
            <w:tcW w:w="5386" w:type="dxa"/>
            <w:vAlign w:val="center"/>
          </w:tcPr>
          <w:p>
            <w:pPr>
              <w:pStyle w:val="14"/>
            </w:pPr>
            <w:r>
              <w:t>每吨购买型煤成本</w:t>
            </w:r>
          </w:p>
        </w:tc>
        <w:tc>
          <w:tcPr>
            <w:tcW w:w="2268" w:type="dxa"/>
            <w:vAlign w:val="center"/>
          </w:tcPr>
          <w:p>
            <w:pPr>
              <w:pStyle w:val="14"/>
            </w:pPr>
            <w:r>
              <w:t>≤2600元/吨</w:t>
            </w:r>
          </w:p>
        </w:tc>
        <w:tc>
          <w:tcPr>
            <w:tcW w:w="1276" w:type="dxa"/>
            <w:vAlign w:val="center"/>
          </w:tcPr>
          <w:p>
            <w:pPr>
              <w:pStyle w:val="14"/>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满足燃煤用户取暖需求</w:t>
            </w:r>
          </w:p>
        </w:tc>
        <w:tc>
          <w:tcPr>
            <w:tcW w:w="5386" w:type="dxa"/>
            <w:vAlign w:val="center"/>
          </w:tcPr>
          <w:p>
            <w:pPr>
              <w:pStyle w:val="14"/>
            </w:pPr>
            <w:r>
              <w:t>实现清洁温暖过冬</w:t>
            </w:r>
          </w:p>
        </w:tc>
        <w:tc>
          <w:tcPr>
            <w:tcW w:w="2268" w:type="dxa"/>
            <w:vAlign w:val="center"/>
          </w:tcPr>
          <w:p>
            <w:pPr>
              <w:pStyle w:val="14"/>
            </w:pPr>
            <w:r>
              <w:t>≥90%</w:t>
            </w:r>
          </w:p>
        </w:tc>
        <w:tc>
          <w:tcPr>
            <w:tcW w:w="1276" w:type="dxa"/>
            <w:vAlign w:val="center"/>
          </w:tcPr>
          <w:p>
            <w:pPr>
              <w:pStyle w:val="14"/>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改善空气质量</w:t>
            </w:r>
          </w:p>
        </w:tc>
        <w:tc>
          <w:tcPr>
            <w:tcW w:w="5386" w:type="dxa"/>
            <w:vAlign w:val="center"/>
          </w:tcPr>
          <w:p>
            <w:pPr>
              <w:pStyle w:val="14"/>
            </w:pPr>
            <w:r>
              <w:t>有效禁止散煤复燃，推进空气质量持续改善</w:t>
            </w:r>
          </w:p>
        </w:tc>
        <w:tc>
          <w:tcPr>
            <w:tcW w:w="2268" w:type="dxa"/>
            <w:vAlign w:val="center"/>
          </w:tcPr>
          <w:p>
            <w:pPr>
              <w:pStyle w:val="14"/>
            </w:pPr>
            <w:r>
              <w:t>≥80%</w:t>
            </w:r>
          </w:p>
        </w:tc>
        <w:tc>
          <w:tcPr>
            <w:tcW w:w="1276" w:type="dxa"/>
            <w:vAlign w:val="center"/>
          </w:tcPr>
          <w:p>
            <w:pPr>
              <w:pStyle w:val="14"/>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实现冬季燃煤户清洁取暖</w:t>
            </w:r>
          </w:p>
        </w:tc>
        <w:tc>
          <w:tcPr>
            <w:tcW w:w="5386" w:type="dxa"/>
            <w:vAlign w:val="center"/>
          </w:tcPr>
          <w:p>
            <w:pPr>
              <w:pStyle w:val="14"/>
            </w:pPr>
            <w:r>
              <w:t>实现2021-2022年冬季农村地区群众清洁取暖</w:t>
            </w:r>
          </w:p>
        </w:tc>
        <w:tc>
          <w:tcPr>
            <w:tcW w:w="2268" w:type="dxa"/>
            <w:vAlign w:val="center"/>
          </w:tcPr>
          <w:p>
            <w:pPr>
              <w:pStyle w:val="14"/>
            </w:pPr>
            <w:r>
              <w:t>≥90%</w:t>
            </w:r>
          </w:p>
        </w:tc>
        <w:tc>
          <w:tcPr>
            <w:tcW w:w="1276" w:type="dxa"/>
            <w:vAlign w:val="center"/>
          </w:tcPr>
          <w:p>
            <w:pPr>
              <w:pStyle w:val="14"/>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调查中满意和较满意的群众数占调查总群众数的比率</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25、人防工程标志、标牌更换及编制规划等专项资金绩效目标表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13032123P00007610003Y</w:t>
            </w:r>
          </w:p>
        </w:tc>
        <w:tc>
          <w:tcPr>
            <w:tcW w:w="2835" w:type="dxa"/>
            <w:vAlign w:val="center"/>
          </w:tcPr>
          <w:p>
            <w:pPr>
              <w:pStyle w:val="12"/>
            </w:pPr>
            <w:r>
              <w:t>项目名称</w:t>
            </w:r>
          </w:p>
        </w:tc>
        <w:tc>
          <w:tcPr>
            <w:tcW w:w="6095" w:type="dxa"/>
            <w:gridSpan w:val="3"/>
            <w:vAlign w:val="center"/>
          </w:tcPr>
          <w:p>
            <w:pPr>
              <w:pStyle w:val="14"/>
            </w:pPr>
            <w:r>
              <w:t>人防工程标志、标牌更换及编制规划等专项资金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114.25</w:t>
            </w:r>
          </w:p>
        </w:tc>
        <w:tc>
          <w:tcPr>
            <w:tcW w:w="2835" w:type="dxa"/>
            <w:vAlign w:val="center"/>
          </w:tcPr>
          <w:p>
            <w:pPr>
              <w:pStyle w:val="12"/>
            </w:pPr>
            <w:r>
              <w:t>其中：财政    资金</w:t>
            </w:r>
          </w:p>
        </w:tc>
        <w:tc>
          <w:tcPr>
            <w:tcW w:w="2551" w:type="dxa"/>
            <w:vAlign w:val="center"/>
          </w:tcPr>
          <w:p>
            <w:pPr>
              <w:pStyle w:val="14"/>
            </w:pPr>
            <w:r>
              <w:t>114.25</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预算安排25万元，其中财政资金25万元，主要用于人防工程相关支出。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10</w:t>
            </w:r>
          </w:p>
        </w:tc>
        <w:tc>
          <w:tcPr>
            <w:tcW w:w="2835" w:type="dxa"/>
            <w:vAlign w:val="center"/>
          </w:tcPr>
          <w:p>
            <w:pPr>
              <w:pStyle w:val="15"/>
            </w:pPr>
            <w:r>
              <w:t>25</w:t>
            </w:r>
          </w:p>
        </w:tc>
        <w:tc>
          <w:tcPr>
            <w:tcW w:w="2551" w:type="dxa"/>
            <w:vAlign w:val="center"/>
          </w:tcPr>
          <w:p>
            <w:pPr>
              <w:pStyle w:val="15"/>
            </w:pPr>
            <w:r>
              <w:t>25</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1.通过人防工程标志、标牌，对于识别人防工程，界定人防工程范围，提供导向、信息、警示、识别功能。</w:t>
            </w:r>
          </w:p>
          <w:p>
            <w:pPr>
              <w:pStyle w:val="14"/>
            </w:pPr>
            <w:r>
              <w:t>2.通过人防工程标志、标牌，能指引人员按预定的行进路线到达指定位置的标志，人防工程易喷涂标志线，标志线的设置宜连贯、协调。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001直属人防工程</w:t>
            </w:r>
          </w:p>
        </w:tc>
        <w:tc>
          <w:tcPr>
            <w:tcW w:w="5386" w:type="dxa"/>
            <w:vAlign w:val="center"/>
          </w:tcPr>
          <w:p>
            <w:pPr>
              <w:pStyle w:val="14"/>
            </w:pPr>
            <w:r>
              <w:t>合理确定人防工程标志、标牌。</w:t>
            </w:r>
          </w:p>
        </w:tc>
        <w:tc>
          <w:tcPr>
            <w:tcW w:w="2268" w:type="dxa"/>
            <w:vAlign w:val="center"/>
          </w:tcPr>
          <w:p>
            <w:pPr>
              <w:pStyle w:val="14"/>
            </w:pPr>
            <w:r>
              <w:t>≥7359平方米</w:t>
            </w:r>
          </w:p>
        </w:tc>
        <w:tc>
          <w:tcPr>
            <w:tcW w:w="1276" w:type="dxa"/>
            <w:vAlign w:val="center"/>
          </w:tcPr>
          <w:p>
            <w:pPr>
              <w:pStyle w:val="14"/>
            </w:pPr>
            <w:r>
              <w:t>河北省工程建设地方标准DB13(J)/T8469-2022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合格率</w:t>
            </w:r>
          </w:p>
        </w:tc>
        <w:tc>
          <w:tcPr>
            <w:tcW w:w="5386" w:type="dxa"/>
            <w:vAlign w:val="center"/>
          </w:tcPr>
          <w:p>
            <w:pPr>
              <w:pStyle w:val="14"/>
            </w:pPr>
            <w:r>
              <w:t>标志、标牌应做到做到系统、醒目、易识、协调</w:t>
            </w:r>
          </w:p>
        </w:tc>
        <w:tc>
          <w:tcPr>
            <w:tcW w:w="2268" w:type="dxa"/>
            <w:vAlign w:val="center"/>
          </w:tcPr>
          <w:p>
            <w:pPr>
              <w:pStyle w:val="14"/>
            </w:pPr>
            <w:r>
              <w:t>100%</w:t>
            </w:r>
          </w:p>
        </w:tc>
        <w:tc>
          <w:tcPr>
            <w:tcW w:w="1276" w:type="dxa"/>
            <w:vAlign w:val="center"/>
          </w:tcPr>
          <w:p>
            <w:pPr>
              <w:pStyle w:val="14"/>
            </w:pPr>
            <w:r>
              <w:t>设计规范文件及验收标准文件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外部验收合格</w:t>
            </w:r>
          </w:p>
        </w:tc>
        <w:tc>
          <w:tcPr>
            <w:tcW w:w="5386" w:type="dxa"/>
            <w:vAlign w:val="center"/>
          </w:tcPr>
          <w:p>
            <w:pPr>
              <w:pStyle w:val="14"/>
            </w:pPr>
            <w:r>
              <w:t>依据设计要求进行外部验收，达到合同要求的验收标准</w:t>
            </w:r>
          </w:p>
        </w:tc>
        <w:tc>
          <w:tcPr>
            <w:tcW w:w="2268" w:type="dxa"/>
            <w:vAlign w:val="center"/>
          </w:tcPr>
          <w:p>
            <w:pPr>
              <w:pStyle w:val="14"/>
            </w:pPr>
            <w:r>
              <w:t>100%</w:t>
            </w:r>
          </w:p>
        </w:tc>
        <w:tc>
          <w:tcPr>
            <w:tcW w:w="1276" w:type="dxa"/>
            <w:vAlign w:val="center"/>
          </w:tcPr>
          <w:p>
            <w:pPr>
              <w:pStyle w:val="14"/>
            </w:pPr>
            <w:r>
              <w:t>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w:t>
            </w:r>
          </w:p>
        </w:tc>
        <w:tc>
          <w:tcPr>
            <w:tcW w:w="5386" w:type="dxa"/>
            <w:vAlign w:val="center"/>
          </w:tcPr>
          <w:p>
            <w:pPr>
              <w:pStyle w:val="14"/>
            </w:pPr>
            <w:r>
              <w:t>按规定及时完成</w:t>
            </w:r>
          </w:p>
        </w:tc>
        <w:tc>
          <w:tcPr>
            <w:tcW w:w="2268" w:type="dxa"/>
            <w:vAlign w:val="center"/>
          </w:tcPr>
          <w:p>
            <w:pPr>
              <w:pStyle w:val="14"/>
            </w:pPr>
            <w:r>
              <w:t>2024年底完成</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制作成本控制</w:t>
            </w:r>
          </w:p>
        </w:tc>
        <w:tc>
          <w:tcPr>
            <w:tcW w:w="5386" w:type="dxa"/>
            <w:vAlign w:val="center"/>
          </w:tcPr>
          <w:p>
            <w:pPr>
              <w:pStyle w:val="14"/>
            </w:pPr>
            <w:r>
              <w:t>按预算控制成本</w:t>
            </w:r>
          </w:p>
        </w:tc>
        <w:tc>
          <w:tcPr>
            <w:tcW w:w="2268" w:type="dxa"/>
            <w:vAlign w:val="center"/>
          </w:tcPr>
          <w:p>
            <w:pPr>
              <w:pStyle w:val="14"/>
            </w:pPr>
            <w:r>
              <w:t>≤5万元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安装成本控制</w:t>
            </w:r>
          </w:p>
        </w:tc>
        <w:tc>
          <w:tcPr>
            <w:tcW w:w="5386" w:type="dxa"/>
            <w:vAlign w:val="center"/>
          </w:tcPr>
          <w:p>
            <w:pPr>
              <w:pStyle w:val="14"/>
            </w:pPr>
            <w:r>
              <w:t>按预算控制成本</w:t>
            </w:r>
          </w:p>
        </w:tc>
        <w:tc>
          <w:tcPr>
            <w:tcW w:w="2268" w:type="dxa"/>
            <w:vAlign w:val="center"/>
          </w:tcPr>
          <w:p>
            <w:pPr>
              <w:pStyle w:val="14"/>
            </w:pPr>
            <w:r>
              <w:t>≤20万元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在全国或全县应急工作中的社会影响力</w:t>
            </w:r>
          </w:p>
        </w:tc>
        <w:tc>
          <w:tcPr>
            <w:tcW w:w="2268" w:type="dxa"/>
            <w:vAlign w:val="center"/>
          </w:tcPr>
          <w:p>
            <w:pPr>
              <w:pStyle w:val="14"/>
            </w:pPr>
            <w:r>
              <w:t>≥60%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持续影响力</w:t>
            </w:r>
          </w:p>
        </w:tc>
        <w:tc>
          <w:tcPr>
            <w:tcW w:w="5386" w:type="dxa"/>
            <w:vAlign w:val="center"/>
          </w:tcPr>
          <w:p>
            <w:pPr>
              <w:pStyle w:val="14"/>
            </w:pPr>
            <w:r>
              <w:t>提高“十三五”规划以来的人防整体控制</w:t>
            </w:r>
          </w:p>
        </w:tc>
        <w:tc>
          <w:tcPr>
            <w:tcW w:w="2268" w:type="dxa"/>
            <w:vAlign w:val="center"/>
          </w:tcPr>
          <w:p>
            <w:pPr>
              <w:pStyle w:val="14"/>
            </w:pPr>
            <w:r>
              <w:t>≥60%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群众满意度</w:t>
            </w:r>
          </w:p>
        </w:tc>
        <w:tc>
          <w:tcPr>
            <w:tcW w:w="2268" w:type="dxa"/>
            <w:vAlign w:val="center"/>
          </w:tcPr>
          <w:p>
            <w:pPr>
              <w:pStyle w:val="14"/>
            </w:pPr>
            <w:r>
              <w:t>≥95%</w:t>
            </w:r>
          </w:p>
        </w:tc>
        <w:tc>
          <w:tcPr>
            <w:tcW w:w="1276" w:type="dxa"/>
            <w:vAlign w:val="center"/>
          </w:tcPr>
          <w:p>
            <w:pPr>
              <w:pStyle w:val="14"/>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26、人防工程专项资金绩效目标表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13032123P00007610002B</w:t>
            </w:r>
          </w:p>
        </w:tc>
        <w:tc>
          <w:tcPr>
            <w:tcW w:w="2835" w:type="dxa"/>
            <w:vAlign w:val="center"/>
          </w:tcPr>
          <w:p>
            <w:pPr>
              <w:pStyle w:val="12"/>
            </w:pPr>
            <w:r>
              <w:t>项目名称</w:t>
            </w:r>
          </w:p>
        </w:tc>
        <w:tc>
          <w:tcPr>
            <w:tcW w:w="6095" w:type="dxa"/>
            <w:gridSpan w:val="3"/>
            <w:vAlign w:val="center"/>
          </w:tcPr>
          <w:p>
            <w:pPr>
              <w:pStyle w:val="14"/>
            </w:pPr>
            <w:r>
              <w:t>人防工程专项资金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49.90</w:t>
            </w:r>
          </w:p>
        </w:tc>
        <w:tc>
          <w:tcPr>
            <w:tcW w:w="2835" w:type="dxa"/>
            <w:vAlign w:val="center"/>
          </w:tcPr>
          <w:p>
            <w:pPr>
              <w:pStyle w:val="12"/>
            </w:pPr>
            <w:r>
              <w:t>其中：财政    资金</w:t>
            </w:r>
          </w:p>
        </w:tc>
        <w:tc>
          <w:tcPr>
            <w:tcW w:w="2551" w:type="dxa"/>
            <w:vAlign w:val="center"/>
          </w:tcPr>
          <w:p>
            <w:pPr>
              <w:pStyle w:val="14"/>
            </w:pPr>
            <w:r>
              <w:t>49.90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预算安排49.9万元，其中：财政资金49.9万元，主要用于人防工程专项支出。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20</w:t>
            </w:r>
          </w:p>
        </w:tc>
        <w:tc>
          <w:tcPr>
            <w:tcW w:w="2835" w:type="dxa"/>
            <w:vAlign w:val="center"/>
          </w:tcPr>
          <w:p>
            <w:pPr>
              <w:pStyle w:val="15"/>
            </w:pPr>
            <w:r>
              <w:rPr>
                <w:rFonts w:hint="eastAsia" w:asciiTheme="minorEastAsia" w:hAnsiTheme="minorEastAsia" w:eastAsiaTheme="minorEastAsia"/>
                <w:lang w:eastAsia="zh-CN"/>
              </w:rPr>
              <w:t>80</w:t>
            </w:r>
          </w:p>
        </w:tc>
        <w:tc>
          <w:tcPr>
            <w:tcW w:w="2551" w:type="dxa"/>
            <w:vAlign w:val="center"/>
          </w:tcPr>
          <w:p>
            <w:pPr>
              <w:pStyle w:val="15"/>
            </w:pPr>
            <w:r>
              <w:rPr>
                <w:rFonts w:hint="eastAsia" w:asciiTheme="minorEastAsia" w:hAnsiTheme="minorEastAsia" w:eastAsiaTheme="minorEastAsia"/>
                <w:lang w:eastAsia="zh-CN"/>
              </w:rPr>
              <w:t>100</w:t>
            </w:r>
          </w:p>
        </w:tc>
        <w:tc>
          <w:tcPr>
            <w:tcW w:w="3544" w:type="dxa"/>
            <w:gridSpan w:val="2"/>
            <w:vAlign w:val="center"/>
          </w:tcPr>
          <w:p>
            <w:pPr>
              <w:pStyle w:val="15"/>
              <w:rPr>
                <w:rFonts w:hint="eastAsia" w:eastAsiaTheme="minorEastAsia"/>
                <w:lang w:eastAsia="zh-CN"/>
              </w:rPr>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1.通过001人防工程的建设，完成人员掩蔽部和物资库的建设，作为灾时应急避难场所。</w:t>
            </w:r>
          </w:p>
          <w:p>
            <w:pPr>
              <w:pStyle w:val="14"/>
            </w:pPr>
            <w:r>
              <w:t>2.通过001工程地上部分为人防宣教场所的建设，积极推进防空防灾一体化工作，进一步拓展人防宣传教育功能，提高宣传教育效果。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001人防工程建筑面积</w:t>
            </w:r>
          </w:p>
        </w:tc>
        <w:tc>
          <w:tcPr>
            <w:tcW w:w="5386" w:type="dxa"/>
            <w:vAlign w:val="center"/>
          </w:tcPr>
          <w:p>
            <w:pPr>
              <w:pStyle w:val="14"/>
            </w:pPr>
            <w:r>
              <w:t>建设青龙县行政办公中心北侧直属单建式地下人防工程，占地14亩。</w:t>
            </w:r>
          </w:p>
        </w:tc>
        <w:tc>
          <w:tcPr>
            <w:tcW w:w="2268" w:type="dxa"/>
            <w:vAlign w:val="center"/>
          </w:tcPr>
          <w:p>
            <w:pPr>
              <w:pStyle w:val="14"/>
            </w:pPr>
            <w:r>
              <w:t>7359平方米</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人防宣教场所</w:t>
            </w:r>
          </w:p>
        </w:tc>
        <w:tc>
          <w:tcPr>
            <w:tcW w:w="5386" w:type="dxa"/>
            <w:vAlign w:val="center"/>
          </w:tcPr>
          <w:p>
            <w:pPr>
              <w:pStyle w:val="14"/>
            </w:pPr>
            <w:r>
              <w:t>人防宣教场所，其在于积极推进防空防灾一体化工作，进一步拓展人防宣传教育功能，提高宣传教育效果</w:t>
            </w:r>
          </w:p>
        </w:tc>
        <w:tc>
          <w:tcPr>
            <w:tcW w:w="2268" w:type="dxa"/>
            <w:vAlign w:val="center"/>
          </w:tcPr>
          <w:p>
            <w:pPr>
              <w:pStyle w:val="14"/>
            </w:pPr>
            <w:r>
              <w:t>10800平方米</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外部验收合格</w:t>
            </w:r>
          </w:p>
        </w:tc>
        <w:tc>
          <w:tcPr>
            <w:tcW w:w="5386" w:type="dxa"/>
            <w:vAlign w:val="center"/>
          </w:tcPr>
          <w:p>
            <w:pPr>
              <w:pStyle w:val="14"/>
            </w:pPr>
            <w:r>
              <w:t>建设内容为地下人防物资库和人员掩蔽部，设计标准为乙类，防化级别为丁级，抗力级别为常6级。战时功能为乙类二等常六级人员掩蔽部和物资库，灾时作为应急避难场所</w:t>
            </w:r>
          </w:p>
        </w:tc>
        <w:tc>
          <w:tcPr>
            <w:tcW w:w="2268" w:type="dxa"/>
            <w:vAlign w:val="center"/>
          </w:tcPr>
          <w:p>
            <w:pPr>
              <w:pStyle w:val="14"/>
            </w:pPr>
            <w:r>
              <w:t>100%</w:t>
            </w:r>
          </w:p>
        </w:tc>
        <w:tc>
          <w:tcPr>
            <w:tcW w:w="1276" w:type="dxa"/>
            <w:vAlign w:val="center"/>
          </w:tcPr>
          <w:p>
            <w:pPr>
              <w:pStyle w:val="14"/>
            </w:pPr>
            <w:r>
              <w:t>设计规范文件及验收标准文件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外部验收合格</w:t>
            </w:r>
          </w:p>
        </w:tc>
        <w:tc>
          <w:tcPr>
            <w:tcW w:w="5386" w:type="dxa"/>
            <w:vAlign w:val="center"/>
          </w:tcPr>
          <w:p>
            <w:pPr>
              <w:pStyle w:val="14"/>
            </w:pPr>
            <w:r>
              <w:t>依据设计要求进行外部验收，达到合同要求的验收标准</w:t>
            </w:r>
          </w:p>
        </w:tc>
        <w:tc>
          <w:tcPr>
            <w:tcW w:w="2268" w:type="dxa"/>
            <w:vAlign w:val="center"/>
          </w:tcPr>
          <w:p>
            <w:pPr>
              <w:pStyle w:val="14"/>
            </w:pPr>
            <w:r>
              <w:t>100%</w:t>
            </w:r>
          </w:p>
        </w:tc>
        <w:tc>
          <w:tcPr>
            <w:tcW w:w="1276" w:type="dxa"/>
            <w:vAlign w:val="center"/>
          </w:tcPr>
          <w:p>
            <w:pPr>
              <w:pStyle w:val="14"/>
            </w:pPr>
            <w:r>
              <w:t>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人防工程完成及时性</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人防宣教场所完成及时性</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地下工程款费用</w:t>
            </w:r>
          </w:p>
        </w:tc>
        <w:tc>
          <w:tcPr>
            <w:tcW w:w="5386" w:type="dxa"/>
            <w:vAlign w:val="center"/>
          </w:tcPr>
          <w:p>
            <w:pPr>
              <w:pStyle w:val="14"/>
            </w:pPr>
            <w:r>
              <w:t>按财政评审结果支付地下工程款</w:t>
            </w:r>
          </w:p>
        </w:tc>
        <w:tc>
          <w:tcPr>
            <w:tcW w:w="2268" w:type="dxa"/>
            <w:vAlign w:val="center"/>
          </w:tcPr>
          <w:p>
            <w:pPr>
              <w:pStyle w:val="14"/>
            </w:pPr>
            <w:r>
              <w:t>≤140万元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地上场所工程款费用</w:t>
            </w:r>
          </w:p>
        </w:tc>
        <w:tc>
          <w:tcPr>
            <w:tcW w:w="5386" w:type="dxa"/>
            <w:vAlign w:val="center"/>
          </w:tcPr>
          <w:p>
            <w:pPr>
              <w:pStyle w:val="14"/>
            </w:pPr>
            <w:r>
              <w:t>按财政评审结果支付地上宣教场所工程款</w:t>
            </w:r>
          </w:p>
        </w:tc>
        <w:tc>
          <w:tcPr>
            <w:tcW w:w="2268" w:type="dxa"/>
            <w:vAlign w:val="center"/>
          </w:tcPr>
          <w:p>
            <w:pPr>
              <w:pStyle w:val="14"/>
            </w:pPr>
            <w:r>
              <w:t>≤60万元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容纳人员数</w:t>
            </w:r>
          </w:p>
        </w:tc>
        <w:tc>
          <w:tcPr>
            <w:tcW w:w="5386" w:type="dxa"/>
            <w:vAlign w:val="center"/>
          </w:tcPr>
          <w:p>
            <w:pPr>
              <w:pStyle w:val="14"/>
            </w:pPr>
            <w:r>
              <w:t>建设完成，可以容纳的掩蔽人数</w:t>
            </w:r>
          </w:p>
        </w:tc>
        <w:tc>
          <w:tcPr>
            <w:tcW w:w="2268" w:type="dxa"/>
            <w:vAlign w:val="center"/>
          </w:tcPr>
          <w:p>
            <w:pPr>
              <w:pStyle w:val="14"/>
            </w:pPr>
            <w:r>
              <w:t>≥2450人</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可以储存的物资的面积</w:t>
            </w:r>
          </w:p>
        </w:tc>
        <w:tc>
          <w:tcPr>
            <w:tcW w:w="5386" w:type="dxa"/>
            <w:vAlign w:val="center"/>
          </w:tcPr>
          <w:p>
            <w:pPr>
              <w:pStyle w:val="14"/>
            </w:pPr>
            <w:r>
              <w:t>建设完成，可以储存的物资的面积</w:t>
            </w:r>
          </w:p>
        </w:tc>
        <w:tc>
          <w:tcPr>
            <w:tcW w:w="2268" w:type="dxa"/>
            <w:vAlign w:val="center"/>
          </w:tcPr>
          <w:p>
            <w:pPr>
              <w:pStyle w:val="14"/>
            </w:pPr>
            <w:r>
              <w:t>≥2630平方米</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群众对人防工程的满意程度</w:t>
            </w:r>
          </w:p>
        </w:tc>
        <w:tc>
          <w:tcPr>
            <w:tcW w:w="2268" w:type="dxa"/>
            <w:vAlign w:val="center"/>
          </w:tcPr>
          <w:p>
            <w:pPr>
              <w:pStyle w:val="14"/>
            </w:pPr>
            <w:r>
              <w:t>≥98%</w:t>
            </w:r>
          </w:p>
        </w:tc>
        <w:tc>
          <w:tcPr>
            <w:tcW w:w="1276" w:type="dxa"/>
            <w:vAlign w:val="center"/>
          </w:tcPr>
          <w:p>
            <w:pPr>
              <w:pStyle w:val="14"/>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27、人防通讯设施改造支出绩效目标表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13032123P00007610004J</w:t>
            </w:r>
          </w:p>
        </w:tc>
        <w:tc>
          <w:tcPr>
            <w:tcW w:w="2835" w:type="dxa"/>
            <w:vAlign w:val="center"/>
          </w:tcPr>
          <w:p>
            <w:pPr>
              <w:pStyle w:val="12"/>
            </w:pPr>
            <w:r>
              <w:t>项目名称</w:t>
            </w:r>
          </w:p>
        </w:tc>
        <w:tc>
          <w:tcPr>
            <w:tcW w:w="6095" w:type="dxa"/>
            <w:gridSpan w:val="3"/>
            <w:vAlign w:val="center"/>
          </w:tcPr>
          <w:p>
            <w:pPr>
              <w:pStyle w:val="14"/>
            </w:pPr>
            <w:r>
              <w:t>人防通讯设施改造支出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预算安排40万元，其中：财政资金40万元，主要用于人防通讯设施改造支出。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asciiTheme="minorEastAsia" w:hAnsiTheme="minorEastAsia" w:eastAsiaTheme="minorEastAsia"/>
                <w:lang w:eastAsia="zh-CN"/>
              </w:rPr>
              <w:t>50</w:t>
            </w:r>
          </w:p>
        </w:tc>
        <w:tc>
          <w:tcPr>
            <w:tcW w:w="2835" w:type="dxa"/>
            <w:vAlign w:val="center"/>
          </w:tcPr>
          <w:p>
            <w:pPr>
              <w:pStyle w:val="15"/>
            </w:pPr>
            <w:r>
              <w:rPr>
                <w:rFonts w:hint="eastAsia" w:asciiTheme="minorEastAsia" w:hAnsiTheme="minorEastAsia" w:eastAsiaTheme="minorEastAsia"/>
                <w:lang w:eastAsia="zh-CN"/>
              </w:rPr>
              <w:t>100</w:t>
            </w:r>
          </w:p>
        </w:tc>
        <w:tc>
          <w:tcPr>
            <w:tcW w:w="2551" w:type="dxa"/>
            <w:vAlign w:val="center"/>
          </w:tcPr>
          <w:p>
            <w:pPr>
              <w:pStyle w:val="15"/>
            </w:pPr>
            <w:r>
              <w:rPr>
                <w:rFonts w:hint="eastAsia" w:asciiTheme="minorEastAsia" w:hAnsiTheme="minorEastAsia" w:eastAsiaTheme="minorEastAsia"/>
                <w:lang w:eastAsia="zh-CN"/>
              </w:rPr>
              <w:t>100</w:t>
            </w:r>
          </w:p>
        </w:tc>
        <w:tc>
          <w:tcPr>
            <w:tcW w:w="3544"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1.通过人防通讯设施建设，能够在严重自然灾害造成通信网络损坏情况下短波通信仍可以正常使用，这为战场支持、救援需要提供了重要保障。</w:t>
            </w:r>
          </w:p>
          <w:p>
            <w:pPr>
              <w:pStyle w:val="14"/>
            </w:pPr>
            <w:r>
              <w:t>2.通过人防通讯设施，能够实现作为一种全新的信息交流方式，可视通信具有直观、快速、信息量大的特点可以有效加快传达及沟通的效率，极大的提高决策速度。</w:t>
            </w:r>
          </w:p>
          <w:p>
            <w:pPr>
              <w:pStyle w:val="14"/>
            </w:pPr>
            <w:r>
              <w:t>3.通过人防通讯设施，能够完成防空警报的安装，保障抗灾救灾和突发事故情况下的灾情预报和紧急报知，保证人民安全。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采购数量</w:t>
            </w:r>
          </w:p>
        </w:tc>
        <w:tc>
          <w:tcPr>
            <w:tcW w:w="5386" w:type="dxa"/>
            <w:vAlign w:val="center"/>
          </w:tcPr>
          <w:p>
            <w:pPr>
              <w:pStyle w:val="14"/>
            </w:pPr>
            <w:r>
              <w:t>购置视频会议室设备数量</w:t>
            </w:r>
          </w:p>
        </w:tc>
        <w:tc>
          <w:tcPr>
            <w:tcW w:w="2268" w:type="dxa"/>
            <w:vAlign w:val="center"/>
          </w:tcPr>
          <w:p>
            <w:pPr>
              <w:pStyle w:val="14"/>
            </w:pPr>
            <w:r>
              <w:t>1套</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采购数量</w:t>
            </w:r>
          </w:p>
        </w:tc>
        <w:tc>
          <w:tcPr>
            <w:tcW w:w="5386" w:type="dxa"/>
            <w:vAlign w:val="center"/>
          </w:tcPr>
          <w:p>
            <w:pPr>
              <w:pStyle w:val="14"/>
            </w:pPr>
            <w:r>
              <w:t>采购防控警报装置数量</w:t>
            </w:r>
          </w:p>
        </w:tc>
        <w:tc>
          <w:tcPr>
            <w:tcW w:w="2268" w:type="dxa"/>
            <w:vAlign w:val="center"/>
          </w:tcPr>
          <w:p>
            <w:pPr>
              <w:pStyle w:val="14"/>
            </w:pPr>
            <w:r>
              <w:t>2台</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采购数量</w:t>
            </w:r>
          </w:p>
        </w:tc>
        <w:tc>
          <w:tcPr>
            <w:tcW w:w="5386" w:type="dxa"/>
            <w:vAlign w:val="center"/>
          </w:tcPr>
          <w:p>
            <w:pPr>
              <w:pStyle w:val="14"/>
            </w:pPr>
            <w:r>
              <w:t>采购防控警报装置电池数量</w:t>
            </w:r>
          </w:p>
        </w:tc>
        <w:tc>
          <w:tcPr>
            <w:tcW w:w="2268" w:type="dxa"/>
            <w:vAlign w:val="center"/>
          </w:tcPr>
          <w:p>
            <w:pPr>
              <w:pStyle w:val="14"/>
            </w:pPr>
            <w:r>
              <w:t>7块</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合格率</w:t>
            </w:r>
          </w:p>
        </w:tc>
        <w:tc>
          <w:tcPr>
            <w:tcW w:w="5386" w:type="dxa"/>
            <w:vAlign w:val="center"/>
          </w:tcPr>
          <w:p>
            <w:pPr>
              <w:pStyle w:val="14"/>
            </w:pPr>
            <w:r>
              <w:t>所采购产品均应合格</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采购完成及时性</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验收完成时间及时性</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降低成本采购</w:t>
            </w:r>
          </w:p>
        </w:tc>
        <w:tc>
          <w:tcPr>
            <w:tcW w:w="5386" w:type="dxa"/>
            <w:vAlign w:val="center"/>
          </w:tcPr>
          <w:p>
            <w:pPr>
              <w:pStyle w:val="14"/>
            </w:pPr>
            <w:r>
              <w:t>采购成本控制在预算范围内</w:t>
            </w:r>
          </w:p>
        </w:tc>
        <w:tc>
          <w:tcPr>
            <w:tcW w:w="2268" w:type="dxa"/>
            <w:vAlign w:val="center"/>
          </w:tcPr>
          <w:p>
            <w:pPr>
              <w:pStyle w:val="14"/>
            </w:pPr>
            <w:r>
              <w:t>≤40万元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短波通信</w:t>
            </w:r>
          </w:p>
        </w:tc>
        <w:tc>
          <w:tcPr>
            <w:tcW w:w="5386" w:type="dxa"/>
            <w:vAlign w:val="center"/>
          </w:tcPr>
          <w:p>
            <w:pPr>
              <w:pStyle w:val="14"/>
            </w:pPr>
            <w:r>
              <w:t>提高严重自然灾害造成通信网络损坏情况下短波通信仍可以正常使用效率</w:t>
            </w:r>
          </w:p>
        </w:tc>
        <w:tc>
          <w:tcPr>
            <w:tcW w:w="2268" w:type="dxa"/>
            <w:vAlign w:val="center"/>
          </w:tcPr>
          <w:p>
            <w:pPr>
              <w:pStyle w:val="14"/>
            </w:pPr>
            <w:r>
              <w:t>≥50%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视频会议</w:t>
            </w:r>
          </w:p>
        </w:tc>
        <w:tc>
          <w:tcPr>
            <w:tcW w:w="5386" w:type="dxa"/>
            <w:vAlign w:val="center"/>
          </w:tcPr>
          <w:p>
            <w:pPr>
              <w:pStyle w:val="14"/>
            </w:pPr>
            <w:r>
              <w:t>提高视频会议成功使用效率</w:t>
            </w:r>
          </w:p>
        </w:tc>
        <w:tc>
          <w:tcPr>
            <w:tcW w:w="2268" w:type="dxa"/>
            <w:vAlign w:val="center"/>
          </w:tcPr>
          <w:p>
            <w:pPr>
              <w:pStyle w:val="14"/>
            </w:pPr>
            <w:r>
              <w:t>≥50%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信息传递的准确率</w:t>
            </w:r>
          </w:p>
        </w:tc>
        <w:tc>
          <w:tcPr>
            <w:tcW w:w="5386" w:type="dxa"/>
            <w:vAlign w:val="center"/>
          </w:tcPr>
          <w:p>
            <w:pPr>
              <w:pStyle w:val="14"/>
            </w:pPr>
            <w:r>
              <w:t>可以持续提升信息传递准确率</w:t>
            </w:r>
          </w:p>
        </w:tc>
        <w:tc>
          <w:tcPr>
            <w:tcW w:w="2268" w:type="dxa"/>
            <w:vAlign w:val="center"/>
          </w:tcPr>
          <w:p>
            <w:pPr>
              <w:pStyle w:val="14"/>
            </w:pPr>
            <w:r>
              <w:t>≥50%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灾情预报</w:t>
            </w:r>
          </w:p>
        </w:tc>
        <w:tc>
          <w:tcPr>
            <w:tcW w:w="5386" w:type="dxa"/>
            <w:vAlign w:val="center"/>
          </w:tcPr>
          <w:p>
            <w:pPr>
              <w:pStyle w:val="14"/>
            </w:pPr>
            <w:r>
              <w:t>提升用于抗灾救灾和突发事故情况下的灾情预报覆盖率</w:t>
            </w:r>
          </w:p>
        </w:tc>
        <w:tc>
          <w:tcPr>
            <w:tcW w:w="2268" w:type="dxa"/>
            <w:vAlign w:val="center"/>
          </w:tcPr>
          <w:p>
            <w:pPr>
              <w:pStyle w:val="14"/>
            </w:pPr>
            <w:r>
              <w:t>≥50%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紧急报知</w:t>
            </w:r>
          </w:p>
        </w:tc>
        <w:tc>
          <w:tcPr>
            <w:tcW w:w="5386" w:type="dxa"/>
            <w:vAlign w:val="center"/>
          </w:tcPr>
          <w:p>
            <w:pPr>
              <w:pStyle w:val="14"/>
            </w:pPr>
            <w:r>
              <w:t>提升用于抗灾救灾和突发事故情况下的紧急报知覆盖率</w:t>
            </w:r>
          </w:p>
        </w:tc>
        <w:tc>
          <w:tcPr>
            <w:tcW w:w="2268" w:type="dxa"/>
            <w:vAlign w:val="center"/>
          </w:tcPr>
          <w:p>
            <w:pPr>
              <w:pStyle w:val="14"/>
            </w:pPr>
            <w:r>
              <w:t>≥50%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基本监管及业务水平</w:t>
            </w:r>
          </w:p>
        </w:tc>
        <w:tc>
          <w:tcPr>
            <w:tcW w:w="5386" w:type="dxa"/>
            <w:vAlign w:val="center"/>
          </w:tcPr>
          <w:p>
            <w:pPr>
              <w:pStyle w:val="14"/>
            </w:pPr>
            <w:r>
              <w:t>提升工作效率、监管能力及业务水平</w:t>
            </w:r>
          </w:p>
        </w:tc>
        <w:tc>
          <w:tcPr>
            <w:tcW w:w="2268" w:type="dxa"/>
            <w:vAlign w:val="center"/>
          </w:tcPr>
          <w:p>
            <w:pPr>
              <w:pStyle w:val="14"/>
            </w:pPr>
            <w:r>
              <w:t>≥70%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28、上缴2024年政策性新增粮食财务挂账占用贷款利息支出</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ind w:firstLine="560"/>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13032123P00338510178X</w:t>
            </w:r>
          </w:p>
        </w:tc>
        <w:tc>
          <w:tcPr>
            <w:tcW w:w="2835" w:type="dxa"/>
            <w:vAlign w:val="center"/>
          </w:tcPr>
          <w:p>
            <w:pPr>
              <w:pStyle w:val="12"/>
            </w:pPr>
            <w:r>
              <w:t>项目名称</w:t>
            </w:r>
          </w:p>
        </w:tc>
        <w:tc>
          <w:tcPr>
            <w:tcW w:w="6094" w:type="dxa"/>
            <w:gridSpan w:val="3"/>
            <w:vAlign w:val="center"/>
          </w:tcPr>
          <w:p>
            <w:pPr>
              <w:pStyle w:val="14"/>
            </w:pPr>
            <w:r>
              <w:t>上缴2024年政策性新增粮食财务挂账占用贷款利息支出</w:t>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46.12</w:t>
            </w:r>
          </w:p>
        </w:tc>
        <w:tc>
          <w:tcPr>
            <w:tcW w:w="2835" w:type="dxa"/>
            <w:vAlign w:val="center"/>
          </w:tcPr>
          <w:p>
            <w:pPr>
              <w:pStyle w:val="12"/>
            </w:pPr>
            <w:r>
              <w:t>其中：财政    资金</w:t>
            </w:r>
          </w:p>
        </w:tc>
        <w:tc>
          <w:tcPr>
            <w:tcW w:w="2551" w:type="dxa"/>
            <w:vAlign w:val="center"/>
          </w:tcPr>
          <w:p>
            <w:pPr>
              <w:pStyle w:val="14"/>
            </w:pPr>
            <w:r>
              <w:t>46.12</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预算安排46.12万元，其中财政资金46.12万元，主要用于2021年政策性新增粮食财务挂账占用贷款利息支出。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rPr>
                <w:rFonts w:hint="eastAsia" w:asciiTheme="minorEastAsia" w:hAnsiTheme="minorEastAsia" w:eastAsiaTheme="minorEastAsia"/>
                <w:lang w:eastAsia="zh-CN"/>
              </w:rPr>
              <w:t>100</w:t>
            </w:r>
          </w:p>
        </w:tc>
        <w:tc>
          <w:tcPr>
            <w:tcW w:w="2835" w:type="dxa"/>
            <w:vAlign w:val="center"/>
          </w:tcPr>
          <w:p>
            <w:pPr>
              <w:pStyle w:val="15"/>
            </w:pPr>
            <w:r>
              <w:rPr>
                <w:rFonts w:hint="eastAsia" w:asciiTheme="minorEastAsia" w:hAnsiTheme="minorEastAsia" w:eastAsiaTheme="minorEastAsia"/>
                <w:lang w:eastAsia="zh-CN"/>
              </w:rPr>
              <w:t>100</w:t>
            </w:r>
          </w:p>
        </w:tc>
        <w:tc>
          <w:tcPr>
            <w:tcW w:w="2551" w:type="dxa"/>
            <w:vAlign w:val="center"/>
          </w:tcPr>
          <w:p>
            <w:pPr>
              <w:pStyle w:val="15"/>
            </w:pPr>
            <w:r>
              <w:rPr>
                <w:rFonts w:hint="eastAsia" w:asciiTheme="minorEastAsia" w:hAnsiTheme="minorEastAsia" w:eastAsiaTheme="minorEastAsia"/>
                <w:lang w:eastAsia="zh-CN"/>
              </w:rPr>
              <w:t>100</w:t>
            </w:r>
          </w:p>
        </w:tc>
        <w:tc>
          <w:tcPr>
            <w:tcW w:w="3543"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1.通过及时偿还贷款利息，避免产生逾期。</w:t>
            </w:r>
            <w:r>
              <w:tab/>
            </w:r>
            <w:r>
              <w:tab/>
            </w:r>
            <w:r>
              <w:tab/>
            </w:r>
          </w:p>
          <w:p>
            <w:pPr>
              <w:pStyle w:val="14"/>
            </w:pPr>
          </w:p>
          <w:p>
            <w:pPr>
              <w:pStyle w:val="14"/>
            </w:pPr>
            <w:r>
              <w:t>2.提高储备粮贷款使用效果，维护政府信用。</w:t>
            </w:r>
            <w:r>
              <w:tab/>
            </w:r>
            <w:r>
              <w:tab/>
            </w:r>
            <w:r>
              <w:tab/>
            </w:r>
          </w:p>
          <w:p>
            <w:pPr>
              <w:pStyle w:val="14"/>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储备粮贷款额度</w:t>
            </w:r>
          </w:p>
        </w:tc>
        <w:tc>
          <w:tcPr>
            <w:tcW w:w="5386" w:type="dxa"/>
            <w:vAlign w:val="center"/>
          </w:tcPr>
          <w:p>
            <w:pPr>
              <w:pStyle w:val="14"/>
            </w:pPr>
            <w:r>
              <w:t>保证完成农业发展银行贷款额度</w:t>
            </w:r>
          </w:p>
        </w:tc>
        <w:tc>
          <w:tcPr>
            <w:tcW w:w="2268" w:type="dxa"/>
            <w:vAlign w:val="center"/>
          </w:tcPr>
          <w:p>
            <w:pPr>
              <w:pStyle w:val="14"/>
            </w:pPr>
            <w:r>
              <w:t>1162万元</w:t>
            </w:r>
          </w:p>
        </w:tc>
        <w:tc>
          <w:tcPr>
            <w:tcW w:w="1276" w:type="dxa"/>
            <w:vAlign w:val="center"/>
          </w:tcPr>
          <w:p>
            <w:pPr>
              <w:pStyle w:val="14"/>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利息金额</w:t>
            </w:r>
          </w:p>
        </w:tc>
        <w:tc>
          <w:tcPr>
            <w:tcW w:w="5386" w:type="dxa"/>
            <w:vAlign w:val="center"/>
          </w:tcPr>
          <w:p>
            <w:pPr>
              <w:pStyle w:val="14"/>
            </w:pPr>
            <w:r>
              <w:t>贷款利息金额</w:t>
            </w:r>
          </w:p>
        </w:tc>
        <w:tc>
          <w:tcPr>
            <w:tcW w:w="2268" w:type="dxa"/>
            <w:vAlign w:val="center"/>
          </w:tcPr>
          <w:p>
            <w:pPr>
              <w:pStyle w:val="14"/>
            </w:pPr>
            <w:r>
              <w:t>46.12万元</w:t>
            </w:r>
          </w:p>
        </w:tc>
        <w:tc>
          <w:tcPr>
            <w:tcW w:w="1276" w:type="dxa"/>
            <w:vAlign w:val="center"/>
          </w:tcPr>
          <w:p>
            <w:pPr>
              <w:pStyle w:val="14"/>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贷款利息补贴率</w:t>
            </w:r>
          </w:p>
        </w:tc>
        <w:tc>
          <w:tcPr>
            <w:tcW w:w="5386" w:type="dxa"/>
            <w:vAlign w:val="center"/>
          </w:tcPr>
          <w:p>
            <w:pPr>
              <w:pStyle w:val="14"/>
            </w:pPr>
            <w:r>
              <w:t>1162万元储备粮农业发展银行贷款利息补贴比率</w:t>
            </w:r>
          </w:p>
        </w:tc>
        <w:tc>
          <w:tcPr>
            <w:tcW w:w="2268" w:type="dxa"/>
            <w:vAlign w:val="center"/>
          </w:tcPr>
          <w:p>
            <w:pPr>
              <w:pStyle w:val="14"/>
            </w:pPr>
            <w:r>
              <w:t>100%</w:t>
            </w:r>
          </w:p>
        </w:tc>
        <w:tc>
          <w:tcPr>
            <w:tcW w:w="1276" w:type="dxa"/>
            <w:vAlign w:val="center"/>
          </w:tcPr>
          <w:p>
            <w:pPr>
              <w:pStyle w:val="14"/>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按时完成贷款还息</w:t>
            </w:r>
          </w:p>
        </w:tc>
        <w:tc>
          <w:tcPr>
            <w:tcW w:w="2268" w:type="dxa"/>
            <w:vAlign w:val="center"/>
          </w:tcPr>
          <w:p>
            <w:pPr>
              <w:pStyle w:val="14"/>
            </w:pPr>
            <w:r>
              <w:t>2024年底</w:t>
            </w:r>
          </w:p>
        </w:tc>
        <w:tc>
          <w:tcPr>
            <w:tcW w:w="1276" w:type="dxa"/>
            <w:vAlign w:val="center"/>
          </w:tcPr>
          <w:p>
            <w:pPr>
              <w:pStyle w:val="14"/>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计算正确率</w:t>
            </w:r>
          </w:p>
        </w:tc>
        <w:tc>
          <w:tcPr>
            <w:tcW w:w="5386" w:type="dxa"/>
            <w:vAlign w:val="center"/>
          </w:tcPr>
          <w:p>
            <w:pPr>
              <w:pStyle w:val="14"/>
            </w:pPr>
            <w:r>
              <w:t>贷款利息计算正确率</w:t>
            </w:r>
          </w:p>
        </w:tc>
        <w:tc>
          <w:tcPr>
            <w:tcW w:w="2268" w:type="dxa"/>
            <w:vAlign w:val="center"/>
          </w:tcPr>
          <w:p>
            <w:pPr>
              <w:pStyle w:val="14"/>
            </w:pPr>
            <w:r>
              <w:t>100%</w:t>
            </w:r>
          </w:p>
        </w:tc>
        <w:tc>
          <w:tcPr>
            <w:tcW w:w="1276" w:type="dxa"/>
            <w:vAlign w:val="center"/>
          </w:tcPr>
          <w:p>
            <w:pPr>
              <w:pStyle w:val="14"/>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落实国家政策</w:t>
            </w:r>
          </w:p>
        </w:tc>
        <w:tc>
          <w:tcPr>
            <w:tcW w:w="5386" w:type="dxa"/>
            <w:vAlign w:val="center"/>
          </w:tcPr>
          <w:p>
            <w:pPr>
              <w:pStyle w:val="14"/>
            </w:pPr>
            <w:r>
              <w:t>落实原国家政策，维持储备粮贷款及时供应。</w:t>
            </w:r>
          </w:p>
        </w:tc>
        <w:tc>
          <w:tcPr>
            <w:tcW w:w="2268" w:type="dxa"/>
            <w:vAlign w:val="center"/>
          </w:tcPr>
          <w:p>
            <w:pPr>
              <w:pStyle w:val="14"/>
            </w:pPr>
            <w:r>
              <w:t>≥90%</w:t>
            </w:r>
          </w:p>
        </w:tc>
        <w:tc>
          <w:tcPr>
            <w:tcW w:w="1276" w:type="dxa"/>
            <w:vAlign w:val="center"/>
          </w:tcPr>
          <w:p>
            <w:pPr>
              <w:pStyle w:val="14"/>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维护政府信用</w:t>
            </w:r>
          </w:p>
        </w:tc>
        <w:tc>
          <w:tcPr>
            <w:tcW w:w="5386" w:type="dxa"/>
            <w:vAlign w:val="center"/>
          </w:tcPr>
          <w:p>
            <w:pPr>
              <w:pStyle w:val="14"/>
            </w:pPr>
            <w:r>
              <w:t>通过及时偿还贷款利息维护政府良好信用</w:t>
            </w:r>
          </w:p>
        </w:tc>
        <w:tc>
          <w:tcPr>
            <w:tcW w:w="2268" w:type="dxa"/>
            <w:vAlign w:val="center"/>
          </w:tcPr>
          <w:p>
            <w:pPr>
              <w:pStyle w:val="14"/>
            </w:pPr>
            <w:r>
              <w:t>≥90%</w:t>
            </w:r>
          </w:p>
        </w:tc>
        <w:tc>
          <w:tcPr>
            <w:tcW w:w="1276" w:type="dxa"/>
            <w:vAlign w:val="center"/>
          </w:tcPr>
          <w:p>
            <w:pPr>
              <w:pStyle w:val="14"/>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保证农发行对储备粮的资金支持</w:t>
            </w:r>
          </w:p>
        </w:tc>
        <w:tc>
          <w:tcPr>
            <w:tcW w:w="5386" w:type="dxa"/>
            <w:vAlign w:val="center"/>
          </w:tcPr>
          <w:p>
            <w:pPr>
              <w:pStyle w:val="14"/>
            </w:pPr>
            <w:r>
              <w:t>保证农发行对储备粮的资金支持，维护粮食安全</w:t>
            </w:r>
          </w:p>
        </w:tc>
        <w:tc>
          <w:tcPr>
            <w:tcW w:w="2268" w:type="dxa"/>
            <w:vAlign w:val="center"/>
          </w:tcPr>
          <w:p>
            <w:pPr>
              <w:pStyle w:val="14"/>
            </w:pPr>
            <w:r>
              <w:t>750.6万元</w:t>
            </w:r>
          </w:p>
        </w:tc>
        <w:tc>
          <w:tcPr>
            <w:tcW w:w="1276" w:type="dxa"/>
            <w:vAlign w:val="center"/>
          </w:tcPr>
          <w:p>
            <w:pPr>
              <w:pStyle w:val="14"/>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贷款银行满意度</w:t>
            </w:r>
          </w:p>
        </w:tc>
        <w:tc>
          <w:tcPr>
            <w:tcW w:w="5386" w:type="dxa"/>
            <w:vAlign w:val="center"/>
          </w:tcPr>
          <w:p>
            <w:pPr>
              <w:pStyle w:val="14"/>
            </w:pPr>
            <w:r>
              <w:t>贷款银行满意数量占总数的比例</w:t>
            </w:r>
          </w:p>
        </w:tc>
        <w:tc>
          <w:tcPr>
            <w:tcW w:w="2268" w:type="dxa"/>
            <w:vAlign w:val="center"/>
          </w:tcPr>
          <w:p>
            <w:pPr>
              <w:pStyle w:val="14"/>
            </w:pPr>
            <w:r>
              <w:t>≥98%</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29、水库移民粮食补贴（二道杖子）绩效目标表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13032123P00338410015W</w:t>
            </w:r>
          </w:p>
        </w:tc>
        <w:tc>
          <w:tcPr>
            <w:tcW w:w="2835" w:type="dxa"/>
            <w:vAlign w:val="center"/>
          </w:tcPr>
          <w:p>
            <w:pPr>
              <w:pStyle w:val="12"/>
            </w:pPr>
            <w:r>
              <w:t>项目名称</w:t>
            </w:r>
          </w:p>
        </w:tc>
        <w:tc>
          <w:tcPr>
            <w:tcW w:w="6094" w:type="dxa"/>
            <w:gridSpan w:val="3"/>
            <w:vAlign w:val="center"/>
          </w:tcPr>
          <w:p>
            <w:pPr>
              <w:pStyle w:val="14"/>
            </w:pPr>
            <w:r>
              <w:t>水库移民粮食补贴（二道杖子）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97.20</w:t>
            </w:r>
          </w:p>
        </w:tc>
        <w:tc>
          <w:tcPr>
            <w:tcW w:w="2835" w:type="dxa"/>
            <w:vAlign w:val="center"/>
          </w:tcPr>
          <w:p>
            <w:pPr>
              <w:pStyle w:val="12"/>
            </w:pPr>
            <w:r>
              <w:t>其中：财政    资金</w:t>
            </w:r>
          </w:p>
        </w:tc>
        <w:tc>
          <w:tcPr>
            <w:tcW w:w="2551" w:type="dxa"/>
            <w:vAlign w:val="center"/>
          </w:tcPr>
          <w:p>
            <w:pPr>
              <w:pStyle w:val="14"/>
            </w:pPr>
            <w:r>
              <w:t>97.20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预算安排48.6万元，其中财政拨款48.6万元，主要用于水库移民粮食补贴。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rPr>
                <w:rFonts w:hint="eastAsia" w:asciiTheme="minorEastAsia" w:hAnsiTheme="minorEastAsia" w:eastAsiaTheme="minorEastAsia"/>
                <w:lang w:eastAsia="zh-CN"/>
              </w:rPr>
              <w:t>50</w:t>
            </w:r>
          </w:p>
        </w:tc>
        <w:tc>
          <w:tcPr>
            <w:tcW w:w="2835" w:type="dxa"/>
            <w:vAlign w:val="center"/>
          </w:tcPr>
          <w:p>
            <w:pPr>
              <w:pStyle w:val="15"/>
            </w:pPr>
            <w:r>
              <w:rPr>
                <w:rFonts w:hint="eastAsia" w:asciiTheme="minorEastAsia" w:hAnsiTheme="minorEastAsia" w:eastAsiaTheme="minorEastAsia"/>
                <w:lang w:eastAsia="zh-CN"/>
              </w:rPr>
              <w:t>50</w:t>
            </w:r>
          </w:p>
        </w:tc>
        <w:tc>
          <w:tcPr>
            <w:tcW w:w="2551" w:type="dxa"/>
            <w:vAlign w:val="center"/>
          </w:tcPr>
          <w:p>
            <w:pPr>
              <w:pStyle w:val="15"/>
            </w:pPr>
            <w:r>
              <w:rPr>
                <w:rFonts w:hint="eastAsia" w:asciiTheme="minorEastAsia" w:hAnsiTheme="minorEastAsia" w:eastAsiaTheme="minorEastAsia"/>
                <w:lang w:eastAsia="zh-CN"/>
              </w:rPr>
              <w:t>50</w:t>
            </w:r>
          </w:p>
        </w:tc>
        <w:tc>
          <w:tcPr>
            <w:tcW w:w="3543"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1.通过做好粮食供应，提高服务水平。</w:t>
            </w:r>
          </w:p>
          <w:p>
            <w:pPr>
              <w:pStyle w:val="14"/>
            </w:pPr>
            <w:r>
              <w:t>2.通过供应达标粮品，实现居民用粮安全。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水库移民粮食供应人数</w:t>
            </w:r>
          </w:p>
        </w:tc>
        <w:tc>
          <w:tcPr>
            <w:tcW w:w="5386" w:type="dxa"/>
            <w:vAlign w:val="center"/>
          </w:tcPr>
          <w:p>
            <w:pPr>
              <w:pStyle w:val="14"/>
            </w:pPr>
            <w:r>
              <w:t>二道丈子村水库移民粮食供应人数</w:t>
            </w:r>
          </w:p>
        </w:tc>
        <w:tc>
          <w:tcPr>
            <w:tcW w:w="2268" w:type="dxa"/>
            <w:vAlign w:val="center"/>
          </w:tcPr>
          <w:p>
            <w:pPr>
              <w:pStyle w:val="14"/>
            </w:pPr>
            <w:r>
              <w:t>≥1170人</w:t>
            </w:r>
          </w:p>
        </w:tc>
        <w:tc>
          <w:tcPr>
            <w:tcW w:w="1276" w:type="dxa"/>
            <w:vAlign w:val="center"/>
          </w:tcPr>
          <w:p>
            <w:pPr>
              <w:pStyle w:val="14"/>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水库移民粮食供应斤数</w:t>
            </w:r>
          </w:p>
        </w:tc>
        <w:tc>
          <w:tcPr>
            <w:tcW w:w="5386" w:type="dxa"/>
            <w:vAlign w:val="center"/>
          </w:tcPr>
          <w:p>
            <w:pPr>
              <w:pStyle w:val="14"/>
            </w:pPr>
            <w:r>
              <w:t>二道丈子村水库移民粮食供应总斤数</w:t>
            </w:r>
          </w:p>
        </w:tc>
        <w:tc>
          <w:tcPr>
            <w:tcW w:w="2268" w:type="dxa"/>
            <w:vAlign w:val="center"/>
          </w:tcPr>
          <w:p>
            <w:pPr>
              <w:pStyle w:val="14"/>
            </w:pPr>
            <w:r>
              <w:t>≥22.76万斤</w:t>
            </w:r>
          </w:p>
        </w:tc>
        <w:tc>
          <w:tcPr>
            <w:tcW w:w="1276" w:type="dxa"/>
            <w:vAlign w:val="center"/>
          </w:tcPr>
          <w:p>
            <w:pPr>
              <w:pStyle w:val="14"/>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供应粮品质达标率</w:t>
            </w:r>
          </w:p>
        </w:tc>
        <w:tc>
          <w:tcPr>
            <w:tcW w:w="5386" w:type="dxa"/>
            <w:vAlign w:val="center"/>
          </w:tcPr>
          <w:p>
            <w:pPr>
              <w:pStyle w:val="14"/>
            </w:pPr>
            <w:r>
              <w:t>所供粮食确保达到相应质量标准</w:t>
            </w:r>
          </w:p>
        </w:tc>
        <w:tc>
          <w:tcPr>
            <w:tcW w:w="2268" w:type="dxa"/>
            <w:vAlign w:val="center"/>
          </w:tcPr>
          <w:p>
            <w:pPr>
              <w:pStyle w:val="14"/>
            </w:pPr>
            <w:r>
              <w:t>100%</w:t>
            </w:r>
          </w:p>
        </w:tc>
        <w:tc>
          <w:tcPr>
            <w:tcW w:w="1276" w:type="dxa"/>
            <w:vAlign w:val="center"/>
          </w:tcPr>
          <w:p>
            <w:pPr>
              <w:pStyle w:val="14"/>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按县政府相关文件及工作计划完成粮食补贴工作</w:t>
            </w:r>
          </w:p>
        </w:tc>
        <w:tc>
          <w:tcPr>
            <w:tcW w:w="2268" w:type="dxa"/>
            <w:vAlign w:val="center"/>
          </w:tcPr>
          <w:p>
            <w:pPr>
              <w:pStyle w:val="14"/>
            </w:pPr>
            <w:r>
              <w:t>2024年底</w:t>
            </w:r>
          </w:p>
        </w:tc>
        <w:tc>
          <w:tcPr>
            <w:tcW w:w="1276" w:type="dxa"/>
            <w:vAlign w:val="center"/>
          </w:tcPr>
          <w:p>
            <w:pPr>
              <w:pStyle w:val="14"/>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水库移民粮食补贴</w:t>
            </w:r>
          </w:p>
        </w:tc>
        <w:tc>
          <w:tcPr>
            <w:tcW w:w="5386" w:type="dxa"/>
            <w:vAlign w:val="center"/>
          </w:tcPr>
          <w:p>
            <w:pPr>
              <w:pStyle w:val="14"/>
            </w:pPr>
            <w:r>
              <w:t>水库移民人均粮食补贴人均成本</w:t>
            </w:r>
          </w:p>
        </w:tc>
        <w:tc>
          <w:tcPr>
            <w:tcW w:w="2268" w:type="dxa"/>
            <w:vAlign w:val="center"/>
          </w:tcPr>
          <w:p>
            <w:pPr>
              <w:pStyle w:val="14"/>
            </w:pPr>
            <w:r>
              <w:t>≤415.4元/人</w:t>
            </w:r>
          </w:p>
        </w:tc>
        <w:tc>
          <w:tcPr>
            <w:tcW w:w="1276" w:type="dxa"/>
            <w:vAlign w:val="center"/>
          </w:tcPr>
          <w:p>
            <w:pPr>
              <w:pStyle w:val="14"/>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减少水库移民家庭支出</w:t>
            </w:r>
          </w:p>
        </w:tc>
        <w:tc>
          <w:tcPr>
            <w:tcW w:w="5386" w:type="dxa"/>
            <w:vAlign w:val="center"/>
          </w:tcPr>
          <w:p>
            <w:pPr>
              <w:pStyle w:val="14"/>
            </w:pPr>
            <w:r>
              <w:t>减少水库移民家庭支出，保障基本生活</w:t>
            </w:r>
          </w:p>
        </w:tc>
        <w:tc>
          <w:tcPr>
            <w:tcW w:w="2268" w:type="dxa"/>
            <w:vAlign w:val="center"/>
          </w:tcPr>
          <w:p>
            <w:pPr>
              <w:pStyle w:val="14"/>
            </w:pPr>
            <w:r>
              <w:t>≥7%</w:t>
            </w:r>
          </w:p>
        </w:tc>
        <w:tc>
          <w:tcPr>
            <w:tcW w:w="1276" w:type="dxa"/>
            <w:vAlign w:val="center"/>
          </w:tcPr>
          <w:p>
            <w:pPr>
              <w:pStyle w:val="14"/>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提高社会稳定性</w:t>
            </w:r>
          </w:p>
        </w:tc>
        <w:tc>
          <w:tcPr>
            <w:tcW w:w="5386" w:type="dxa"/>
            <w:vAlign w:val="center"/>
          </w:tcPr>
          <w:p>
            <w:pPr>
              <w:pStyle w:val="14"/>
            </w:pPr>
            <w:r>
              <w:t>补贴粮保质保量及时发放，保证二道杖子村水库移民利益，社会稳定性较上一年有所提高。</w:t>
            </w:r>
          </w:p>
        </w:tc>
        <w:tc>
          <w:tcPr>
            <w:tcW w:w="2268" w:type="dxa"/>
            <w:vAlign w:val="center"/>
          </w:tcPr>
          <w:p>
            <w:pPr>
              <w:pStyle w:val="14"/>
            </w:pPr>
            <w:r>
              <w:t>≥10%</w:t>
            </w:r>
          </w:p>
        </w:tc>
        <w:tc>
          <w:tcPr>
            <w:tcW w:w="1276" w:type="dxa"/>
            <w:vAlign w:val="center"/>
          </w:tcPr>
          <w:p>
            <w:pPr>
              <w:pStyle w:val="14"/>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确保水库移民持续稳定</w:t>
            </w:r>
          </w:p>
        </w:tc>
        <w:tc>
          <w:tcPr>
            <w:tcW w:w="5386" w:type="dxa"/>
            <w:vAlign w:val="center"/>
          </w:tcPr>
          <w:p>
            <w:pPr>
              <w:pStyle w:val="14"/>
            </w:pPr>
            <w:r>
              <w:t>确保水库移民情绪持续稳定</w:t>
            </w:r>
          </w:p>
        </w:tc>
        <w:tc>
          <w:tcPr>
            <w:tcW w:w="2268" w:type="dxa"/>
            <w:vAlign w:val="center"/>
          </w:tcPr>
          <w:p>
            <w:pPr>
              <w:pStyle w:val="14"/>
            </w:pPr>
            <w:r>
              <w:t>≥90%</w:t>
            </w:r>
          </w:p>
        </w:tc>
        <w:tc>
          <w:tcPr>
            <w:tcW w:w="1276" w:type="dxa"/>
            <w:vAlign w:val="center"/>
          </w:tcPr>
          <w:p>
            <w:pPr>
              <w:pStyle w:val="14"/>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水库移民满意度</w:t>
            </w:r>
          </w:p>
          <w:p>
            <w:pPr>
              <w:pStyle w:val="14"/>
            </w:pPr>
          </w:p>
        </w:tc>
        <w:tc>
          <w:tcPr>
            <w:tcW w:w="5386" w:type="dxa"/>
            <w:vAlign w:val="center"/>
          </w:tcPr>
          <w:p>
            <w:pPr>
              <w:pStyle w:val="14"/>
            </w:pPr>
            <w:r>
              <w:t>水库移民对于粮食补贴满意人数占总数的比例</w:t>
            </w:r>
          </w:p>
        </w:tc>
        <w:tc>
          <w:tcPr>
            <w:tcW w:w="2268" w:type="dxa"/>
            <w:vAlign w:val="center"/>
          </w:tcPr>
          <w:p>
            <w:pPr>
              <w:pStyle w:val="14"/>
            </w:pPr>
            <w:r>
              <w:t>≥90%</w:t>
            </w:r>
          </w:p>
        </w:tc>
        <w:tc>
          <w:tcPr>
            <w:tcW w:w="1276" w:type="dxa"/>
            <w:vAlign w:val="center"/>
          </w:tcPr>
          <w:p>
            <w:pPr>
              <w:pStyle w:val="14"/>
            </w:pPr>
            <w:r>
              <w:t>县政府青政办（2002）50号和水库移民粮食补贴工作计划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30、矽肺病人补助资金绩效目标表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13032123P00338510113L</w:t>
            </w:r>
          </w:p>
        </w:tc>
        <w:tc>
          <w:tcPr>
            <w:tcW w:w="2835" w:type="dxa"/>
            <w:vAlign w:val="center"/>
          </w:tcPr>
          <w:p>
            <w:pPr>
              <w:pStyle w:val="12"/>
            </w:pPr>
            <w:r>
              <w:t>项目名称</w:t>
            </w:r>
          </w:p>
        </w:tc>
        <w:tc>
          <w:tcPr>
            <w:tcW w:w="6094" w:type="dxa"/>
            <w:gridSpan w:val="3"/>
            <w:vAlign w:val="center"/>
          </w:tcPr>
          <w:p>
            <w:pPr>
              <w:pStyle w:val="14"/>
            </w:pPr>
            <w:r>
              <w:t>矽肺病人补助资金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623.19</w:t>
            </w:r>
          </w:p>
        </w:tc>
        <w:tc>
          <w:tcPr>
            <w:tcW w:w="2835" w:type="dxa"/>
            <w:vAlign w:val="center"/>
          </w:tcPr>
          <w:p>
            <w:pPr>
              <w:pStyle w:val="12"/>
            </w:pPr>
            <w:r>
              <w:t>其中：财政    资金</w:t>
            </w:r>
          </w:p>
        </w:tc>
        <w:tc>
          <w:tcPr>
            <w:tcW w:w="2551" w:type="dxa"/>
            <w:vAlign w:val="center"/>
          </w:tcPr>
          <w:p>
            <w:pPr>
              <w:pStyle w:val="14"/>
            </w:pPr>
            <w:r>
              <w:t>623.19</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预算安排23.1866万元，其中财政资金23.1866万元，主要用于矽肺病人补助资金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p>
        </w:tc>
        <w:tc>
          <w:tcPr>
            <w:tcW w:w="2835" w:type="dxa"/>
            <w:vAlign w:val="center"/>
          </w:tcPr>
          <w:p>
            <w:pPr>
              <w:pStyle w:val="15"/>
            </w:pPr>
            <w:r>
              <w:rPr>
                <w:rFonts w:hint="eastAsia" w:asciiTheme="minorEastAsia" w:hAnsiTheme="minorEastAsia" w:eastAsiaTheme="minorEastAsia"/>
                <w:lang w:eastAsia="zh-CN"/>
              </w:rPr>
              <w:t>100</w:t>
            </w:r>
          </w:p>
        </w:tc>
        <w:tc>
          <w:tcPr>
            <w:tcW w:w="2551" w:type="dxa"/>
            <w:vAlign w:val="center"/>
          </w:tcPr>
          <w:p>
            <w:pPr>
              <w:pStyle w:val="15"/>
            </w:pPr>
            <w:r>
              <w:rPr>
                <w:rFonts w:hint="eastAsia" w:asciiTheme="minorEastAsia" w:hAnsiTheme="minorEastAsia" w:eastAsiaTheme="minorEastAsia"/>
                <w:lang w:eastAsia="zh-CN"/>
              </w:rPr>
              <w:t>100</w:t>
            </w:r>
          </w:p>
        </w:tc>
        <w:tc>
          <w:tcPr>
            <w:tcW w:w="3543"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1.通过对国企提出矽肺病申请人员进行职业病诊断，实现维护社会稳定。</w:t>
            </w:r>
          </w:p>
          <w:p>
            <w:pPr>
              <w:pStyle w:val="14"/>
            </w:pPr>
            <w:r>
              <w:t>2.通过工伤鉴定，对矽肺病人员进行赔偿，提高矽肺病人员生活水平。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工伤鉴定人员数量</w:t>
            </w:r>
          </w:p>
        </w:tc>
        <w:tc>
          <w:tcPr>
            <w:tcW w:w="5386" w:type="dxa"/>
            <w:vAlign w:val="center"/>
          </w:tcPr>
          <w:p>
            <w:pPr>
              <w:pStyle w:val="14"/>
            </w:pPr>
            <w:r>
              <w:t>需要进行工伤鉴定人数</w:t>
            </w:r>
          </w:p>
        </w:tc>
        <w:tc>
          <w:tcPr>
            <w:tcW w:w="2268" w:type="dxa"/>
            <w:vAlign w:val="center"/>
          </w:tcPr>
          <w:p>
            <w:pPr>
              <w:pStyle w:val="14"/>
            </w:pPr>
            <w:r>
              <w:t>≥57人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职业病诊断人数</w:t>
            </w:r>
          </w:p>
        </w:tc>
        <w:tc>
          <w:tcPr>
            <w:tcW w:w="5386" w:type="dxa"/>
            <w:vAlign w:val="center"/>
          </w:tcPr>
          <w:p>
            <w:pPr>
              <w:pStyle w:val="14"/>
            </w:pPr>
            <w:r>
              <w:t>需要进行职业病诊断人数</w:t>
            </w:r>
          </w:p>
        </w:tc>
        <w:tc>
          <w:tcPr>
            <w:tcW w:w="2268" w:type="dxa"/>
            <w:vAlign w:val="center"/>
          </w:tcPr>
          <w:p>
            <w:pPr>
              <w:pStyle w:val="14"/>
            </w:pPr>
            <w:r>
              <w:t>≥58人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工伤赔偿人员数量</w:t>
            </w:r>
          </w:p>
        </w:tc>
        <w:tc>
          <w:tcPr>
            <w:tcW w:w="5386" w:type="dxa"/>
            <w:vAlign w:val="center"/>
          </w:tcPr>
          <w:p>
            <w:pPr>
              <w:pStyle w:val="14"/>
            </w:pPr>
            <w:r>
              <w:t>需要进行工伤赔偿人员数</w:t>
            </w:r>
          </w:p>
        </w:tc>
        <w:tc>
          <w:tcPr>
            <w:tcW w:w="2268" w:type="dxa"/>
            <w:vAlign w:val="center"/>
          </w:tcPr>
          <w:p>
            <w:pPr>
              <w:pStyle w:val="14"/>
            </w:pPr>
            <w:r>
              <w:t>≥58人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金额计算准确率</w:t>
            </w:r>
          </w:p>
        </w:tc>
        <w:tc>
          <w:tcPr>
            <w:tcW w:w="5386" w:type="dxa"/>
            <w:vAlign w:val="center"/>
          </w:tcPr>
          <w:p>
            <w:pPr>
              <w:pStyle w:val="14"/>
            </w:pPr>
            <w:r>
              <w:t>对需要赔偿人员的赔偿金额计算准确率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诊断的准确率</w:t>
            </w:r>
          </w:p>
        </w:tc>
        <w:tc>
          <w:tcPr>
            <w:tcW w:w="5386" w:type="dxa"/>
            <w:vAlign w:val="center"/>
          </w:tcPr>
          <w:p>
            <w:pPr>
              <w:pStyle w:val="14"/>
            </w:pPr>
            <w:r>
              <w:t>诊断的准确率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支付准确率</w:t>
            </w:r>
          </w:p>
        </w:tc>
        <w:tc>
          <w:tcPr>
            <w:tcW w:w="5386" w:type="dxa"/>
            <w:vAlign w:val="center"/>
          </w:tcPr>
          <w:p>
            <w:pPr>
              <w:pStyle w:val="14"/>
            </w:pPr>
            <w:r>
              <w:t>资金支付的准确率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认真按照年度招商引资工作方案和计划的时间节点推进招商引资工作</w:t>
            </w:r>
          </w:p>
        </w:tc>
        <w:tc>
          <w:tcPr>
            <w:tcW w:w="2268" w:type="dxa"/>
            <w:vAlign w:val="center"/>
          </w:tcPr>
          <w:p>
            <w:pPr>
              <w:pStyle w:val="14"/>
            </w:pPr>
            <w:r>
              <w:t>2024年底前</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职业病诊断、工伤鉴定费用标准</w:t>
            </w:r>
          </w:p>
        </w:tc>
        <w:tc>
          <w:tcPr>
            <w:tcW w:w="5386" w:type="dxa"/>
            <w:vAlign w:val="center"/>
          </w:tcPr>
          <w:p>
            <w:pPr>
              <w:pStyle w:val="14"/>
            </w:pPr>
            <w:r>
              <w:t>对每人进行职业病诊断、工伤鉴定的金额</w:t>
            </w:r>
          </w:p>
        </w:tc>
        <w:tc>
          <w:tcPr>
            <w:tcW w:w="2268" w:type="dxa"/>
            <w:vAlign w:val="center"/>
          </w:tcPr>
          <w:p>
            <w:pPr>
              <w:pStyle w:val="14"/>
            </w:pPr>
            <w:r>
              <w:t>600元/人/次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职业病诊断交通费标准</w:t>
            </w:r>
          </w:p>
        </w:tc>
        <w:tc>
          <w:tcPr>
            <w:tcW w:w="5386" w:type="dxa"/>
            <w:vAlign w:val="center"/>
          </w:tcPr>
          <w:p>
            <w:pPr>
              <w:pStyle w:val="14"/>
            </w:pPr>
            <w:r>
              <w:t>职业病诊断的交通费金额</w:t>
            </w:r>
          </w:p>
        </w:tc>
        <w:tc>
          <w:tcPr>
            <w:tcW w:w="2268" w:type="dxa"/>
            <w:vAlign w:val="center"/>
          </w:tcPr>
          <w:p>
            <w:pPr>
              <w:pStyle w:val="14"/>
            </w:pPr>
            <w:r>
              <w:t>300元/人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提高病人生活水平</w:t>
            </w:r>
          </w:p>
        </w:tc>
        <w:tc>
          <w:tcPr>
            <w:tcW w:w="5386" w:type="dxa"/>
            <w:vAlign w:val="center"/>
          </w:tcPr>
          <w:p>
            <w:pPr>
              <w:pStyle w:val="14"/>
            </w:pPr>
            <w:r>
              <w:t>对矽肺病人员进行赔偿，保证病人的正常生活</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矽肺病人员的满意度</w:t>
            </w:r>
          </w:p>
        </w:tc>
        <w:tc>
          <w:tcPr>
            <w:tcW w:w="5386" w:type="dxa"/>
            <w:vAlign w:val="center"/>
          </w:tcPr>
          <w:p>
            <w:pPr>
              <w:pStyle w:val="14"/>
            </w:pPr>
            <w:r>
              <w:t>调查中满意和较满意的矽肺病人数占全部调查人数的比率</w:t>
            </w:r>
          </w:p>
        </w:tc>
        <w:tc>
          <w:tcPr>
            <w:tcW w:w="2268" w:type="dxa"/>
            <w:vAlign w:val="center"/>
          </w:tcPr>
          <w:p>
            <w:pPr>
              <w:pStyle w:val="14"/>
            </w:pPr>
            <w:r>
              <w:t>≥95%</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31、疫情防控资金【防控物资采购】绩效目标表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13032123P00001410008A</w:t>
            </w:r>
          </w:p>
        </w:tc>
        <w:tc>
          <w:tcPr>
            <w:tcW w:w="2835" w:type="dxa"/>
            <w:vAlign w:val="center"/>
          </w:tcPr>
          <w:p>
            <w:pPr>
              <w:pStyle w:val="12"/>
            </w:pPr>
            <w:r>
              <w:t>项目名称</w:t>
            </w:r>
          </w:p>
        </w:tc>
        <w:tc>
          <w:tcPr>
            <w:tcW w:w="6094" w:type="dxa"/>
            <w:gridSpan w:val="3"/>
            <w:vAlign w:val="center"/>
          </w:tcPr>
          <w:p>
            <w:pPr>
              <w:pStyle w:val="14"/>
            </w:pPr>
            <w:r>
              <w:t>疫情防控资金【防控物资采购】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190.00</w:t>
            </w:r>
          </w:p>
        </w:tc>
        <w:tc>
          <w:tcPr>
            <w:tcW w:w="2835" w:type="dxa"/>
            <w:vAlign w:val="center"/>
          </w:tcPr>
          <w:p>
            <w:pPr>
              <w:pStyle w:val="12"/>
            </w:pPr>
            <w:r>
              <w:t>其中：财政    资金</w:t>
            </w:r>
          </w:p>
        </w:tc>
        <w:tc>
          <w:tcPr>
            <w:tcW w:w="2551" w:type="dxa"/>
            <w:vAlign w:val="center"/>
          </w:tcPr>
          <w:p>
            <w:pPr>
              <w:pStyle w:val="14"/>
            </w:pPr>
            <w:r>
              <w:t>190.00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预算安排190万元，其中，财政资金190万元，主要用于偿还疫情防控物资费用。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100</w:t>
            </w:r>
          </w:p>
        </w:tc>
        <w:tc>
          <w:tcPr>
            <w:tcW w:w="2835" w:type="dxa"/>
            <w:vAlign w:val="center"/>
          </w:tcPr>
          <w:p>
            <w:pPr>
              <w:pStyle w:val="15"/>
            </w:pPr>
            <w:r>
              <w:rPr>
                <w:rFonts w:hint="eastAsia" w:asciiTheme="minorEastAsia" w:hAnsiTheme="minorEastAsia" w:eastAsiaTheme="minorEastAsia"/>
                <w:lang w:eastAsia="zh-CN"/>
              </w:rPr>
              <w:t>100</w:t>
            </w:r>
          </w:p>
        </w:tc>
        <w:tc>
          <w:tcPr>
            <w:tcW w:w="2551" w:type="dxa"/>
            <w:vAlign w:val="center"/>
          </w:tcPr>
          <w:p>
            <w:pPr>
              <w:pStyle w:val="15"/>
            </w:pPr>
            <w:r>
              <w:rPr>
                <w:rFonts w:hint="eastAsia" w:asciiTheme="minorEastAsia" w:hAnsiTheme="minorEastAsia" w:eastAsiaTheme="minorEastAsia"/>
                <w:lang w:eastAsia="zh-CN"/>
              </w:rPr>
              <w:t>100</w:t>
            </w:r>
          </w:p>
        </w:tc>
        <w:tc>
          <w:tcPr>
            <w:tcW w:w="3543"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1.通过及时偿还疫情防控物资费用，保证保供企业正常运转。</w:t>
            </w:r>
            <w:r>
              <w:tab/>
            </w:r>
            <w:r>
              <w:tab/>
            </w:r>
            <w:r>
              <w:tab/>
            </w:r>
            <w:r>
              <w:tab/>
            </w:r>
            <w:r>
              <w:tab/>
            </w:r>
            <w:r>
              <w:tab/>
            </w:r>
          </w:p>
          <w:p>
            <w:pPr>
              <w:pStyle w:val="14"/>
            </w:pPr>
            <w:r>
              <w:t>2.通过及时采购物资，保障防控物资及时供应，早日战胜了疫情。</w:t>
            </w:r>
            <w:r>
              <w:tab/>
            </w:r>
            <w:r>
              <w:tab/>
            </w:r>
            <w:r>
              <w:tab/>
            </w:r>
            <w:r>
              <w:tab/>
            </w:r>
            <w:r>
              <w:tab/>
            </w:r>
            <w:r>
              <w:tab/>
            </w:r>
          </w:p>
          <w:p>
            <w:pPr>
              <w:pStyle w:val="14"/>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偿还企业数量</w:t>
            </w:r>
          </w:p>
        </w:tc>
        <w:tc>
          <w:tcPr>
            <w:tcW w:w="5386" w:type="dxa"/>
            <w:vAlign w:val="center"/>
          </w:tcPr>
          <w:p>
            <w:pPr>
              <w:pStyle w:val="14"/>
            </w:pPr>
            <w:r>
              <w:t>我县疫情因防控物资储备需偿还企业数量</w:t>
            </w:r>
          </w:p>
        </w:tc>
        <w:tc>
          <w:tcPr>
            <w:tcW w:w="2268" w:type="dxa"/>
            <w:vAlign w:val="center"/>
          </w:tcPr>
          <w:p>
            <w:pPr>
              <w:pStyle w:val="14"/>
            </w:pPr>
            <w:r>
              <w:t>1家</w:t>
            </w:r>
          </w:p>
        </w:tc>
        <w:tc>
          <w:tcPr>
            <w:tcW w:w="1276" w:type="dxa"/>
            <w:vAlign w:val="center"/>
          </w:tcPr>
          <w:p>
            <w:pPr>
              <w:pStyle w:val="14"/>
            </w:pPr>
            <w:r>
              <w:t>关于拨付新冠疫情防控资金的申请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防控物资达标率</w:t>
            </w:r>
          </w:p>
        </w:tc>
        <w:tc>
          <w:tcPr>
            <w:tcW w:w="5386" w:type="dxa"/>
            <w:vAlign w:val="center"/>
          </w:tcPr>
          <w:p>
            <w:pPr>
              <w:pStyle w:val="14"/>
            </w:pPr>
            <w:r>
              <w:t>购买防控物资质量达到符合标准</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防控物资发放及时率</w:t>
            </w:r>
          </w:p>
        </w:tc>
        <w:tc>
          <w:tcPr>
            <w:tcW w:w="5386" w:type="dxa"/>
            <w:vAlign w:val="center"/>
          </w:tcPr>
          <w:p>
            <w:pPr>
              <w:pStyle w:val="14"/>
            </w:pPr>
            <w:r>
              <w:t>发放防控物资及时情况</w:t>
            </w:r>
          </w:p>
        </w:tc>
        <w:tc>
          <w:tcPr>
            <w:tcW w:w="2268" w:type="dxa"/>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防控物资成本</w:t>
            </w:r>
          </w:p>
        </w:tc>
        <w:tc>
          <w:tcPr>
            <w:tcW w:w="5386" w:type="dxa"/>
            <w:vAlign w:val="center"/>
          </w:tcPr>
          <w:p>
            <w:pPr>
              <w:pStyle w:val="14"/>
            </w:pPr>
            <w:r>
              <w:t>本次紧急申请防控物资总成本</w:t>
            </w:r>
          </w:p>
        </w:tc>
        <w:tc>
          <w:tcPr>
            <w:tcW w:w="2268" w:type="dxa"/>
            <w:vAlign w:val="center"/>
          </w:tcPr>
          <w:p>
            <w:pPr>
              <w:pStyle w:val="14"/>
            </w:pPr>
            <w:r>
              <w:t>190万元</w:t>
            </w:r>
          </w:p>
        </w:tc>
        <w:tc>
          <w:tcPr>
            <w:tcW w:w="1276" w:type="dxa"/>
            <w:vAlign w:val="center"/>
          </w:tcPr>
          <w:p>
            <w:pPr>
              <w:pStyle w:val="14"/>
            </w:pPr>
            <w:r>
              <w:t>关于拨付新冠疫情防控资金的申请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保障居民正常生活</w:t>
            </w:r>
          </w:p>
        </w:tc>
        <w:tc>
          <w:tcPr>
            <w:tcW w:w="5386" w:type="dxa"/>
            <w:vAlign w:val="center"/>
          </w:tcPr>
          <w:p>
            <w:pPr>
              <w:pStyle w:val="14"/>
            </w:pPr>
            <w:r>
              <w:t>疫情有效控制</w:t>
            </w:r>
          </w:p>
        </w:tc>
        <w:tc>
          <w:tcPr>
            <w:tcW w:w="2268" w:type="dxa"/>
            <w:vAlign w:val="center"/>
          </w:tcPr>
          <w:p>
            <w:pPr>
              <w:pStyle w:val="14"/>
            </w:pPr>
            <w:r>
              <w:t>≥80%</w:t>
            </w:r>
          </w:p>
        </w:tc>
        <w:tc>
          <w:tcPr>
            <w:tcW w:w="1276" w:type="dxa"/>
            <w:vAlign w:val="center"/>
          </w:tcPr>
          <w:p>
            <w:pPr>
              <w:pStyle w:val="14"/>
            </w:pPr>
            <w:r>
              <w:t>关于拨付新冠疫情防控资金的申请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控制疫情，恢复我县经济运行</w:t>
            </w:r>
          </w:p>
        </w:tc>
        <w:tc>
          <w:tcPr>
            <w:tcW w:w="5386" w:type="dxa"/>
            <w:vAlign w:val="center"/>
          </w:tcPr>
          <w:p>
            <w:pPr>
              <w:pStyle w:val="14"/>
            </w:pPr>
            <w:r>
              <w:t>通过及时应对疫情，及时控制疫情，恢复我县经济运行</w:t>
            </w:r>
          </w:p>
        </w:tc>
        <w:tc>
          <w:tcPr>
            <w:tcW w:w="2268" w:type="dxa"/>
            <w:vAlign w:val="center"/>
          </w:tcPr>
          <w:p>
            <w:pPr>
              <w:pStyle w:val="14"/>
            </w:pPr>
            <w:r>
              <w:t>≥90%</w:t>
            </w:r>
          </w:p>
        </w:tc>
        <w:tc>
          <w:tcPr>
            <w:tcW w:w="1276" w:type="dxa"/>
            <w:vAlign w:val="center"/>
          </w:tcPr>
          <w:p>
            <w:pPr>
              <w:pStyle w:val="14"/>
            </w:pPr>
            <w:r>
              <w:t>关于拨付新冠疫情防控资金的申请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做好疫情防控工作</w:t>
            </w:r>
          </w:p>
        </w:tc>
        <w:tc>
          <w:tcPr>
            <w:tcW w:w="5386" w:type="dxa"/>
            <w:vAlign w:val="center"/>
          </w:tcPr>
          <w:p>
            <w:pPr>
              <w:pStyle w:val="14"/>
            </w:pPr>
            <w:r>
              <w:t>保障县内可持续发展</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保障企业持续发展，提高经济效益</w:t>
            </w:r>
          </w:p>
        </w:tc>
        <w:tc>
          <w:tcPr>
            <w:tcW w:w="5386" w:type="dxa"/>
            <w:vAlign w:val="center"/>
          </w:tcPr>
          <w:p>
            <w:pPr>
              <w:pStyle w:val="14"/>
            </w:pPr>
            <w:r>
              <w:t>及时偿还保供企业疫情防控资金，保障企业持续发展，提高经济效益</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调查中满意和较满意的企业数占调查总企业数的比率企业满意度</w:t>
            </w:r>
          </w:p>
        </w:tc>
        <w:tc>
          <w:tcPr>
            <w:tcW w:w="2268" w:type="dxa"/>
            <w:vAlign w:val="center"/>
          </w:tcPr>
          <w:p>
            <w:pPr>
              <w:pStyle w:val="14"/>
            </w:pPr>
            <w:r>
              <w:t>≥90%</w:t>
            </w:r>
          </w:p>
        </w:tc>
        <w:tc>
          <w:tcPr>
            <w:tcW w:w="1276" w:type="dxa"/>
            <w:vAlign w:val="center"/>
          </w:tcPr>
          <w:p>
            <w:pPr>
              <w:pStyle w:val="14"/>
            </w:pPr>
            <w:r>
              <w:t>实际调查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调查中满意和较满意的群众数占调查总群众数的比率</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32、营商办工作经费绩效目标表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13032123P003384100297</w:t>
            </w:r>
          </w:p>
        </w:tc>
        <w:tc>
          <w:tcPr>
            <w:tcW w:w="2835" w:type="dxa"/>
            <w:vAlign w:val="center"/>
          </w:tcPr>
          <w:p>
            <w:pPr>
              <w:pStyle w:val="12"/>
            </w:pPr>
            <w:r>
              <w:t>项目名称</w:t>
            </w:r>
          </w:p>
        </w:tc>
        <w:tc>
          <w:tcPr>
            <w:tcW w:w="6094" w:type="dxa"/>
            <w:gridSpan w:val="3"/>
            <w:vAlign w:val="center"/>
          </w:tcPr>
          <w:p>
            <w:pPr>
              <w:pStyle w:val="14"/>
            </w:pPr>
            <w:r>
              <w:t>营商办工作经费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预算安排10万元，其中财政资金10万元，主要用于营商办日常项目工作经费。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3"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1.通过进行市场满意度调查，增强市场主体满意度，促进县域经济发展。</w:t>
            </w:r>
            <w:r>
              <w:tab/>
            </w:r>
            <w:r>
              <w:tab/>
            </w:r>
            <w:r>
              <w:tab/>
            </w:r>
            <w:r>
              <w:tab/>
            </w:r>
            <w:r>
              <w:tab/>
            </w:r>
            <w:r>
              <w:tab/>
            </w:r>
          </w:p>
          <w:p>
            <w:pPr>
              <w:pStyle w:val="14"/>
            </w:pPr>
          </w:p>
          <w:p>
            <w:pPr>
              <w:pStyle w:val="14"/>
            </w:pPr>
            <w:r>
              <w:t>2.通过日常工作有序开展，推动营商环境持续优化。</w:t>
            </w:r>
            <w:r>
              <w:tab/>
            </w:r>
            <w:r>
              <w:tab/>
            </w:r>
            <w:r>
              <w:tab/>
            </w:r>
            <w:r>
              <w:tab/>
            </w:r>
            <w:r>
              <w:tab/>
            </w:r>
            <w:r>
              <w:tab/>
            </w:r>
          </w:p>
          <w:p>
            <w:pPr>
              <w:pStyle w:val="14"/>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营商办人数</w:t>
            </w:r>
          </w:p>
        </w:tc>
        <w:tc>
          <w:tcPr>
            <w:tcW w:w="5386" w:type="dxa"/>
            <w:vAlign w:val="center"/>
          </w:tcPr>
          <w:p>
            <w:pPr>
              <w:pStyle w:val="14"/>
            </w:pPr>
            <w:r>
              <w:t>营商办日常办公人数</w:t>
            </w:r>
          </w:p>
        </w:tc>
        <w:tc>
          <w:tcPr>
            <w:tcW w:w="2268" w:type="dxa"/>
            <w:vAlign w:val="center"/>
          </w:tcPr>
          <w:p>
            <w:pPr>
              <w:pStyle w:val="14"/>
            </w:pPr>
            <w:r>
              <w:t>10人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营商环境满意度调查次数</w:t>
            </w:r>
          </w:p>
        </w:tc>
        <w:tc>
          <w:tcPr>
            <w:tcW w:w="5386" w:type="dxa"/>
            <w:vAlign w:val="center"/>
          </w:tcPr>
          <w:p>
            <w:pPr>
              <w:pStyle w:val="14"/>
            </w:pPr>
            <w:r>
              <w:t>2023年营商环境满意度调查次数</w:t>
            </w:r>
          </w:p>
        </w:tc>
        <w:tc>
          <w:tcPr>
            <w:tcW w:w="2268" w:type="dxa"/>
            <w:vAlign w:val="center"/>
          </w:tcPr>
          <w:p>
            <w:pPr>
              <w:pStyle w:val="14"/>
            </w:pPr>
            <w:r>
              <w:t>2次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营商环境满意度调查主体企业数量</w:t>
            </w:r>
          </w:p>
        </w:tc>
        <w:tc>
          <w:tcPr>
            <w:tcW w:w="5386" w:type="dxa"/>
            <w:vAlign w:val="center"/>
          </w:tcPr>
          <w:p>
            <w:pPr>
              <w:pStyle w:val="14"/>
            </w:pPr>
            <w:r>
              <w:t>2023年度营商环境满意度调查主体企业数量</w:t>
            </w:r>
          </w:p>
        </w:tc>
        <w:tc>
          <w:tcPr>
            <w:tcW w:w="2268" w:type="dxa"/>
            <w:vAlign w:val="center"/>
          </w:tcPr>
          <w:p>
            <w:pPr>
              <w:pStyle w:val="14"/>
            </w:pPr>
            <w:r>
              <w:t>≥1000家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购买办公用品达标率</w:t>
            </w:r>
          </w:p>
        </w:tc>
        <w:tc>
          <w:tcPr>
            <w:tcW w:w="5386" w:type="dxa"/>
            <w:vAlign w:val="center"/>
          </w:tcPr>
          <w:p>
            <w:pPr>
              <w:pStyle w:val="14"/>
            </w:pPr>
            <w:r>
              <w:t>购买办公用品达标率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印刷费用</w:t>
            </w:r>
          </w:p>
        </w:tc>
        <w:tc>
          <w:tcPr>
            <w:tcW w:w="5386" w:type="dxa"/>
            <w:vAlign w:val="center"/>
          </w:tcPr>
          <w:p>
            <w:pPr>
              <w:pStyle w:val="14"/>
            </w:pPr>
            <w:r>
              <w:t>营商办印刷各类调查问卷、政策宣传品费用</w:t>
            </w:r>
          </w:p>
        </w:tc>
        <w:tc>
          <w:tcPr>
            <w:tcW w:w="2268" w:type="dxa"/>
            <w:vAlign w:val="center"/>
          </w:tcPr>
          <w:p>
            <w:pPr>
              <w:pStyle w:val="14"/>
            </w:pPr>
            <w:r>
              <w:t>≤3万元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电脑耗材成本</w:t>
            </w:r>
          </w:p>
        </w:tc>
        <w:tc>
          <w:tcPr>
            <w:tcW w:w="5386" w:type="dxa"/>
            <w:vAlign w:val="center"/>
          </w:tcPr>
          <w:p>
            <w:pPr>
              <w:pStyle w:val="14"/>
            </w:pPr>
            <w:r>
              <w:t>营商办年度电脑耗材成本</w:t>
            </w:r>
          </w:p>
        </w:tc>
        <w:tc>
          <w:tcPr>
            <w:tcW w:w="2268" w:type="dxa"/>
            <w:vAlign w:val="center"/>
          </w:tcPr>
          <w:p>
            <w:pPr>
              <w:pStyle w:val="14"/>
            </w:pPr>
            <w:r>
              <w:t>≤3万元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办公费成本</w:t>
            </w:r>
          </w:p>
        </w:tc>
        <w:tc>
          <w:tcPr>
            <w:tcW w:w="5386" w:type="dxa"/>
            <w:vAlign w:val="center"/>
          </w:tcPr>
          <w:p>
            <w:pPr>
              <w:pStyle w:val="14"/>
            </w:pPr>
            <w:r>
              <w:t>笔、墨、纸张等日常办公成本</w:t>
            </w:r>
          </w:p>
        </w:tc>
        <w:tc>
          <w:tcPr>
            <w:tcW w:w="2268" w:type="dxa"/>
            <w:vAlign w:val="center"/>
          </w:tcPr>
          <w:p>
            <w:pPr>
              <w:pStyle w:val="14"/>
            </w:pPr>
            <w:r>
              <w:t>≤4万元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购买时间</w:t>
            </w:r>
          </w:p>
        </w:tc>
        <w:tc>
          <w:tcPr>
            <w:tcW w:w="5386" w:type="dxa"/>
            <w:vAlign w:val="center"/>
          </w:tcPr>
          <w:p>
            <w:pPr>
              <w:pStyle w:val="14"/>
            </w:pPr>
            <w:r>
              <w:t>购买办公用品到位时间</w:t>
            </w:r>
          </w:p>
        </w:tc>
        <w:tc>
          <w:tcPr>
            <w:tcW w:w="2268" w:type="dxa"/>
            <w:vAlign w:val="center"/>
          </w:tcPr>
          <w:p>
            <w:pPr>
              <w:pStyle w:val="14"/>
            </w:pPr>
            <w:r>
              <w:t>2023年度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推动营商环境持续优化</w:t>
            </w:r>
          </w:p>
        </w:tc>
        <w:tc>
          <w:tcPr>
            <w:tcW w:w="5386" w:type="dxa"/>
            <w:vAlign w:val="center"/>
          </w:tcPr>
          <w:p>
            <w:pPr>
              <w:pStyle w:val="14"/>
            </w:pPr>
            <w:r>
              <w:t>通过日常工作有序开展，推动营商环境持续优化。</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促进县域经济发展</w:t>
            </w:r>
          </w:p>
        </w:tc>
        <w:tc>
          <w:tcPr>
            <w:tcW w:w="5386" w:type="dxa"/>
            <w:vAlign w:val="center"/>
          </w:tcPr>
          <w:p>
            <w:pPr>
              <w:pStyle w:val="14"/>
            </w:pPr>
            <w:r>
              <w:t>通过进行市场满意度调查，增强市场主体满意度，持续推进县域经济发展。</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通过问卷调查，满意和基本满意的职工占所有调查职工的比例</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33、原民爆公司遗留问题费用绩效目标表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13032123P003385100746</w:t>
            </w:r>
          </w:p>
        </w:tc>
        <w:tc>
          <w:tcPr>
            <w:tcW w:w="2835" w:type="dxa"/>
            <w:vAlign w:val="center"/>
          </w:tcPr>
          <w:p>
            <w:pPr>
              <w:pStyle w:val="12"/>
            </w:pPr>
            <w:r>
              <w:t>项目名称</w:t>
            </w:r>
          </w:p>
        </w:tc>
        <w:tc>
          <w:tcPr>
            <w:tcW w:w="6094" w:type="dxa"/>
            <w:gridSpan w:val="3"/>
            <w:vAlign w:val="center"/>
          </w:tcPr>
          <w:p>
            <w:pPr>
              <w:pStyle w:val="14"/>
            </w:pPr>
            <w:r>
              <w:t>原民爆公司遗留问题费用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w:t>
            </w:r>
          </w:p>
        </w:tc>
        <w:tc>
          <w:tcPr>
            <w:tcW w:w="2835" w:type="dxa"/>
            <w:vAlign w:val="center"/>
          </w:tcPr>
          <w:p>
            <w:pPr>
              <w:pStyle w:val="12"/>
            </w:pPr>
            <w:r>
              <w:t>其中：财政    资金</w:t>
            </w:r>
          </w:p>
        </w:tc>
        <w:tc>
          <w:tcPr>
            <w:tcW w:w="2551" w:type="dxa"/>
            <w:vAlign w:val="center"/>
          </w:tcPr>
          <w:p>
            <w:pPr>
              <w:pStyle w:val="14"/>
            </w:pPr>
            <w:r>
              <w:t>55.00</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预算安排55万元，其中财政资金55万元，主要用于原民爆公司改制土地出让金。</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rPr>
                <w:rFonts w:hint="eastAsia" w:asciiTheme="minorEastAsia" w:hAnsiTheme="minorEastAsia" w:eastAsiaTheme="minorEastAsia"/>
                <w:lang w:eastAsia="zh-CN"/>
              </w:rPr>
              <w:t>100</w:t>
            </w:r>
          </w:p>
        </w:tc>
        <w:tc>
          <w:tcPr>
            <w:tcW w:w="2835" w:type="dxa"/>
            <w:vAlign w:val="center"/>
          </w:tcPr>
          <w:p>
            <w:pPr>
              <w:pStyle w:val="15"/>
            </w:pPr>
            <w:r>
              <w:rPr>
                <w:rFonts w:hint="eastAsia" w:asciiTheme="minorEastAsia" w:hAnsiTheme="minorEastAsia" w:eastAsiaTheme="minorEastAsia"/>
                <w:lang w:eastAsia="zh-CN"/>
              </w:rPr>
              <w:t>100</w:t>
            </w:r>
          </w:p>
        </w:tc>
        <w:tc>
          <w:tcPr>
            <w:tcW w:w="2551" w:type="dxa"/>
            <w:vAlign w:val="center"/>
          </w:tcPr>
          <w:p>
            <w:pPr>
              <w:pStyle w:val="15"/>
            </w:pPr>
            <w:r>
              <w:rPr>
                <w:rFonts w:hint="eastAsia" w:asciiTheme="minorEastAsia" w:hAnsiTheme="minorEastAsia" w:eastAsiaTheme="minorEastAsia"/>
                <w:lang w:eastAsia="zh-CN"/>
              </w:rPr>
              <w:t>100</w:t>
            </w:r>
          </w:p>
        </w:tc>
        <w:tc>
          <w:tcPr>
            <w:tcW w:w="3543"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1.通过付清土地出让金及税费，实现顺利过户。</w:t>
            </w:r>
          </w:p>
          <w:p>
            <w:pPr>
              <w:pStyle w:val="14"/>
            </w:pPr>
            <w:r>
              <w:t>2.通过付清原民爆公司原外欠债务，实现维护社会稳定。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还清遗留问题个数</w:t>
            </w:r>
          </w:p>
        </w:tc>
        <w:tc>
          <w:tcPr>
            <w:tcW w:w="5386" w:type="dxa"/>
            <w:vAlign w:val="center"/>
          </w:tcPr>
          <w:p>
            <w:pPr>
              <w:pStyle w:val="14"/>
            </w:pPr>
            <w:r>
              <w:t>外欠遗留问题</w:t>
            </w:r>
          </w:p>
        </w:tc>
        <w:tc>
          <w:tcPr>
            <w:tcW w:w="2268" w:type="dxa"/>
            <w:vAlign w:val="center"/>
          </w:tcPr>
          <w:p>
            <w:pPr>
              <w:pStyle w:val="14"/>
            </w:pPr>
            <w:r>
              <w:t>2个</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支付准确率</w:t>
            </w:r>
          </w:p>
        </w:tc>
        <w:tc>
          <w:tcPr>
            <w:tcW w:w="5386" w:type="dxa"/>
            <w:vAlign w:val="center"/>
          </w:tcPr>
          <w:p>
            <w:pPr>
              <w:pStyle w:val="14"/>
            </w:pPr>
            <w:r>
              <w:t>反映准确偿还债务情况准确率</w:t>
            </w:r>
          </w:p>
        </w:tc>
        <w:tc>
          <w:tcPr>
            <w:tcW w:w="2268" w:type="dxa"/>
            <w:vAlign w:val="center"/>
          </w:tcPr>
          <w:p>
            <w:pPr>
              <w:pStyle w:val="14"/>
            </w:pPr>
            <w:r>
              <w:t>100%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债务偿还时限</w:t>
            </w:r>
          </w:p>
        </w:tc>
        <w:tc>
          <w:tcPr>
            <w:tcW w:w="5386" w:type="dxa"/>
            <w:vAlign w:val="center"/>
          </w:tcPr>
          <w:p>
            <w:pPr>
              <w:pStyle w:val="14"/>
            </w:pPr>
            <w:r>
              <w:t>偿还最晚时限</w:t>
            </w:r>
          </w:p>
        </w:tc>
        <w:tc>
          <w:tcPr>
            <w:tcW w:w="2268" w:type="dxa"/>
            <w:vAlign w:val="center"/>
          </w:tcPr>
          <w:p>
            <w:pPr>
              <w:pStyle w:val="14"/>
            </w:pPr>
            <w:r>
              <w:t>2024年</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债务偿还及时性</w:t>
            </w:r>
          </w:p>
        </w:tc>
        <w:tc>
          <w:tcPr>
            <w:tcW w:w="5386" w:type="dxa"/>
            <w:vAlign w:val="center"/>
          </w:tcPr>
          <w:p>
            <w:pPr>
              <w:pStyle w:val="14"/>
            </w:pPr>
            <w:r>
              <w:t>反映及时偿还各项债务情况</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土地出让金及税费金额</w:t>
            </w:r>
          </w:p>
        </w:tc>
        <w:tc>
          <w:tcPr>
            <w:tcW w:w="5386" w:type="dxa"/>
            <w:vAlign w:val="center"/>
          </w:tcPr>
          <w:p>
            <w:pPr>
              <w:pStyle w:val="14"/>
            </w:pPr>
            <w:r>
              <w:t>土地出让金及税费</w:t>
            </w:r>
          </w:p>
        </w:tc>
        <w:tc>
          <w:tcPr>
            <w:tcW w:w="2268" w:type="dxa"/>
            <w:vAlign w:val="center"/>
          </w:tcPr>
          <w:p>
            <w:pPr>
              <w:pStyle w:val="14"/>
            </w:pPr>
            <w:r>
              <w:t>≤55万元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通过及时偿还债务促进社会稳定水平逐步提高</w:t>
            </w:r>
          </w:p>
        </w:tc>
        <w:tc>
          <w:tcPr>
            <w:tcW w:w="2268" w:type="dxa"/>
            <w:vAlign w:val="center"/>
          </w:tcPr>
          <w:p>
            <w:pPr>
              <w:pStyle w:val="14"/>
            </w:pPr>
            <w:r>
              <w:t>≥1%</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增加税收收入</w:t>
            </w:r>
          </w:p>
        </w:tc>
        <w:tc>
          <w:tcPr>
            <w:tcW w:w="5386" w:type="dxa"/>
            <w:vAlign w:val="center"/>
          </w:tcPr>
          <w:p>
            <w:pPr>
              <w:pStyle w:val="14"/>
            </w:pPr>
            <w:r>
              <w:t>原民爆公司拍卖增加政府土地出让金及税费收入增加</w:t>
            </w:r>
          </w:p>
        </w:tc>
        <w:tc>
          <w:tcPr>
            <w:tcW w:w="2268" w:type="dxa"/>
            <w:vAlign w:val="center"/>
          </w:tcPr>
          <w:p>
            <w:pPr>
              <w:pStyle w:val="14"/>
            </w:pPr>
            <w:r>
              <w:t>≤274万元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实际调查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企业满意数量占总数的比例。</w:t>
            </w:r>
          </w:p>
        </w:tc>
        <w:tc>
          <w:tcPr>
            <w:tcW w:w="2268" w:type="dxa"/>
            <w:vAlign w:val="center"/>
          </w:tcPr>
          <w:p>
            <w:pPr>
              <w:pStyle w:val="14"/>
            </w:pPr>
            <w:r>
              <w:t>100%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34、中小企业扶持资金绩效目标表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13032123P00338510073J</w:t>
            </w:r>
          </w:p>
        </w:tc>
        <w:tc>
          <w:tcPr>
            <w:tcW w:w="2835" w:type="dxa"/>
            <w:vAlign w:val="center"/>
          </w:tcPr>
          <w:p>
            <w:pPr>
              <w:pStyle w:val="12"/>
            </w:pPr>
            <w:r>
              <w:t>项目名称</w:t>
            </w:r>
          </w:p>
        </w:tc>
        <w:tc>
          <w:tcPr>
            <w:tcW w:w="6094" w:type="dxa"/>
            <w:gridSpan w:val="3"/>
            <w:vAlign w:val="center"/>
          </w:tcPr>
          <w:p>
            <w:pPr>
              <w:pStyle w:val="14"/>
            </w:pPr>
            <w:r>
              <w:t>中小企业扶持资金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304.76</w:t>
            </w:r>
          </w:p>
        </w:tc>
        <w:tc>
          <w:tcPr>
            <w:tcW w:w="2835" w:type="dxa"/>
            <w:vAlign w:val="center"/>
          </w:tcPr>
          <w:p>
            <w:pPr>
              <w:pStyle w:val="12"/>
            </w:pPr>
            <w:r>
              <w:t>其中：财政    资金</w:t>
            </w:r>
          </w:p>
        </w:tc>
        <w:tc>
          <w:tcPr>
            <w:tcW w:w="2551" w:type="dxa"/>
            <w:vAlign w:val="center"/>
          </w:tcPr>
          <w:p>
            <w:pPr>
              <w:pStyle w:val="14"/>
            </w:pPr>
            <w:r>
              <w:t>304.76</w:t>
            </w:r>
          </w:p>
        </w:tc>
        <w:tc>
          <w:tcPr>
            <w:tcW w:w="2268" w:type="dxa"/>
            <w:vAlign w:val="center"/>
          </w:tcPr>
          <w:p>
            <w:pPr>
              <w:pStyle w:val="12"/>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预算安排4.47641万元，其中财政资金4.7641万元，主要用于中小企业扶持资金支出。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rPr>
                <w:rFonts w:hint="eastAsia" w:asciiTheme="minorEastAsia" w:hAnsiTheme="minorEastAsia" w:eastAsiaTheme="minorEastAsia"/>
                <w:lang w:eastAsia="zh-CN"/>
              </w:rPr>
              <w:t>100</w:t>
            </w:r>
          </w:p>
        </w:tc>
        <w:tc>
          <w:tcPr>
            <w:tcW w:w="2835" w:type="dxa"/>
            <w:vAlign w:val="center"/>
          </w:tcPr>
          <w:p>
            <w:pPr>
              <w:pStyle w:val="15"/>
            </w:pPr>
            <w:r>
              <w:rPr>
                <w:rFonts w:hint="eastAsia" w:asciiTheme="minorEastAsia" w:hAnsiTheme="minorEastAsia" w:eastAsiaTheme="minorEastAsia"/>
                <w:lang w:eastAsia="zh-CN"/>
              </w:rPr>
              <w:t>100</w:t>
            </w:r>
          </w:p>
        </w:tc>
        <w:tc>
          <w:tcPr>
            <w:tcW w:w="2551" w:type="dxa"/>
            <w:vAlign w:val="center"/>
          </w:tcPr>
          <w:p>
            <w:pPr>
              <w:pStyle w:val="15"/>
            </w:pPr>
            <w:r>
              <w:rPr>
                <w:rFonts w:hint="eastAsia" w:asciiTheme="minorEastAsia" w:hAnsiTheme="minorEastAsia" w:eastAsiaTheme="minorEastAsia"/>
                <w:lang w:eastAsia="zh-CN"/>
              </w:rPr>
              <w:t>100</w:t>
            </w:r>
          </w:p>
        </w:tc>
        <w:tc>
          <w:tcPr>
            <w:tcW w:w="3543" w:type="dxa"/>
            <w:gridSpan w:val="2"/>
            <w:vAlign w:val="center"/>
          </w:tcPr>
          <w:p>
            <w:pPr>
              <w:pStyle w:val="15"/>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1.通过为中小、民营企业提供的公共服务，提高融资担保规模，全县中小和民营企业规模数量及效益水平明显改善。</w:t>
            </w:r>
          </w:p>
          <w:p>
            <w:pPr>
              <w:pStyle w:val="14"/>
            </w:pPr>
            <w:r>
              <w:t>2.通过为中小企业提供专项资金和家庭手工业专项资金支持，促进企业减负，提升从业人员水平。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提供服务数量</w:t>
            </w:r>
          </w:p>
        </w:tc>
        <w:tc>
          <w:tcPr>
            <w:tcW w:w="5386" w:type="dxa"/>
            <w:vAlign w:val="center"/>
          </w:tcPr>
          <w:p>
            <w:pPr>
              <w:pStyle w:val="14"/>
            </w:pPr>
            <w:r>
              <w:t>为中小、民营企业提供的中小企业“订单式”服务数量</w:t>
            </w:r>
          </w:p>
        </w:tc>
        <w:tc>
          <w:tcPr>
            <w:tcW w:w="2268" w:type="dxa"/>
            <w:vAlign w:val="center"/>
          </w:tcPr>
          <w:p>
            <w:pPr>
              <w:pStyle w:val="14"/>
            </w:pPr>
            <w:r>
              <w:t>≥2家</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申请专项资金企业数量</w:t>
            </w:r>
          </w:p>
        </w:tc>
        <w:tc>
          <w:tcPr>
            <w:tcW w:w="5386" w:type="dxa"/>
            <w:vAlign w:val="center"/>
          </w:tcPr>
          <w:p>
            <w:pPr>
              <w:pStyle w:val="14"/>
            </w:pPr>
            <w:r>
              <w:t>发放中小企业专项资金企业数量</w:t>
            </w:r>
          </w:p>
        </w:tc>
        <w:tc>
          <w:tcPr>
            <w:tcW w:w="2268" w:type="dxa"/>
            <w:vAlign w:val="center"/>
          </w:tcPr>
          <w:p>
            <w:pPr>
              <w:pStyle w:val="14"/>
            </w:pPr>
            <w:r>
              <w:t>≥3家</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申请专项资金家庭数量</w:t>
            </w:r>
          </w:p>
        </w:tc>
        <w:tc>
          <w:tcPr>
            <w:tcW w:w="5386" w:type="dxa"/>
            <w:vAlign w:val="center"/>
          </w:tcPr>
          <w:p>
            <w:pPr>
              <w:pStyle w:val="14"/>
            </w:pPr>
            <w:r>
              <w:t>发放家庭手工业专项资金家庭数量</w:t>
            </w:r>
          </w:p>
        </w:tc>
        <w:tc>
          <w:tcPr>
            <w:tcW w:w="2268" w:type="dxa"/>
            <w:vAlign w:val="center"/>
          </w:tcPr>
          <w:p>
            <w:pPr>
              <w:pStyle w:val="14"/>
            </w:pPr>
            <w:r>
              <w:t>≥2家</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增加担保企业规模</w:t>
            </w:r>
          </w:p>
        </w:tc>
        <w:tc>
          <w:tcPr>
            <w:tcW w:w="5386" w:type="dxa"/>
            <w:vAlign w:val="center"/>
          </w:tcPr>
          <w:p>
            <w:pPr>
              <w:pStyle w:val="14"/>
            </w:pPr>
            <w:r>
              <w:t>增加提供担保企业数量</w:t>
            </w:r>
          </w:p>
        </w:tc>
        <w:tc>
          <w:tcPr>
            <w:tcW w:w="2268" w:type="dxa"/>
            <w:vAlign w:val="center"/>
          </w:tcPr>
          <w:p>
            <w:pPr>
              <w:pStyle w:val="14"/>
            </w:pPr>
            <w:r>
              <w:t>≥1家</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支持产业合作活动次数</w:t>
            </w:r>
          </w:p>
        </w:tc>
        <w:tc>
          <w:tcPr>
            <w:tcW w:w="5386" w:type="dxa"/>
            <w:vAlign w:val="center"/>
          </w:tcPr>
          <w:p>
            <w:pPr>
              <w:pStyle w:val="14"/>
            </w:pPr>
            <w:r>
              <w:t>支持县内成长型区域特色产业合作活动次数</w:t>
            </w:r>
          </w:p>
        </w:tc>
        <w:tc>
          <w:tcPr>
            <w:tcW w:w="2268" w:type="dxa"/>
            <w:vAlign w:val="center"/>
          </w:tcPr>
          <w:p>
            <w:pPr>
              <w:pStyle w:val="14"/>
            </w:pPr>
            <w:r>
              <w:t>≥10次</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中小企业“订单式”服务</w:t>
            </w:r>
          </w:p>
        </w:tc>
        <w:tc>
          <w:tcPr>
            <w:tcW w:w="5386" w:type="dxa"/>
            <w:vAlign w:val="center"/>
          </w:tcPr>
          <w:p>
            <w:pPr>
              <w:pStyle w:val="14"/>
            </w:pPr>
            <w:r>
              <w:t>中小企业“订单式”服务活动完成率</w:t>
            </w:r>
          </w:p>
        </w:tc>
        <w:tc>
          <w:tcPr>
            <w:tcW w:w="2268" w:type="dxa"/>
            <w:vAlign w:val="center"/>
          </w:tcPr>
          <w:p>
            <w:pPr>
              <w:pStyle w:val="14"/>
            </w:pPr>
            <w:r>
              <w:t>≥90%</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发放专项资金合规性</w:t>
            </w:r>
          </w:p>
        </w:tc>
        <w:tc>
          <w:tcPr>
            <w:tcW w:w="5386" w:type="dxa"/>
            <w:vAlign w:val="center"/>
          </w:tcPr>
          <w:p>
            <w:pPr>
              <w:pStyle w:val="14"/>
            </w:pPr>
            <w:r>
              <w:t>发放中小企业专项资金和家庭手工业专项资金的申请、发放、监管均符合相应的申报指南及专项资金管理办法</w:t>
            </w:r>
          </w:p>
        </w:tc>
        <w:tc>
          <w:tcPr>
            <w:tcW w:w="2268" w:type="dxa"/>
            <w:vAlign w:val="center"/>
          </w:tcPr>
          <w:p>
            <w:pPr>
              <w:pStyle w:val="14"/>
            </w:pPr>
            <w:r>
              <w:t>≥90%</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不良担保贷款比率</w:t>
            </w:r>
          </w:p>
        </w:tc>
        <w:tc>
          <w:tcPr>
            <w:tcW w:w="5386" w:type="dxa"/>
            <w:vAlign w:val="center"/>
          </w:tcPr>
          <w:p>
            <w:pPr>
              <w:pStyle w:val="14"/>
            </w:pPr>
            <w:r>
              <w:t>不良担保贷款企业占所有担保贷款企业比例</w:t>
            </w:r>
          </w:p>
        </w:tc>
        <w:tc>
          <w:tcPr>
            <w:tcW w:w="2268" w:type="dxa"/>
            <w:vAlign w:val="center"/>
          </w:tcPr>
          <w:p>
            <w:pPr>
              <w:pStyle w:val="14"/>
            </w:pPr>
            <w:r>
              <w:t>≤1%</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认真按照中小企业扶持工作计划年度内完成工作</w:t>
            </w:r>
          </w:p>
        </w:tc>
        <w:tc>
          <w:tcPr>
            <w:tcW w:w="2268" w:type="dxa"/>
            <w:vAlign w:val="center"/>
          </w:tcPr>
          <w:p>
            <w:pPr>
              <w:pStyle w:val="14"/>
            </w:pPr>
            <w:r>
              <w:t>2024年12月前</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组织中小企业对外交流费用</w:t>
            </w:r>
          </w:p>
        </w:tc>
        <w:tc>
          <w:tcPr>
            <w:tcW w:w="5386" w:type="dxa"/>
            <w:vAlign w:val="center"/>
          </w:tcPr>
          <w:p>
            <w:pPr>
              <w:pStyle w:val="14"/>
            </w:pPr>
            <w:r>
              <w:t>组织中小企业对外交流与合作的活动费用</w:t>
            </w:r>
          </w:p>
        </w:tc>
        <w:tc>
          <w:tcPr>
            <w:tcW w:w="2268" w:type="dxa"/>
            <w:vAlign w:val="center"/>
          </w:tcPr>
          <w:p>
            <w:pPr>
              <w:pStyle w:val="14"/>
            </w:pPr>
            <w:r>
              <w:t>≤4.76万元</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企业规模及效益水平</w:t>
            </w:r>
          </w:p>
        </w:tc>
        <w:tc>
          <w:tcPr>
            <w:tcW w:w="5386" w:type="dxa"/>
            <w:vAlign w:val="center"/>
          </w:tcPr>
          <w:p>
            <w:pPr>
              <w:pStyle w:val="14"/>
            </w:pPr>
            <w:r>
              <w:t>全县中小和民营企业规模数量及效益水平</w:t>
            </w:r>
          </w:p>
        </w:tc>
        <w:tc>
          <w:tcPr>
            <w:tcW w:w="2268" w:type="dxa"/>
            <w:vAlign w:val="center"/>
          </w:tcPr>
          <w:p>
            <w:pPr>
              <w:pStyle w:val="14"/>
            </w:pPr>
            <w:r>
              <w:t>≥5%</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企业负担下降</w:t>
            </w:r>
          </w:p>
        </w:tc>
        <w:tc>
          <w:tcPr>
            <w:tcW w:w="5386" w:type="dxa"/>
            <w:vAlign w:val="center"/>
          </w:tcPr>
          <w:p>
            <w:pPr>
              <w:pStyle w:val="14"/>
            </w:pPr>
            <w:r>
              <w:t>对于申领到专项资金的中小企业及家庭手工作坊的负担</w:t>
            </w:r>
          </w:p>
        </w:tc>
        <w:tc>
          <w:tcPr>
            <w:tcW w:w="2268" w:type="dxa"/>
            <w:vAlign w:val="center"/>
          </w:tcPr>
          <w:p>
            <w:pPr>
              <w:pStyle w:val="14"/>
            </w:pPr>
            <w:r>
              <w:t>≥10%</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促进企业持续发展时限</w:t>
            </w:r>
          </w:p>
        </w:tc>
        <w:tc>
          <w:tcPr>
            <w:tcW w:w="5386" w:type="dxa"/>
            <w:vAlign w:val="center"/>
          </w:tcPr>
          <w:p>
            <w:pPr>
              <w:pStyle w:val="14"/>
            </w:pPr>
            <w:r>
              <w:t>不断扩大中小、民营企业及家庭手工作坊的可持续影响，促使企业逐渐发展</w:t>
            </w:r>
          </w:p>
        </w:tc>
        <w:tc>
          <w:tcPr>
            <w:tcW w:w="2268" w:type="dxa"/>
            <w:vAlign w:val="center"/>
          </w:tcPr>
          <w:p>
            <w:pPr>
              <w:pStyle w:val="14"/>
            </w:pPr>
            <w:r>
              <w:t>≥3年</w:t>
            </w:r>
          </w:p>
        </w:tc>
        <w:tc>
          <w:tcPr>
            <w:tcW w:w="1276" w:type="dxa"/>
            <w:vAlign w:val="center"/>
          </w:tcPr>
          <w:p>
            <w:pPr>
              <w:pStyle w:val="14"/>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调查受益企业中满意企业数占全部受益企业数的比率</w:t>
            </w:r>
          </w:p>
        </w:tc>
        <w:tc>
          <w:tcPr>
            <w:tcW w:w="2268" w:type="dxa"/>
            <w:vAlign w:val="center"/>
          </w:tcPr>
          <w:p>
            <w:pPr>
              <w:pStyle w:val="14"/>
            </w:pPr>
            <w:r>
              <w:t>≥95%</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7710"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政府采购金额（当年单位预算安排资金）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青龙满族自治县发展和改革局本级上年末固定资产金额为2746.32万元（详见下表）。本年度拟购置固定资产总额为0.00万元，已按要求列入政府采购预算，详见政府采购预算表。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2746.32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r>
              <w:t>8697.75</w:t>
            </w:r>
          </w:p>
        </w:tc>
        <w:tc>
          <w:tcPr>
            <w:tcW w:w="2835" w:type="dxa"/>
            <w:vAlign w:val="center"/>
          </w:tcPr>
          <w:p>
            <w:pPr>
              <w:pStyle w:val="13"/>
            </w:pPr>
            <w:r>
              <w:t>2204.99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10</w:t>
            </w:r>
          </w:p>
        </w:tc>
        <w:tc>
          <w:tcPr>
            <w:tcW w:w="2835" w:type="dxa"/>
            <w:vAlign w:val="center"/>
          </w:tcPr>
          <w:p>
            <w:pPr>
              <w:pStyle w:val="13"/>
            </w:pPr>
            <w:r>
              <w:t>177.29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401</w:t>
            </w:r>
          </w:p>
        </w:tc>
        <w:tc>
          <w:tcPr>
            <w:tcW w:w="2835" w:type="dxa"/>
            <w:vAlign w:val="center"/>
          </w:tcPr>
          <w:p>
            <w:pPr>
              <w:pStyle w:val="13"/>
            </w:pPr>
            <w:r>
              <w:t>364.04</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246173"/>
      <w:docPartObj>
        <w:docPartGallery w:val="autotext"/>
      </w:docPartObj>
    </w:sdtPr>
    <w:sdtContent>
      <w:p>
        <w:pPr>
          <w:pStyle w:val="2"/>
        </w:pPr>
        <w:r>
          <w:fldChar w:fldCharType="begin"/>
        </w:r>
        <w:r>
          <w:instrText xml:space="preserve"> PAGE   \* MERGEFORMAT </w:instrText>
        </w:r>
        <w:r>
          <w:fldChar w:fldCharType="separate"/>
        </w:r>
        <w:r>
          <w:rPr>
            <w:lang w:val="zh-CN"/>
          </w:rPr>
          <w:t>23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NhNTIyY2YzMjcyNDFmOTg0ODlkODk3ZGNkZGRmNGEifQ=="/>
  </w:docVars>
  <w:rsids>
    <w:rsidRoot w:val="002B4ED5"/>
    <w:rsid w:val="000272FD"/>
    <w:rsid w:val="000B74AD"/>
    <w:rsid w:val="001041B5"/>
    <w:rsid w:val="002A4BE1"/>
    <w:rsid w:val="002B4ED5"/>
    <w:rsid w:val="00321878"/>
    <w:rsid w:val="004C378C"/>
    <w:rsid w:val="005D2EF4"/>
    <w:rsid w:val="00A641FD"/>
    <w:rsid w:val="00AB658A"/>
    <w:rsid w:val="00D00781"/>
    <w:rsid w:val="0DE209FC"/>
    <w:rsid w:val="10B414B8"/>
    <w:rsid w:val="1B053FD3"/>
    <w:rsid w:val="477D67A1"/>
    <w:rsid w:val="4D583754"/>
    <w:rsid w:val="61B53F1F"/>
    <w:rsid w:val="61C7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TOC 2"/>
    <w:basedOn w:val="1"/>
    <w:qFormat/>
    <w:uiPriority w:val="0"/>
    <w:pPr>
      <w:ind w:left="240"/>
    </w:pPr>
  </w:style>
  <w:style w:type="paragraph" w:customStyle="1" w:styleId="32">
    <w:name w:val="TOC 3"/>
    <w:basedOn w:val="1"/>
    <w:qFormat/>
    <w:uiPriority w:val="0"/>
    <w:pPr>
      <w:ind w:left="480"/>
    </w:pPr>
  </w:style>
  <w:style w:type="paragraph" w:customStyle="1" w:styleId="33">
    <w:name w:val="TOC 4"/>
    <w:basedOn w:val="1"/>
    <w:qFormat/>
    <w:uiPriority w:val="0"/>
    <w:pPr>
      <w:ind w:left="720"/>
    </w:pPr>
  </w:style>
  <w:style w:type="paragraph" w:customStyle="1" w:styleId="34">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95</Pages>
  <Words>30173</Words>
  <Characters>36853</Characters>
  <Lines>318</Lines>
  <Paragraphs>89</Paragraphs>
  <TotalTime>30</TotalTime>
  <ScaleCrop>false</ScaleCrop>
  <LinksUpToDate>false</LinksUpToDate>
  <CharactersWithSpaces>37222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2024-02-22T08:57:00Z</dcterms:created>
  <dc:creator>AutoBVT</dc:creator>
  <cp:lastModifiedBy>Administrator</cp:lastModifiedBy>
  <cp:lastPrinted>2024-02-23T00:50:00Z</cp:lastPrinted>
  <dcterms:modified xsi:type="dcterms:W3CDTF">2025-11-20T08:27:32Z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FE64BAA5D5E6490580DD62A8F43F0501_12</vt:lpwstr>
  </property>
</Properties>
</file>