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2158.58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460.00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161.10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65.51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4891.11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2618.58</w:t>
            </w:r>
          </w:p>
        </w:tc>
        <w:tc>
          <w:tcPr>
            <w:tcW w:w="4535" w:type="dxa"/>
            <w:vAlign w:val="center"/>
          </w:tcPr>
          <w:p>
            <w:pPr>
              <w:pStyle w:val="15"/>
            </w:pPr>
            <w:r>
              <w:t>本年支出合计</w:t>
            </w:r>
          </w:p>
        </w:tc>
        <w:tc>
          <w:tcPr>
            <w:tcW w:w="2126" w:type="dxa"/>
            <w:vAlign w:val="center"/>
          </w:tcPr>
          <w:p>
            <w:pPr>
              <w:pStyle w:val="16"/>
            </w:pPr>
            <w:r>
              <w:t>5640.00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3021.42</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5640.00</w:t>
            </w:r>
          </w:p>
        </w:tc>
        <w:tc>
          <w:tcPr>
            <w:tcW w:w="4535" w:type="dxa"/>
            <w:vAlign w:val="center"/>
          </w:tcPr>
          <w:p>
            <w:pPr>
              <w:pStyle w:val="15"/>
            </w:pPr>
            <w:r>
              <w:t>支出总计</w:t>
            </w:r>
          </w:p>
        </w:tc>
        <w:tc>
          <w:tcPr>
            <w:tcW w:w="2126" w:type="dxa"/>
            <w:vAlign w:val="center"/>
          </w:tcPr>
          <w:p>
            <w:pPr>
              <w:pStyle w:val="16"/>
            </w:pPr>
            <w:r>
              <w:t>5640.00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426青龙满族自治县应急管理局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5640.00</w:t>
            </w:r>
          </w:p>
        </w:tc>
        <w:tc>
          <w:tcPr>
            <w:tcW w:w="1134" w:type="dxa"/>
            <w:vAlign w:val="center"/>
          </w:tcPr>
          <w:p>
            <w:pPr>
              <w:pStyle w:val="16"/>
            </w:pPr>
            <w:r>
              <w:t>2618.58</w:t>
            </w:r>
          </w:p>
        </w:tc>
        <w:tc>
          <w:tcPr>
            <w:tcW w:w="1134" w:type="dxa"/>
            <w:vAlign w:val="center"/>
          </w:tcPr>
          <w:p>
            <w:pPr>
              <w:pStyle w:val="16"/>
            </w:pPr>
            <w:r>
              <w:t>2618.58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3021.42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161.10</w:t>
            </w:r>
          </w:p>
        </w:tc>
        <w:tc>
          <w:tcPr>
            <w:tcW w:w="1134" w:type="dxa"/>
            <w:vAlign w:val="center"/>
          </w:tcPr>
          <w:p>
            <w:pPr>
              <w:pStyle w:val="12"/>
            </w:pPr>
            <w:r>
              <w:t>147.54</w:t>
            </w:r>
          </w:p>
        </w:tc>
        <w:tc>
          <w:tcPr>
            <w:tcW w:w="1134" w:type="dxa"/>
            <w:vAlign w:val="center"/>
          </w:tcPr>
          <w:p>
            <w:pPr>
              <w:pStyle w:val="12"/>
            </w:pPr>
            <w:r>
              <w:t>147.54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158.21</w:t>
            </w:r>
          </w:p>
        </w:tc>
        <w:tc>
          <w:tcPr>
            <w:tcW w:w="1134" w:type="dxa"/>
            <w:vAlign w:val="center"/>
          </w:tcPr>
          <w:p>
            <w:pPr>
              <w:pStyle w:val="12"/>
            </w:pPr>
            <w:r>
              <w:t>144.65</w:t>
            </w:r>
          </w:p>
        </w:tc>
        <w:tc>
          <w:tcPr>
            <w:tcW w:w="1134" w:type="dxa"/>
            <w:vAlign w:val="center"/>
          </w:tcPr>
          <w:p>
            <w:pPr>
              <w:pStyle w:val="12"/>
            </w:pPr>
            <w:r>
              <w:t>144.65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39.39</w:t>
            </w:r>
          </w:p>
        </w:tc>
        <w:tc>
          <w:tcPr>
            <w:tcW w:w="1134" w:type="dxa"/>
            <w:vAlign w:val="center"/>
          </w:tcPr>
          <w:p>
            <w:pPr>
              <w:pStyle w:val="12"/>
            </w:pPr>
            <w:r>
              <w:t>39.39</w:t>
            </w:r>
          </w:p>
        </w:tc>
        <w:tc>
          <w:tcPr>
            <w:tcW w:w="1134" w:type="dxa"/>
            <w:vAlign w:val="center"/>
          </w:tcPr>
          <w:p>
            <w:pPr>
              <w:pStyle w:val="12"/>
            </w:pPr>
            <w:r>
              <w:t>39.39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83.66</w:t>
            </w:r>
          </w:p>
        </w:tc>
        <w:tc>
          <w:tcPr>
            <w:tcW w:w="1134" w:type="dxa"/>
            <w:vAlign w:val="center"/>
          </w:tcPr>
          <w:p>
            <w:pPr>
              <w:pStyle w:val="12"/>
            </w:pPr>
            <w:r>
              <w:t>83.57</w:t>
            </w:r>
          </w:p>
        </w:tc>
        <w:tc>
          <w:tcPr>
            <w:tcW w:w="1134" w:type="dxa"/>
            <w:vAlign w:val="center"/>
          </w:tcPr>
          <w:p>
            <w:pPr>
              <w:pStyle w:val="12"/>
            </w:pPr>
            <w:r>
              <w:t>83.57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35.16</w:t>
            </w:r>
          </w:p>
        </w:tc>
        <w:tc>
          <w:tcPr>
            <w:tcW w:w="1134" w:type="dxa"/>
            <w:vAlign w:val="center"/>
          </w:tcPr>
          <w:p>
            <w:pPr>
              <w:pStyle w:val="12"/>
            </w:pPr>
            <w:r>
              <w:t>21.69</w:t>
            </w:r>
          </w:p>
        </w:tc>
        <w:tc>
          <w:tcPr>
            <w:tcW w:w="1134" w:type="dxa"/>
            <w:vAlign w:val="center"/>
          </w:tcPr>
          <w:p>
            <w:pPr>
              <w:pStyle w:val="12"/>
            </w:pPr>
            <w:r>
              <w:t>21.69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2.90</w:t>
            </w:r>
          </w:p>
        </w:tc>
        <w:tc>
          <w:tcPr>
            <w:tcW w:w="1134" w:type="dxa"/>
            <w:vAlign w:val="center"/>
          </w:tcPr>
          <w:p>
            <w:pPr>
              <w:pStyle w:val="12"/>
            </w:pPr>
            <w:r>
              <w:t>2.90</w:t>
            </w:r>
          </w:p>
        </w:tc>
        <w:tc>
          <w:tcPr>
            <w:tcW w:w="1134" w:type="dxa"/>
            <w:vAlign w:val="center"/>
          </w:tcPr>
          <w:p>
            <w:pPr>
              <w:pStyle w:val="12"/>
            </w:pPr>
            <w:r>
              <w:t>2.90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2.90</w:t>
            </w:r>
          </w:p>
        </w:tc>
        <w:tc>
          <w:tcPr>
            <w:tcW w:w="1134" w:type="dxa"/>
            <w:vAlign w:val="center"/>
          </w:tcPr>
          <w:p>
            <w:pPr>
              <w:pStyle w:val="12"/>
            </w:pPr>
            <w:r>
              <w:t>2.90</w:t>
            </w:r>
          </w:p>
        </w:tc>
        <w:tc>
          <w:tcPr>
            <w:tcW w:w="1134" w:type="dxa"/>
            <w:vAlign w:val="center"/>
          </w:tcPr>
          <w:p>
            <w:pPr>
              <w:pStyle w:val="12"/>
            </w:pPr>
            <w:r>
              <w:t>2.90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62.28</w:t>
            </w:r>
          </w:p>
        </w:tc>
        <w:tc>
          <w:tcPr>
            <w:tcW w:w="1134" w:type="dxa"/>
            <w:vAlign w:val="center"/>
          </w:tcPr>
          <w:p>
            <w:pPr>
              <w:pStyle w:val="12"/>
            </w:pPr>
            <w:r>
              <w:t>49.94</w:t>
            </w:r>
          </w:p>
        </w:tc>
        <w:tc>
          <w:tcPr>
            <w:tcW w:w="1134" w:type="dxa"/>
            <w:vAlign w:val="center"/>
          </w:tcPr>
          <w:p>
            <w:pPr>
              <w:pStyle w:val="12"/>
            </w:pPr>
            <w:r>
              <w:t>49.94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62.28</w:t>
            </w:r>
          </w:p>
        </w:tc>
        <w:tc>
          <w:tcPr>
            <w:tcW w:w="1134" w:type="dxa"/>
            <w:vAlign w:val="center"/>
          </w:tcPr>
          <w:p>
            <w:pPr>
              <w:pStyle w:val="12"/>
            </w:pPr>
            <w:r>
              <w:t>49.94</w:t>
            </w:r>
          </w:p>
        </w:tc>
        <w:tc>
          <w:tcPr>
            <w:tcW w:w="1134" w:type="dxa"/>
            <w:vAlign w:val="center"/>
          </w:tcPr>
          <w:p>
            <w:pPr>
              <w:pStyle w:val="12"/>
            </w:pPr>
            <w:r>
              <w:t>49.94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40.38</w:t>
            </w:r>
          </w:p>
        </w:tc>
        <w:tc>
          <w:tcPr>
            <w:tcW w:w="1134" w:type="dxa"/>
            <w:vAlign w:val="center"/>
          </w:tcPr>
          <w:p>
            <w:pPr>
              <w:pStyle w:val="12"/>
            </w:pPr>
            <w:r>
              <w:t>40.38</w:t>
            </w:r>
          </w:p>
        </w:tc>
        <w:tc>
          <w:tcPr>
            <w:tcW w:w="1134" w:type="dxa"/>
            <w:vAlign w:val="center"/>
          </w:tcPr>
          <w:p>
            <w:pPr>
              <w:pStyle w:val="12"/>
            </w:pPr>
            <w:r>
              <w:t>40.38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21.89</w:t>
            </w:r>
          </w:p>
        </w:tc>
        <w:tc>
          <w:tcPr>
            <w:tcW w:w="1134" w:type="dxa"/>
            <w:vAlign w:val="center"/>
          </w:tcPr>
          <w:p>
            <w:pPr>
              <w:pStyle w:val="12"/>
            </w:pPr>
            <w:r>
              <w:t>9.55</w:t>
            </w:r>
          </w:p>
        </w:tc>
        <w:tc>
          <w:tcPr>
            <w:tcW w:w="1134" w:type="dxa"/>
            <w:vAlign w:val="center"/>
          </w:tcPr>
          <w:p>
            <w:pPr>
              <w:pStyle w:val="12"/>
            </w:pPr>
            <w:r>
              <w:t>9.55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460.00</w:t>
            </w:r>
          </w:p>
        </w:tc>
        <w:tc>
          <w:tcPr>
            <w:tcW w:w="1134" w:type="dxa"/>
            <w:vAlign w:val="center"/>
          </w:tcPr>
          <w:p>
            <w:pPr>
              <w:pStyle w:val="12"/>
            </w:pPr>
            <w:r>
              <w:t>460.00</w:t>
            </w:r>
          </w:p>
        </w:tc>
        <w:tc>
          <w:tcPr>
            <w:tcW w:w="1134" w:type="dxa"/>
            <w:vAlign w:val="center"/>
          </w:tcPr>
          <w:p>
            <w:pPr>
              <w:pStyle w:val="12"/>
            </w:pPr>
            <w:r>
              <w:t>460.00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460.00</w:t>
            </w:r>
          </w:p>
        </w:tc>
        <w:tc>
          <w:tcPr>
            <w:tcW w:w="1134" w:type="dxa"/>
            <w:vAlign w:val="center"/>
          </w:tcPr>
          <w:p>
            <w:pPr>
              <w:pStyle w:val="12"/>
            </w:pPr>
            <w:r>
              <w:t>460.00</w:t>
            </w:r>
          </w:p>
        </w:tc>
        <w:tc>
          <w:tcPr>
            <w:tcW w:w="1134" w:type="dxa"/>
            <w:vAlign w:val="center"/>
          </w:tcPr>
          <w:p>
            <w:pPr>
              <w:pStyle w:val="12"/>
            </w:pPr>
            <w:r>
              <w:t>460.00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460.00</w:t>
            </w:r>
          </w:p>
        </w:tc>
        <w:tc>
          <w:tcPr>
            <w:tcW w:w="1134" w:type="dxa"/>
            <w:vAlign w:val="center"/>
          </w:tcPr>
          <w:p>
            <w:pPr>
              <w:pStyle w:val="12"/>
            </w:pPr>
            <w:r>
              <w:t>460.00</w:t>
            </w:r>
          </w:p>
        </w:tc>
        <w:tc>
          <w:tcPr>
            <w:tcW w:w="1134" w:type="dxa"/>
            <w:vAlign w:val="center"/>
          </w:tcPr>
          <w:p>
            <w:pPr>
              <w:pStyle w:val="12"/>
            </w:pPr>
            <w:r>
              <w:t>460.00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65.51</w:t>
            </w:r>
          </w:p>
        </w:tc>
        <w:tc>
          <w:tcPr>
            <w:tcW w:w="1134" w:type="dxa"/>
            <w:vAlign w:val="center"/>
          </w:tcPr>
          <w:p>
            <w:pPr>
              <w:pStyle w:val="12"/>
            </w:pPr>
            <w:r>
              <w:t>42.88</w:t>
            </w:r>
          </w:p>
        </w:tc>
        <w:tc>
          <w:tcPr>
            <w:tcW w:w="1134" w:type="dxa"/>
            <w:vAlign w:val="center"/>
          </w:tcPr>
          <w:p>
            <w:pPr>
              <w:pStyle w:val="12"/>
            </w:pPr>
            <w:r>
              <w:t>42.88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65.51</w:t>
            </w:r>
          </w:p>
        </w:tc>
        <w:tc>
          <w:tcPr>
            <w:tcW w:w="1134" w:type="dxa"/>
            <w:vAlign w:val="center"/>
          </w:tcPr>
          <w:p>
            <w:pPr>
              <w:pStyle w:val="12"/>
            </w:pPr>
            <w:r>
              <w:t>42.88</w:t>
            </w:r>
          </w:p>
        </w:tc>
        <w:tc>
          <w:tcPr>
            <w:tcW w:w="1134" w:type="dxa"/>
            <w:vAlign w:val="center"/>
          </w:tcPr>
          <w:p>
            <w:pPr>
              <w:pStyle w:val="12"/>
            </w:pPr>
            <w:r>
              <w:t>42.88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65.51</w:t>
            </w:r>
          </w:p>
        </w:tc>
        <w:tc>
          <w:tcPr>
            <w:tcW w:w="1134" w:type="dxa"/>
            <w:vAlign w:val="center"/>
          </w:tcPr>
          <w:p>
            <w:pPr>
              <w:pStyle w:val="12"/>
            </w:pPr>
            <w:r>
              <w:t>42.88</w:t>
            </w:r>
          </w:p>
        </w:tc>
        <w:tc>
          <w:tcPr>
            <w:tcW w:w="1134" w:type="dxa"/>
            <w:vAlign w:val="center"/>
          </w:tcPr>
          <w:p>
            <w:pPr>
              <w:pStyle w:val="12"/>
            </w:pPr>
            <w:r>
              <w:t>42.88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4891.11</w:t>
            </w:r>
          </w:p>
        </w:tc>
        <w:tc>
          <w:tcPr>
            <w:tcW w:w="1134" w:type="dxa"/>
            <w:vAlign w:val="center"/>
          </w:tcPr>
          <w:p>
            <w:pPr>
              <w:pStyle w:val="12"/>
            </w:pPr>
            <w:r>
              <w:t>1918.22</w:t>
            </w:r>
          </w:p>
        </w:tc>
        <w:tc>
          <w:tcPr>
            <w:tcW w:w="1134" w:type="dxa"/>
            <w:vAlign w:val="center"/>
          </w:tcPr>
          <w:p>
            <w:pPr>
              <w:pStyle w:val="12"/>
            </w:pPr>
            <w:r>
              <w:t>1918.22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2972.89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2445.57</w:t>
            </w:r>
          </w:p>
        </w:tc>
        <w:tc>
          <w:tcPr>
            <w:tcW w:w="1134" w:type="dxa"/>
            <w:vAlign w:val="center"/>
          </w:tcPr>
          <w:p>
            <w:pPr>
              <w:pStyle w:val="12"/>
            </w:pPr>
            <w:r>
              <w:t>1574.17</w:t>
            </w:r>
          </w:p>
        </w:tc>
        <w:tc>
          <w:tcPr>
            <w:tcW w:w="1134" w:type="dxa"/>
            <w:vAlign w:val="center"/>
          </w:tcPr>
          <w:p>
            <w:pPr>
              <w:pStyle w:val="12"/>
            </w:pPr>
            <w:r>
              <w:t>1574.17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871.40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1335.20</w:t>
            </w:r>
          </w:p>
        </w:tc>
        <w:tc>
          <w:tcPr>
            <w:tcW w:w="1134" w:type="dxa"/>
            <w:vAlign w:val="center"/>
          </w:tcPr>
          <w:p>
            <w:pPr>
              <w:pStyle w:val="12"/>
            </w:pPr>
            <w:r>
              <w:t>1086.87</w:t>
            </w:r>
          </w:p>
        </w:tc>
        <w:tc>
          <w:tcPr>
            <w:tcW w:w="1134" w:type="dxa"/>
            <w:vAlign w:val="center"/>
          </w:tcPr>
          <w:p>
            <w:pPr>
              <w:pStyle w:val="12"/>
            </w:pPr>
            <w:r>
              <w:t>1086.87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215.35</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49.75</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2240108</w:t>
            </w:r>
          </w:p>
        </w:tc>
        <w:tc>
          <w:tcPr>
            <w:tcW w:w="1559" w:type="dxa"/>
            <w:vAlign w:val="center"/>
          </w:tcPr>
          <w:p>
            <w:pPr>
              <w:pStyle w:val="13"/>
            </w:pPr>
            <w:r>
              <w:t>应急救援</w:t>
            </w:r>
          </w:p>
        </w:tc>
        <w:tc>
          <w:tcPr>
            <w:tcW w:w="1134" w:type="dxa"/>
            <w:vAlign w:val="center"/>
          </w:tcPr>
          <w:p>
            <w:pPr>
              <w:pStyle w:val="12"/>
            </w:pPr>
            <w:r>
              <w:t>71.00</w:t>
            </w:r>
          </w:p>
        </w:tc>
        <w:tc>
          <w:tcPr>
            <w:tcW w:w="1134" w:type="dxa"/>
            <w:vAlign w:val="center"/>
          </w:tcPr>
          <w:p>
            <w:pPr>
              <w:pStyle w:val="12"/>
            </w:pPr>
            <w:r>
              <w:t>71.00</w:t>
            </w:r>
          </w:p>
        </w:tc>
        <w:tc>
          <w:tcPr>
            <w:tcW w:w="1134" w:type="dxa"/>
            <w:vAlign w:val="center"/>
          </w:tcPr>
          <w:p>
            <w:pPr>
              <w:pStyle w:val="12"/>
            </w:pPr>
            <w:r>
              <w:t>71.00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2240150</w:t>
            </w:r>
          </w:p>
        </w:tc>
        <w:tc>
          <w:tcPr>
            <w:tcW w:w="1559" w:type="dxa"/>
            <w:vAlign w:val="center"/>
          </w:tcPr>
          <w:p>
            <w:pPr>
              <w:pStyle w:val="13"/>
            </w:pPr>
            <w:r>
              <w:t>事业运行</w:t>
            </w:r>
          </w:p>
        </w:tc>
        <w:tc>
          <w:tcPr>
            <w:tcW w:w="1134" w:type="dxa"/>
            <w:vAlign w:val="center"/>
          </w:tcPr>
          <w:p>
            <w:pPr>
              <w:pStyle w:val="12"/>
            </w:pPr>
            <w:r>
              <w:t>762.27</w:t>
            </w:r>
          </w:p>
        </w:tc>
        <w:tc>
          <w:tcPr>
            <w:tcW w:w="1134" w:type="dxa"/>
            <w:vAlign w:val="center"/>
          </w:tcPr>
          <w:p>
            <w:pPr>
              <w:pStyle w:val="12"/>
            </w:pPr>
            <w:r>
              <w:t>400.30</w:t>
            </w:r>
          </w:p>
        </w:tc>
        <w:tc>
          <w:tcPr>
            <w:tcW w:w="1134" w:type="dxa"/>
            <w:vAlign w:val="center"/>
          </w:tcPr>
          <w:p>
            <w:pPr>
              <w:pStyle w:val="12"/>
            </w:pPr>
            <w:r>
              <w:t>400.30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2240199</w:t>
            </w:r>
          </w:p>
        </w:tc>
        <w:tc>
          <w:tcPr>
            <w:tcW w:w="1559" w:type="dxa"/>
            <w:vAlign w:val="center"/>
          </w:tcPr>
          <w:p>
            <w:pPr>
              <w:pStyle w:val="13"/>
            </w:pPr>
            <w:r>
              <w:t>其他应急管理支出</w:t>
            </w:r>
          </w:p>
        </w:tc>
        <w:tc>
          <w:tcPr>
            <w:tcW w:w="1134" w:type="dxa"/>
            <w:vAlign w:val="center"/>
          </w:tcPr>
          <w:p>
            <w:pPr>
              <w:pStyle w:val="12"/>
            </w:pPr>
            <w:r>
              <w:t>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216.22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2240204</w:t>
            </w:r>
          </w:p>
        </w:tc>
        <w:tc>
          <w:tcPr>
            <w:tcW w:w="1559" w:type="dxa"/>
            <w:vAlign w:val="center"/>
          </w:tcPr>
          <w:p>
            <w:pPr>
              <w:pStyle w:val="13"/>
            </w:pPr>
            <w:r>
              <w:t>消防应急救援</w:t>
            </w:r>
          </w:p>
        </w:tc>
        <w:tc>
          <w:tcPr>
            <w:tcW w:w="1134" w:type="dxa"/>
            <w:vAlign w:val="center"/>
          </w:tcPr>
          <w:p>
            <w:pPr>
              <w:pStyle w:val="12"/>
            </w:pPr>
            <w:r>
              <w:t>216.22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22404</w:t>
            </w:r>
          </w:p>
        </w:tc>
        <w:tc>
          <w:tcPr>
            <w:tcW w:w="1559" w:type="dxa"/>
            <w:vAlign w:val="center"/>
          </w:tcPr>
          <w:p>
            <w:pPr>
              <w:pStyle w:val="13"/>
            </w:pPr>
            <w:r>
              <w:t>矿山安全</w:t>
            </w:r>
          </w:p>
        </w:tc>
        <w:tc>
          <w:tcPr>
            <w:tcW w:w="1134" w:type="dxa"/>
            <w:vAlign w:val="center"/>
          </w:tcPr>
          <w:p>
            <w:pPr>
              <w:pStyle w:val="12"/>
            </w:pPr>
            <w:r>
              <w:t>351.49</w:t>
            </w:r>
          </w:p>
        </w:tc>
        <w:tc>
          <w:tcPr>
            <w:tcW w:w="1134" w:type="dxa"/>
            <w:vAlign w:val="center"/>
          </w:tcPr>
          <w:p>
            <w:pPr>
              <w:pStyle w:val="12"/>
            </w:pPr>
            <w:r>
              <w:t>212.27</w:t>
            </w:r>
          </w:p>
        </w:tc>
        <w:tc>
          <w:tcPr>
            <w:tcW w:w="1134" w:type="dxa"/>
            <w:vAlign w:val="center"/>
          </w:tcPr>
          <w:p>
            <w:pPr>
              <w:pStyle w:val="12"/>
            </w:pPr>
            <w:r>
              <w:t>212.27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2240404</w:t>
            </w:r>
          </w:p>
        </w:tc>
        <w:tc>
          <w:tcPr>
            <w:tcW w:w="1559" w:type="dxa"/>
            <w:vAlign w:val="center"/>
          </w:tcPr>
          <w:p>
            <w:pPr>
              <w:pStyle w:val="13"/>
            </w:pPr>
            <w:r>
              <w:t>矿山安全监察事务</w:t>
            </w:r>
          </w:p>
        </w:tc>
        <w:tc>
          <w:tcPr>
            <w:tcW w:w="1134" w:type="dxa"/>
            <w:vAlign w:val="center"/>
          </w:tcPr>
          <w:p>
            <w:pPr>
              <w:pStyle w:val="12"/>
            </w:pPr>
            <w:r>
              <w:t>351.49</w:t>
            </w:r>
          </w:p>
        </w:tc>
        <w:tc>
          <w:tcPr>
            <w:tcW w:w="1134" w:type="dxa"/>
            <w:vAlign w:val="center"/>
          </w:tcPr>
          <w:p>
            <w:pPr>
              <w:pStyle w:val="12"/>
            </w:pPr>
            <w:r>
              <w:t>212.27</w:t>
            </w:r>
          </w:p>
        </w:tc>
        <w:tc>
          <w:tcPr>
            <w:tcW w:w="1134" w:type="dxa"/>
            <w:vAlign w:val="center"/>
          </w:tcPr>
          <w:p>
            <w:pPr>
              <w:pStyle w:val="12"/>
            </w:pPr>
            <w:r>
              <w:t>212.27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1085.84</w:t>
            </w:r>
          </w:p>
        </w:tc>
        <w:tc>
          <w:tcPr>
            <w:tcW w:w="1134" w:type="dxa"/>
            <w:vAlign w:val="center"/>
          </w:tcPr>
          <w:p>
            <w:pPr>
              <w:pStyle w:val="12"/>
            </w:pPr>
            <w:r>
              <w:t>131.78</w:t>
            </w:r>
          </w:p>
        </w:tc>
        <w:tc>
          <w:tcPr>
            <w:tcW w:w="1134" w:type="dxa"/>
            <w:vAlign w:val="center"/>
          </w:tcPr>
          <w:p>
            <w:pPr>
              <w:pStyle w:val="12"/>
            </w:pPr>
            <w:r>
              <w:t>131.78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954.06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1085.84</w:t>
            </w:r>
          </w:p>
        </w:tc>
        <w:tc>
          <w:tcPr>
            <w:tcW w:w="1134" w:type="dxa"/>
            <w:vAlign w:val="center"/>
          </w:tcPr>
          <w:p>
            <w:pPr>
              <w:pStyle w:val="12"/>
            </w:pPr>
            <w:r>
              <w:t>131.78</w:t>
            </w:r>
          </w:p>
        </w:tc>
        <w:tc>
          <w:tcPr>
            <w:tcW w:w="1134" w:type="dxa"/>
            <w:vAlign w:val="center"/>
          </w:tcPr>
          <w:p>
            <w:pPr>
              <w:pStyle w:val="12"/>
            </w:pPr>
            <w:r>
              <w:t>131.78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954.06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22499</w:t>
            </w:r>
          </w:p>
        </w:tc>
        <w:tc>
          <w:tcPr>
            <w:tcW w:w="1559" w:type="dxa"/>
            <w:vAlign w:val="center"/>
          </w:tcPr>
          <w:p>
            <w:pPr>
              <w:pStyle w:val="13"/>
            </w:pPr>
            <w:r>
              <w:t>其他灾害防治及应急管理支出</w:t>
            </w:r>
          </w:p>
        </w:tc>
        <w:tc>
          <w:tcPr>
            <w:tcW w:w="1134" w:type="dxa"/>
            <w:vAlign w:val="center"/>
          </w:tcPr>
          <w:p>
            <w:pPr>
              <w:pStyle w:val="12"/>
            </w:pPr>
            <w:r>
              <w:t>792.00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2249999</w:t>
            </w:r>
          </w:p>
        </w:tc>
        <w:tc>
          <w:tcPr>
            <w:tcW w:w="1559" w:type="dxa"/>
            <w:vAlign w:val="center"/>
          </w:tcPr>
          <w:p>
            <w:pPr>
              <w:pStyle w:val="13"/>
            </w:pPr>
            <w:r>
              <w:t>其他灾害防治及应急管理支出</w:t>
            </w:r>
          </w:p>
        </w:tc>
        <w:tc>
          <w:tcPr>
            <w:tcW w:w="1134" w:type="dxa"/>
            <w:vAlign w:val="center"/>
          </w:tcPr>
          <w:p>
            <w:pPr>
              <w:pStyle w:val="12"/>
            </w:pPr>
            <w:r>
              <w:t>792.00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5640.00</w:t>
            </w:r>
          </w:p>
        </w:tc>
        <w:tc>
          <w:tcPr>
            <w:tcW w:w="1361" w:type="dxa"/>
            <w:vAlign w:val="center"/>
          </w:tcPr>
          <w:p>
            <w:pPr>
              <w:pStyle w:val="16"/>
            </w:pPr>
            <w:r>
              <w:t>2386.35</w:t>
            </w:r>
          </w:p>
        </w:tc>
        <w:tc>
          <w:tcPr>
            <w:tcW w:w="1361" w:type="dxa"/>
            <w:vAlign w:val="center"/>
          </w:tcPr>
          <w:p>
            <w:pPr>
              <w:pStyle w:val="16"/>
            </w:pPr>
            <w:r>
              <w:t>3253.65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161.10</w:t>
            </w:r>
          </w:p>
        </w:tc>
        <w:tc>
          <w:tcPr>
            <w:tcW w:w="1361" w:type="dxa"/>
            <w:vAlign w:val="center"/>
          </w:tcPr>
          <w:p>
            <w:pPr>
              <w:pStyle w:val="12"/>
            </w:pPr>
            <w:r>
              <w:t>161.10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158.21</w:t>
            </w:r>
          </w:p>
        </w:tc>
        <w:tc>
          <w:tcPr>
            <w:tcW w:w="1361" w:type="dxa"/>
            <w:vAlign w:val="center"/>
          </w:tcPr>
          <w:p>
            <w:pPr>
              <w:pStyle w:val="12"/>
            </w:pPr>
            <w:r>
              <w:t>158.21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39.39</w:t>
            </w:r>
          </w:p>
        </w:tc>
        <w:tc>
          <w:tcPr>
            <w:tcW w:w="1361" w:type="dxa"/>
            <w:vAlign w:val="center"/>
          </w:tcPr>
          <w:p>
            <w:pPr>
              <w:pStyle w:val="12"/>
            </w:pPr>
            <w:r>
              <w:t>39.39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83.66</w:t>
            </w:r>
          </w:p>
        </w:tc>
        <w:tc>
          <w:tcPr>
            <w:tcW w:w="1361" w:type="dxa"/>
            <w:vAlign w:val="center"/>
          </w:tcPr>
          <w:p>
            <w:pPr>
              <w:pStyle w:val="12"/>
            </w:pPr>
            <w:r>
              <w:t>83.66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35.16</w:t>
            </w:r>
          </w:p>
        </w:tc>
        <w:tc>
          <w:tcPr>
            <w:tcW w:w="1361" w:type="dxa"/>
            <w:vAlign w:val="center"/>
          </w:tcPr>
          <w:p>
            <w:pPr>
              <w:pStyle w:val="12"/>
            </w:pPr>
            <w:r>
              <w:t>35.16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2.90</w:t>
            </w:r>
          </w:p>
        </w:tc>
        <w:tc>
          <w:tcPr>
            <w:tcW w:w="1361" w:type="dxa"/>
            <w:vAlign w:val="center"/>
          </w:tcPr>
          <w:p>
            <w:pPr>
              <w:pStyle w:val="12"/>
            </w:pPr>
            <w:r>
              <w:t>2.90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2.90</w:t>
            </w:r>
          </w:p>
        </w:tc>
        <w:tc>
          <w:tcPr>
            <w:tcW w:w="1361" w:type="dxa"/>
            <w:vAlign w:val="center"/>
          </w:tcPr>
          <w:p>
            <w:pPr>
              <w:pStyle w:val="12"/>
            </w:pPr>
            <w:r>
              <w:t>2.90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62.28</w:t>
            </w:r>
          </w:p>
        </w:tc>
        <w:tc>
          <w:tcPr>
            <w:tcW w:w="1361" w:type="dxa"/>
            <w:vAlign w:val="center"/>
          </w:tcPr>
          <w:p>
            <w:pPr>
              <w:pStyle w:val="12"/>
            </w:pPr>
            <w:r>
              <w:t>62.28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62.28</w:t>
            </w:r>
          </w:p>
        </w:tc>
        <w:tc>
          <w:tcPr>
            <w:tcW w:w="1361" w:type="dxa"/>
            <w:vAlign w:val="center"/>
          </w:tcPr>
          <w:p>
            <w:pPr>
              <w:pStyle w:val="12"/>
            </w:pPr>
            <w:r>
              <w:t>62.28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40.38</w:t>
            </w:r>
          </w:p>
        </w:tc>
        <w:tc>
          <w:tcPr>
            <w:tcW w:w="1361" w:type="dxa"/>
            <w:vAlign w:val="center"/>
          </w:tcPr>
          <w:p>
            <w:pPr>
              <w:pStyle w:val="12"/>
            </w:pPr>
            <w:r>
              <w:t>40.38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21.89</w:t>
            </w:r>
          </w:p>
        </w:tc>
        <w:tc>
          <w:tcPr>
            <w:tcW w:w="1361" w:type="dxa"/>
            <w:vAlign w:val="center"/>
          </w:tcPr>
          <w:p>
            <w:pPr>
              <w:pStyle w:val="12"/>
            </w:pPr>
            <w:r>
              <w:t>21.89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460.00</w:t>
            </w:r>
          </w:p>
        </w:tc>
        <w:tc>
          <w:tcPr>
            <w:tcW w:w="1361" w:type="dxa"/>
            <w:vAlign w:val="center"/>
          </w:tcPr>
          <w:p>
            <w:pPr>
              <w:pStyle w:val="12"/>
            </w:pPr>
          </w:p>
        </w:tc>
        <w:tc>
          <w:tcPr>
            <w:tcW w:w="1361" w:type="dxa"/>
            <w:vAlign w:val="center"/>
          </w:tcPr>
          <w:p>
            <w:pPr>
              <w:pStyle w:val="12"/>
            </w:pPr>
            <w:r>
              <w:t>460.00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460.00</w:t>
            </w:r>
          </w:p>
        </w:tc>
        <w:tc>
          <w:tcPr>
            <w:tcW w:w="1361" w:type="dxa"/>
            <w:vAlign w:val="center"/>
          </w:tcPr>
          <w:p>
            <w:pPr>
              <w:pStyle w:val="12"/>
            </w:pPr>
          </w:p>
        </w:tc>
        <w:tc>
          <w:tcPr>
            <w:tcW w:w="1361" w:type="dxa"/>
            <w:vAlign w:val="center"/>
          </w:tcPr>
          <w:p>
            <w:pPr>
              <w:pStyle w:val="12"/>
            </w:pPr>
            <w:r>
              <w:t>460.00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460.00</w:t>
            </w:r>
          </w:p>
        </w:tc>
        <w:tc>
          <w:tcPr>
            <w:tcW w:w="1361" w:type="dxa"/>
            <w:vAlign w:val="center"/>
          </w:tcPr>
          <w:p>
            <w:pPr>
              <w:pStyle w:val="12"/>
            </w:pPr>
          </w:p>
        </w:tc>
        <w:tc>
          <w:tcPr>
            <w:tcW w:w="1361" w:type="dxa"/>
            <w:vAlign w:val="center"/>
          </w:tcPr>
          <w:p>
            <w:pPr>
              <w:pStyle w:val="12"/>
            </w:pPr>
            <w:r>
              <w:t>460.00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65.51</w:t>
            </w:r>
          </w:p>
        </w:tc>
        <w:tc>
          <w:tcPr>
            <w:tcW w:w="1361" w:type="dxa"/>
            <w:vAlign w:val="center"/>
          </w:tcPr>
          <w:p>
            <w:pPr>
              <w:pStyle w:val="12"/>
            </w:pPr>
            <w:r>
              <w:t>65.51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65.51</w:t>
            </w:r>
          </w:p>
        </w:tc>
        <w:tc>
          <w:tcPr>
            <w:tcW w:w="1361" w:type="dxa"/>
            <w:vAlign w:val="center"/>
          </w:tcPr>
          <w:p>
            <w:pPr>
              <w:pStyle w:val="12"/>
            </w:pPr>
            <w:r>
              <w:t>65.51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65.51</w:t>
            </w:r>
          </w:p>
        </w:tc>
        <w:tc>
          <w:tcPr>
            <w:tcW w:w="1361" w:type="dxa"/>
            <w:vAlign w:val="center"/>
          </w:tcPr>
          <w:p>
            <w:pPr>
              <w:pStyle w:val="12"/>
            </w:pPr>
            <w:r>
              <w:t>65.51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4891.11</w:t>
            </w:r>
          </w:p>
        </w:tc>
        <w:tc>
          <w:tcPr>
            <w:tcW w:w="1361" w:type="dxa"/>
            <w:vAlign w:val="center"/>
          </w:tcPr>
          <w:p>
            <w:pPr>
              <w:pStyle w:val="12"/>
            </w:pPr>
            <w:r>
              <w:t>2097.47</w:t>
            </w:r>
          </w:p>
        </w:tc>
        <w:tc>
          <w:tcPr>
            <w:tcW w:w="1361" w:type="dxa"/>
            <w:vAlign w:val="center"/>
          </w:tcPr>
          <w:p>
            <w:pPr>
              <w:pStyle w:val="12"/>
            </w:pPr>
            <w:r>
              <w:t>2793.65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2445.57</w:t>
            </w:r>
          </w:p>
        </w:tc>
        <w:tc>
          <w:tcPr>
            <w:tcW w:w="1361" w:type="dxa"/>
            <w:vAlign w:val="center"/>
          </w:tcPr>
          <w:p>
            <w:pPr>
              <w:pStyle w:val="12"/>
            </w:pPr>
            <w:r>
              <w:t>2097.47</w:t>
            </w:r>
          </w:p>
        </w:tc>
        <w:tc>
          <w:tcPr>
            <w:tcW w:w="1361" w:type="dxa"/>
            <w:vAlign w:val="center"/>
          </w:tcPr>
          <w:p>
            <w:pPr>
              <w:pStyle w:val="12"/>
            </w:pPr>
            <w:r>
              <w:t>348.10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1335.20</w:t>
            </w:r>
          </w:p>
        </w:tc>
        <w:tc>
          <w:tcPr>
            <w:tcW w:w="1361" w:type="dxa"/>
            <w:vAlign w:val="center"/>
          </w:tcPr>
          <w:p>
            <w:pPr>
              <w:pStyle w:val="12"/>
            </w:pPr>
            <w:r>
              <w:t>1335.20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215.35</w:t>
            </w:r>
          </w:p>
        </w:tc>
        <w:tc>
          <w:tcPr>
            <w:tcW w:w="1361" w:type="dxa"/>
            <w:vAlign w:val="center"/>
          </w:tcPr>
          <w:p>
            <w:pPr>
              <w:pStyle w:val="12"/>
            </w:pPr>
          </w:p>
        </w:tc>
        <w:tc>
          <w:tcPr>
            <w:tcW w:w="1361" w:type="dxa"/>
            <w:vAlign w:val="center"/>
          </w:tcPr>
          <w:p>
            <w:pPr>
              <w:pStyle w:val="12"/>
            </w:pPr>
            <w:r>
              <w:t>215.35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49.75</w:t>
            </w:r>
          </w:p>
        </w:tc>
        <w:tc>
          <w:tcPr>
            <w:tcW w:w="1361" w:type="dxa"/>
            <w:vAlign w:val="center"/>
          </w:tcPr>
          <w:p>
            <w:pPr>
              <w:pStyle w:val="12"/>
            </w:pPr>
          </w:p>
        </w:tc>
        <w:tc>
          <w:tcPr>
            <w:tcW w:w="1361" w:type="dxa"/>
            <w:vAlign w:val="center"/>
          </w:tcPr>
          <w:p>
            <w:pPr>
              <w:pStyle w:val="12"/>
            </w:pPr>
            <w:r>
              <w:t>49.75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2240108</w:t>
            </w:r>
          </w:p>
        </w:tc>
        <w:tc>
          <w:tcPr>
            <w:tcW w:w="4535" w:type="dxa"/>
            <w:vAlign w:val="center"/>
          </w:tcPr>
          <w:p>
            <w:pPr>
              <w:pStyle w:val="13"/>
            </w:pPr>
            <w:r>
              <w:t>应急救援</w:t>
            </w:r>
          </w:p>
        </w:tc>
        <w:tc>
          <w:tcPr>
            <w:tcW w:w="1361" w:type="dxa"/>
            <w:vAlign w:val="center"/>
          </w:tcPr>
          <w:p>
            <w:pPr>
              <w:pStyle w:val="12"/>
            </w:pPr>
            <w:r>
              <w:t>71.00</w:t>
            </w:r>
          </w:p>
        </w:tc>
        <w:tc>
          <w:tcPr>
            <w:tcW w:w="1361" w:type="dxa"/>
            <w:vAlign w:val="center"/>
          </w:tcPr>
          <w:p>
            <w:pPr>
              <w:pStyle w:val="12"/>
            </w:pPr>
          </w:p>
        </w:tc>
        <w:tc>
          <w:tcPr>
            <w:tcW w:w="1361" w:type="dxa"/>
            <w:vAlign w:val="center"/>
          </w:tcPr>
          <w:p>
            <w:pPr>
              <w:pStyle w:val="12"/>
            </w:pPr>
            <w:r>
              <w:t>71.00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2240150</w:t>
            </w:r>
          </w:p>
        </w:tc>
        <w:tc>
          <w:tcPr>
            <w:tcW w:w="4535" w:type="dxa"/>
            <w:vAlign w:val="center"/>
          </w:tcPr>
          <w:p>
            <w:pPr>
              <w:pStyle w:val="13"/>
            </w:pPr>
            <w:r>
              <w:t>事业运行</w:t>
            </w:r>
          </w:p>
        </w:tc>
        <w:tc>
          <w:tcPr>
            <w:tcW w:w="1361" w:type="dxa"/>
            <w:vAlign w:val="center"/>
          </w:tcPr>
          <w:p>
            <w:pPr>
              <w:pStyle w:val="12"/>
            </w:pPr>
            <w:r>
              <w:t>762.27</w:t>
            </w:r>
          </w:p>
        </w:tc>
        <w:tc>
          <w:tcPr>
            <w:tcW w:w="1361" w:type="dxa"/>
            <w:vAlign w:val="center"/>
          </w:tcPr>
          <w:p>
            <w:pPr>
              <w:pStyle w:val="12"/>
            </w:pPr>
            <w:r>
              <w:t>762.27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2240199</w:t>
            </w:r>
          </w:p>
        </w:tc>
        <w:tc>
          <w:tcPr>
            <w:tcW w:w="4535" w:type="dxa"/>
            <w:vAlign w:val="center"/>
          </w:tcPr>
          <w:p>
            <w:pPr>
              <w:pStyle w:val="13"/>
            </w:pPr>
            <w:r>
              <w:t>其他应急管理支出</w:t>
            </w: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216.22</w:t>
            </w:r>
          </w:p>
        </w:tc>
        <w:tc>
          <w:tcPr>
            <w:tcW w:w="1361" w:type="dxa"/>
            <w:vAlign w:val="center"/>
          </w:tcPr>
          <w:p>
            <w:pPr>
              <w:pStyle w:val="12"/>
            </w:pPr>
          </w:p>
        </w:tc>
        <w:tc>
          <w:tcPr>
            <w:tcW w:w="1361" w:type="dxa"/>
            <w:vAlign w:val="center"/>
          </w:tcPr>
          <w:p>
            <w:pPr>
              <w:pStyle w:val="12"/>
            </w:pPr>
            <w:r>
              <w:t>216.22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2240204</w:t>
            </w:r>
          </w:p>
        </w:tc>
        <w:tc>
          <w:tcPr>
            <w:tcW w:w="4535" w:type="dxa"/>
            <w:vAlign w:val="center"/>
          </w:tcPr>
          <w:p>
            <w:pPr>
              <w:pStyle w:val="13"/>
            </w:pPr>
            <w:r>
              <w:t>消防应急救援</w:t>
            </w:r>
          </w:p>
        </w:tc>
        <w:tc>
          <w:tcPr>
            <w:tcW w:w="1361" w:type="dxa"/>
            <w:vAlign w:val="center"/>
          </w:tcPr>
          <w:p>
            <w:pPr>
              <w:pStyle w:val="12"/>
            </w:pPr>
            <w:r>
              <w:t>216.22</w:t>
            </w:r>
          </w:p>
        </w:tc>
        <w:tc>
          <w:tcPr>
            <w:tcW w:w="1361" w:type="dxa"/>
            <w:vAlign w:val="center"/>
          </w:tcPr>
          <w:p>
            <w:pPr>
              <w:pStyle w:val="12"/>
            </w:pPr>
          </w:p>
        </w:tc>
        <w:tc>
          <w:tcPr>
            <w:tcW w:w="1361" w:type="dxa"/>
            <w:vAlign w:val="center"/>
          </w:tcPr>
          <w:p>
            <w:pPr>
              <w:pStyle w:val="12"/>
            </w:pPr>
            <w:r>
              <w:t>216.22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22404</w:t>
            </w:r>
          </w:p>
        </w:tc>
        <w:tc>
          <w:tcPr>
            <w:tcW w:w="4535" w:type="dxa"/>
            <w:vAlign w:val="center"/>
          </w:tcPr>
          <w:p>
            <w:pPr>
              <w:pStyle w:val="13"/>
            </w:pPr>
            <w:r>
              <w:t>矿山安全</w:t>
            </w:r>
          </w:p>
        </w:tc>
        <w:tc>
          <w:tcPr>
            <w:tcW w:w="1361" w:type="dxa"/>
            <w:vAlign w:val="center"/>
          </w:tcPr>
          <w:p>
            <w:pPr>
              <w:pStyle w:val="12"/>
            </w:pPr>
            <w:r>
              <w:t>351.49</w:t>
            </w:r>
          </w:p>
        </w:tc>
        <w:tc>
          <w:tcPr>
            <w:tcW w:w="1361" w:type="dxa"/>
            <w:vAlign w:val="center"/>
          </w:tcPr>
          <w:p>
            <w:pPr>
              <w:pStyle w:val="12"/>
            </w:pPr>
          </w:p>
        </w:tc>
        <w:tc>
          <w:tcPr>
            <w:tcW w:w="1361" w:type="dxa"/>
            <w:vAlign w:val="center"/>
          </w:tcPr>
          <w:p>
            <w:pPr>
              <w:pStyle w:val="12"/>
            </w:pPr>
            <w:r>
              <w:t>351.49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2240404</w:t>
            </w:r>
          </w:p>
        </w:tc>
        <w:tc>
          <w:tcPr>
            <w:tcW w:w="4535" w:type="dxa"/>
            <w:vAlign w:val="center"/>
          </w:tcPr>
          <w:p>
            <w:pPr>
              <w:pStyle w:val="13"/>
            </w:pPr>
            <w:r>
              <w:t>矿山安全监察事务</w:t>
            </w:r>
          </w:p>
        </w:tc>
        <w:tc>
          <w:tcPr>
            <w:tcW w:w="1361" w:type="dxa"/>
            <w:vAlign w:val="center"/>
          </w:tcPr>
          <w:p>
            <w:pPr>
              <w:pStyle w:val="12"/>
            </w:pPr>
            <w:r>
              <w:t>351.49</w:t>
            </w:r>
          </w:p>
        </w:tc>
        <w:tc>
          <w:tcPr>
            <w:tcW w:w="1361" w:type="dxa"/>
            <w:vAlign w:val="center"/>
          </w:tcPr>
          <w:p>
            <w:pPr>
              <w:pStyle w:val="12"/>
            </w:pPr>
          </w:p>
        </w:tc>
        <w:tc>
          <w:tcPr>
            <w:tcW w:w="1361" w:type="dxa"/>
            <w:vAlign w:val="center"/>
          </w:tcPr>
          <w:p>
            <w:pPr>
              <w:pStyle w:val="12"/>
            </w:pPr>
            <w:r>
              <w:t>351.49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1085.84</w:t>
            </w:r>
          </w:p>
        </w:tc>
        <w:tc>
          <w:tcPr>
            <w:tcW w:w="1361" w:type="dxa"/>
            <w:vAlign w:val="center"/>
          </w:tcPr>
          <w:p>
            <w:pPr>
              <w:pStyle w:val="12"/>
            </w:pPr>
          </w:p>
        </w:tc>
        <w:tc>
          <w:tcPr>
            <w:tcW w:w="1361" w:type="dxa"/>
            <w:vAlign w:val="center"/>
          </w:tcPr>
          <w:p>
            <w:pPr>
              <w:pStyle w:val="12"/>
            </w:pPr>
            <w:r>
              <w:t>1085.84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1085.84</w:t>
            </w:r>
          </w:p>
        </w:tc>
        <w:tc>
          <w:tcPr>
            <w:tcW w:w="1361" w:type="dxa"/>
            <w:vAlign w:val="center"/>
          </w:tcPr>
          <w:p>
            <w:pPr>
              <w:pStyle w:val="12"/>
            </w:pPr>
          </w:p>
        </w:tc>
        <w:tc>
          <w:tcPr>
            <w:tcW w:w="1361" w:type="dxa"/>
            <w:vAlign w:val="center"/>
          </w:tcPr>
          <w:p>
            <w:pPr>
              <w:pStyle w:val="12"/>
            </w:pPr>
            <w:r>
              <w:t>1085.84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22499</w:t>
            </w:r>
          </w:p>
        </w:tc>
        <w:tc>
          <w:tcPr>
            <w:tcW w:w="4535" w:type="dxa"/>
            <w:vAlign w:val="center"/>
          </w:tcPr>
          <w:p>
            <w:pPr>
              <w:pStyle w:val="13"/>
            </w:pPr>
            <w:r>
              <w:t>其他灾害防治及应急管理支出</w:t>
            </w:r>
          </w:p>
        </w:tc>
        <w:tc>
          <w:tcPr>
            <w:tcW w:w="1361" w:type="dxa"/>
            <w:vAlign w:val="center"/>
          </w:tcPr>
          <w:p>
            <w:pPr>
              <w:pStyle w:val="12"/>
            </w:pPr>
            <w:r>
              <w:t>792.00</w:t>
            </w:r>
          </w:p>
        </w:tc>
        <w:tc>
          <w:tcPr>
            <w:tcW w:w="1361" w:type="dxa"/>
            <w:vAlign w:val="center"/>
          </w:tcPr>
          <w:p>
            <w:pPr>
              <w:pStyle w:val="12"/>
            </w:pPr>
          </w:p>
        </w:tc>
        <w:tc>
          <w:tcPr>
            <w:tcW w:w="1361" w:type="dxa"/>
            <w:vAlign w:val="center"/>
          </w:tcPr>
          <w:p>
            <w:pPr>
              <w:pStyle w:val="12"/>
            </w:pPr>
            <w:r>
              <w:t>792.00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2249999</w:t>
            </w:r>
          </w:p>
        </w:tc>
        <w:tc>
          <w:tcPr>
            <w:tcW w:w="4535" w:type="dxa"/>
            <w:vAlign w:val="center"/>
          </w:tcPr>
          <w:p>
            <w:pPr>
              <w:pStyle w:val="13"/>
            </w:pPr>
            <w:r>
              <w:t>其他灾害防治及应急管理支出</w:t>
            </w:r>
          </w:p>
        </w:tc>
        <w:tc>
          <w:tcPr>
            <w:tcW w:w="1361" w:type="dxa"/>
            <w:vAlign w:val="center"/>
          </w:tcPr>
          <w:p>
            <w:pPr>
              <w:pStyle w:val="12"/>
            </w:pPr>
            <w:r>
              <w:t>792.00</w:t>
            </w:r>
          </w:p>
        </w:tc>
        <w:tc>
          <w:tcPr>
            <w:tcW w:w="1361" w:type="dxa"/>
            <w:vAlign w:val="center"/>
          </w:tcPr>
          <w:p>
            <w:pPr>
              <w:pStyle w:val="12"/>
            </w:pPr>
          </w:p>
        </w:tc>
        <w:tc>
          <w:tcPr>
            <w:tcW w:w="1361" w:type="dxa"/>
            <w:vAlign w:val="center"/>
          </w:tcPr>
          <w:p>
            <w:pPr>
              <w:pStyle w:val="12"/>
            </w:pPr>
            <w:r>
              <w:t>792.00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2158.58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460.00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161.10</w:t>
            </w:r>
          </w:p>
        </w:tc>
        <w:tc>
          <w:tcPr>
            <w:tcW w:w="1474" w:type="dxa"/>
            <w:vAlign w:val="center"/>
          </w:tcPr>
          <w:p>
            <w:pPr>
              <w:pStyle w:val="12"/>
            </w:pPr>
            <w:r>
              <w:t>161.10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62.28</w:t>
            </w:r>
          </w:p>
        </w:tc>
        <w:tc>
          <w:tcPr>
            <w:tcW w:w="1474" w:type="dxa"/>
            <w:vAlign w:val="center"/>
          </w:tcPr>
          <w:p>
            <w:pPr>
              <w:pStyle w:val="12"/>
            </w:pPr>
            <w:r>
              <w:t>62.28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460.00</w:t>
            </w:r>
          </w:p>
        </w:tc>
        <w:tc>
          <w:tcPr>
            <w:tcW w:w="1474" w:type="dxa"/>
            <w:vAlign w:val="center"/>
          </w:tcPr>
          <w:p>
            <w:pPr>
              <w:pStyle w:val="12"/>
            </w:pPr>
          </w:p>
        </w:tc>
        <w:tc>
          <w:tcPr>
            <w:tcW w:w="1474" w:type="dxa"/>
            <w:vAlign w:val="center"/>
          </w:tcPr>
          <w:p>
            <w:pPr>
              <w:pStyle w:val="12"/>
            </w:pPr>
            <w:r>
              <w:t>460.00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65.51</w:t>
            </w:r>
          </w:p>
        </w:tc>
        <w:tc>
          <w:tcPr>
            <w:tcW w:w="1474" w:type="dxa"/>
            <w:vAlign w:val="center"/>
          </w:tcPr>
          <w:p>
            <w:pPr>
              <w:pStyle w:val="12"/>
            </w:pPr>
            <w:r>
              <w:t>65.51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4891.11</w:t>
            </w:r>
          </w:p>
        </w:tc>
        <w:tc>
          <w:tcPr>
            <w:tcW w:w="1474" w:type="dxa"/>
            <w:vAlign w:val="center"/>
          </w:tcPr>
          <w:p>
            <w:pPr>
              <w:pStyle w:val="12"/>
            </w:pPr>
            <w:r>
              <w:t>4891.11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2618.58</w:t>
            </w:r>
          </w:p>
        </w:tc>
        <w:tc>
          <w:tcPr>
            <w:tcW w:w="3402" w:type="dxa"/>
            <w:vAlign w:val="center"/>
          </w:tcPr>
          <w:p>
            <w:pPr>
              <w:pStyle w:val="15"/>
            </w:pPr>
            <w:r>
              <w:t>本年支出合计</w:t>
            </w:r>
          </w:p>
        </w:tc>
        <w:tc>
          <w:tcPr>
            <w:tcW w:w="1474" w:type="dxa"/>
            <w:vAlign w:val="center"/>
          </w:tcPr>
          <w:p>
            <w:pPr>
              <w:pStyle w:val="16"/>
            </w:pPr>
            <w:r>
              <w:t>5640.00</w:t>
            </w:r>
          </w:p>
        </w:tc>
        <w:tc>
          <w:tcPr>
            <w:tcW w:w="1474" w:type="dxa"/>
            <w:vAlign w:val="center"/>
          </w:tcPr>
          <w:p>
            <w:pPr>
              <w:pStyle w:val="16"/>
            </w:pPr>
            <w:r>
              <w:t>5180.00</w:t>
            </w:r>
          </w:p>
        </w:tc>
        <w:tc>
          <w:tcPr>
            <w:tcW w:w="1474" w:type="dxa"/>
            <w:vAlign w:val="center"/>
          </w:tcPr>
          <w:p>
            <w:pPr>
              <w:pStyle w:val="16"/>
            </w:pPr>
            <w:r>
              <w:t>460.00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3021.42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3021.42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5640.00</w:t>
            </w:r>
          </w:p>
        </w:tc>
        <w:tc>
          <w:tcPr>
            <w:tcW w:w="3402" w:type="dxa"/>
            <w:vAlign w:val="center"/>
          </w:tcPr>
          <w:p>
            <w:pPr>
              <w:pStyle w:val="15"/>
            </w:pPr>
            <w:r>
              <w:t>支出总计</w:t>
            </w:r>
          </w:p>
        </w:tc>
        <w:tc>
          <w:tcPr>
            <w:tcW w:w="1474" w:type="dxa"/>
            <w:vAlign w:val="center"/>
          </w:tcPr>
          <w:p>
            <w:pPr>
              <w:pStyle w:val="16"/>
            </w:pPr>
            <w:r>
              <w:t>5640.00</w:t>
            </w:r>
          </w:p>
        </w:tc>
        <w:tc>
          <w:tcPr>
            <w:tcW w:w="1474" w:type="dxa"/>
            <w:vAlign w:val="center"/>
          </w:tcPr>
          <w:p>
            <w:pPr>
              <w:pStyle w:val="16"/>
            </w:pPr>
            <w:r>
              <w:t>5180.00</w:t>
            </w:r>
          </w:p>
        </w:tc>
        <w:tc>
          <w:tcPr>
            <w:tcW w:w="1474" w:type="dxa"/>
            <w:vAlign w:val="center"/>
          </w:tcPr>
          <w:p>
            <w:pPr>
              <w:pStyle w:val="16"/>
            </w:pPr>
            <w:r>
              <w:t>460.00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5180.00</w:t>
            </w:r>
          </w:p>
        </w:tc>
        <w:tc>
          <w:tcPr>
            <w:tcW w:w="2551" w:type="dxa"/>
            <w:vAlign w:val="center"/>
          </w:tcPr>
          <w:p>
            <w:pPr>
              <w:pStyle w:val="16"/>
            </w:pPr>
            <w:r>
              <w:t>2386.35</w:t>
            </w:r>
          </w:p>
        </w:tc>
        <w:tc>
          <w:tcPr>
            <w:tcW w:w="2551" w:type="dxa"/>
            <w:vAlign w:val="center"/>
          </w:tcPr>
          <w:p>
            <w:pPr>
              <w:pStyle w:val="16"/>
            </w:pPr>
            <w:r>
              <w:t>2793.65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161.10</w:t>
            </w:r>
          </w:p>
        </w:tc>
        <w:tc>
          <w:tcPr>
            <w:tcW w:w="2551" w:type="dxa"/>
            <w:vAlign w:val="center"/>
          </w:tcPr>
          <w:p>
            <w:pPr>
              <w:pStyle w:val="12"/>
            </w:pPr>
            <w:r>
              <w:t>161.10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158.21</w:t>
            </w:r>
          </w:p>
        </w:tc>
        <w:tc>
          <w:tcPr>
            <w:tcW w:w="2551" w:type="dxa"/>
            <w:vAlign w:val="center"/>
          </w:tcPr>
          <w:p>
            <w:pPr>
              <w:pStyle w:val="12"/>
            </w:pPr>
            <w:r>
              <w:t>158.21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39.39</w:t>
            </w:r>
          </w:p>
        </w:tc>
        <w:tc>
          <w:tcPr>
            <w:tcW w:w="2551" w:type="dxa"/>
            <w:vAlign w:val="center"/>
          </w:tcPr>
          <w:p>
            <w:pPr>
              <w:pStyle w:val="12"/>
            </w:pPr>
            <w:r>
              <w:t>39.39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83.66</w:t>
            </w:r>
          </w:p>
        </w:tc>
        <w:tc>
          <w:tcPr>
            <w:tcW w:w="2551" w:type="dxa"/>
            <w:vAlign w:val="center"/>
          </w:tcPr>
          <w:p>
            <w:pPr>
              <w:pStyle w:val="12"/>
            </w:pPr>
            <w:r>
              <w:t>83.66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35.16</w:t>
            </w:r>
          </w:p>
        </w:tc>
        <w:tc>
          <w:tcPr>
            <w:tcW w:w="2551" w:type="dxa"/>
            <w:vAlign w:val="center"/>
          </w:tcPr>
          <w:p>
            <w:pPr>
              <w:pStyle w:val="12"/>
            </w:pPr>
            <w:r>
              <w:t>35.16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2.90</w:t>
            </w:r>
          </w:p>
        </w:tc>
        <w:tc>
          <w:tcPr>
            <w:tcW w:w="2551" w:type="dxa"/>
            <w:vAlign w:val="center"/>
          </w:tcPr>
          <w:p>
            <w:pPr>
              <w:pStyle w:val="12"/>
            </w:pPr>
            <w:r>
              <w:t>2.90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2.90</w:t>
            </w:r>
          </w:p>
        </w:tc>
        <w:tc>
          <w:tcPr>
            <w:tcW w:w="2551" w:type="dxa"/>
            <w:vAlign w:val="center"/>
          </w:tcPr>
          <w:p>
            <w:pPr>
              <w:pStyle w:val="12"/>
            </w:pPr>
            <w:r>
              <w:t>2.90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62.28</w:t>
            </w:r>
          </w:p>
        </w:tc>
        <w:tc>
          <w:tcPr>
            <w:tcW w:w="2551" w:type="dxa"/>
            <w:vAlign w:val="center"/>
          </w:tcPr>
          <w:p>
            <w:pPr>
              <w:pStyle w:val="12"/>
            </w:pPr>
            <w:r>
              <w:t>62.28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62.28</w:t>
            </w:r>
          </w:p>
        </w:tc>
        <w:tc>
          <w:tcPr>
            <w:tcW w:w="2551" w:type="dxa"/>
            <w:vAlign w:val="center"/>
          </w:tcPr>
          <w:p>
            <w:pPr>
              <w:pStyle w:val="12"/>
            </w:pPr>
            <w:r>
              <w:t>62.28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40.38</w:t>
            </w:r>
          </w:p>
        </w:tc>
        <w:tc>
          <w:tcPr>
            <w:tcW w:w="2551" w:type="dxa"/>
            <w:vAlign w:val="center"/>
          </w:tcPr>
          <w:p>
            <w:pPr>
              <w:pStyle w:val="12"/>
            </w:pPr>
            <w:r>
              <w:t>40.38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21.89</w:t>
            </w:r>
          </w:p>
        </w:tc>
        <w:tc>
          <w:tcPr>
            <w:tcW w:w="2551" w:type="dxa"/>
            <w:vAlign w:val="center"/>
          </w:tcPr>
          <w:p>
            <w:pPr>
              <w:pStyle w:val="12"/>
            </w:pPr>
            <w:r>
              <w:t>21.89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65.51</w:t>
            </w:r>
          </w:p>
        </w:tc>
        <w:tc>
          <w:tcPr>
            <w:tcW w:w="2551" w:type="dxa"/>
            <w:vAlign w:val="center"/>
          </w:tcPr>
          <w:p>
            <w:pPr>
              <w:pStyle w:val="12"/>
            </w:pPr>
            <w:r>
              <w:t>65.51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65.51</w:t>
            </w:r>
          </w:p>
        </w:tc>
        <w:tc>
          <w:tcPr>
            <w:tcW w:w="2551" w:type="dxa"/>
            <w:vAlign w:val="center"/>
          </w:tcPr>
          <w:p>
            <w:pPr>
              <w:pStyle w:val="12"/>
            </w:pPr>
            <w:r>
              <w:t>65.51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65.51</w:t>
            </w:r>
          </w:p>
        </w:tc>
        <w:tc>
          <w:tcPr>
            <w:tcW w:w="2551" w:type="dxa"/>
            <w:vAlign w:val="center"/>
          </w:tcPr>
          <w:p>
            <w:pPr>
              <w:pStyle w:val="12"/>
            </w:pPr>
            <w:r>
              <w:t>65.51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4891.11</w:t>
            </w:r>
          </w:p>
        </w:tc>
        <w:tc>
          <w:tcPr>
            <w:tcW w:w="2551" w:type="dxa"/>
            <w:vAlign w:val="center"/>
          </w:tcPr>
          <w:p>
            <w:pPr>
              <w:pStyle w:val="12"/>
            </w:pPr>
            <w:r>
              <w:t>2097.47</w:t>
            </w:r>
          </w:p>
        </w:tc>
        <w:tc>
          <w:tcPr>
            <w:tcW w:w="2551" w:type="dxa"/>
            <w:vAlign w:val="center"/>
          </w:tcPr>
          <w:p>
            <w:pPr>
              <w:pStyle w:val="12"/>
            </w:pPr>
            <w:r>
              <w:t>2793.65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2445.57</w:t>
            </w:r>
          </w:p>
        </w:tc>
        <w:tc>
          <w:tcPr>
            <w:tcW w:w="2551" w:type="dxa"/>
            <w:vAlign w:val="center"/>
          </w:tcPr>
          <w:p>
            <w:pPr>
              <w:pStyle w:val="12"/>
            </w:pPr>
            <w:r>
              <w:t>2097.47</w:t>
            </w:r>
          </w:p>
        </w:tc>
        <w:tc>
          <w:tcPr>
            <w:tcW w:w="2551" w:type="dxa"/>
            <w:vAlign w:val="center"/>
          </w:tcPr>
          <w:p>
            <w:pPr>
              <w:pStyle w:val="12"/>
            </w:pPr>
            <w:r>
              <w:t>348.10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1335.20</w:t>
            </w:r>
          </w:p>
        </w:tc>
        <w:tc>
          <w:tcPr>
            <w:tcW w:w="2551" w:type="dxa"/>
            <w:vAlign w:val="center"/>
          </w:tcPr>
          <w:p>
            <w:pPr>
              <w:pStyle w:val="12"/>
            </w:pPr>
            <w:r>
              <w:t>1335.20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215.35</w:t>
            </w:r>
          </w:p>
        </w:tc>
        <w:tc>
          <w:tcPr>
            <w:tcW w:w="2551" w:type="dxa"/>
            <w:vAlign w:val="center"/>
          </w:tcPr>
          <w:p>
            <w:pPr>
              <w:pStyle w:val="12"/>
            </w:pPr>
          </w:p>
        </w:tc>
        <w:tc>
          <w:tcPr>
            <w:tcW w:w="2551" w:type="dxa"/>
            <w:vAlign w:val="center"/>
          </w:tcPr>
          <w:p>
            <w:pPr>
              <w:pStyle w:val="12"/>
            </w:pPr>
            <w:r>
              <w:t>215.35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49.75</w:t>
            </w:r>
          </w:p>
        </w:tc>
        <w:tc>
          <w:tcPr>
            <w:tcW w:w="2551" w:type="dxa"/>
            <w:vAlign w:val="center"/>
          </w:tcPr>
          <w:p>
            <w:pPr>
              <w:pStyle w:val="12"/>
            </w:pPr>
          </w:p>
        </w:tc>
        <w:tc>
          <w:tcPr>
            <w:tcW w:w="2551" w:type="dxa"/>
            <w:vAlign w:val="center"/>
          </w:tcPr>
          <w:p>
            <w:pPr>
              <w:pStyle w:val="12"/>
            </w:pPr>
            <w:r>
              <w:t>49.75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2240108</w:t>
            </w:r>
          </w:p>
        </w:tc>
        <w:tc>
          <w:tcPr>
            <w:tcW w:w="4535" w:type="dxa"/>
            <w:vAlign w:val="center"/>
          </w:tcPr>
          <w:p>
            <w:pPr>
              <w:pStyle w:val="13"/>
            </w:pPr>
            <w:r>
              <w:t>应急救援</w:t>
            </w:r>
          </w:p>
        </w:tc>
        <w:tc>
          <w:tcPr>
            <w:tcW w:w="2551" w:type="dxa"/>
            <w:vAlign w:val="center"/>
          </w:tcPr>
          <w:p>
            <w:pPr>
              <w:pStyle w:val="12"/>
            </w:pPr>
            <w:r>
              <w:t>71.00</w:t>
            </w:r>
          </w:p>
        </w:tc>
        <w:tc>
          <w:tcPr>
            <w:tcW w:w="2551" w:type="dxa"/>
            <w:vAlign w:val="center"/>
          </w:tcPr>
          <w:p>
            <w:pPr>
              <w:pStyle w:val="12"/>
            </w:pPr>
          </w:p>
        </w:tc>
        <w:tc>
          <w:tcPr>
            <w:tcW w:w="2551" w:type="dxa"/>
            <w:vAlign w:val="center"/>
          </w:tcPr>
          <w:p>
            <w:pPr>
              <w:pStyle w:val="12"/>
            </w:pPr>
            <w:r>
              <w:t>71.00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2240150</w:t>
            </w:r>
          </w:p>
        </w:tc>
        <w:tc>
          <w:tcPr>
            <w:tcW w:w="4535" w:type="dxa"/>
            <w:vAlign w:val="center"/>
          </w:tcPr>
          <w:p>
            <w:pPr>
              <w:pStyle w:val="13"/>
            </w:pPr>
            <w:r>
              <w:t>事业运行</w:t>
            </w:r>
          </w:p>
        </w:tc>
        <w:tc>
          <w:tcPr>
            <w:tcW w:w="2551" w:type="dxa"/>
            <w:vAlign w:val="center"/>
          </w:tcPr>
          <w:p>
            <w:pPr>
              <w:pStyle w:val="12"/>
            </w:pPr>
            <w:r>
              <w:t>762.27</w:t>
            </w:r>
          </w:p>
        </w:tc>
        <w:tc>
          <w:tcPr>
            <w:tcW w:w="2551" w:type="dxa"/>
            <w:vAlign w:val="center"/>
          </w:tcPr>
          <w:p>
            <w:pPr>
              <w:pStyle w:val="12"/>
            </w:pPr>
            <w:r>
              <w:t>762.27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2240199</w:t>
            </w:r>
          </w:p>
        </w:tc>
        <w:tc>
          <w:tcPr>
            <w:tcW w:w="4535" w:type="dxa"/>
            <w:vAlign w:val="center"/>
          </w:tcPr>
          <w:p>
            <w:pPr>
              <w:pStyle w:val="13"/>
            </w:pPr>
            <w:r>
              <w:t>其他应急管理支出</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216.22</w:t>
            </w:r>
          </w:p>
        </w:tc>
        <w:tc>
          <w:tcPr>
            <w:tcW w:w="2551" w:type="dxa"/>
            <w:vAlign w:val="center"/>
          </w:tcPr>
          <w:p>
            <w:pPr>
              <w:pStyle w:val="12"/>
            </w:pPr>
          </w:p>
        </w:tc>
        <w:tc>
          <w:tcPr>
            <w:tcW w:w="2551" w:type="dxa"/>
            <w:vAlign w:val="center"/>
          </w:tcPr>
          <w:p>
            <w:pPr>
              <w:pStyle w:val="12"/>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2240204</w:t>
            </w:r>
          </w:p>
        </w:tc>
        <w:tc>
          <w:tcPr>
            <w:tcW w:w="4535" w:type="dxa"/>
            <w:vAlign w:val="center"/>
          </w:tcPr>
          <w:p>
            <w:pPr>
              <w:pStyle w:val="13"/>
            </w:pPr>
            <w:r>
              <w:t>消防应急救援</w:t>
            </w:r>
          </w:p>
        </w:tc>
        <w:tc>
          <w:tcPr>
            <w:tcW w:w="2551" w:type="dxa"/>
            <w:vAlign w:val="center"/>
          </w:tcPr>
          <w:p>
            <w:pPr>
              <w:pStyle w:val="12"/>
            </w:pPr>
            <w:r>
              <w:t>216.22</w:t>
            </w:r>
          </w:p>
        </w:tc>
        <w:tc>
          <w:tcPr>
            <w:tcW w:w="2551" w:type="dxa"/>
            <w:vAlign w:val="center"/>
          </w:tcPr>
          <w:p>
            <w:pPr>
              <w:pStyle w:val="12"/>
            </w:pPr>
          </w:p>
        </w:tc>
        <w:tc>
          <w:tcPr>
            <w:tcW w:w="2551" w:type="dxa"/>
            <w:vAlign w:val="center"/>
          </w:tcPr>
          <w:p>
            <w:pPr>
              <w:pStyle w:val="12"/>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22404</w:t>
            </w:r>
          </w:p>
        </w:tc>
        <w:tc>
          <w:tcPr>
            <w:tcW w:w="4535" w:type="dxa"/>
            <w:vAlign w:val="center"/>
          </w:tcPr>
          <w:p>
            <w:pPr>
              <w:pStyle w:val="13"/>
            </w:pPr>
            <w:r>
              <w:t>矿山安全</w:t>
            </w:r>
          </w:p>
        </w:tc>
        <w:tc>
          <w:tcPr>
            <w:tcW w:w="2551" w:type="dxa"/>
            <w:vAlign w:val="center"/>
          </w:tcPr>
          <w:p>
            <w:pPr>
              <w:pStyle w:val="12"/>
            </w:pPr>
            <w:r>
              <w:t>351.49</w:t>
            </w:r>
          </w:p>
        </w:tc>
        <w:tc>
          <w:tcPr>
            <w:tcW w:w="2551" w:type="dxa"/>
            <w:vAlign w:val="center"/>
          </w:tcPr>
          <w:p>
            <w:pPr>
              <w:pStyle w:val="12"/>
            </w:pPr>
          </w:p>
        </w:tc>
        <w:tc>
          <w:tcPr>
            <w:tcW w:w="2551" w:type="dxa"/>
            <w:vAlign w:val="center"/>
          </w:tcPr>
          <w:p>
            <w:pPr>
              <w:pStyle w:val="12"/>
            </w:pPr>
            <w:r>
              <w:t>351.49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2240404</w:t>
            </w:r>
          </w:p>
        </w:tc>
        <w:tc>
          <w:tcPr>
            <w:tcW w:w="4535" w:type="dxa"/>
            <w:vAlign w:val="center"/>
          </w:tcPr>
          <w:p>
            <w:pPr>
              <w:pStyle w:val="13"/>
            </w:pPr>
            <w:r>
              <w:t>矿山安全监察事务</w:t>
            </w:r>
          </w:p>
        </w:tc>
        <w:tc>
          <w:tcPr>
            <w:tcW w:w="2551" w:type="dxa"/>
            <w:vAlign w:val="center"/>
          </w:tcPr>
          <w:p>
            <w:pPr>
              <w:pStyle w:val="12"/>
            </w:pPr>
            <w:r>
              <w:t>351.49</w:t>
            </w:r>
          </w:p>
        </w:tc>
        <w:tc>
          <w:tcPr>
            <w:tcW w:w="2551" w:type="dxa"/>
            <w:vAlign w:val="center"/>
          </w:tcPr>
          <w:p>
            <w:pPr>
              <w:pStyle w:val="12"/>
            </w:pPr>
          </w:p>
        </w:tc>
        <w:tc>
          <w:tcPr>
            <w:tcW w:w="2551" w:type="dxa"/>
            <w:vAlign w:val="center"/>
          </w:tcPr>
          <w:p>
            <w:pPr>
              <w:pStyle w:val="12"/>
            </w:pPr>
            <w:r>
              <w:t>351.49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1085.84</w:t>
            </w:r>
          </w:p>
        </w:tc>
        <w:tc>
          <w:tcPr>
            <w:tcW w:w="2551" w:type="dxa"/>
            <w:vAlign w:val="center"/>
          </w:tcPr>
          <w:p>
            <w:pPr>
              <w:pStyle w:val="12"/>
            </w:pPr>
          </w:p>
        </w:tc>
        <w:tc>
          <w:tcPr>
            <w:tcW w:w="2551" w:type="dxa"/>
            <w:vAlign w:val="center"/>
          </w:tcPr>
          <w:p>
            <w:pPr>
              <w:pStyle w:val="12"/>
            </w:pPr>
            <w:r>
              <w:t>1085.84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1085.84</w:t>
            </w:r>
          </w:p>
        </w:tc>
        <w:tc>
          <w:tcPr>
            <w:tcW w:w="2551" w:type="dxa"/>
            <w:vAlign w:val="center"/>
          </w:tcPr>
          <w:p>
            <w:pPr>
              <w:pStyle w:val="12"/>
            </w:pPr>
          </w:p>
        </w:tc>
        <w:tc>
          <w:tcPr>
            <w:tcW w:w="2551" w:type="dxa"/>
            <w:vAlign w:val="center"/>
          </w:tcPr>
          <w:p>
            <w:pPr>
              <w:pStyle w:val="12"/>
            </w:pPr>
            <w:r>
              <w:t>1085.84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22499</w:t>
            </w:r>
          </w:p>
        </w:tc>
        <w:tc>
          <w:tcPr>
            <w:tcW w:w="4535" w:type="dxa"/>
            <w:vAlign w:val="center"/>
          </w:tcPr>
          <w:p>
            <w:pPr>
              <w:pStyle w:val="13"/>
            </w:pPr>
            <w:r>
              <w:t>其他灾害防治及应急管理支出</w:t>
            </w:r>
          </w:p>
        </w:tc>
        <w:tc>
          <w:tcPr>
            <w:tcW w:w="2551" w:type="dxa"/>
            <w:vAlign w:val="center"/>
          </w:tcPr>
          <w:p>
            <w:pPr>
              <w:pStyle w:val="12"/>
            </w:pPr>
            <w:r>
              <w:t>792.00</w:t>
            </w:r>
          </w:p>
        </w:tc>
        <w:tc>
          <w:tcPr>
            <w:tcW w:w="2551" w:type="dxa"/>
            <w:vAlign w:val="center"/>
          </w:tcPr>
          <w:p>
            <w:pPr>
              <w:pStyle w:val="12"/>
            </w:pPr>
          </w:p>
        </w:tc>
        <w:tc>
          <w:tcPr>
            <w:tcW w:w="2551" w:type="dxa"/>
            <w:vAlign w:val="center"/>
          </w:tcPr>
          <w:p>
            <w:pPr>
              <w:pStyle w:val="12"/>
            </w:pPr>
            <w:r>
              <w:t>792.00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2249999</w:t>
            </w:r>
          </w:p>
        </w:tc>
        <w:tc>
          <w:tcPr>
            <w:tcW w:w="4535" w:type="dxa"/>
            <w:vAlign w:val="center"/>
          </w:tcPr>
          <w:p>
            <w:pPr>
              <w:pStyle w:val="13"/>
            </w:pPr>
            <w:r>
              <w:t>其他灾害防治及应急管理支出</w:t>
            </w:r>
          </w:p>
        </w:tc>
        <w:tc>
          <w:tcPr>
            <w:tcW w:w="2551" w:type="dxa"/>
            <w:vAlign w:val="center"/>
          </w:tcPr>
          <w:p>
            <w:pPr>
              <w:pStyle w:val="12"/>
            </w:pPr>
            <w:r>
              <w:t>792.00</w:t>
            </w:r>
          </w:p>
        </w:tc>
        <w:tc>
          <w:tcPr>
            <w:tcW w:w="2551" w:type="dxa"/>
            <w:vAlign w:val="center"/>
          </w:tcPr>
          <w:p>
            <w:pPr>
              <w:pStyle w:val="12"/>
            </w:pPr>
          </w:p>
        </w:tc>
        <w:tc>
          <w:tcPr>
            <w:tcW w:w="2551" w:type="dxa"/>
            <w:vAlign w:val="center"/>
          </w:tcPr>
          <w:p>
            <w:pPr>
              <w:pStyle w:val="12"/>
            </w:pPr>
            <w:r>
              <w:t>792.00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2386.35</w:t>
            </w:r>
          </w:p>
        </w:tc>
        <w:tc>
          <w:tcPr>
            <w:tcW w:w="2551" w:type="dxa"/>
            <w:vAlign w:val="center"/>
          </w:tcPr>
          <w:p>
            <w:pPr>
              <w:pStyle w:val="16"/>
            </w:pPr>
            <w:r>
              <w:t>2267.58</w:t>
            </w:r>
          </w:p>
        </w:tc>
        <w:tc>
          <w:tcPr>
            <w:tcW w:w="2551" w:type="dxa"/>
            <w:vAlign w:val="center"/>
          </w:tcPr>
          <w:p>
            <w:pPr>
              <w:pStyle w:val="16"/>
            </w:pPr>
            <w:r>
              <w:t>118.77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2225.30</w:t>
            </w:r>
          </w:p>
        </w:tc>
        <w:tc>
          <w:tcPr>
            <w:tcW w:w="2551" w:type="dxa"/>
            <w:vAlign w:val="center"/>
          </w:tcPr>
          <w:p>
            <w:pPr>
              <w:pStyle w:val="12"/>
            </w:pPr>
            <w:r>
              <w:t>2225.30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408.49</w:t>
            </w:r>
          </w:p>
        </w:tc>
        <w:tc>
          <w:tcPr>
            <w:tcW w:w="2551" w:type="dxa"/>
            <w:vAlign w:val="center"/>
          </w:tcPr>
          <w:p>
            <w:pPr>
              <w:pStyle w:val="12"/>
            </w:pPr>
            <w:r>
              <w:t>408.49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79.62</w:t>
            </w:r>
          </w:p>
        </w:tc>
        <w:tc>
          <w:tcPr>
            <w:tcW w:w="2551" w:type="dxa"/>
            <w:vAlign w:val="center"/>
          </w:tcPr>
          <w:p>
            <w:pPr>
              <w:pStyle w:val="12"/>
            </w:pPr>
            <w:r>
              <w:t>79.62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32.86</w:t>
            </w:r>
          </w:p>
        </w:tc>
        <w:tc>
          <w:tcPr>
            <w:tcW w:w="2551" w:type="dxa"/>
            <w:vAlign w:val="center"/>
          </w:tcPr>
          <w:p>
            <w:pPr>
              <w:pStyle w:val="12"/>
            </w:pPr>
            <w:r>
              <w:t>32.86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386.72</w:t>
            </w:r>
          </w:p>
        </w:tc>
        <w:tc>
          <w:tcPr>
            <w:tcW w:w="2551" w:type="dxa"/>
            <w:vAlign w:val="center"/>
          </w:tcPr>
          <w:p>
            <w:pPr>
              <w:pStyle w:val="12"/>
            </w:pPr>
            <w:r>
              <w:t>386.72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83.66</w:t>
            </w:r>
          </w:p>
        </w:tc>
        <w:tc>
          <w:tcPr>
            <w:tcW w:w="2551" w:type="dxa"/>
            <w:vAlign w:val="center"/>
          </w:tcPr>
          <w:p>
            <w:pPr>
              <w:pStyle w:val="12"/>
            </w:pPr>
            <w:r>
              <w:t>83.66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35.16</w:t>
            </w:r>
          </w:p>
        </w:tc>
        <w:tc>
          <w:tcPr>
            <w:tcW w:w="2551" w:type="dxa"/>
            <w:vAlign w:val="center"/>
          </w:tcPr>
          <w:p>
            <w:pPr>
              <w:pStyle w:val="12"/>
            </w:pPr>
            <w:r>
              <w:t>35.16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61.60</w:t>
            </w:r>
          </w:p>
        </w:tc>
        <w:tc>
          <w:tcPr>
            <w:tcW w:w="2551" w:type="dxa"/>
            <w:vAlign w:val="center"/>
          </w:tcPr>
          <w:p>
            <w:pPr>
              <w:pStyle w:val="12"/>
            </w:pPr>
            <w:r>
              <w:t>61.60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3.29</w:t>
            </w:r>
          </w:p>
        </w:tc>
        <w:tc>
          <w:tcPr>
            <w:tcW w:w="2551" w:type="dxa"/>
            <w:vAlign w:val="center"/>
          </w:tcPr>
          <w:p>
            <w:pPr>
              <w:pStyle w:val="12"/>
            </w:pPr>
            <w:r>
              <w:t>3.29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65.51</w:t>
            </w:r>
          </w:p>
        </w:tc>
        <w:tc>
          <w:tcPr>
            <w:tcW w:w="2551" w:type="dxa"/>
            <w:vAlign w:val="center"/>
          </w:tcPr>
          <w:p>
            <w:pPr>
              <w:pStyle w:val="12"/>
            </w:pPr>
            <w:r>
              <w:t>65.51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1068.39</w:t>
            </w:r>
          </w:p>
        </w:tc>
        <w:tc>
          <w:tcPr>
            <w:tcW w:w="2551" w:type="dxa"/>
            <w:vAlign w:val="center"/>
          </w:tcPr>
          <w:p>
            <w:pPr>
              <w:pStyle w:val="12"/>
            </w:pPr>
            <w:r>
              <w:t>1068.39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118.77</w:t>
            </w:r>
          </w:p>
        </w:tc>
        <w:tc>
          <w:tcPr>
            <w:tcW w:w="2551" w:type="dxa"/>
            <w:vAlign w:val="center"/>
          </w:tcPr>
          <w:p>
            <w:pPr>
              <w:pStyle w:val="12"/>
            </w:pPr>
          </w:p>
        </w:tc>
        <w:tc>
          <w:tcPr>
            <w:tcW w:w="2551" w:type="dxa"/>
            <w:vAlign w:val="center"/>
          </w:tcPr>
          <w:p>
            <w:pPr>
              <w:pStyle w:val="12"/>
            </w:pPr>
            <w:r>
              <w:t>118.77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70.59</w:t>
            </w:r>
          </w:p>
        </w:tc>
        <w:tc>
          <w:tcPr>
            <w:tcW w:w="2551" w:type="dxa"/>
            <w:vAlign w:val="center"/>
          </w:tcPr>
          <w:p>
            <w:pPr>
              <w:pStyle w:val="12"/>
            </w:pPr>
          </w:p>
        </w:tc>
        <w:tc>
          <w:tcPr>
            <w:tcW w:w="2551" w:type="dxa"/>
            <w:vAlign w:val="center"/>
          </w:tcPr>
          <w:p>
            <w:pPr>
              <w:pStyle w:val="12"/>
            </w:pPr>
            <w:r>
              <w:t>70.59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1.62</w:t>
            </w:r>
          </w:p>
        </w:tc>
        <w:tc>
          <w:tcPr>
            <w:tcW w:w="2551" w:type="dxa"/>
            <w:vAlign w:val="center"/>
          </w:tcPr>
          <w:p>
            <w:pPr>
              <w:pStyle w:val="12"/>
            </w:pPr>
          </w:p>
        </w:tc>
        <w:tc>
          <w:tcPr>
            <w:tcW w:w="2551" w:type="dxa"/>
            <w:vAlign w:val="center"/>
          </w:tcPr>
          <w:p>
            <w:pPr>
              <w:pStyle w:val="12"/>
            </w:pPr>
            <w: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6.48</w:t>
            </w:r>
          </w:p>
        </w:tc>
        <w:tc>
          <w:tcPr>
            <w:tcW w:w="2551" w:type="dxa"/>
            <w:vAlign w:val="center"/>
          </w:tcPr>
          <w:p>
            <w:pPr>
              <w:pStyle w:val="12"/>
            </w:pPr>
          </w:p>
        </w:tc>
        <w:tc>
          <w:tcPr>
            <w:tcW w:w="2551" w:type="dxa"/>
            <w:vAlign w:val="center"/>
          </w:tcPr>
          <w:p>
            <w:pPr>
              <w:pStyle w:val="12"/>
            </w:pPr>
            <w:r>
              <w:t>6.48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4.07</w:t>
            </w:r>
          </w:p>
        </w:tc>
        <w:tc>
          <w:tcPr>
            <w:tcW w:w="2551" w:type="dxa"/>
            <w:vAlign w:val="center"/>
          </w:tcPr>
          <w:p>
            <w:pPr>
              <w:pStyle w:val="12"/>
            </w:pPr>
          </w:p>
        </w:tc>
        <w:tc>
          <w:tcPr>
            <w:tcW w:w="2551" w:type="dxa"/>
            <w:vAlign w:val="center"/>
          </w:tcPr>
          <w:p>
            <w:pPr>
              <w:pStyle w:val="12"/>
            </w:pPr>
            <w:r>
              <w:t>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8.86</w:t>
            </w:r>
          </w:p>
        </w:tc>
        <w:tc>
          <w:tcPr>
            <w:tcW w:w="2551" w:type="dxa"/>
            <w:vAlign w:val="center"/>
          </w:tcPr>
          <w:p>
            <w:pPr>
              <w:pStyle w:val="12"/>
            </w:pPr>
          </w:p>
        </w:tc>
        <w:tc>
          <w:tcPr>
            <w:tcW w:w="2551" w:type="dxa"/>
            <w:vAlign w:val="center"/>
          </w:tcPr>
          <w:p>
            <w:pPr>
              <w:pStyle w:val="12"/>
            </w:pPr>
            <w:r>
              <w:t>8.86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0.25</w:t>
            </w:r>
          </w:p>
        </w:tc>
        <w:tc>
          <w:tcPr>
            <w:tcW w:w="2551" w:type="dxa"/>
            <w:vAlign w:val="center"/>
          </w:tcPr>
          <w:p>
            <w:pPr>
              <w:pStyle w:val="12"/>
            </w:pPr>
          </w:p>
        </w:tc>
        <w:tc>
          <w:tcPr>
            <w:tcW w:w="2551"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10.20</w:t>
            </w:r>
          </w:p>
        </w:tc>
        <w:tc>
          <w:tcPr>
            <w:tcW w:w="2551" w:type="dxa"/>
            <w:vAlign w:val="center"/>
          </w:tcPr>
          <w:p>
            <w:pPr>
              <w:pStyle w:val="12"/>
            </w:pPr>
          </w:p>
        </w:tc>
        <w:tc>
          <w:tcPr>
            <w:tcW w:w="2551" w:type="dxa"/>
            <w:vAlign w:val="center"/>
          </w:tcPr>
          <w:p>
            <w:pPr>
              <w:pStyle w:val="12"/>
            </w:pPr>
            <w:r>
              <w:t>10.20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3.20</w:t>
            </w:r>
          </w:p>
        </w:tc>
        <w:tc>
          <w:tcPr>
            <w:tcW w:w="2551" w:type="dxa"/>
            <w:vAlign w:val="center"/>
          </w:tcPr>
          <w:p>
            <w:pPr>
              <w:pStyle w:val="12"/>
            </w:pPr>
          </w:p>
        </w:tc>
        <w:tc>
          <w:tcPr>
            <w:tcW w:w="2551" w:type="dxa"/>
            <w:vAlign w:val="center"/>
          </w:tcPr>
          <w:p>
            <w:pPr>
              <w:pStyle w:val="12"/>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13.30</w:t>
            </w:r>
          </w:p>
        </w:tc>
        <w:tc>
          <w:tcPr>
            <w:tcW w:w="2551" w:type="dxa"/>
            <w:vAlign w:val="center"/>
          </w:tcPr>
          <w:p>
            <w:pPr>
              <w:pStyle w:val="12"/>
            </w:pPr>
          </w:p>
        </w:tc>
        <w:tc>
          <w:tcPr>
            <w:tcW w:w="2551" w:type="dxa"/>
            <w:vAlign w:val="center"/>
          </w:tcPr>
          <w:p>
            <w:pPr>
              <w:pStyle w:val="12"/>
            </w:pPr>
            <w:r>
              <w:t>13.30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42.28</w:t>
            </w:r>
          </w:p>
        </w:tc>
        <w:tc>
          <w:tcPr>
            <w:tcW w:w="2551" w:type="dxa"/>
            <w:vAlign w:val="center"/>
          </w:tcPr>
          <w:p>
            <w:pPr>
              <w:pStyle w:val="12"/>
            </w:pPr>
            <w:r>
              <w:t>42.28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11.01</w:t>
            </w:r>
          </w:p>
        </w:tc>
        <w:tc>
          <w:tcPr>
            <w:tcW w:w="2551" w:type="dxa"/>
            <w:vAlign w:val="center"/>
          </w:tcPr>
          <w:p>
            <w:pPr>
              <w:pStyle w:val="12"/>
            </w:pPr>
            <w:r>
              <w:t>11.01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28.37</w:t>
            </w:r>
          </w:p>
        </w:tc>
        <w:tc>
          <w:tcPr>
            <w:tcW w:w="2551" w:type="dxa"/>
            <w:vAlign w:val="center"/>
          </w:tcPr>
          <w:p>
            <w:pPr>
              <w:pStyle w:val="12"/>
            </w:pPr>
            <w:r>
              <w:t>28.37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2.90</w:t>
            </w:r>
          </w:p>
        </w:tc>
        <w:tc>
          <w:tcPr>
            <w:tcW w:w="2551" w:type="dxa"/>
            <w:vAlign w:val="center"/>
          </w:tcPr>
          <w:p>
            <w:pPr>
              <w:pStyle w:val="12"/>
            </w:pPr>
            <w:r>
              <w:t>2.90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460.00</w:t>
            </w:r>
          </w:p>
        </w:tc>
        <w:tc>
          <w:tcPr>
            <w:tcW w:w="2551" w:type="dxa"/>
            <w:vAlign w:val="center"/>
          </w:tcPr>
          <w:p>
            <w:pPr>
              <w:pStyle w:val="16"/>
            </w:pPr>
          </w:p>
        </w:tc>
        <w:tc>
          <w:tcPr>
            <w:tcW w:w="2551" w:type="dxa"/>
            <w:vAlign w:val="center"/>
          </w:tcPr>
          <w:p>
            <w:pPr>
              <w:pStyle w:val="16"/>
            </w:pPr>
            <w:r>
              <w:t>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460.00</w:t>
            </w:r>
          </w:p>
        </w:tc>
        <w:tc>
          <w:tcPr>
            <w:tcW w:w="2551" w:type="dxa"/>
            <w:vAlign w:val="center"/>
          </w:tcPr>
          <w:p>
            <w:pPr>
              <w:pStyle w:val="12"/>
            </w:pPr>
          </w:p>
        </w:tc>
        <w:tc>
          <w:tcPr>
            <w:tcW w:w="2551" w:type="dxa"/>
            <w:vAlign w:val="center"/>
          </w:tcPr>
          <w:p>
            <w:pPr>
              <w:pStyle w:val="12"/>
            </w:pPr>
            <w:r>
              <w:t>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460.00</w:t>
            </w:r>
          </w:p>
        </w:tc>
        <w:tc>
          <w:tcPr>
            <w:tcW w:w="2551" w:type="dxa"/>
            <w:vAlign w:val="center"/>
          </w:tcPr>
          <w:p>
            <w:pPr>
              <w:pStyle w:val="12"/>
            </w:pPr>
          </w:p>
        </w:tc>
        <w:tc>
          <w:tcPr>
            <w:tcW w:w="2551" w:type="dxa"/>
            <w:vAlign w:val="center"/>
          </w:tcPr>
          <w:p>
            <w:pPr>
              <w:pStyle w:val="12"/>
            </w:pPr>
            <w:r>
              <w:t>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460.00</w:t>
            </w:r>
          </w:p>
        </w:tc>
        <w:tc>
          <w:tcPr>
            <w:tcW w:w="2551" w:type="dxa"/>
            <w:vAlign w:val="center"/>
          </w:tcPr>
          <w:p>
            <w:pPr>
              <w:pStyle w:val="12"/>
            </w:pPr>
          </w:p>
        </w:tc>
        <w:tc>
          <w:tcPr>
            <w:tcW w:w="2551" w:type="dxa"/>
            <w:vAlign w:val="center"/>
          </w:tcPr>
          <w:p>
            <w:pPr>
              <w:pStyle w:val="12"/>
            </w:pPr>
            <w:r>
              <w:t>460.00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ascii="方正书宋_GBK" w:hAnsi="方正书宋_GBK" w:eastAsia="方正书宋_GBK" w:cs="方正书宋_GBK"/>
                <w:sz w:val="21"/>
                <w:szCs w:val="24"/>
                <w:lang w:val="en-US" w:eastAsia="uk-UA" w:bidi="ar-SA"/>
              </w:rPr>
            </w:pPr>
            <w:r>
              <w:t>1</w:t>
            </w:r>
          </w:p>
        </w:tc>
        <w:tc>
          <w:tcPr>
            <w:tcW w:w="3798" w:type="dxa"/>
            <w:vAlign w:val="center"/>
          </w:tcPr>
          <w:p>
            <w:pPr>
              <w:pStyle w:val="15"/>
              <w:ind w:firstLine="0" w:firstLineChars="0"/>
              <w:rPr>
                <w:rFonts w:ascii="方正书宋_GBK" w:hAnsi="方正书宋_GBK" w:eastAsia="方正书宋_GBK" w:cs="方正书宋_GBK"/>
                <w:b/>
                <w:sz w:val="21"/>
                <w:szCs w:val="24"/>
                <w:lang w:val="en-US" w:eastAsia="uk-UA" w:bidi="ar-SA"/>
              </w:rPr>
            </w:pPr>
            <w:r>
              <w:t>“三公”经费小计</w:t>
            </w:r>
          </w:p>
        </w:tc>
        <w:tc>
          <w:tcPr>
            <w:tcW w:w="2381" w:type="dxa"/>
            <w:vAlign w:val="center"/>
          </w:tcPr>
          <w:p>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5</w:t>
            </w:r>
            <w:r>
              <w:t>.40</w:t>
            </w:r>
          </w:p>
        </w:tc>
        <w:tc>
          <w:tcPr>
            <w:tcW w:w="2381" w:type="dxa"/>
            <w:vAlign w:val="center"/>
          </w:tcPr>
          <w:p>
            <w:pPr>
              <w:pStyle w:val="16"/>
              <w:ind w:firstLine="0" w:firstLineChars="0"/>
              <w:rPr>
                <w:rFonts w:ascii="方正书宋_GBK" w:hAnsi="方正书宋_GBK" w:eastAsia="方正书宋_GBK" w:cs="方正书宋_GBK"/>
                <w:b/>
                <w:sz w:val="21"/>
                <w:szCs w:val="24"/>
                <w:lang w:val="en-US" w:eastAsia="uk-UA" w:bidi="ar-SA"/>
              </w:rPr>
            </w:pPr>
            <w:r>
              <w:t>5.40</w:t>
            </w:r>
          </w:p>
        </w:tc>
        <w:tc>
          <w:tcPr>
            <w:tcW w:w="2381" w:type="dxa"/>
            <w:vAlign w:val="center"/>
          </w:tcPr>
          <w:p>
            <w:pPr>
              <w:pStyle w:val="16"/>
              <w:ind w:firstLine="0" w:firstLineChars="0"/>
              <w:rPr>
                <w:rFonts w:ascii="方正书宋_GBK" w:hAnsi="方正书宋_GBK" w:eastAsia="方正书宋_GBK" w:cs="方正书宋_GBK"/>
                <w:b/>
                <w:sz w:val="21"/>
                <w:szCs w:val="24"/>
                <w:lang w:val="en-US" w:eastAsia="uk-UA" w:bidi="ar-SA"/>
              </w:rPr>
            </w:pPr>
          </w:p>
        </w:tc>
        <w:tc>
          <w:tcPr>
            <w:tcW w:w="2381" w:type="dxa"/>
            <w:vAlign w:val="center"/>
          </w:tcPr>
          <w:p>
            <w:pPr>
              <w:pStyle w:val="16"/>
              <w:ind w:firstLine="0" w:firstLineChars="0"/>
              <w:rPr>
                <w:rFonts w:ascii="方正书宋_GBK" w:hAnsi="方正书宋_GBK" w:eastAsia="方正书宋_GBK" w:cs="方正书宋_GBK"/>
                <w:b/>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t>2</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一、因公出国（境）费</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jc w:val="center"/>
              <w:rPr>
                <w:rFonts w:ascii="方正书宋_GBK" w:hAnsi="方正书宋_GBK" w:eastAsia="方正书宋_GBK" w:cs="方正书宋_GBK"/>
                <w:sz w:val="21"/>
                <w:szCs w:val="24"/>
                <w:lang w:val="en-US" w:eastAsia="uk-UA" w:bidi="ar-SA"/>
              </w:rPr>
            </w:pP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t>3</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其中：教学科研人员因公出国（境）费</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t>4</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t>5</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0" w:type="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5.20</w:t>
            </w:r>
          </w:p>
        </w:tc>
        <w:tc>
          <w:tcPr>
            <w:tcW w:w="238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5.20</w:t>
            </w: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t>6</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t>7</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0" w:type="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5.20</w:t>
            </w: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r>
              <w:t>5.20</w:t>
            </w: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4"/>
              <w:ind w:firstLine="0" w:firstLineChars="0"/>
              <w:rPr>
                <w:rFonts w:ascii="方正书宋_GBK" w:hAnsi="方正书宋_GBK" w:eastAsia="方正书宋_GBK" w:cs="方正书宋_GBK"/>
                <w:sz w:val="21"/>
                <w:szCs w:val="24"/>
                <w:lang w:val="en-US" w:eastAsia="uk-UA" w:bidi="ar-SA"/>
              </w:rPr>
            </w:pPr>
            <w:r>
              <w:t>8</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三、公务接待费</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0.20</w:t>
            </w: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r>
              <w:t>0.20</w:t>
            </w:r>
          </w:p>
        </w:tc>
        <w:tc>
          <w:tcPr>
            <w:tcW w:w="2381"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青龙满族自治县应急管理局2025年部门预算信息公开情况说明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青龙满族自治县应急管理局2025年部门预算信息公开情况说明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按照《中华人民共和国预算法》、《地方预决算公开操作规程》和《关于进一步推进预算公开工作的实施意见》规定，现将青龙满族自治县应急管理局2025年部门预算公开如下：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（一）负责应急管理工作，指导全县各级各部门应对安全生产类、自然灾害类等突发事件和综合防灾减灾救灾工作。负责安全生产综合监督管理和工矿商贸行业安全生产监督管理工作。</w:t>
      </w:r>
    </w:p>
    <w:p>
      <w:pPr>
        <w:pStyle w:val="18"/>
      </w:pPr>
      <w:r>
        <w:t>（二）贯彻执行应急管理、安全生产等政策规定，组织编制县应急体系建设、安全生产和综合防灾减灾规划。</w:t>
      </w:r>
    </w:p>
    <w:p>
      <w:pPr>
        <w:pStyle w:val="18"/>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8"/>
      </w:pPr>
      <w:r>
        <w:t>（四）牵头建立统一的全县应急管理信息系统，负责信息传输渠道的规划和布局，建立监测预警和灾情报告制度，健全自然灾害信息资源获取和共享机制，依法统一发布灾情。</w:t>
      </w:r>
    </w:p>
    <w:p>
      <w:pPr>
        <w:pStyle w:val="18"/>
      </w:pPr>
      <w:r>
        <w:t>（五）组织开展安全生产类、自然灾害类等突发事件应急救援，承担县应对重大灾害指挥部工作，综合研判突发事件发展态势并提出应对建议，协助县委、县政府指定的负责同志组织重大灾害应急处置工作。</w:t>
      </w:r>
    </w:p>
    <w:p>
      <w:pPr>
        <w:pStyle w:val="18"/>
      </w:pPr>
      <w:r>
        <w:t>（六）统一协调指挥各类应急专业队伍，建立应急协调联动机制，推进指挥平台对接，衔接解放军和武警部队参与应急救援工作。</w:t>
      </w:r>
    </w:p>
    <w:p>
      <w:pPr>
        <w:pStyle w:val="18"/>
      </w:pPr>
      <w:r>
        <w:t>（七）统筹应急救援力量建设，负责消防、森林火灾扑救、抗洪抢险、地震和地质灾害救援、生产安全事故救援等专业应急救援力量建设，管理县综合性应急救援队伍。</w:t>
      </w:r>
    </w:p>
    <w:p>
      <w:pPr>
        <w:pStyle w:val="18"/>
      </w:pPr>
      <w:r>
        <w:t>（八）负责消防管理工作，指导全县消防监督、火灾预防、火灾扑救等工作。</w:t>
      </w:r>
    </w:p>
    <w:p>
      <w:pPr>
        <w:pStyle w:val="18"/>
      </w:pPr>
      <w:r>
        <w:t>（九）组织开展水旱灾害、地震和地质灾害等防治工作，负责自然灾害综合监测预警工作，指导开展自然灾害综合风险评估工作。</w:t>
      </w:r>
    </w:p>
    <w:p>
      <w:pPr>
        <w:pStyle w:val="18"/>
      </w:pPr>
      <w:r>
        <w:t>（十）组织实施灾害救助工作，开展灾情核查、损失评估、救灾捐赠工作，管理、分配县救灾款物并监督使用。</w:t>
      </w:r>
    </w:p>
    <w:p>
      <w:pPr>
        <w:pStyle w:val="18"/>
      </w:pPr>
      <w:r>
        <w:t>（十一）依法行使县安全生产综合监督管理职权，指导协调、监督检查县有关部门和各乡镇政府（含经济技术开发区、物流产业聚集区）的安全生产工作，组织开展安全生产巡查、考核工作。</w:t>
      </w:r>
    </w:p>
    <w:p>
      <w:pPr>
        <w:pStyle w:val="18"/>
      </w:pPr>
      <w:r>
        <w:t>（十二）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w:t>
      </w:r>
    </w:p>
    <w:p>
      <w:pPr>
        <w:pStyle w:val="18"/>
      </w:pPr>
      <w:r>
        <w:t>（十三）依法组织指导生产安全事故调查处理，监督事故查处和责任追究落实情况。组织开展自然灾害类突发事件的调查评估工作。</w:t>
      </w:r>
    </w:p>
    <w:p>
      <w:pPr>
        <w:pStyle w:val="18"/>
      </w:pPr>
      <w:r>
        <w:t>（十四）制定应急物资储备和应急救援装备规划并组织实施，会同县粮食和物资储备局等部门建立健全应急物资信息平台和调拨制度，在救灾时统一调度。</w:t>
      </w:r>
    </w:p>
    <w:p>
      <w:pPr>
        <w:pStyle w:val="18"/>
      </w:pPr>
      <w:r>
        <w:t>（十五）负责应急管理、安全生产宣传教育和培训工作，指导协调应急管理、安全生产的科学技术研究、推广应用和信息化建设工作。</w:t>
      </w:r>
    </w:p>
    <w:p>
      <w:pPr>
        <w:pStyle w:val="18"/>
      </w:pPr>
      <w:r>
        <w:t>（十六）组织指导煤炭资源的合理开发和煤炭产业结构调整，承担全县煤矿安全、煤炭生产监管责任，组织开展对煤矿企业执法检查。</w:t>
      </w:r>
    </w:p>
    <w:p>
      <w:pPr>
        <w:pStyle w:val="18"/>
      </w:pPr>
      <w:r>
        <w:t>（十七）贯彻落实国家、省、市、县防震减灾工作方针政策、法律法规和行业标准，贯彻执行国家、省、市、县地震监测预报制度；负责地震监测和震情信息发布工作；负责会同有关部门拟订全县防震减灾规划，参与制定地震灾区重建规划。</w:t>
      </w:r>
    </w:p>
    <w:p>
      <w:pPr>
        <w:pStyle w:val="18"/>
      </w:pPr>
      <w:r>
        <w:t>（十八）完成县委、县政府交办的其他任务。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按照预算管理有关规定，目前部门预算的编制实行综合预算管理，即全部收入和支出都反映在预算中。青龙满族自治县应急管理局机关及所属事业单位的收支包含在部门预算中。</w:t>
      </w:r>
    </w:p>
    <w:p>
      <w:pPr>
        <w:pStyle w:val="19"/>
      </w:pPr>
      <w:r>
        <w:t>1、收入说明</w:t>
      </w:r>
    </w:p>
    <w:p>
      <w:pPr>
        <w:pStyle w:val="19"/>
      </w:pPr>
      <w:r>
        <w:t>反映本部门当年全部收入。2025年预算收入5640.00万元，其中：一般公共预算收入2158.58万元，基金预算收入460.00万元，国有资本经营预算收入0.00万元，财政专户核拨收入0.00万元，单位资金收入0.00万元，上年结转结余3021.42万元。</w:t>
      </w:r>
    </w:p>
    <w:p>
      <w:pPr>
        <w:pStyle w:val="19"/>
      </w:pPr>
      <w:r>
        <w:t>2、支出说明</w:t>
      </w:r>
    </w:p>
    <w:p>
      <w:pPr>
        <w:pStyle w:val="19"/>
        <w:rPr>
          <w:rFonts w:hint="eastAsia"/>
          <w:lang w:val="en-US" w:eastAsia="zh-CN"/>
        </w:rPr>
      </w:pPr>
      <w:r>
        <w:t>收支预算总表支出栏、基本支出表、项目支出表按经济分类和支出功能分类科目编制，反映青龙满族自治县应急管理局年度部门预算中支出预算的总体情况。2025年支出预算5640.00万元，其中基本支出2386.35万元，包括人员经费2267.58万元和日常公用经费118.77万元；项目支出3253.65万元，主要为应急灾害风险防治专项经费6万元，非煤矿山隐患排查及应急治理工作经费8.5万元，安全生产监管综合执法专项经费8.5万元，关于下达省级2024年自然灾害救灾资金（冬春临时生活困难救助资金）的通知（冀财建【2024】290号）389.8363万元，关于提前下达2025年非煤矿山综合治理专项资金的通知（冀财建[2024]287号）212.27万元，关于预拨2024年中央自然灾害救灾资金（第七批）的通知（冀财建【2024】159号）51万元，安全生产隐患举报奖励资金30万元，应急救援经费71万元，关于下达2024年安全生产预防和应急救援能力建设补助资金预算（尾矿库风险隐患治理支出）的通知（冀财建[2024]89号））792万元，关于提前下达2024年非煤矿山综合治理专项资金的通知（冀财建[2023]253号）139.22万元，安全生产月活动经费11.25万元，应急避难场所设置经费12万元，关于提前下达2025年自然灾害救助专项资金的通知（冀财建[2024]288号）131.7805万元，防火经费135.165636万元，关于下达增发2023年国债自然灾害应急能力提升工程（应急领域）省级补助资金预算的通知（冀财建【2024】28号）3.9643万元，第一次全国自然灾害综合风险普查专项经费20.55万元</w:t>
      </w:r>
      <w:r>
        <w:rPr>
          <w:rFonts w:hint="eastAsia"/>
          <w:lang w:val="en-US" w:eastAsia="zh-CN"/>
        </w:rPr>
        <w:t>，尾矿库治理资金235.3735万元，尾矿库闭库配套资金360万元，关于下达中央2024年自然灾害救灾资金（冬春临时生活困难救助资金）的通知（冀财建【2024】290号）513.2237万元，补充和更换防火物资资金81.05万元，关于下达增发2023年国债自然灾害应急能力提升工程（应急领域）补助资金预算的通知（冀财建【2024】26号）40.9621万元。</w:t>
      </w:r>
    </w:p>
    <w:p>
      <w:pPr>
        <w:pStyle w:val="19"/>
      </w:pPr>
    </w:p>
    <w:p>
      <w:pPr>
        <w:pStyle w:val="19"/>
      </w:pPr>
      <w:r>
        <w:t>3、比上年增减情况</w:t>
      </w:r>
    </w:p>
    <w:p>
      <w:pPr>
        <w:pStyle w:val="19"/>
      </w:pPr>
      <w:r>
        <w:t>2025年预算收支安排5640.00万元，较2024年预算减少414.53万元，其中：基本支出减少629.92万元，主要为人员经费增加678.71万元；日常公用经费支出增加48.79万元。项目支出增加215.39万元，主要为项目支出增加215.39万元，主要为：国有土地使用权出让收入安排的支出减少202.06万元，农林水支出减少421.53万元，灾害风险防治支出增加132.7999万元，安全监管支出减少28.75万元，应急救援支出增加71万元，其他应急管理支出增加12万元，消防应急救援支出增加66.215636万元，矿山安全监察事务支出减少583.18万元，森林草原防灾减灾支出减少79.734464万元，自然灾害救灾补助支出增加456.6274万元，其他灾害防治及应急管理支出增加792万元。</w:t>
      </w:r>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2025年，我部门机关运行经费共计安排118.77万元，主要用于日常维修、办公用房水电费、办公用房取暖费、办公用房物业管理费等日常运行支出。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val="en-US" w:eastAsia="zh-CN"/>
        </w:rPr>
      </w:pPr>
      <w:bookmarkStart w:id="13" w:name="_Toc_3_3_0000000014"/>
      <w:r>
        <w:t>2025年，我部门财政拨款“三公”经费预算安排</w:t>
      </w:r>
      <w:r>
        <w:rPr>
          <w:rFonts w:hint="eastAsia"/>
          <w:lang w:val="en-US" w:eastAsia="zh-CN"/>
        </w:rPr>
        <w:t>5.40</w:t>
      </w:r>
      <w:r>
        <w:t>万元，其中因公出国（境）费0.00万元；公务用车购置及运维费</w:t>
      </w:r>
      <w:r>
        <w:rPr>
          <w:rFonts w:hint="eastAsia"/>
          <w:lang w:val="en-US" w:eastAsia="zh-CN"/>
        </w:rPr>
        <w:t>5.20</w:t>
      </w:r>
      <w:r>
        <w:t>万元（其中：公务用车购置费为0.00万元，公务用车运维费</w:t>
      </w:r>
      <w:r>
        <w:rPr>
          <w:rFonts w:hint="eastAsia"/>
          <w:lang w:val="en-US" w:eastAsia="zh-CN"/>
        </w:rPr>
        <w:t>5.20</w:t>
      </w:r>
      <w:r>
        <w:t>万元)；公务接待费0.</w:t>
      </w:r>
      <w:r>
        <w:rPr>
          <w:rFonts w:hint="eastAsia"/>
          <w:lang w:val="en-US" w:eastAsia="zh-CN"/>
        </w:rPr>
        <w:t>2</w:t>
      </w:r>
      <w:r>
        <w:t>0万元。与2024年相比减少26.40万元，增减变化的主要原因是我部门坚持厉行节约的原则，尽最大可能减少公务用车使用费用</w:t>
      </w:r>
      <w:r>
        <w:rPr>
          <w:rFonts w:hint="eastAsia"/>
          <w:lang w:eastAsia="zh-CN"/>
        </w:rPr>
        <w:t>。</w:t>
      </w:r>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总书记关于加强应急管理工作的重要指示为指导，牢固树立红线意识，强化底线思维，加强、优化、统筹全县应急能力建设，构建统一领导、权责一致、权威高效的应急能力体系。推动形成统一指挥、专常兼备、反应灵敏、上下联动、平战结合的应急管理体制。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坚持以人为本，把确保人民群众生命安全放在首位，确保受灾群众基本生活，加强应急预案演练，增强全民防灾减灾意识，提升公众知识普及和自救互救技能，切实减少人员伤亡和财产损失。树立安全发展理念，坚持生命至上、安全第一，完善安全生产责任制，坚决遏制重特大安全事故。组织各级各部门应对安全生产类、森林防灭火和自然灾害类等突发事件和综合防灾减灾救灾工作，开展安全生产综合监督管理工作，依法监督检查生产经营单位贯彻执行安全生产法律法规情况，及有关安全生产管理工作，开展应急管理、安全生产宣传教育和培训工作。组织起草煤矿安全监管政府规章草案和标准并组织实施，组织指导煤炭资源的合理开发和煤炭产业结构调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组织开展安全生产督导检查及非煤矿山综合治理等工作</w:t>
      </w:r>
    </w:p>
    <w:p>
      <w:pPr>
        <w:pStyle w:val="23"/>
      </w:pPr>
      <w:r>
        <w:t>绩效目标：依法行使县安全生产综合监督管理职权，指导协调、监督检查县有关部门和各乡镇政府（含经济技术开发区、物流产业聚集区）的安全生产工作，组织开展安全生产巡查、考核工作。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依法组织指导生产安全事故调查处理，监督事故查处和责任追究落实情况。组织开展自然灾害类突发事件的调查评估工作。负责安全生产综合监督管理和工矿商贸行业安全生产监督管理工作。负责应急管理、安全生产宣传教育和培训工作，指导协调应急管理、安全生产的科学技术研究、推广应用和信息化建设工作。</w:t>
      </w:r>
    </w:p>
    <w:p>
      <w:pPr>
        <w:pStyle w:val="23"/>
      </w:pPr>
      <w:r>
        <w:t>绩效指标：印刷执法文书及宣传手册的数量≥500份，进行执法检查的次数≥100次，按照全省安全生产事故隐患大排查大整治攻坚行动次数1次，行动中排查企业的数量≥50家，汛期需要整治的尾矿库、采空区的个数≥10家，需要度汛的尾矿库数量≥100家，工作人员政策法规培训的次数≥3次，综合监管督导检查的次数≥100次，安装防渗漏托盘75个，修缮库房2间，需要搬运的化学品280桶，反映完成整改需要聘请的专家人数10人次，需要县级配套专项治理尾矿库2家，需要建设应急指挥平台子系统≥1个，全县矿山企业要接入平台的企业数量≥60家，租用办公楼面积＝2489.70平方米。</w:t>
      </w:r>
    </w:p>
    <w:p>
      <w:pPr>
        <w:pStyle w:val="23"/>
      </w:pPr>
      <w:r>
        <w:t>组织开展应急体系建设工作</w:t>
      </w:r>
    </w:p>
    <w:p>
      <w:pPr>
        <w:pStyle w:val="23"/>
      </w:pPr>
      <w:r>
        <w:t>绩效目标：负责应急管理工作，指导全县各级各部门应对安全生产类、自然灾害类等突发事件和综合防灾减灾救灾工作。贯彻执行应急管理、安全生产等政策规定，组织编制县应急体系建设、安全生产和综合防灾减灾规划。指导应急预案体系建设，建立完善事故灾难和自然灾害分级应对制度，组织编制县总体应急预案和安全生产类、自然灾害类专项预案，综合协调应急预案衔接工作，组织开展预案演练，推动应急避难设施建设。牵头建立统一的全县应急管理信息系统，负责信息传输渠道的规划和布局，建立监测预警和灾情报告制度，健全自然灾害信息资源获取和共享机制，依法统一发布灾情。组织开展安全生产类、自然灾害类等突发事件应急救援，承担县应对重大灾害指挥部工作，综合研判突发事件发展态势并提出应对建议，协助县委、县政府指定的负责同志组织重大灾害应急处置工作。组织开展水旱灾害、地震和地质灾害等防治工作，负责自然灾害 综合监测预警工作，指导开展自然灾害综合风险评估工作。</w:t>
      </w:r>
    </w:p>
    <w:p>
      <w:pPr>
        <w:pStyle w:val="23"/>
      </w:pPr>
      <w:r>
        <w:t>绩效指标：用于应急防灾减灾宣传单≥1000份，应急预案演练的次数≥1次，年度灾害检查的次数≥50次，自然灾害风险普查尾托第三方=1家，形成自然灾害风险评估报告的数量≥2份，新建建筑面积≥2400平方米应急物资储备库1座，需要巡查的塘坝数量52个，需要巡查的水库数量16座。</w:t>
      </w:r>
    </w:p>
    <w:p>
      <w:pPr>
        <w:pStyle w:val="23"/>
      </w:pPr>
      <w:r>
        <w:t>指导监督火灾预防、火灾扑救工作，组织开展自然灾害防御救助工作</w:t>
      </w:r>
    </w:p>
    <w:p>
      <w:pPr>
        <w:pStyle w:val="23"/>
      </w:pPr>
      <w:r>
        <w:t>绩效目标：指导全县消防监督、森林火灾预防、火灾扑救等工作，组织实施灾害救助工作，开展灾情核查、损失评估、救灾捐赠工作，管理、分配省救灾款物并监督使用。</w:t>
      </w:r>
    </w:p>
    <w:p>
      <w:pPr>
        <w:pStyle w:val="23"/>
      </w:pPr>
      <w:r>
        <w:t>绩效指标： 三年来参加政策性农村住房灾害保险补助的户数≥33万户，用于森林防火运转车辆50辆，需要运转的防火营房2个，需要防火工作经费补助的面积数435万亩，购买扑火服≥200套，  购买作训服数量≥200套。提供视频防火服务监控1家。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预算绩效管理</w:t>
      </w:r>
    </w:p>
    <w:p>
      <w:pPr>
        <w:pStyle w:val="24"/>
      </w:pPr>
      <w:r>
        <w:t>绩效目标：全面实施预算预算绩效管理，建立全方位、全过程、全覆盖的预算绩效管理体系。</w:t>
      </w:r>
    </w:p>
    <w:p>
      <w:pPr>
        <w:pStyle w:val="24"/>
      </w:pPr>
      <w:r>
        <w:t>加强支出管理</w:t>
      </w:r>
    </w:p>
    <w:p>
      <w:pPr>
        <w:pStyle w:val="24"/>
      </w:pPr>
      <w:r>
        <w:t>我局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我局尽早办理政府采购程序，确保尽快启动项目资金，确保6月底之前细化代编预算，按规定及时下达项目资金，确保在支出手续完备的前提下支出进度达标，有效控制预算执行率及支出进度。</w:t>
      </w:r>
    </w:p>
    <w:p>
      <w:pPr>
        <w:pStyle w:val="24"/>
      </w:pPr>
      <w:r>
        <w:t>加强绩效运行监控</w:t>
      </w:r>
    </w:p>
    <w:p>
      <w:pPr>
        <w:pStyle w:val="24"/>
      </w:pPr>
      <w:r>
        <w:t>绩效监控工作是全流程的持续性管理，我局绩效监控工作将采用目标比较法，用定量分析和定性分析相结合的方式，将绩效实现情况与预期绩效目标进行比较，对目标完成、预算执行、组织实施、资金管理等情况进行分析评判。具体采取业务科室和局属事业单位日常监控和财务统计科或者委托第三方定期监控相结合的方式开展。我局将从以下几个方面加强绩效运行监控工作。</w:t>
      </w:r>
    </w:p>
    <w:p>
      <w:pPr>
        <w:pStyle w:val="24"/>
      </w:pPr>
      <w:r>
        <w:t>1、绩效目标完成情况。一是预计产出的完成进度及趋势，包括数量、质量、时效、成本等。二是预计效果的实现进度及趋势，包括经济效益、社会效益、生态效益和可持续影响等。三是跟踪服务对象满意度及趋势。</w:t>
      </w:r>
    </w:p>
    <w:p>
      <w:pPr>
        <w:pStyle w:val="24"/>
      </w:pPr>
      <w:r>
        <w:t>2、预算资金执行情况，包括预算资金拨付情况、预算执行单位实际支出情况以及预计结转结余情况。</w:t>
      </w:r>
    </w:p>
    <w:p>
      <w:pPr>
        <w:pStyle w:val="24"/>
      </w:pPr>
      <w:r>
        <w:t>3、重点政策和重大项目绩效延伸监控。必要时，可对重点政策和重大项目支出具体工作任务开展、发展趋势、实施计划调整等情况进行延伸监控。具体内容包括:政府采购、工程招标、监理和验收、信息公示、资产管理以及有关预算资金会计核算等。</w:t>
      </w:r>
    </w:p>
    <w:p>
      <w:pPr>
        <w:pStyle w:val="24"/>
      </w:pPr>
      <w:r>
        <w:t>做好绩效自评工作</w:t>
      </w:r>
    </w:p>
    <w:p>
      <w:pPr>
        <w:pStyle w:val="24"/>
      </w:pPr>
      <w:r>
        <w:t>我局将按照财政局文件要求对我局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4"/>
      </w:pPr>
      <w:r>
        <w:t>规范财务资产管理工作</w:t>
      </w:r>
    </w:p>
    <w:p>
      <w:pPr>
        <w:pStyle w:val="24"/>
      </w:pPr>
      <w:r>
        <w:t>我局将完善财务管理制度，严格执行内部控制制度及流程，严格执行各项制度，加强部门国有资产管理，全面掌握国有资产的动态信息；按季统计国有资产变动情况，按月进行资产处置；规范做好固定资产登记、使用和报废处置管理，做到支出合理，物尽其用，确保国有资产的安全完整和使用效益的发挥。</w:t>
      </w:r>
    </w:p>
    <w:p>
      <w:pPr>
        <w:pStyle w:val="24"/>
      </w:pPr>
      <w:r>
        <w:t>部门采购管理</w:t>
      </w:r>
    </w:p>
    <w:p>
      <w:pPr>
        <w:pStyle w:val="24"/>
      </w:pPr>
      <w:r>
        <w:t>绩效目标：推动部门采购管理体系的制度化、规范化，拓展部门采购产品的范围。</w:t>
      </w:r>
    </w:p>
    <w:p>
      <w:pPr>
        <w:pStyle w:val="24"/>
      </w:pPr>
      <w:r>
        <w:t>加强内部监督</w:t>
      </w:r>
    </w:p>
    <w:p>
      <w:pPr>
        <w:pStyle w:val="24"/>
      </w:pPr>
      <w:r>
        <w:t>我局积极加强内部监督监督机制建设及工作制度，专门安排内部监督人员，对内部制度建设情况、绩效运行情况、重大支出决策、对外投资、资产处置等重要经济事项进行督导，同时每年我们委托第三方对局机关及局属单位进行全面内部审计，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pStyle w:val="24"/>
      </w:pPr>
      <w:r>
        <w:t>加强宣传调研</w:t>
      </w:r>
    </w:p>
    <w:p>
      <w:pPr>
        <w:pStyle w:val="24"/>
      </w:pPr>
      <w:r>
        <w:t>为进一步强化各级干部群众的绩效管理意识，我局通过培训加深并统一了科室负责人及项目负责人对预算管理、绩效管理、业务职能与项目管理等方面的理解与认识。</w:t>
      </w:r>
    </w:p>
    <w:p>
      <w:pPr>
        <w:pStyle w:val="24"/>
      </w:pPr>
      <w:r>
        <w:t>加强宣传培训调研。加强人员培训，提高本部门职工业务素质，加强调研工作，提出优化财政资金配置、提高资金使用效益的意见，充分利用信息网络加大宣传力度，强化预算绩效管理意识，促进预算绩效管理水平进一步提升 。</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pStyle w:val="24"/>
        <w:rPr>
          <w:rFonts w:hint="default"/>
          <w:lang w:val="en-US" w:eastAsia="zh-CN"/>
        </w:rPr>
        <w:sectPr>
          <w:pgSz w:w="16840" w:h="11900" w:orient="landscape"/>
          <w:pgMar w:top="1361" w:right="1020" w:bottom="1134" w:left="1020" w:header="720" w:footer="720" w:gutter="0"/>
          <w:cols w:space="720" w:num="1"/>
        </w:sectPr>
      </w:pPr>
      <w:r>
        <w:rPr>
          <w:rFonts w:hint="eastAsia"/>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1、安全生产监管综合执法专项经费绩效目标表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13032123P003317100791</w:t>
            </w:r>
          </w:p>
        </w:tc>
        <w:tc>
          <w:tcPr>
            <w:tcW w:w="2835" w:type="dxa"/>
            <w:vAlign w:val="center"/>
          </w:tcPr>
          <w:p>
            <w:pPr>
              <w:pStyle w:val="11"/>
            </w:pPr>
            <w:r>
              <w:t>项目名称</w:t>
            </w:r>
          </w:p>
        </w:tc>
        <w:tc>
          <w:tcPr>
            <w:tcW w:w="6095" w:type="dxa"/>
            <w:gridSpan w:val="3"/>
            <w:vAlign w:val="center"/>
          </w:tcPr>
          <w:p>
            <w:pPr>
              <w:pStyle w:val="13"/>
            </w:pPr>
            <w:r>
              <w:t>安全生产监管综合执法专项经费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预算安排2.5万元，其中：财政拨款2.5万元，主要用于安全生产监督检查工作支出。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r>
              <w:tab/>
            </w:r>
          </w:p>
          <w:p>
            <w:pPr>
              <w:pStyle w:val="13"/>
            </w:pPr>
            <w:r>
              <w:t>2.通过开展安全生产监督检查工作，推进安全生产专项整治等重点工作，提升生产经营单位本质安全水平，努力夯实安全生产基础，不断提升安全保障能力和安全监管能力。</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安全生产宣传手册</w:t>
            </w:r>
          </w:p>
        </w:tc>
        <w:tc>
          <w:tcPr>
            <w:tcW w:w="5386" w:type="dxa"/>
            <w:vAlign w:val="center"/>
          </w:tcPr>
          <w:p>
            <w:pPr>
              <w:pStyle w:val="13"/>
            </w:pPr>
            <w:r>
              <w:t>反映印刷安全生产宣传手册的数量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执法检查的次数</w:t>
            </w:r>
          </w:p>
        </w:tc>
        <w:tc>
          <w:tcPr>
            <w:tcW w:w="5386" w:type="dxa"/>
            <w:vAlign w:val="center"/>
          </w:tcPr>
          <w:p>
            <w:pPr>
              <w:pStyle w:val="13"/>
            </w:pPr>
            <w:r>
              <w:t>反映进行执法检查的次数</w:t>
            </w:r>
          </w:p>
        </w:tc>
        <w:tc>
          <w:tcPr>
            <w:tcW w:w="2268" w:type="dxa"/>
            <w:vAlign w:val="center"/>
          </w:tcPr>
          <w:p>
            <w:pPr>
              <w:pStyle w:val="13"/>
            </w:pPr>
            <w:r>
              <w:t>≥100次</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实际隐患排查数量占隐患总数的比例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生产经营单位执法检查率</w:t>
            </w:r>
          </w:p>
        </w:tc>
        <w:tc>
          <w:tcPr>
            <w:tcW w:w="5386" w:type="dxa"/>
            <w:vAlign w:val="center"/>
          </w:tcPr>
          <w:p>
            <w:pPr>
              <w:pStyle w:val="13"/>
            </w:pPr>
            <w:r>
              <w:t>本年实际执法检查的生产经营单位数占应检查单位总数的比率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行政处罚率</w:t>
            </w:r>
          </w:p>
        </w:tc>
        <w:tc>
          <w:tcPr>
            <w:tcW w:w="5386" w:type="dxa"/>
            <w:vAlign w:val="center"/>
          </w:tcPr>
          <w:p>
            <w:pPr>
              <w:pStyle w:val="13"/>
            </w:pPr>
            <w:r>
              <w:t>对违法行为实施行政处罚的条数占执法发现的违法行为总数的比率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完成执法检查隐患整改的时间</w:t>
            </w:r>
          </w:p>
        </w:tc>
        <w:tc>
          <w:tcPr>
            <w:tcW w:w="2268" w:type="dxa"/>
            <w:vAlign w:val="center"/>
          </w:tcPr>
          <w:p>
            <w:pPr>
              <w:pStyle w:val="13"/>
            </w:pPr>
            <w:r>
              <w:t>年度内完成</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反映用于办公用品采购费用</w:t>
            </w:r>
          </w:p>
        </w:tc>
        <w:tc>
          <w:tcPr>
            <w:tcW w:w="2268" w:type="dxa"/>
            <w:vAlign w:val="center"/>
          </w:tcPr>
          <w:p>
            <w:pPr>
              <w:pStyle w:val="13"/>
            </w:pPr>
            <w:r>
              <w:t>≤4.5万元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强化企业各项安全保障措施落实到位率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安全监管能力提升率</w:t>
            </w:r>
          </w:p>
        </w:tc>
        <w:tc>
          <w:tcPr>
            <w:tcW w:w="5386" w:type="dxa"/>
            <w:vAlign w:val="center"/>
          </w:tcPr>
          <w:p>
            <w:pPr>
              <w:pStyle w:val="13"/>
            </w:pPr>
            <w:r>
              <w:t>反映执法人员安全监管能力提高的比例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接受检查企业满意度</w:t>
            </w:r>
          </w:p>
        </w:tc>
        <w:tc>
          <w:tcPr>
            <w:tcW w:w="5386" w:type="dxa"/>
            <w:vAlign w:val="center"/>
          </w:tcPr>
          <w:p>
            <w:pPr>
              <w:pStyle w:val="13"/>
            </w:pPr>
            <w:r>
              <w:t>接受检查企业对所提供指导的满意程度</w:t>
            </w:r>
          </w:p>
        </w:tc>
        <w:tc>
          <w:tcPr>
            <w:tcW w:w="2268" w:type="dxa"/>
            <w:vAlign w:val="center"/>
          </w:tcPr>
          <w:p>
            <w:pPr>
              <w:pStyle w:val="13"/>
            </w:pPr>
            <w:r>
              <w:t>≥95%</w:t>
            </w:r>
          </w:p>
        </w:tc>
        <w:tc>
          <w:tcPr>
            <w:tcW w:w="1276" w:type="dxa"/>
            <w:vAlign w:val="center"/>
          </w:tcPr>
          <w:p>
            <w:pPr>
              <w:pStyle w:val="13"/>
            </w:pPr>
            <w:r>
              <w:t>满意度调查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2、安全生产监管综合执法专项经费绩效目标表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13032125P00334910306W</w:t>
            </w:r>
          </w:p>
        </w:tc>
        <w:tc>
          <w:tcPr>
            <w:tcW w:w="2835" w:type="dxa"/>
            <w:vAlign w:val="center"/>
          </w:tcPr>
          <w:p>
            <w:pPr>
              <w:pStyle w:val="11"/>
            </w:pPr>
            <w:r>
              <w:t>项目名称</w:t>
            </w:r>
          </w:p>
        </w:tc>
        <w:tc>
          <w:tcPr>
            <w:tcW w:w="6095" w:type="dxa"/>
            <w:gridSpan w:val="3"/>
            <w:vAlign w:val="center"/>
          </w:tcPr>
          <w:p>
            <w:pPr>
              <w:pStyle w:val="13"/>
            </w:pPr>
            <w:r>
              <w:t>安全生产监管综合执法专项经费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预算安排6万元，其中：财政拨款6万元，主要用于开展安全生产监督检查工作支出。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1.通过开展安全生产监督检查工作，推进安全生产专项整治等重点工作，提升生产经营单位本质安全水平，努力夯实安全生产基础，不断提升安全保障能力和安全监管能力。</w:t>
            </w:r>
          </w:p>
          <w:p>
            <w:pPr>
              <w:pStyle w:val="13"/>
            </w:pPr>
            <w:r>
              <w:t>2.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安全生产宣传手册</w:t>
            </w:r>
          </w:p>
        </w:tc>
        <w:tc>
          <w:tcPr>
            <w:tcW w:w="5386" w:type="dxa"/>
            <w:vAlign w:val="center"/>
          </w:tcPr>
          <w:p>
            <w:pPr>
              <w:pStyle w:val="13"/>
            </w:pPr>
            <w:r>
              <w:t>反映印刷安全生产宣传手册的数量</w:t>
            </w:r>
          </w:p>
        </w:tc>
        <w:tc>
          <w:tcPr>
            <w:tcW w:w="2268" w:type="dxa"/>
            <w:vAlign w:val="center"/>
          </w:tcPr>
          <w:p>
            <w:pPr>
              <w:pStyle w:val="13"/>
            </w:pPr>
            <w:r>
              <w:t>≥1000份</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专家人次</w:t>
            </w:r>
          </w:p>
        </w:tc>
        <w:tc>
          <w:tcPr>
            <w:tcW w:w="5386" w:type="dxa"/>
            <w:vAlign w:val="center"/>
          </w:tcPr>
          <w:p>
            <w:pPr>
              <w:pStyle w:val="13"/>
            </w:pPr>
            <w:r>
              <w:t>反映聘请专家的人次</w:t>
            </w:r>
          </w:p>
        </w:tc>
        <w:tc>
          <w:tcPr>
            <w:tcW w:w="2268" w:type="dxa"/>
            <w:vAlign w:val="center"/>
          </w:tcPr>
          <w:p>
            <w:pPr>
              <w:pStyle w:val="13"/>
            </w:pPr>
            <w:r>
              <w:t>≥10人次</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执法检查的次数</w:t>
            </w:r>
          </w:p>
        </w:tc>
        <w:tc>
          <w:tcPr>
            <w:tcW w:w="5386" w:type="dxa"/>
            <w:vAlign w:val="center"/>
          </w:tcPr>
          <w:p>
            <w:pPr>
              <w:pStyle w:val="13"/>
            </w:pPr>
            <w:r>
              <w:t>反映进行执法检查的次数</w:t>
            </w:r>
          </w:p>
        </w:tc>
        <w:tc>
          <w:tcPr>
            <w:tcW w:w="2268" w:type="dxa"/>
            <w:vAlign w:val="center"/>
          </w:tcPr>
          <w:p>
            <w:pPr>
              <w:pStyle w:val="13"/>
            </w:pPr>
            <w:r>
              <w:t>≥297次</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实际隐患排查数量占隐患总数的比例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生产经营单位执法检查率</w:t>
            </w:r>
          </w:p>
        </w:tc>
        <w:tc>
          <w:tcPr>
            <w:tcW w:w="5386" w:type="dxa"/>
            <w:vAlign w:val="center"/>
          </w:tcPr>
          <w:p>
            <w:pPr>
              <w:pStyle w:val="13"/>
            </w:pPr>
            <w:r>
              <w:t>本年实际执法检查的生产经营单位数占应检查单位总数的比率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行政处罚率</w:t>
            </w:r>
          </w:p>
        </w:tc>
        <w:tc>
          <w:tcPr>
            <w:tcW w:w="5386" w:type="dxa"/>
            <w:vAlign w:val="center"/>
          </w:tcPr>
          <w:p>
            <w:pPr>
              <w:pStyle w:val="13"/>
            </w:pPr>
            <w:r>
              <w:t>对违法行为实施行政处罚的条数占执法发现的违法行为总数的比率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完成执法检查隐患整改的时间</w:t>
            </w:r>
          </w:p>
        </w:tc>
        <w:tc>
          <w:tcPr>
            <w:tcW w:w="2268" w:type="dxa"/>
            <w:vAlign w:val="center"/>
          </w:tcPr>
          <w:p>
            <w:pPr>
              <w:pStyle w:val="13"/>
            </w:pPr>
            <w:r>
              <w:t>年度内完成</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反映用于办公用品采购费用</w:t>
            </w:r>
          </w:p>
        </w:tc>
        <w:tc>
          <w:tcPr>
            <w:tcW w:w="2268" w:type="dxa"/>
            <w:vAlign w:val="center"/>
          </w:tcPr>
          <w:p>
            <w:pPr>
              <w:pStyle w:val="13"/>
            </w:pPr>
            <w:r>
              <w:t>≤2万元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w:t>
            </w:r>
          </w:p>
        </w:tc>
        <w:tc>
          <w:tcPr>
            <w:tcW w:w="5386" w:type="dxa"/>
            <w:vAlign w:val="center"/>
          </w:tcPr>
          <w:p>
            <w:pPr>
              <w:pStyle w:val="13"/>
            </w:pPr>
            <w:r>
              <w:t>反映用于印刷的费用</w:t>
            </w:r>
          </w:p>
        </w:tc>
        <w:tc>
          <w:tcPr>
            <w:tcW w:w="2268" w:type="dxa"/>
            <w:vAlign w:val="center"/>
          </w:tcPr>
          <w:p>
            <w:pPr>
              <w:pStyle w:val="13"/>
            </w:pPr>
            <w:r>
              <w:t>≤1万元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反映用于人员差旅费费用</w:t>
            </w:r>
          </w:p>
        </w:tc>
        <w:tc>
          <w:tcPr>
            <w:tcW w:w="2268" w:type="dxa"/>
            <w:vAlign w:val="center"/>
          </w:tcPr>
          <w:p>
            <w:pPr>
              <w:pStyle w:val="13"/>
            </w:pPr>
            <w:r>
              <w:t>≤0.5万元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w:t>
            </w:r>
          </w:p>
        </w:tc>
        <w:tc>
          <w:tcPr>
            <w:tcW w:w="5386" w:type="dxa"/>
            <w:vAlign w:val="center"/>
          </w:tcPr>
          <w:p>
            <w:pPr>
              <w:pStyle w:val="13"/>
            </w:pPr>
            <w:r>
              <w:t>反映提供专家的费用</w:t>
            </w:r>
          </w:p>
        </w:tc>
        <w:tc>
          <w:tcPr>
            <w:tcW w:w="2268" w:type="dxa"/>
            <w:vAlign w:val="center"/>
          </w:tcPr>
          <w:p>
            <w:pPr>
              <w:pStyle w:val="13"/>
            </w:pPr>
            <w:r>
              <w:t>≤0.5万元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公车运行维护费</w:t>
            </w:r>
          </w:p>
        </w:tc>
        <w:tc>
          <w:tcPr>
            <w:tcW w:w="5386" w:type="dxa"/>
            <w:vAlign w:val="center"/>
          </w:tcPr>
          <w:p>
            <w:pPr>
              <w:pStyle w:val="13"/>
            </w:pPr>
            <w:r>
              <w:t>反映用于公车使用费用</w:t>
            </w:r>
          </w:p>
        </w:tc>
        <w:tc>
          <w:tcPr>
            <w:tcW w:w="2268" w:type="dxa"/>
            <w:vAlign w:val="center"/>
          </w:tcPr>
          <w:p>
            <w:pPr>
              <w:pStyle w:val="13"/>
            </w:pPr>
            <w:r>
              <w:t>≤1万元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反映执法租用社会车辆费用</w:t>
            </w:r>
          </w:p>
        </w:tc>
        <w:tc>
          <w:tcPr>
            <w:tcW w:w="2268" w:type="dxa"/>
            <w:vAlign w:val="center"/>
          </w:tcPr>
          <w:p>
            <w:pPr>
              <w:pStyle w:val="13"/>
            </w:pPr>
            <w:r>
              <w:t>≤1万元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强化企业各项安全保障措施落实到位率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安全监管能力提升率</w:t>
            </w:r>
          </w:p>
        </w:tc>
        <w:tc>
          <w:tcPr>
            <w:tcW w:w="5386" w:type="dxa"/>
            <w:vAlign w:val="center"/>
          </w:tcPr>
          <w:p>
            <w:pPr>
              <w:pStyle w:val="13"/>
            </w:pPr>
            <w:r>
              <w:t>反映执法人员安全监管能力提高的比例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接受检查企业满意度</w:t>
            </w:r>
          </w:p>
        </w:tc>
        <w:tc>
          <w:tcPr>
            <w:tcW w:w="5386" w:type="dxa"/>
            <w:vAlign w:val="center"/>
          </w:tcPr>
          <w:p>
            <w:pPr>
              <w:pStyle w:val="13"/>
            </w:pPr>
            <w:r>
              <w:t>接受检查企业对所提供指导的满意程度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3、非煤矿山隐患排查及应急治理工作经费绩效目标表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13032123P00331710080C</w:t>
            </w:r>
          </w:p>
        </w:tc>
        <w:tc>
          <w:tcPr>
            <w:tcW w:w="2835" w:type="dxa"/>
            <w:vAlign w:val="center"/>
          </w:tcPr>
          <w:p>
            <w:pPr>
              <w:pStyle w:val="11"/>
            </w:pPr>
            <w:r>
              <w:t>项目名称</w:t>
            </w:r>
          </w:p>
        </w:tc>
        <w:tc>
          <w:tcPr>
            <w:tcW w:w="6095" w:type="dxa"/>
            <w:gridSpan w:val="3"/>
            <w:vAlign w:val="center"/>
          </w:tcPr>
          <w:p>
            <w:pPr>
              <w:pStyle w:val="13"/>
            </w:pPr>
            <w:r>
              <w:t>非煤矿山隐患排查及应急治理工作经费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预算安排2.5万元，其中财政拨款2.5万元，主要用于开展非煤矿山隐患排查及应急治理工作支出</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1.通过开展非煤矿山隐患排查及应急治理工作，有效防范和减少非煤矿山生产安全事故，全面发现并彻底整改非煤矿山安全生产隐患。</w:t>
            </w:r>
            <w:r>
              <w:tab/>
            </w:r>
            <w:r>
              <w:tab/>
            </w:r>
            <w:r>
              <w:tab/>
            </w:r>
            <w:r>
              <w:tab/>
            </w:r>
            <w:r>
              <w:tab/>
            </w:r>
          </w:p>
          <w:p>
            <w:pPr>
              <w:pStyle w:val="13"/>
            </w:pPr>
            <w:r>
              <w:t>2.通过开展非煤矿山隐患排查及应急治理工作，使我县尾矿库、采空区安全渡汛，确保企业生产和附近居民的生活环境及生命财产安全。</w:t>
            </w:r>
            <w:r>
              <w:tab/>
            </w:r>
          </w:p>
          <w:p>
            <w:pPr>
              <w:pStyle w:val="13"/>
            </w:pPr>
            <w:r>
              <w:t>3.通过开展非煤矿山隐患排查及应急治理工作，继续对存在危险风险的尾矿库、采空区、边坡等进行治理，对以前年度未完成的尾矿库和采空区治理项目进行完善。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排查整治的次数</w:t>
            </w:r>
          </w:p>
        </w:tc>
        <w:tc>
          <w:tcPr>
            <w:tcW w:w="5386" w:type="dxa"/>
            <w:vAlign w:val="center"/>
          </w:tcPr>
          <w:p>
            <w:pPr>
              <w:pStyle w:val="13"/>
            </w:pPr>
            <w:r>
              <w:t>按照全省安全生产事故隐患大排查大整治攻坚行动次数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排查企业的数量</w:t>
            </w:r>
          </w:p>
        </w:tc>
        <w:tc>
          <w:tcPr>
            <w:tcW w:w="5386" w:type="dxa"/>
            <w:vAlign w:val="center"/>
          </w:tcPr>
          <w:p>
            <w:pPr>
              <w:pStyle w:val="13"/>
            </w:pPr>
            <w:r>
              <w:t>反映行动中排查企业的数量</w:t>
            </w:r>
          </w:p>
        </w:tc>
        <w:tc>
          <w:tcPr>
            <w:tcW w:w="2268" w:type="dxa"/>
            <w:vAlign w:val="center"/>
          </w:tcPr>
          <w:p>
            <w:pPr>
              <w:pStyle w:val="13"/>
            </w:pPr>
            <w:r>
              <w:t>≥50家</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隐患排查治理率</w:t>
            </w:r>
          </w:p>
        </w:tc>
        <w:tc>
          <w:tcPr>
            <w:tcW w:w="5386" w:type="dxa"/>
            <w:vAlign w:val="center"/>
          </w:tcPr>
          <w:p>
            <w:pPr>
              <w:pStyle w:val="13"/>
            </w:pPr>
            <w:r>
              <w:t>已治理的隐患数量占总排查隐患数量的比率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排查时间</w:t>
            </w:r>
          </w:p>
        </w:tc>
        <w:tc>
          <w:tcPr>
            <w:tcW w:w="5386" w:type="dxa"/>
            <w:vAlign w:val="center"/>
          </w:tcPr>
          <w:p>
            <w:pPr>
              <w:pStyle w:val="13"/>
            </w:pPr>
            <w:r>
              <w:t>排查整治的时间</w:t>
            </w:r>
          </w:p>
        </w:tc>
        <w:tc>
          <w:tcPr>
            <w:tcW w:w="2268" w:type="dxa"/>
            <w:vAlign w:val="center"/>
          </w:tcPr>
          <w:p>
            <w:pPr>
              <w:pStyle w:val="13"/>
            </w:pPr>
            <w:r>
              <w:t>2023年12月底前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反映用于办公用品采购的支出</w:t>
            </w:r>
          </w:p>
        </w:tc>
        <w:tc>
          <w:tcPr>
            <w:tcW w:w="2268" w:type="dxa"/>
            <w:vAlign w:val="center"/>
          </w:tcPr>
          <w:p>
            <w:pPr>
              <w:pStyle w:val="13"/>
            </w:pPr>
            <w:r>
              <w:t>≤2.5万元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确保煤矿和非煤矿山企业安全生产率</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年度执法计划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4、非煤矿山隐患排查及应急治理工作经费绩效目标表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13032125P00334910307G</w:t>
            </w:r>
          </w:p>
        </w:tc>
        <w:tc>
          <w:tcPr>
            <w:tcW w:w="2835" w:type="dxa"/>
            <w:vAlign w:val="center"/>
          </w:tcPr>
          <w:p>
            <w:pPr>
              <w:pStyle w:val="11"/>
            </w:pPr>
            <w:r>
              <w:t>项目名称</w:t>
            </w:r>
          </w:p>
        </w:tc>
        <w:tc>
          <w:tcPr>
            <w:tcW w:w="6095" w:type="dxa"/>
            <w:gridSpan w:val="3"/>
            <w:vAlign w:val="center"/>
          </w:tcPr>
          <w:p>
            <w:pPr>
              <w:pStyle w:val="13"/>
            </w:pPr>
            <w:r>
              <w:t>非煤矿山隐患排查及应急治理工作经费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预算安排6万元，其中：财政拨款6万元，主要用于非煤矿山隐患排查及应急治理工作开展支出。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1.通过非煤矿山隐患排查及应急治理工作开展，使全县尾矿库、采空区安全渡汛，确保企业生产和附近居民的生活环境及生命财产安全。</w:t>
            </w:r>
            <w:r>
              <w:tab/>
            </w:r>
          </w:p>
          <w:p>
            <w:pPr>
              <w:pStyle w:val="13"/>
            </w:pPr>
            <w:r>
              <w:t>2.通过非煤矿山隐患排查及应急治理工作开展，对存在危险风险的尾矿库、采空区、边坡等进行治理，对以前年度未完成的尾矿库和采空区治理项目进行完善。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≥10家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≥3家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度汛尾矿库的数量</w:t>
            </w:r>
          </w:p>
        </w:tc>
        <w:tc>
          <w:tcPr>
            <w:tcW w:w="5386" w:type="dxa"/>
            <w:vAlign w:val="center"/>
          </w:tcPr>
          <w:p>
            <w:pPr>
              <w:pStyle w:val="13"/>
            </w:pPr>
            <w:r>
              <w:t>反映度汛尾矿库的数量</w:t>
            </w:r>
          </w:p>
        </w:tc>
        <w:tc>
          <w:tcPr>
            <w:tcW w:w="2268" w:type="dxa"/>
            <w:vAlign w:val="center"/>
          </w:tcPr>
          <w:p>
            <w:pPr>
              <w:pStyle w:val="13"/>
            </w:pPr>
            <w:r>
              <w:t>≥100家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治理采空区的数量</w:t>
            </w:r>
          </w:p>
        </w:tc>
        <w:tc>
          <w:tcPr>
            <w:tcW w:w="5386" w:type="dxa"/>
            <w:vAlign w:val="center"/>
          </w:tcPr>
          <w:p>
            <w:pPr>
              <w:pStyle w:val="13"/>
            </w:pPr>
            <w:r>
              <w:t>反映治理采空区的数量</w:t>
            </w:r>
          </w:p>
        </w:tc>
        <w:tc>
          <w:tcPr>
            <w:tcW w:w="2268" w:type="dxa"/>
            <w:vAlign w:val="center"/>
          </w:tcPr>
          <w:p>
            <w:pPr>
              <w:pStyle w:val="13"/>
            </w:pPr>
            <w:r>
              <w:t>≥1家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网络监测系统运行稳定率</w:t>
            </w:r>
          </w:p>
        </w:tc>
        <w:tc>
          <w:tcPr>
            <w:tcW w:w="5386" w:type="dxa"/>
            <w:vAlign w:val="center"/>
          </w:tcPr>
          <w:p>
            <w:pPr>
              <w:pStyle w:val="13"/>
            </w:pPr>
            <w:r>
              <w:t>反映尾矿库在线监测等网络系统运行稳定的比例</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企业补助费用</w:t>
            </w:r>
          </w:p>
        </w:tc>
        <w:tc>
          <w:tcPr>
            <w:tcW w:w="5386" w:type="dxa"/>
            <w:vAlign w:val="center"/>
          </w:tcPr>
          <w:p>
            <w:pPr>
              <w:pStyle w:val="13"/>
            </w:pPr>
            <w:r>
              <w:t>反映用于非煤矿山治理补助的费用</w:t>
            </w:r>
          </w:p>
        </w:tc>
        <w:tc>
          <w:tcPr>
            <w:tcW w:w="2268" w:type="dxa"/>
            <w:vAlign w:val="center"/>
          </w:tcPr>
          <w:p>
            <w:pPr>
              <w:pStyle w:val="13"/>
            </w:pPr>
            <w:r>
              <w:t>≤200万元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0起</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5、应急灾害风险防治专项经费绩效目标表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13032123P00331710082K</w:t>
            </w:r>
          </w:p>
        </w:tc>
        <w:tc>
          <w:tcPr>
            <w:tcW w:w="2835" w:type="dxa"/>
            <w:vAlign w:val="center"/>
          </w:tcPr>
          <w:p>
            <w:pPr>
              <w:pStyle w:val="11"/>
            </w:pPr>
            <w:r>
              <w:t>项目名称</w:t>
            </w:r>
          </w:p>
        </w:tc>
        <w:tc>
          <w:tcPr>
            <w:tcW w:w="6095" w:type="dxa"/>
            <w:gridSpan w:val="3"/>
            <w:vAlign w:val="center"/>
          </w:tcPr>
          <w:p>
            <w:pPr>
              <w:pStyle w:val="13"/>
            </w:pPr>
            <w:r>
              <w:t>应急灾害风险防治专项经费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预算安排2万元，其中财政拨款2万元，主要用于应急灾害风险防治工作运转支出。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1.通过开展应急灾害风险防治工作，使我县应急值守值班、应急预案编制演练、各项灾害防治工作正常开展。</w:t>
            </w:r>
            <w:r>
              <w:tab/>
            </w:r>
          </w:p>
          <w:p>
            <w:pPr>
              <w:pStyle w:val="13"/>
            </w:pPr>
            <w:r>
              <w:t>2.通过开展应急灾害风险防治工作，使灾情检查、灾害救助工作圆满完成。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≤1事故</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6、应急灾害风险防治专项经费绩效目标表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13032125P003349103084</w:t>
            </w:r>
          </w:p>
        </w:tc>
        <w:tc>
          <w:tcPr>
            <w:tcW w:w="2835" w:type="dxa"/>
            <w:vAlign w:val="center"/>
          </w:tcPr>
          <w:p>
            <w:pPr>
              <w:pStyle w:val="11"/>
            </w:pPr>
            <w:r>
              <w:t>项目名称</w:t>
            </w:r>
          </w:p>
        </w:tc>
        <w:tc>
          <w:tcPr>
            <w:tcW w:w="6095" w:type="dxa"/>
            <w:gridSpan w:val="3"/>
            <w:vAlign w:val="center"/>
          </w:tcPr>
          <w:p>
            <w:pPr>
              <w:pStyle w:val="13"/>
            </w:pPr>
            <w:r>
              <w:t>应急灾害风险防治专项经费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预算安排4万元，其中：财政拨款4万元，主要用于开展应急灾害风险防治工作支出。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1.通过开展应急灾害风险防治工作，使灾情检查、灾害救助工作圆满完成。</w:t>
            </w:r>
            <w:r>
              <w:tab/>
            </w:r>
            <w:r>
              <w:tab/>
            </w:r>
            <w:r>
              <w:tab/>
            </w:r>
            <w:r>
              <w:tab/>
            </w:r>
            <w:r>
              <w:tab/>
            </w:r>
          </w:p>
          <w:p>
            <w:pPr>
              <w:pStyle w:val="13"/>
            </w:pPr>
            <w:r>
              <w:t>2.通过开展应急灾害风险防治工作，使组织协调重要应急物资的储备、调拨和紧急配送，承担救灾款物的管理、分配和监督使用管理工作如期完成。</w:t>
            </w:r>
          </w:p>
          <w:p>
            <w:pPr>
              <w:pStyle w:val="13"/>
            </w:pPr>
            <w:r>
              <w:t>3.通过开展应急灾害风险防治工作，使我县应急值守值班、应急预案编制演练、各项灾害防治工作正常开展。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≤2.5万元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印刷费成本</w:t>
            </w:r>
          </w:p>
        </w:tc>
        <w:tc>
          <w:tcPr>
            <w:tcW w:w="5386" w:type="dxa"/>
            <w:vAlign w:val="center"/>
          </w:tcPr>
          <w:p>
            <w:pPr>
              <w:pStyle w:val="13"/>
            </w:pPr>
            <w:r>
              <w:t>反映用于印刷的费用</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公车运行维护费成本</w:t>
            </w:r>
          </w:p>
        </w:tc>
        <w:tc>
          <w:tcPr>
            <w:tcW w:w="5386" w:type="dxa"/>
            <w:vAlign w:val="center"/>
          </w:tcPr>
          <w:p>
            <w:pPr>
              <w:pStyle w:val="13"/>
            </w:pPr>
            <w:r>
              <w:t>反映用于公车使用费用</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反映用于租用社会车辆费用</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0事故</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7、安全生产隐患举报奖励资金绩效目标表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13032124P003263100209</w:t>
            </w:r>
          </w:p>
        </w:tc>
        <w:tc>
          <w:tcPr>
            <w:tcW w:w="2835" w:type="dxa"/>
            <w:vAlign w:val="center"/>
          </w:tcPr>
          <w:p>
            <w:pPr>
              <w:pStyle w:val="11"/>
            </w:pPr>
            <w:r>
              <w:t>项目名称</w:t>
            </w:r>
          </w:p>
        </w:tc>
        <w:tc>
          <w:tcPr>
            <w:tcW w:w="6095" w:type="dxa"/>
            <w:gridSpan w:val="3"/>
            <w:vAlign w:val="center"/>
          </w:tcPr>
          <w:p>
            <w:pPr>
              <w:pStyle w:val="13"/>
            </w:pPr>
            <w:r>
              <w:t>安全生产隐患举报奖励资金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预算安排30万元，其中财政拨款30万元，主要用于安全生产隐患举报奖励支出。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1.通过该项目的实施，使我县及时发现安全生产事故。</w:t>
            </w:r>
          </w:p>
          <w:p>
            <w:pPr>
              <w:pStyle w:val="13"/>
            </w:pPr>
            <w:r>
              <w:t>2.通过该项目的实施，保障全县安全生产工作顺利进行。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安全生产举报罚没数额</w:t>
            </w:r>
          </w:p>
        </w:tc>
        <w:tc>
          <w:tcPr>
            <w:tcW w:w="5386" w:type="dxa"/>
            <w:vAlign w:val="center"/>
          </w:tcPr>
          <w:p>
            <w:pPr>
              <w:pStyle w:val="13"/>
            </w:pPr>
            <w:r>
              <w:t>反映完成安全生产举报罚没的数额</w:t>
            </w:r>
          </w:p>
        </w:tc>
        <w:tc>
          <w:tcPr>
            <w:tcW w:w="2268" w:type="dxa"/>
            <w:vAlign w:val="center"/>
          </w:tcPr>
          <w:p>
            <w:pPr>
              <w:pStyle w:val="13"/>
            </w:pPr>
            <w:r>
              <w:t>≥100万元</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安全生产举报事故数量</w:t>
            </w:r>
          </w:p>
        </w:tc>
        <w:tc>
          <w:tcPr>
            <w:tcW w:w="5386" w:type="dxa"/>
            <w:vAlign w:val="center"/>
          </w:tcPr>
          <w:p>
            <w:pPr>
              <w:pStyle w:val="13"/>
            </w:pPr>
            <w:r>
              <w:t>反映完成安全生产举报的数量</w:t>
            </w:r>
          </w:p>
        </w:tc>
        <w:tc>
          <w:tcPr>
            <w:tcW w:w="2268" w:type="dxa"/>
            <w:vAlign w:val="center"/>
          </w:tcPr>
          <w:p>
            <w:pPr>
              <w:pStyle w:val="13"/>
            </w:pPr>
            <w:r>
              <w:t>≥1起</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及时发现安全生产事故的比率</w:t>
            </w:r>
          </w:p>
        </w:tc>
        <w:tc>
          <w:tcPr>
            <w:tcW w:w="5386" w:type="dxa"/>
            <w:vAlign w:val="center"/>
          </w:tcPr>
          <w:p>
            <w:pPr>
              <w:pStyle w:val="13"/>
            </w:pPr>
            <w:r>
              <w:t>反映及时发现安全生产事故的比率</w:t>
            </w:r>
          </w:p>
        </w:tc>
        <w:tc>
          <w:tcPr>
            <w:tcW w:w="2268" w:type="dxa"/>
            <w:vAlign w:val="center"/>
          </w:tcPr>
          <w:p>
            <w:pPr>
              <w:pStyle w:val="13"/>
            </w:pPr>
            <w:r>
              <w:t>≥95%</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完成的举报奖励比率</w:t>
            </w:r>
          </w:p>
        </w:tc>
        <w:tc>
          <w:tcPr>
            <w:tcW w:w="5386" w:type="dxa"/>
            <w:vAlign w:val="center"/>
          </w:tcPr>
          <w:p>
            <w:pPr>
              <w:pStyle w:val="13"/>
            </w:pPr>
            <w:r>
              <w:t>反映完成安全生产举报的奖励比率</w:t>
            </w:r>
          </w:p>
        </w:tc>
        <w:tc>
          <w:tcPr>
            <w:tcW w:w="2268" w:type="dxa"/>
            <w:vAlign w:val="center"/>
          </w:tcPr>
          <w:p>
            <w:pPr>
              <w:pStyle w:val="13"/>
            </w:pPr>
            <w:r>
              <w:t>30%</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完成举报奖励支付时间</w:t>
            </w:r>
          </w:p>
        </w:tc>
        <w:tc>
          <w:tcPr>
            <w:tcW w:w="5386" w:type="dxa"/>
            <w:vAlign w:val="center"/>
          </w:tcPr>
          <w:p>
            <w:pPr>
              <w:pStyle w:val="13"/>
            </w:pPr>
            <w:r>
              <w:t>反映完成完成举报奖励支付时间</w:t>
            </w:r>
          </w:p>
        </w:tc>
        <w:tc>
          <w:tcPr>
            <w:tcW w:w="2268" w:type="dxa"/>
            <w:vAlign w:val="center"/>
          </w:tcPr>
          <w:p>
            <w:pPr>
              <w:pStyle w:val="13"/>
            </w:pPr>
            <w:r>
              <w:t>年度内完成</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举报奖励成本</w:t>
            </w:r>
          </w:p>
        </w:tc>
        <w:tc>
          <w:tcPr>
            <w:tcW w:w="5386" w:type="dxa"/>
            <w:vAlign w:val="center"/>
          </w:tcPr>
          <w:p>
            <w:pPr>
              <w:pStyle w:val="13"/>
            </w:pPr>
            <w:r>
              <w:t>反映完成安全生产举报奖励的成本</w:t>
            </w:r>
          </w:p>
        </w:tc>
        <w:tc>
          <w:tcPr>
            <w:tcW w:w="2268" w:type="dxa"/>
            <w:vAlign w:val="center"/>
          </w:tcPr>
          <w:p>
            <w:pPr>
              <w:pStyle w:val="13"/>
            </w:pPr>
            <w:r>
              <w:t>≤30万元/平方米</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防止全县发生重特大安全生产事故，强化各项安全保障措施落实到位</w:t>
            </w:r>
          </w:p>
        </w:tc>
        <w:tc>
          <w:tcPr>
            <w:tcW w:w="2268" w:type="dxa"/>
            <w:vAlign w:val="center"/>
          </w:tcPr>
          <w:p>
            <w:pPr>
              <w:pStyle w:val="13"/>
            </w:pPr>
            <w:r>
              <w:t>&lt;1事故</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年度支出计划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8、安全生产月活动经费绩效目标表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13032124P00331910091M</w:t>
            </w:r>
          </w:p>
        </w:tc>
        <w:tc>
          <w:tcPr>
            <w:tcW w:w="2835" w:type="dxa"/>
            <w:vAlign w:val="center"/>
          </w:tcPr>
          <w:p>
            <w:pPr>
              <w:pStyle w:val="11"/>
            </w:pPr>
            <w:r>
              <w:t>项目名称</w:t>
            </w:r>
          </w:p>
        </w:tc>
        <w:tc>
          <w:tcPr>
            <w:tcW w:w="6095" w:type="dxa"/>
            <w:gridSpan w:val="3"/>
            <w:vAlign w:val="center"/>
          </w:tcPr>
          <w:p>
            <w:pPr>
              <w:pStyle w:val="13"/>
            </w:pPr>
            <w:r>
              <w:t>安全生产月活动经费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11.25</w:t>
            </w:r>
          </w:p>
        </w:tc>
        <w:tc>
          <w:tcPr>
            <w:tcW w:w="2835" w:type="dxa"/>
            <w:vAlign w:val="center"/>
          </w:tcPr>
          <w:p>
            <w:pPr>
              <w:pStyle w:val="11"/>
            </w:pPr>
            <w:r>
              <w:t>其中：财政    资金</w:t>
            </w:r>
          </w:p>
        </w:tc>
        <w:tc>
          <w:tcPr>
            <w:tcW w:w="2551" w:type="dxa"/>
            <w:vAlign w:val="center"/>
          </w:tcPr>
          <w:p>
            <w:pPr>
              <w:pStyle w:val="13"/>
            </w:pPr>
            <w:r>
              <w:t>11.25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预算安排11.25万元，其中：财政拨款11.25万元，主要用于安全生产月活动宣传教育支出。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1.通过深入开展宣传教育活动，促进安全生产水平提升和安全生产形势好转。</w:t>
            </w:r>
          </w:p>
          <w:p>
            <w:pPr>
              <w:pStyle w:val="13"/>
            </w:pPr>
            <w:r>
              <w:t>2.通过深入开展宣传教育活动，增强全民安全意识，提升公众安全素质。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购买宣传用品数量</w:t>
            </w:r>
          </w:p>
        </w:tc>
        <w:tc>
          <w:tcPr>
            <w:tcW w:w="5386" w:type="dxa"/>
            <w:vAlign w:val="center"/>
          </w:tcPr>
          <w:p>
            <w:pPr>
              <w:pStyle w:val="13"/>
            </w:pPr>
            <w:r>
              <w:t>反映购买宣传用品的数量</w:t>
            </w:r>
          </w:p>
        </w:tc>
        <w:tc>
          <w:tcPr>
            <w:tcW w:w="2268" w:type="dxa"/>
            <w:vAlign w:val="center"/>
          </w:tcPr>
          <w:p>
            <w:pPr>
              <w:pStyle w:val="13"/>
            </w:pPr>
            <w:r>
              <w:t>7500套</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购买制作条幅、绶带、展板等数量</w:t>
            </w:r>
          </w:p>
        </w:tc>
        <w:tc>
          <w:tcPr>
            <w:tcW w:w="5386" w:type="dxa"/>
            <w:vAlign w:val="center"/>
          </w:tcPr>
          <w:p>
            <w:pPr>
              <w:pStyle w:val="13"/>
            </w:pPr>
            <w:r>
              <w:t>反映制作条幅、绶带、展板的数量</w:t>
            </w:r>
          </w:p>
        </w:tc>
        <w:tc>
          <w:tcPr>
            <w:tcW w:w="2268" w:type="dxa"/>
            <w:vAlign w:val="center"/>
          </w:tcPr>
          <w:p>
            <w:pPr>
              <w:pStyle w:val="13"/>
            </w:pPr>
            <w:r>
              <w:t>50块</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安全宣传活动完成率</w:t>
            </w:r>
          </w:p>
        </w:tc>
        <w:tc>
          <w:tcPr>
            <w:tcW w:w="5386" w:type="dxa"/>
            <w:vAlign w:val="center"/>
          </w:tcPr>
          <w:p>
            <w:pPr>
              <w:pStyle w:val="13"/>
            </w:pPr>
            <w:r>
              <w:t>反映对群众安全宣传的比率</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安全宣传月活动完成时间</w:t>
            </w:r>
          </w:p>
        </w:tc>
        <w:tc>
          <w:tcPr>
            <w:tcW w:w="5386" w:type="dxa"/>
            <w:vAlign w:val="center"/>
          </w:tcPr>
          <w:p>
            <w:pPr>
              <w:pStyle w:val="13"/>
            </w:pPr>
            <w:r>
              <w:t>反映安全宣传月活动完成时限</w:t>
            </w:r>
          </w:p>
        </w:tc>
        <w:tc>
          <w:tcPr>
            <w:tcW w:w="2268" w:type="dxa"/>
            <w:vAlign w:val="center"/>
          </w:tcPr>
          <w:p>
            <w:pPr>
              <w:pStyle w:val="13"/>
            </w:pPr>
            <w:r>
              <w:t>6月底前完成</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购买宣传用品成本</w:t>
            </w:r>
          </w:p>
        </w:tc>
        <w:tc>
          <w:tcPr>
            <w:tcW w:w="5386" w:type="dxa"/>
            <w:vAlign w:val="center"/>
          </w:tcPr>
          <w:p>
            <w:pPr>
              <w:pStyle w:val="13"/>
            </w:pPr>
            <w:r>
              <w:t>反映购买宣传用品的金额</w:t>
            </w:r>
          </w:p>
        </w:tc>
        <w:tc>
          <w:tcPr>
            <w:tcW w:w="2268" w:type="dxa"/>
            <w:vAlign w:val="center"/>
          </w:tcPr>
          <w:p>
            <w:pPr>
              <w:pStyle w:val="13"/>
            </w:pPr>
            <w:r>
              <w:t>11.25万元</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安全生产水平提升情况</w:t>
            </w:r>
          </w:p>
        </w:tc>
        <w:tc>
          <w:tcPr>
            <w:tcW w:w="5386" w:type="dxa"/>
            <w:vAlign w:val="center"/>
          </w:tcPr>
          <w:p>
            <w:pPr>
              <w:pStyle w:val="13"/>
            </w:pPr>
            <w:r>
              <w:t>反映企业等安全生产水平情况</w:t>
            </w:r>
          </w:p>
        </w:tc>
        <w:tc>
          <w:tcPr>
            <w:tcW w:w="2268" w:type="dxa"/>
            <w:vAlign w:val="center"/>
          </w:tcPr>
          <w:p>
            <w:pPr>
              <w:pStyle w:val="13"/>
            </w:pPr>
            <w:r>
              <w:t>安全生产形势好转</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群众安全意识提升效果</w:t>
            </w:r>
          </w:p>
        </w:tc>
        <w:tc>
          <w:tcPr>
            <w:tcW w:w="5386" w:type="dxa"/>
            <w:vAlign w:val="center"/>
          </w:tcPr>
          <w:p>
            <w:pPr>
              <w:pStyle w:val="13"/>
            </w:pPr>
            <w:r>
              <w:t>反映群众安全意识提升效果</w:t>
            </w:r>
          </w:p>
        </w:tc>
        <w:tc>
          <w:tcPr>
            <w:tcW w:w="2268" w:type="dxa"/>
            <w:vAlign w:val="center"/>
          </w:tcPr>
          <w:p>
            <w:pPr>
              <w:pStyle w:val="13"/>
            </w:pPr>
            <w:r>
              <w:t>群众安全意识提升</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安全生产宣教活动普及率</w:t>
            </w:r>
          </w:p>
        </w:tc>
        <w:tc>
          <w:tcPr>
            <w:tcW w:w="5386" w:type="dxa"/>
            <w:vAlign w:val="center"/>
          </w:tcPr>
          <w:p>
            <w:pPr>
              <w:pStyle w:val="13"/>
            </w:pPr>
            <w:r>
              <w:t>反映安全生产宣教活动普及比率</w:t>
            </w:r>
          </w:p>
        </w:tc>
        <w:tc>
          <w:tcPr>
            <w:tcW w:w="2268" w:type="dxa"/>
            <w:vAlign w:val="center"/>
          </w:tcPr>
          <w:p>
            <w:pPr>
              <w:pStyle w:val="13"/>
            </w:pPr>
            <w:r>
              <w:t>≥95%</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受助对象满意度</w:t>
            </w:r>
          </w:p>
        </w:tc>
        <w:tc>
          <w:tcPr>
            <w:tcW w:w="5386" w:type="dxa"/>
            <w:vAlign w:val="center"/>
          </w:tcPr>
          <w:p>
            <w:pPr>
              <w:pStyle w:val="13"/>
            </w:pPr>
            <w:r>
              <w:t>受助对象满意度</w:t>
            </w:r>
          </w:p>
        </w:tc>
        <w:tc>
          <w:tcPr>
            <w:tcW w:w="2268" w:type="dxa"/>
            <w:vAlign w:val="center"/>
          </w:tcPr>
          <w:p>
            <w:pPr>
              <w:pStyle w:val="13"/>
            </w:pPr>
            <w:r>
              <w:t>≥95%</w:t>
            </w:r>
          </w:p>
        </w:tc>
        <w:tc>
          <w:tcPr>
            <w:tcW w:w="1276" w:type="dxa"/>
            <w:vAlign w:val="center"/>
          </w:tcPr>
          <w:p>
            <w:pPr>
              <w:pStyle w:val="13"/>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9、补充和更换防火物资资金绩效目标表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13032123P00331910035E</w:t>
            </w:r>
          </w:p>
        </w:tc>
        <w:tc>
          <w:tcPr>
            <w:tcW w:w="2835" w:type="dxa"/>
            <w:vAlign w:val="center"/>
          </w:tcPr>
          <w:p>
            <w:pPr>
              <w:pStyle w:val="11"/>
            </w:pPr>
            <w:r>
              <w:t>项目名称</w:t>
            </w:r>
          </w:p>
        </w:tc>
        <w:tc>
          <w:tcPr>
            <w:tcW w:w="6095" w:type="dxa"/>
            <w:gridSpan w:val="3"/>
            <w:vAlign w:val="center"/>
          </w:tcPr>
          <w:p>
            <w:pPr>
              <w:pStyle w:val="13"/>
            </w:pPr>
            <w:r>
              <w:t>补充和更换防火物资资金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81.05</w:t>
            </w:r>
          </w:p>
        </w:tc>
        <w:tc>
          <w:tcPr>
            <w:tcW w:w="2835" w:type="dxa"/>
            <w:vAlign w:val="center"/>
          </w:tcPr>
          <w:p>
            <w:pPr>
              <w:pStyle w:val="11"/>
            </w:pPr>
            <w:r>
              <w:t>其中：财政    资金</w:t>
            </w:r>
          </w:p>
        </w:tc>
        <w:tc>
          <w:tcPr>
            <w:tcW w:w="2551" w:type="dxa"/>
            <w:vAlign w:val="center"/>
          </w:tcPr>
          <w:p>
            <w:pPr>
              <w:pStyle w:val="13"/>
            </w:pPr>
            <w:r>
              <w:t>81.05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预算安排81.05万元，其中财政拨款81.05万元，主要用于森林防火设备及装备购置支出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1.通过补充和更换防火物资项目的实施，及时对森林防火设物资装备的更新，保证防火工作的正常运转。</w:t>
            </w:r>
            <w:r>
              <w:tab/>
            </w:r>
          </w:p>
          <w:p>
            <w:pPr>
              <w:pStyle w:val="13"/>
            </w:pPr>
            <w:r>
              <w:t>2.通过补充和更换防火物资项目的实施，保障防火人员人身安全，将火灾隐患降到最低。</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普通扑火服</w:t>
            </w:r>
          </w:p>
        </w:tc>
        <w:tc>
          <w:tcPr>
            <w:tcW w:w="5386" w:type="dxa"/>
            <w:vAlign w:val="center"/>
          </w:tcPr>
          <w:p>
            <w:pPr>
              <w:pStyle w:val="13"/>
            </w:pPr>
            <w:r>
              <w:t>购买普通扑火服数量</w:t>
            </w:r>
          </w:p>
        </w:tc>
        <w:tc>
          <w:tcPr>
            <w:tcW w:w="2268" w:type="dxa"/>
            <w:vAlign w:val="center"/>
          </w:tcPr>
          <w:p>
            <w:pPr>
              <w:pStyle w:val="13"/>
            </w:pPr>
            <w:r>
              <w:t>≥200套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作训服</w:t>
            </w:r>
          </w:p>
        </w:tc>
        <w:tc>
          <w:tcPr>
            <w:tcW w:w="5386" w:type="dxa"/>
            <w:vAlign w:val="center"/>
          </w:tcPr>
          <w:p>
            <w:pPr>
              <w:pStyle w:val="13"/>
            </w:pPr>
            <w:r>
              <w:t>购买作训服数量</w:t>
            </w:r>
          </w:p>
        </w:tc>
        <w:tc>
          <w:tcPr>
            <w:tcW w:w="2268" w:type="dxa"/>
            <w:vAlign w:val="center"/>
          </w:tcPr>
          <w:p>
            <w:pPr>
              <w:pStyle w:val="13"/>
            </w:pPr>
            <w:r>
              <w:t>≥200套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消防物资验收合格率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采购完成的时间</w:t>
            </w:r>
          </w:p>
        </w:tc>
        <w:tc>
          <w:tcPr>
            <w:tcW w:w="2268" w:type="dxa"/>
            <w:vAlign w:val="center"/>
          </w:tcPr>
          <w:p>
            <w:pPr>
              <w:pStyle w:val="13"/>
            </w:pPr>
            <w:r>
              <w:t>2024年度内完成</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普通扑火服的单位成本</w:t>
            </w:r>
          </w:p>
        </w:tc>
        <w:tc>
          <w:tcPr>
            <w:tcW w:w="5386" w:type="dxa"/>
            <w:vAlign w:val="center"/>
          </w:tcPr>
          <w:p>
            <w:pPr>
              <w:pStyle w:val="13"/>
            </w:pPr>
            <w:r>
              <w:t>普通扑火服的单位成本</w:t>
            </w:r>
          </w:p>
        </w:tc>
        <w:tc>
          <w:tcPr>
            <w:tcW w:w="2268" w:type="dxa"/>
            <w:vAlign w:val="center"/>
          </w:tcPr>
          <w:p>
            <w:pPr>
              <w:pStyle w:val="13"/>
            </w:pPr>
            <w:r>
              <w:t>≤500元/套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作训服的单位成本</w:t>
            </w:r>
          </w:p>
        </w:tc>
        <w:tc>
          <w:tcPr>
            <w:tcW w:w="5386" w:type="dxa"/>
            <w:vAlign w:val="center"/>
          </w:tcPr>
          <w:p>
            <w:pPr>
              <w:pStyle w:val="13"/>
            </w:pPr>
            <w:r>
              <w:t>作训服的单位成本</w:t>
            </w:r>
          </w:p>
        </w:tc>
        <w:tc>
          <w:tcPr>
            <w:tcW w:w="2268" w:type="dxa"/>
            <w:vAlign w:val="center"/>
          </w:tcPr>
          <w:p>
            <w:pPr>
              <w:pStyle w:val="13"/>
            </w:pPr>
            <w:r>
              <w:t>≤500元/套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10、第一次全国自然灾害综合风险普查专项经费绩效目标表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13032123P003318100345</w:t>
            </w:r>
          </w:p>
        </w:tc>
        <w:tc>
          <w:tcPr>
            <w:tcW w:w="2835" w:type="dxa"/>
            <w:vAlign w:val="center"/>
          </w:tcPr>
          <w:p>
            <w:pPr>
              <w:pStyle w:val="11"/>
            </w:pPr>
            <w:r>
              <w:t>项目名称</w:t>
            </w:r>
          </w:p>
        </w:tc>
        <w:tc>
          <w:tcPr>
            <w:tcW w:w="6095" w:type="dxa"/>
            <w:gridSpan w:val="3"/>
            <w:vAlign w:val="center"/>
          </w:tcPr>
          <w:p>
            <w:pPr>
              <w:pStyle w:val="13"/>
            </w:pPr>
            <w:r>
              <w:t>第一次全国自然灾害综合风险普查专项经费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20.55</w:t>
            </w:r>
          </w:p>
        </w:tc>
        <w:tc>
          <w:tcPr>
            <w:tcW w:w="2835" w:type="dxa"/>
            <w:vAlign w:val="center"/>
          </w:tcPr>
          <w:p>
            <w:pPr>
              <w:pStyle w:val="11"/>
            </w:pPr>
            <w:r>
              <w:t>其中：财政    资金</w:t>
            </w:r>
          </w:p>
        </w:tc>
        <w:tc>
          <w:tcPr>
            <w:tcW w:w="2551" w:type="dxa"/>
            <w:vAlign w:val="center"/>
          </w:tcPr>
          <w:p>
            <w:pPr>
              <w:pStyle w:val="13"/>
            </w:pPr>
            <w:r>
              <w:t>20.55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预算安排20.55万元，其中财政拨款20.55万元，主要用于第一次全国自然灾害风险普查第三方评估费用支出</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该项目的实施，对我县自然灾害开展风险普查全面调查，以及灾害风险普查培训、风险普查宣传、数据库建设和软件系统部署，将相关调查数据，经质检审核后，汇总形成我市调查阶段数据集，上报至省和国家。</w:t>
            </w:r>
          </w:p>
          <w:p>
            <w:pPr>
              <w:pStyle w:val="13"/>
            </w:pPr>
            <w:r>
              <w:t>2.通过该项目的实施，进行重点隐患分级分类评估与制图，开展综合风险评估、风险区划、防治区划工作，相关成果经专家评审后上报省和国家。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第三方评估次数</w:t>
            </w:r>
          </w:p>
        </w:tc>
        <w:tc>
          <w:tcPr>
            <w:tcW w:w="5386" w:type="dxa"/>
            <w:vAlign w:val="center"/>
          </w:tcPr>
          <w:p>
            <w:pPr>
              <w:pStyle w:val="13"/>
            </w:pPr>
            <w:r>
              <w:t>反映需第三方对自然灾害评估点进行评估的次数</w:t>
            </w:r>
          </w:p>
        </w:tc>
        <w:tc>
          <w:tcPr>
            <w:tcW w:w="2268" w:type="dxa"/>
            <w:vAlign w:val="center"/>
          </w:tcPr>
          <w:p>
            <w:pPr>
              <w:pStyle w:val="13"/>
            </w:pPr>
            <w:r>
              <w:t>≥1次</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第三方数量</w:t>
            </w:r>
          </w:p>
        </w:tc>
        <w:tc>
          <w:tcPr>
            <w:tcW w:w="5386" w:type="dxa"/>
            <w:vAlign w:val="center"/>
          </w:tcPr>
          <w:p>
            <w:pPr>
              <w:pStyle w:val="13"/>
            </w:pPr>
            <w:r>
              <w:t>反映聘请第三方进行数量</w:t>
            </w:r>
          </w:p>
        </w:tc>
        <w:tc>
          <w:tcPr>
            <w:tcW w:w="2268" w:type="dxa"/>
            <w:vAlign w:val="center"/>
          </w:tcPr>
          <w:p>
            <w:pPr>
              <w:pStyle w:val="13"/>
            </w:pPr>
            <w:r>
              <w:t>≥1家</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评估报告数量</w:t>
            </w:r>
          </w:p>
        </w:tc>
        <w:tc>
          <w:tcPr>
            <w:tcW w:w="5386" w:type="dxa"/>
            <w:vAlign w:val="center"/>
          </w:tcPr>
          <w:p>
            <w:pPr>
              <w:pStyle w:val="13"/>
            </w:pPr>
            <w:r>
              <w:t>形成自然灾害风险评估的数量</w:t>
            </w:r>
          </w:p>
        </w:tc>
        <w:tc>
          <w:tcPr>
            <w:tcW w:w="2268" w:type="dxa"/>
            <w:vAlign w:val="center"/>
          </w:tcPr>
          <w:p>
            <w:pPr>
              <w:pStyle w:val="13"/>
            </w:pPr>
            <w:r>
              <w:t>≥2份</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问题整改率</w:t>
            </w:r>
          </w:p>
        </w:tc>
        <w:tc>
          <w:tcPr>
            <w:tcW w:w="5386" w:type="dxa"/>
            <w:vAlign w:val="center"/>
          </w:tcPr>
          <w:p>
            <w:pPr>
              <w:pStyle w:val="13"/>
            </w:pPr>
            <w:r>
              <w:t>已整改问题数量占发现问题数量的比例</w:t>
            </w:r>
          </w:p>
        </w:tc>
        <w:tc>
          <w:tcPr>
            <w:tcW w:w="2268" w:type="dxa"/>
            <w:vAlign w:val="center"/>
          </w:tcPr>
          <w:p>
            <w:pPr>
              <w:pStyle w:val="13"/>
            </w:pPr>
            <w:r>
              <w:t>≥90%</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普查合格率</w:t>
            </w:r>
          </w:p>
        </w:tc>
        <w:tc>
          <w:tcPr>
            <w:tcW w:w="5386" w:type="dxa"/>
            <w:vAlign w:val="center"/>
          </w:tcPr>
          <w:p>
            <w:pPr>
              <w:pStyle w:val="13"/>
            </w:pPr>
            <w:r>
              <w:t>普查成果整体质量抽查合格率</w:t>
            </w:r>
          </w:p>
        </w:tc>
        <w:tc>
          <w:tcPr>
            <w:tcW w:w="2268" w:type="dxa"/>
            <w:vAlign w:val="center"/>
          </w:tcPr>
          <w:p>
            <w:pPr>
              <w:pStyle w:val="13"/>
            </w:pPr>
            <w:r>
              <w:t>≥90%</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检查按时完成率</w:t>
            </w:r>
          </w:p>
        </w:tc>
        <w:tc>
          <w:tcPr>
            <w:tcW w:w="5386" w:type="dxa"/>
            <w:vAlign w:val="center"/>
          </w:tcPr>
          <w:p>
            <w:pPr>
              <w:pStyle w:val="13"/>
            </w:pPr>
            <w:r>
              <w:t>反映各项工作检查完成时间</w:t>
            </w:r>
          </w:p>
        </w:tc>
        <w:tc>
          <w:tcPr>
            <w:tcW w:w="2268" w:type="dxa"/>
            <w:vAlign w:val="center"/>
          </w:tcPr>
          <w:p>
            <w:pPr>
              <w:pStyle w:val="13"/>
            </w:pPr>
            <w:r>
              <w:t>年度内</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业务委托费用</w:t>
            </w:r>
          </w:p>
        </w:tc>
        <w:tc>
          <w:tcPr>
            <w:tcW w:w="5386" w:type="dxa"/>
            <w:vAlign w:val="center"/>
          </w:tcPr>
          <w:p>
            <w:pPr>
              <w:pStyle w:val="13"/>
            </w:pPr>
            <w:r>
              <w:t>反映用于业务委托的费用</w:t>
            </w:r>
          </w:p>
        </w:tc>
        <w:tc>
          <w:tcPr>
            <w:tcW w:w="2268" w:type="dxa"/>
            <w:vAlign w:val="center"/>
          </w:tcPr>
          <w:p>
            <w:pPr>
              <w:pStyle w:val="13"/>
            </w:pPr>
            <w:r>
              <w:t>＝20.55万元</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提升防灾减灾能力</w:t>
            </w:r>
          </w:p>
        </w:tc>
        <w:tc>
          <w:tcPr>
            <w:tcW w:w="5386" w:type="dxa"/>
            <w:vAlign w:val="center"/>
          </w:tcPr>
          <w:p>
            <w:pPr>
              <w:pStyle w:val="13"/>
            </w:pPr>
            <w:r>
              <w:t>提高群众防灾减灾意识和突发灾难避险能力</w:t>
            </w:r>
          </w:p>
        </w:tc>
        <w:tc>
          <w:tcPr>
            <w:tcW w:w="2268" w:type="dxa"/>
            <w:vAlign w:val="center"/>
          </w:tcPr>
          <w:p>
            <w:pPr>
              <w:pStyle w:val="13"/>
            </w:pPr>
            <w:r>
              <w:t>提高减灾能力</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减少自然灾害造成的损失</w:t>
            </w:r>
          </w:p>
        </w:tc>
        <w:tc>
          <w:tcPr>
            <w:tcW w:w="5386" w:type="dxa"/>
            <w:vAlign w:val="center"/>
          </w:tcPr>
          <w:p>
            <w:pPr>
              <w:pStyle w:val="13"/>
            </w:pPr>
            <w:r>
              <w:t>通过自然灾害综合普查成果应用，减少自然灾害损失。</w:t>
            </w:r>
          </w:p>
        </w:tc>
        <w:tc>
          <w:tcPr>
            <w:tcW w:w="2268" w:type="dxa"/>
            <w:vAlign w:val="center"/>
          </w:tcPr>
          <w:p>
            <w:pPr>
              <w:pStyle w:val="13"/>
            </w:pPr>
            <w:r>
              <w:t>自然灾害损失一目下降</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构建人与生态环境和谐关系</w:t>
            </w:r>
          </w:p>
        </w:tc>
        <w:tc>
          <w:tcPr>
            <w:tcW w:w="5386" w:type="dxa"/>
            <w:vAlign w:val="center"/>
          </w:tcPr>
          <w:p>
            <w:pPr>
              <w:pStyle w:val="13"/>
            </w:pPr>
            <w:r>
              <w:t>推进人与生态环境的和谐、协调、永续发展</w:t>
            </w:r>
          </w:p>
        </w:tc>
        <w:tc>
          <w:tcPr>
            <w:tcW w:w="2268" w:type="dxa"/>
            <w:vAlign w:val="center"/>
          </w:tcPr>
          <w:p>
            <w:pPr>
              <w:pStyle w:val="13"/>
            </w:pPr>
            <w:r>
              <w:t>持续促进</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问题整改落实率</w:t>
            </w:r>
          </w:p>
        </w:tc>
        <w:tc>
          <w:tcPr>
            <w:tcW w:w="5386" w:type="dxa"/>
            <w:vAlign w:val="center"/>
          </w:tcPr>
          <w:p>
            <w:pPr>
              <w:pStyle w:val="13"/>
            </w:pPr>
            <w:r>
              <w:t>反映发现问题整改落实情况</w:t>
            </w:r>
          </w:p>
        </w:tc>
        <w:tc>
          <w:tcPr>
            <w:tcW w:w="2268" w:type="dxa"/>
            <w:vAlign w:val="center"/>
          </w:tcPr>
          <w:p>
            <w:pPr>
              <w:pStyle w:val="13"/>
            </w:pPr>
            <w:r>
              <w:t>≥90%</w:t>
            </w:r>
          </w:p>
        </w:tc>
        <w:tc>
          <w:tcPr>
            <w:tcW w:w="1276" w:type="dxa"/>
            <w:vAlign w:val="center"/>
          </w:tcPr>
          <w:p>
            <w:pPr>
              <w:pStyle w:val="13"/>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w:t>
            </w:r>
          </w:p>
        </w:tc>
        <w:tc>
          <w:tcPr>
            <w:tcW w:w="2268" w:type="dxa"/>
            <w:vAlign w:val="center"/>
          </w:tcPr>
          <w:p>
            <w:pPr>
              <w:pStyle w:val="13"/>
            </w:pPr>
            <w:r>
              <w:t>100%满意</w:t>
            </w:r>
          </w:p>
        </w:tc>
        <w:tc>
          <w:tcPr>
            <w:tcW w:w="1276" w:type="dxa"/>
            <w:vAlign w:val="center"/>
          </w:tcPr>
          <w:p>
            <w:pPr>
              <w:pStyle w:val="13"/>
            </w:pPr>
            <w:r>
              <w:t>普查经费编制说明</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11、防火经费绩效目标表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13032123P003319100337</w:t>
            </w:r>
          </w:p>
        </w:tc>
        <w:tc>
          <w:tcPr>
            <w:tcW w:w="2835" w:type="dxa"/>
            <w:vAlign w:val="center"/>
          </w:tcPr>
          <w:p>
            <w:pPr>
              <w:pStyle w:val="11"/>
            </w:pPr>
            <w:r>
              <w:t>项目名称</w:t>
            </w:r>
          </w:p>
        </w:tc>
        <w:tc>
          <w:tcPr>
            <w:tcW w:w="6095" w:type="dxa"/>
            <w:gridSpan w:val="3"/>
            <w:vAlign w:val="center"/>
          </w:tcPr>
          <w:p>
            <w:pPr>
              <w:pStyle w:val="13"/>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26.60</w:t>
            </w:r>
          </w:p>
        </w:tc>
        <w:tc>
          <w:tcPr>
            <w:tcW w:w="2835" w:type="dxa"/>
            <w:vAlign w:val="center"/>
          </w:tcPr>
          <w:p>
            <w:pPr>
              <w:pStyle w:val="11"/>
            </w:pPr>
            <w:r>
              <w:t>其中：财政    资金</w:t>
            </w:r>
          </w:p>
        </w:tc>
        <w:tc>
          <w:tcPr>
            <w:tcW w:w="2551" w:type="dxa"/>
            <w:vAlign w:val="center"/>
          </w:tcPr>
          <w:p>
            <w:pPr>
              <w:pStyle w:val="13"/>
            </w:pPr>
            <w:r>
              <w:t>26.60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预算安排26.598436万元，其中财政拨款26.598436万元，主要用于森林防火运转支出。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1.通过开展森林防火值班值守及机关通信能力保障工作的开展，保障全县防火工作的正常运转。</w:t>
            </w:r>
            <w:r>
              <w:tab/>
            </w:r>
            <w:r>
              <w:tab/>
            </w:r>
            <w:r>
              <w:tab/>
            </w:r>
            <w:r>
              <w:tab/>
            </w:r>
            <w:r>
              <w:tab/>
            </w:r>
            <w:r>
              <w:tab/>
            </w:r>
          </w:p>
          <w:p>
            <w:pPr>
              <w:pStyle w:val="13"/>
            </w:pPr>
            <w:r>
              <w:t>2.通过开展对森林防火车辆的维护保养及耗油供应，保障全县防火车辆的正常运转，及时将火灾隐患除到最低。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防火车辆数量</w:t>
            </w:r>
          </w:p>
        </w:tc>
        <w:tc>
          <w:tcPr>
            <w:tcW w:w="5386" w:type="dxa"/>
            <w:vAlign w:val="center"/>
          </w:tcPr>
          <w:p>
            <w:pPr>
              <w:pStyle w:val="13"/>
            </w:pPr>
            <w:r>
              <w:t>反映用于防火的车辆数量</w:t>
            </w:r>
          </w:p>
        </w:tc>
        <w:tc>
          <w:tcPr>
            <w:tcW w:w="2268" w:type="dxa"/>
            <w:vAlign w:val="center"/>
          </w:tcPr>
          <w:p>
            <w:pPr>
              <w:pStyle w:val="13"/>
            </w:pPr>
            <w:r>
              <w:t>≥50辆</w:t>
            </w:r>
          </w:p>
        </w:tc>
        <w:tc>
          <w:tcPr>
            <w:tcW w:w="1276" w:type="dxa"/>
            <w:vAlign w:val="center"/>
          </w:tcPr>
          <w:p>
            <w:pPr>
              <w:pStyle w:val="13"/>
            </w:pPr>
            <w:r>
              <w:t>青政常纪【2012】10号方及【2016】17号文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通信网络数量</w:t>
            </w:r>
          </w:p>
        </w:tc>
        <w:tc>
          <w:tcPr>
            <w:tcW w:w="5386" w:type="dxa"/>
            <w:vAlign w:val="center"/>
          </w:tcPr>
          <w:p>
            <w:pPr>
              <w:pStyle w:val="13"/>
            </w:pPr>
            <w:r>
              <w:t>反映用于防火的网络数量</w:t>
            </w:r>
          </w:p>
        </w:tc>
        <w:tc>
          <w:tcPr>
            <w:tcW w:w="2268" w:type="dxa"/>
            <w:vAlign w:val="center"/>
          </w:tcPr>
          <w:p>
            <w:pPr>
              <w:pStyle w:val="13"/>
            </w:pPr>
            <w:r>
              <w:t>≥2个</w:t>
            </w:r>
          </w:p>
        </w:tc>
        <w:tc>
          <w:tcPr>
            <w:tcW w:w="1276" w:type="dxa"/>
            <w:vAlign w:val="center"/>
          </w:tcPr>
          <w:p>
            <w:pPr>
              <w:pStyle w:val="13"/>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通信电话数量</w:t>
            </w:r>
          </w:p>
        </w:tc>
        <w:tc>
          <w:tcPr>
            <w:tcW w:w="5386" w:type="dxa"/>
            <w:vAlign w:val="center"/>
          </w:tcPr>
          <w:p>
            <w:pPr>
              <w:pStyle w:val="13"/>
            </w:pPr>
            <w:r>
              <w:t>反映用于防火的电话数量</w:t>
            </w:r>
          </w:p>
        </w:tc>
        <w:tc>
          <w:tcPr>
            <w:tcW w:w="2268" w:type="dxa"/>
            <w:vAlign w:val="center"/>
          </w:tcPr>
          <w:p>
            <w:pPr>
              <w:pStyle w:val="13"/>
            </w:pPr>
            <w:r>
              <w:t>2台</w:t>
            </w:r>
          </w:p>
        </w:tc>
        <w:tc>
          <w:tcPr>
            <w:tcW w:w="1276" w:type="dxa"/>
            <w:vAlign w:val="center"/>
          </w:tcPr>
          <w:p>
            <w:pPr>
              <w:pStyle w:val="13"/>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用于值班值守的营房数量</w:t>
            </w:r>
          </w:p>
        </w:tc>
        <w:tc>
          <w:tcPr>
            <w:tcW w:w="5386" w:type="dxa"/>
            <w:vAlign w:val="center"/>
          </w:tcPr>
          <w:p>
            <w:pPr>
              <w:pStyle w:val="13"/>
            </w:pPr>
            <w:r>
              <w:t>反映用于值班值守的营房数量</w:t>
            </w:r>
          </w:p>
        </w:tc>
        <w:tc>
          <w:tcPr>
            <w:tcW w:w="2268" w:type="dxa"/>
            <w:vAlign w:val="center"/>
          </w:tcPr>
          <w:p>
            <w:pPr>
              <w:pStyle w:val="13"/>
            </w:pPr>
            <w:r>
              <w:t>≥2个</w:t>
            </w:r>
          </w:p>
        </w:tc>
        <w:tc>
          <w:tcPr>
            <w:tcW w:w="1276" w:type="dxa"/>
            <w:vAlign w:val="center"/>
          </w:tcPr>
          <w:p>
            <w:pPr>
              <w:pStyle w:val="13"/>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可用车辆保障率</w:t>
            </w:r>
          </w:p>
        </w:tc>
        <w:tc>
          <w:tcPr>
            <w:tcW w:w="5386" w:type="dxa"/>
            <w:vAlign w:val="center"/>
          </w:tcPr>
          <w:p>
            <w:pPr>
              <w:pStyle w:val="13"/>
            </w:pPr>
            <w:r>
              <w:t>反映可正常运行车辆占总车辆的比率</w:t>
            </w:r>
          </w:p>
        </w:tc>
        <w:tc>
          <w:tcPr>
            <w:tcW w:w="2268" w:type="dxa"/>
            <w:vAlign w:val="center"/>
          </w:tcPr>
          <w:p>
            <w:pPr>
              <w:pStyle w:val="13"/>
            </w:pPr>
            <w:r>
              <w:t>≥95%</w:t>
            </w:r>
          </w:p>
        </w:tc>
        <w:tc>
          <w:tcPr>
            <w:tcW w:w="1276" w:type="dxa"/>
            <w:vAlign w:val="center"/>
          </w:tcPr>
          <w:p>
            <w:pPr>
              <w:pStyle w:val="13"/>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2024年度内</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w:t>
            </w:r>
          </w:p>
        </w:tc>
        <w:tc>
          <w:tcPr>
            <w:tcW w:w="5386" w:type="dxa"/>
            <w:vAlign w:val="center"/>
          </w:tcPr>
          <w:p>
            <w:pPr>
              <w:pStyle w:val="13"/>
            </w:pPr>
            <w:r>
              <w:t>反映发生的办公用品采购费用</w:t>
            </w:r>
          </w:p>
        </w:tc>
        <w:tc>
          <w:tcPr>
            <w:tcW w:w="2268" w:type="dxa"/>
            <w:vAlign w:val="center"/>
          </w:tcPr>
          <w:p>
            <w:pPr>
              <w:pStyle w:val="13"/>
            </w:pPr>
            <w:r>
              <w:t>≤1.83万元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反映发生的车辆运行及保险费用</w:t>
            </w:r>
          </w:p>
        </w:tc>
        <w:tc>
          <w:tcPr>
            <w:tcW w:w="2268" w:type="dxa"/>
            <w:vAlign w:val="center"/>
          </w:tcPr>
          <w:p>
            <w:pPr>
              <w:pStyle w:val="13"/>
            </w:pPr>
            <w:r>
              <w:t>≤6.74万元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网络维护及通信费用</w:t>
            </w:r>
          </w:p>
        </w:tc>
        <w:tc>
          <w:tcPr>
            <w:tcW w:w="5386" w:type="dxa"/>
            <w:vAlign w:val="center"/>
          </w:tcPr>
          <w:p>
            <w:pPr>
              <w:pStyle w:val="13"/>
            </w:pPr>
            <w:r>
              <w:t>反映发生的用于网络运行及保障通信的费用</w:t>
            </w:r>
          </w:p>
        </w:tc>
        <w:tc>
          <w:tcPr>
            <w:tcW w:w="2268" w:type="dxa"/>
            <w:vAlign w:val="center"/>
          </w:tcPr>
          <w:p>
            <w:pPr>
              <w:pStyle w:val="13"/>
            </w:pPr>
            <w:r>
              <w:t>≤0.6万元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w:t>
            </w:r>
          </w:p>
        </w:tc>
        <w:tc>
          <w:tcPr>
            <w:tcW w:w="5386" w:type="dxa"/>
            <w:vAlign w:val="center"/>
          </w:tcPr>
          <w:p>
            <w:pPr>
              <w:pStyle w:val="13"/>
            </w:pPr>
            <w:r>
              <w:t>反映用于营房运转及取暖等电费</w:t>
            </w:r>
          </w:p>
        </w:tc>
        <w:tc>
          <w:tcPr>
            <w:tcW w:w="2268" w:type="dxa"/>
            <w:vAlign w:val="center"/>
          </w:tcPr>
          <w:p>
            <w:pPr>
              <w:pStyle w:val="13"/>
            </w:pPr>
            <w:r>
              <w:t>≤2.57万元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12、防火经费绩效目标表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13032124P00326310049H</w:t>
            </w:r>
          </w:p>
        </w:tc>
        <w:tc>
          <w:tcPr>
            <w:tcW w:w="2835" w:type="dxa"/>
            <w:vAlign w:val="center"/>
          </w:tcPr>
          <w:p>
            <w:pPr>
              <w:pStyle w:val="11"/>
            </w:pPr>
            <w:r>
              <w:t>项目名称</w:t>
            </w:r>
          </w:p>
        </w:tc>
        <w:tc>
          <w:tcPr>
            <w:tcW w:w="6095" w:type="dxa"/>
            <w:gridSpan w:val="3"/>
            <w:vAlign w:val="center"/>
          </w:tcPr>
          <w:p>
            <w:pPr>
              <w:pStyle w:val="13"/>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108.57</w:t>
            </w:r>
          </w:p>
        </w:tc>
        <w:tc>
          <w:tcPr>
            <w:tcW w:w="2835" w:type="dxa"/>
            <w:vAlign w:val="center"/>
          </w:tcPr>
          <w:p>
            <w:pPr>
              <w:pStyle w:val="11"/>
            </w:pPr>
            <w:r>
              <w:t>其中：财政    资金</w:t>
            </w:r>
          </w:p>
        </w:tc>
        <w:tc>
          <w:tcPr>
            <w:tcW w:w="2551" w:type="dxa"/>
            <w:vAlign w:val="center"/>
          </w:tcPr>
          <w:p>
            <w:pPr>
              <w:pStyle w:val="13"/>
            </w:pPr>
            <w:r>
              <w:t>108.57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预算安排108.5672万元，其中财政拨款108.5672万元，主要用于森林防火运转经费支出。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1.通过此项目的实施，加强森林防火值班值守及机关通信能力保障工作的开展，保障全县防火工作的正常运转。</w:t>
            </w:r>
            <w:r>
              <w:tab/>
            </w:r>
            <w:r>
              <w:tab/>
            </w:r>
            <w:r>
              <w:tab/>
            </w:r>
            <w:r>
              <w:tab/>
            </w:r>
          </w:p>
          <w:p>
            <w:pPr>
              <w:pStyle w:val="13"/>
            </w:pPr>
            <w:r>
              <w:t>2.通过此项目的实施，开展对森林防火车辆的维护保养及耗油供应，保障全县防火车辆的正常运转，及时将火灾隐患除到最低。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防火车辆数量</w:t>
            </w:r>
          </w:p>
        </w:tc>
        <w:tc>
          <w:tcPr>
            <w:tcW w:w="5386" w:type="dxa"/>
            <w:vAlign w:val="center"/>
          </w:tcPr>
          <w:p>
            <w:pPr>
              <w:pStyle w:val="13"/>
            </w:pPr>
            <w:r>
              <w:t>反映用于防火的车辆数量</w:t>
            </w:r>
          </w:p>
        </w:tc>
        <w:tc>
          <w:tcPr>
            <w:tcW w:w="2268" w:type="dxa"/>
            <w:vAlign w:val="center"/>
          </w:tcPr>
          <w:p>
            <w:pPr>
              <w:pStyle w:val="13"/>
            </w:pPr>
            <w:r>
              <w:t>≥50辆</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出差的次数</w:t>
            </w:r>
          </w:p>
        </w:tc>
        <w:tc>
          <w:tcPr>
            <w:tcW w:w="5386" w:type="dxa"/>
            <w:vAlign w:val="center"/>
          </w:tcPr>
          <w:p>
            <w:pPr>
              <w:pStyle w:val="13"/>
            </w:pPr>
            <w:r>
              <w:t>反映开展防火工作出差、下乡的次数</w:t>
            </w:r>
          </w:p>
        </w:tc>
        <w:tc>
          <w:tcPr>
            <w:tcW w:w="2268" w:type="dxa"/>
            <w:vAlign w:val="center"/>
          </w:tcPr>
          <w:p>
            <w:pPr>
              <w:pStyle w:val="13"/>
            </w:pPr>
            <w:r>
              <w:t>≥100次</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劳务的数量</w:t>
            </w:r>
          </w:p>
        </w:tc>
        <w:tc>
          <w:tcPr>
            <w:tcW w:w="5386" w:type="dxa"/>
            <w:vAlign w:val="center"/>
          </w:tcPr>
          <w:p>
            <w:pPr>
              <w:pStyle w:val="13"/>
            </w:pPr>
            <w:r>
              <w:t>反映开展防火工作第三方或小工的数量</w:t>
            </w:r>
          </w:p>
        </w:tc>
        <w:tc>
          <w:tcPr>
            <w:tcW w:w="2268" w:type="dxa"/>
            <w:vAlign w:val="center"/>
          </w:tcPr>
          <w:p>
            <w:pPr>
              <w:pStyle w:val="13"/>
            </w:pPr>
            <w:r>
              <w:t>≥5次</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可用车辆保障率</w:t>
            </w:r>
          </w:p>
        </w:tc>
        <w:tc>
          <w:tcPr>
            <w:tcW w:w="5386" w:type="dxa"/>
            <w:vAlign w:val="center"/>
          </w:tcPr>
          <w:p>
            <w:pPr>
              <w:pStyle w:val="13"/>
            </w:pPr>
            <w:r>
              <w:t>反映可正常运行车辆占总车辆的比率</w:t>
            </w:r>
          </w:p>
        </w:tc>
        <w:tc>
          <w:tcPr>
            <w:tcW w:w="2268" w:type="dxa"/>
            <w:vAlign w:val="center"/>
          </w:tcPr>
          <w:p>
            <w:pPr>
              <w:pStyle w:val="13"/>
            </w:pPr>
            <w:r>
              <w:t>≥95%</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年度内</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办公、印刷费用</w:t>
            </w:r>
          </w:p>
        </w:tc>
        <w:tc>
          <w:tcPr>
            <w:tcW w:w="5386" w:type="dxa"/>
            <w:vAlign w:val="center"/>
          </w:tcPr>
          <w:p>
            <w:pPr>
              <w:pStyle w:val="13"/>
            </w:pPr>
            <w:r>
              <w:t>反映发生的办公用品采购、印刷费用</w:t>
            </w:r>
          </w:p>
        </w:tc>
        <w:tc>
          <w:tcPr>
            <w:tcW w:w="2268" w:type="dxa"/>
            <w:vAlign w:val="center"/>
          </w:tcPr>
          <w:p>
            <w:pPr>
              <w:pStyle w:val="13"/>
            </w:pPr>
            <w:r>
              <w:t>≤45万元</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反映发生的车辆运行及保险费用</w:t>
            </w:r>
          </w:p>
        </w:tc>
        <w:tc>
          <w:tcPr>
            <w:tcW w:w="2268" w:type="dxa"/>
            <w:vAlign w:val="center"/>
          </w:tcPr>
          <w:p>
            <w:pPr>
              <w:pStyle w:val="13"/>
            </w:pPr>
            <w:r>
              <w:t>≤80万元</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差旅费用</w:t>
            </w:r>
          </w:p>
        </w:tc>
        <w:tc>
          <w:tcPr>
            <w:tcW w:w="5386" w:type="dxa"/>
            <w:vAlign w:val="center"/>
          </w:tcPr>
          <w:p>
            <w:pPr>
              <w:pStyle w:val="13"/>
            </w:pPr>
            <w:r>
              <w:t>反映发生的差旅费用</w:t>
            </w:r>
          </w:p>
        </w:tc>
        <w:tc>
          <w:tcPr>
            <w:tcW w:w="2268" w:type="dxa"/>
            <w:vAlign w:val="center"/>
          </w:tcPr>
          <w:p>
            <w:pPr>
              <w:pStyle w:val="13"/>
            </w:pPr>
            <w:r>
              <w:t>≤5万元</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劳务费用</w:t>
            </w:r>
          </w:p>
        </w:tc>
        <w:tc>
          <w:tcPr>
            <w:tcW w:w="5386" w:type="dxa"/>
            <w:vAlign w:val="center"/>
          </w:tcPr>
          <w:p>
            <w:pPr>
              <w:pStyle w:val="13"/>
            </w:pPr>
            <w:r>
              <w:t>反映发生的劳务费用</w:t>
            </w:r>
          </w:p>
        </w:tc>
        <w:tc>
          <w:tcPr>
            <w:tcW w:w="2268" w:type="dxa"/>
            <w:vAlign w:val="center"/>
          </w:tcPr>
          <w:p>
            <w:pPr>
              <w:pStyle w:val="13"/>
            </w:pPr>
            <w:r>
              <w:t>≤10万元</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13、关于提前下达2024年非煤矿山综合治理专项资金的通知（冀财建[2023]253号）绩效目标表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13032124P00326410026L</w:t>
            </w:r>
          </w:p>
        </w:tc>
        <w:tc>
          <w:tcPr>
            <w:tcW w:w="2835" w:type="dxa"/>
            <w:vAlign w:val="center"/>
          </w:tcPr>
          <w:p>
            <w:pPr>
              <w:pStyle w:val="11"/>
            </w:pPr>
            <w:r>
              <w:t>项目名称</w:t>
            </w:r>
          </w:p>
        </w:tc>
        <w:tc>
          <w:tcPr>
            <w:tcW w:w="6095" w:type="dxa"/>
            <w:gridSpan w:val="3"/>
            <w:vAlign w:val="center"/>
          </w:tcPr>
          <w:p>
            <w:pPr>
              <w:pStyle w:val="13"/>
            </w:pPr>
            <w:r>
              <w:t>关于提前下达2024年非煤矿山综合治理专项资金的通知（冀财建[2023]253号）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139.22</w:t>
            </w:r>
          </w:p>
        </w:tc>
        <w:tc>
          <w:tcPr>
            <w:tcW w:w="2835" w:type="dxa"/>
            <w:vAlign w:val="center"/>
          </w:tcPr>
          <w:p>
            <w:pPr>
              <w:pStyle w:val="11"/>
            </w:pPr>
            <w:r>
              <w:t>其中：财政    资金</w:t>
            </w:r>
          </w:p>
        </w:tc>
        <w:tc>
          <w:tcPr>
            <w:tcW w:w="2551" w:type="dxa"/>
            <w:vAlign w:val="center"/>
          </w:tcPr>
          <w:p>
            <w:pPr>
              <w:pStyle w:val="13"/>
            </w:pPr>
            <w:r>
              <w:t>139.22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预算安排139.22万元，其中财政拨款139.22万元，主要用于2024年非煤矿山综合治理补助支出。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1.通过非煤矿山综合治理工作，全面发现并彻底整改非煤矿山安全生产风险管控和隐患排查治理。</w:t>
            </w:r>
          </w:p>
          <w:p>
            <w:pPr>
              <w:pStyle w:val="13"/>
            </w:pPr>
            <w:r>
              <w:t>2.通过非煤矿山综合治理工作，及时发现并消除企业存在的安全生产隐患，防止发生安全生产事故。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≥1家</w:t>
            </w:r>
          </w:p>
        </w:tc>
        <w:tc>
          <w:tcPr>
            <w:tcW w:w="1276" w:type="dxa"/>
            <w:vAlign w:val="center"/>
          </w:tcPr>
          <w:p>
            <w:pPr>
              <w:pStyle w:val="13"/>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需要治理的非煤矿山企业数量</w:t>
            </w:r>
          </w:p>
        </w:tc>
        <w:tc>
          <w:tcPr>
            <w:tcW w:w="5386" w:type="dxa"/>
            <w:vAlign w:val="center"/>
          </w:tcPr>
          <w:p>
            <w:pPr>
              <w:pStyle w:val="13"/>
            </w:pPr>
            <w:r>
              <w:t>反映需要治理的非煤矿山企业数量</w:t>
            </w:r>
          </w:p>
        </w:tc>
        <w:tc>
          <w:tcPr>
            <w:tcW w:w="2268" w:type="dxa"/>
            <w:vAlign w:val="center"/>
          </w:tcPr>
          <w:p>
            <w:pPr>
              <w:pStyle w:val="13"/>
            </w:pPr>
            <w:r>
              <w:t>≥1家</w:t>
            </w:r>
          </w:p>
        </w:tc>
        <w:tc>
          <w:tcPr>
            <w:tcW w:w="1276" w:type="dxa"/>
            <w:vAlign w:val="center"/>
          </w:tcPr>
          <w:p>
            <w:pPr>
              <w:pStyle w:val="13"/>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反映非煤矿山综合治理完成比率</w:t>
            </w:r>
          </w:p>
        </w:tc>
        <w:tc>
          <w:tcPr>
            <w:tcW w:w="2268" w:type="dxa"/>
            <w:vAlign w:val="center"/>
          </w:tcPr>
          <w:p>
            <w:pPr>
              <w:pStyle w:val="13"/>
            </w:pPr>
            <w:r>
              <w:t>100%</w:t>
            </w:r>
          </w:p>
        </w:tc>
        <w:tc>
          <w:tcPr>
            <w:tcW w:w="1276" w:type="dxa"/>
            <w:vAlign w:val="center"/>
          </w:tcPr>
          <w:p>
            <w:pPr>
              <w:pStyle w:val="13"/>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各项目标完成时间</w:t>
            </w:r>
          </w:p>
        </w:tc>
        <w:tc>
          <w:tcPr>
            <w:tcW w:w="5386" w:type="dxa"/>
            <w:vAlign w:val="center"/>
          </w:tcPr>
          <w:p>
            <w:pPr>
              <w:pStyle w:val="13"/>
            </w:pPr>
            <w:r>
              <w:t>反映非煤矿山综合治理各项目标完成的时间</w:t>
            </w:r>
          </w:p>
        </w:tc>
        <w:tc>
          <w:tcPr>
            <w:tcW w:w="2268" w:type="dxa"/>
            <w:vAlign w:val="center"/>
          </w:tcPr>
          <w:p>
            <w:pPr>
              <w:pStyle w:val="13"/>
            </w:pPr>
            <w:r>
              <w:t>≤2年内完成</w:t>
            </w:r>
          </w:p>
        </w:tc>
        <w:tc>
          <w:tcPr>
            <w:tcW w:w="1276" w:type="dxa"/>
            <w:vAlign w:val="center"/>
          </w:tcPr>
          <w:p>
            <w:pPr>
              <w:pStyle w:val="13"/>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单位补助成本</w:t>
            </w:r>
          </w:p>
        </w:tc>
        <w:tc>
          <w:tcPr>
            <w:tcW w:w="5386" w:type="dxa"/>
            <w:vAlign w:val="center"/>
          </w:tcPr>
          <w:p>
            <w:pPr>
              <w:pStyle w:val="13"/>
            </w:pPr>
            <w:r>
              <w:t>反映用于非煤矿山综合治理补助的单位成本</w:t>
            </w:r>
          </w:p>
        </w:tc>
        <w:tc>
          <w:tcPr>
            <w:tcW w:w="2268" w:type="dxa"/>
            <w:vAlign w:val="center"/>
          </w:tcPr>
          <w:p>
            <w:pPr>
              <w:pStyle w:val="13"/>
            </w:pPr>
            <w:r>
              <w:t>≤139.22万元</w:t>
            </w:r>
          </w:p>
        </w:tc>
        <w:tc>
          <w:tcPr>
            <w:tcW w:w="1276" w:type="dxa"/>
            <w:vAlign w:val="center"/>
          </w:tcPr>
          <w:p>
            <w:pPr>
              <w:pStyle w:val="13"/>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确保非煤矿山企业安全生产率</w:t>
            </w:r>
          </w:p>
        </w:tc>
        <w:tc>
          <w:tcPr>
            <w:tcW w:w="5386" w:type="dxa"/>
            <w:vAlign w:val="center"/>
          </w:tcPr>
          <w:p>
            <w:pPr>
              <w:pStyle w:val="13"/>
            </w:pPr>
            <w:r>
              <w:t>遏制较大以上安全生产事故的发生，确保非煤矿山企业安全生产</w:t>
            </w:r>
          </w:p>
        </w:tc>
        <w:tc>
          <w:tcPr>
            <w:tcW w:w="2268" w:type="dxa"/>
            <w:vAlign w:val="center"/>
          </w:tcPr>
          <w:p>
            <w:pPr>
              <w:pStyle w:val="13"/>
            </w:pPr>
            <w:r>
              <w:t>100%</w:t>
            </w:r>
          </w:p>
        </w:tc>
        <w:tc>
          <w:tcPr>
            <w:tcW w:w="1276" w:type="dxa"/>
            <w:vAlign w:val="center"/>
          </w:tcPr>
          <w:p>
            <w:pPr>
              <w:pStyle w:val="13"/>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年度工作目标</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14、关于提前下达2025年非煤矿山综合治理专项资金的通知（冀财建[2024]287号）绩效目标表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13032125P00010210005H</w:t>
            </w:r>
          </w:p>
        </w:tc>
        <w:tc>
          <w:tcPr>
            <w:tcW w:w="2835" w:type="dxa"/>
            <w:vAlign w:val="center"/>
          </w:tcPr>
          <w:p>
            <w:pPr>
              <w:pStyle w:val="11"/>
            </w:pPr>
            <w:r>
              <w:t>项目名称</w:t>
            </w:r>
          </w:p>
        </w:tc>
        <w:tc>
          <w:tcPr>
            <w:tcW w:w="6095" w:type="dxa"/>
            <w:gridSpan w:val="3"/>
            <w:vAlign w:val="center"/>
          </w:tcPr>
          <w:p>
            <w:pPr>
              <w:pStyle w:val="13"/>
            </w:pPr>
            <w:r>
              <w:t>关于提前下达2025年非煤矿山综合治理专项资金的通知（冀财建[2024]287号）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212.27</w:t>
            </w:r>
          </w:p>
        </w:tc>
        <w:tc>
          <w:tcPr>
            <w:tcW w:w="2835" w:type="dxa"/>
            <w:vAlign w:val="center"/>
          </w:tcPr>
          <w:p>
            <w:pPr>
              <w:pStyle w:val="11"/>
            </w:pPr>
            <w:r>
              <w:t>其中：财政    资金</w:t>
            </w:r>
          </w:p>
        </w:tc>
        <w:tc>
          <w:tcPr>
            <w:tcW w:w="2551" w:type="dxa"/>
            <w:vAlign w:val="center"/>
          </w:tcPr>
          <w:p>
            <w:pPr>
              <w:pStyle w:val="13"/>
            </w:pPr>
            <w:r>
              <w:t>212.27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预算安排212.27万元，其中：财政拨款212.27万元，主要用于非煤矿山隐患排查及应急治理工作开展支出。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1.通过非煤矿山隐患排查及应急治理工作开展，使全县尾矿库、采空区安全渡汛，确保企业生产和附近居民的生活环境及生命财产安全。</w:t>
            </w:r>
          </w:p>
          <w:p>
            <w:pPr>
              <w:pStyle w:val="13"/>
            </w:pPr>
            <w:r>
              <w:t>2.通过非煤矿山隐患排查及应急治理工作开展，对存在危险风险的尾矿库、采空区、边坡等进行治理，对以前年度未完成的尾矿库和采空区治理项目进行完善。</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≥10家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≥2家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网络监测系统运行稳定率</w:t>
            </w:r>
          </w:p>
        </w:tc>
        <w:tc>
          <w:tcPr>
            <w:tcW w:w="5386" w:type="dxa"/>
            <w:vAlign w:val="center"/>
          </w:tcPr>
          <w:p>
            <w:pPr>
              <w:pStyle w:val="13"/>
            </w:pPr>
            <w:r>
              <w:t>反映尾矿库在线监测等网络系统运行稳定的比例</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企业补助费用</w:t>
            </w:r>
          </w:p>
        </w:tc>
        <w:tc>
          <w:tcPr>
            <w:tcW w:w="5386" w:type="dxa"/>
            <w:vAlign w:val="center"/>
          </w:tcPr>
          <w:p>
            <w:pPr>
              <w:pStyle w:val="13"/>
            </w:pPr>
            <w:r>
              <w:t>反映用于非煤矿山治理补助的费用</w:t>
            </w:r>
          </w:p>
        </w:tc>
        <w:tc>
          <w:tcPr>
            <w:tcW w:w="2268" w:type="dxa"/>
            <w:vAlign w:val="center"/>
          </w:tcPr>
          <w:p>
            <w:pPr>
              <w:pStyle w:val="13"/>
            </w:pPr>
            <w:r>
              <w:t>≤212.27万元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0起</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15、关于提前下达2025年自然灾害救助专项资金的通知（冀财建[2024]288号）绩效目标表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13032125P00010210003A</w:t>
            </w:r>
          </w:p>
        </w:tc>
        <w:tc>
          <w:tcPr>
            <w:tcW w:w="2835" w:type="dxa"/>
            <w:vAlign w:val="center"/>
          </w:tcPr>
          <w:p>
            <w:pPr>
              <w:pStyle w:val="11"/>
            </w:pPr>
            <w:r>
              <w:t>项目名称</w:t>
            </w:r>
          </w:p>
        </w:tc>
        <w:tc>
          <w:tcPr>
            <w:tcW w:w="6095" w:type="dxa"/>
            <w:gridSpan w:val="3"/>
            <w:vAlign w:val="center"/>
          </w:tcPr>
          <w:p>
            <w:pPr>
              <w:pStyle w:val="13"/>
            </w:pPr>
            <w:r>
              <w:t>关于提前下达2025年自然灾害救助专项资金的通知（冀财建[2024]288号）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131.78</w:t>
            </w:r>
          </w:p>
        </w:tc>
        <w:tc>
          <w:tcPr>
            <w:tcW w:w="2835" w:type="dxa"/>
            <w:vAlign w:val="center"/>
          </w:tcPr>
          <w:p>
            <w:pPr>
              <w:pStyle w:val="11"/>
            </w:pPr>
            <w:r>
              <w:t>其中：财政    资金</w:t>
            </w:r>
          </w:p>
        </w:tc>
        <w:tc>
          <w:tcPr>
            <w:tcW w:w="2551" w:type="dxa"/>
            <w:vAlign w:val="center"/>
          </w:tcPr>
          <w:p>
            <w:pPr>
              <w:pStyle w:val="13"/>
            </w:pPr>
            <w:r>
              <w:t>131.78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项目预算131.7805万元，其中财政资金131.7805万元，用于政策性农房保险补助支出。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1.通过开展农房政策保险工作，对参加2021-2023年农房保险农户进行参险补助。</w:t>
            </w:r>
            <w:r>
              <w:tab/>
            </w:r>
            <w:r>
              <w:tab/>
            </w:r>
            <w:r>
              <w:tab/>
            </w:r>
            <w:r>
              <w:tab/>
            </w:r>
            <w:r>
              <w:tab/>
            </w:r>
          </w:p>
          <w:p>
            <w:pPr>
              <w:pStyle w:val="13"/>
            </w:pPr>
            <w:r>
              <w:t>2.通过开展农房政策保险工作，提高农村住房防灾减灾能力，保障困难群众住房安全。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参加农房保险户数</w:t>
            </w:r>
          </w:p>
        </w:tc>
        <w:tc>
          <w:tcPr>
            <w:tcW w:w="5386" w:type="dxa"/>
            <w:vAlign w:val="center"/>
          </w:tcPr>
          <w:p>
            <w:pPr>
              <w:pStyle w:val="13"/>
            </w:pPr>
            <w:r>
              <w:t>反映三年来参加政策性农村住房灾害保险补助的户数</w:t>
            </w:r>
          </w:p>
        </w:tc>
        <w:tc>
          <w:tcPr>
            <w:tcW w:w="2268" w:type="dxa"/>
            <w:vAlign w:val="center"/>
          </w:tcPr>
          <w:p>
            <w:pPr>
              <w:pStyle w:val="13"/>
            </w:pPr>
            <w:r>
              <w:t>≥16.47万户</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救助率</w:t>
            </w:r>
          </w:p>
        </w:tc>
        <w:tc>
          <w:tcPr>
            <w:tcW w:w="5386" w:type="dxa"/>
            <w:vAlign w:val="center"/>
          </w:tcPr>
          <w:p>
            <w:pPr>
              <w:pStyle w:val="13"/>
            </w:pPr>
            <w:r>
              <w:t>反映救助参加农房保险的农户占应救助农户的比率</w:t>
            </w:r>
          </w:p>
        </w:tc>
        <w:tc>
          <w:tcPr>
            <w:tcW w:w="2268" w:type="dxa"/>
            <w:vAlign w:val="center"/>
          </w:tcPr>
          <w:p>
            <w:pPr>
              <w:pStyle w:val="13"/>
            </w:pPr>
            <w:r>
              <w:t>100%</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个人负担比例</w:t>
            </w:r>
          </w:p>
        </w:tc>
        <w:tc>
          <w:tcPr>
            <w:tcW w:w="5386" w:type="dxa"/>
            <w:vAlign w:val="center"/>
          </w:tcPr>
          <w:p>
            <w:pPr>
              <w:pStyle w:val="13"/>
            </w:pPr>
            <w:r>
              <w:t>反映农户个人负担的比例</w:t>
            </w:r>
          </w:p>
        </w:tc>
        <w:tc>
          <w:tcPr>
            <w:tcW w:w="2268" w:type="dxa"/>
            <w:vAlign w:val="center"/>
          </w:tcPr>
          <w:p>
            <w:pPr>
              <w:pStyle w:val="13"/>
            </w:pPr>
            <w:r>
              <w:t>18%</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救助完成时间</w:t>
            </w:r>
          </w:p>
        </w:tc>
        <w:tc>
          <w:tcPr>
            <w:tcW w:w="5386" w:type="dxa"/>
            <w:vAlign w:val="center"/>
          </w:tcPr>
          <w:p>
            <w:pPr>
              <w:pStyle w:val="13"/>
            </w:pPr>
            <w:r>
              <w:t>反映对受灾农房发放补助的时间</w:t>
            </w:r>
          </w:p>
        </w:tc>
        <w:tc>
          <w:tcPr>
            <w:tcW w:w="2268" w:type="dxa"/>
            <w:vAlign w:val="center"/>
          </w:tcPr>
          <w:p>
            <w:pPr>
              <w:pStyle w:val="13"/>
            </w:pPr>
            <w:r>
              <w:t>一个月内完成救助</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保额标准</w:t>
            </w:r>
          </w:p>
        </w:tc>
        <w:tc>
          <w:tcPr>
            <w:tcW w:w="5386" w:type="dxa"/>
            <w:vAlign w:val="center"/>
          </w:tcPr>
          <w:p>
            <w:pPr>
              <w:pStyle w:val="13"/>
            </w:pPr>
            <w:r>
              <w:t>反映每户每年保额标准</w:t>
            </w:r>
          </w:p>
        </w:tc>
        <w:tc>
          <w:tcPr>
            <w:tcW w:w="2268" w:type="dxa"/>
            <w:vAlign w:val="center"/>
          </w:tcPr>
          <w:p>
            <w:pPr>
              <w:pStyle w:val="13"/>
            </w:pPr>
            <w:r>
              <w:t>4万元</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政策性农村住房灾害保险补助配套标准</w:t>
            </w:r>
          </w:p>
        </w:tc>
        <w:tc>
          <w:tcPr>
            <w:tcW w:w="2268" w:type="dxa"/>
            <w:vAlign w:val="center"/>
          </w:tcPr>
          <w:p>
            <w:pPr>
              <w:pStyle w:val="13"/>
            </w:pPr>
            <w:r>
              <w:t>8元</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政策知晓率</w:t>
            </w:r>
          </w:p>
        </w:tc>
        <w:tc>
          <w:tcPr>
            <w:tcW w:w="5386" w:type="dxa"/>
            <w:vAlign w:val="center"/>
          </w:tcPr>
          <w:p>
            <w:pPr>
              <w:pStyle w:val="13"/>
            </w:pPr>
            <w:r>
              <w:t>反映对政策性农村住房灾害保险补助的知晓情况</w:t>
            </w:r>
          </w:p>
        </w:tc>
        <w:tc>
          <w:tcPr>
            <w:tcW w:w="2268" w:type="dxa"/>
            <w:vAlign w:val="center"/>
          </w:tcPr>
          <w:p>
            <w:pPr>
              <w:pStyle w:val="13"/>
            </w:pPr>
            <w:r>
              <w:t>≥90%</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受益人口数量</w:t>
            </w:r>
          </w:p>
        </w:tc>
        <w:tc>
          <w:tcPr>
            <w:tcW w:w="5386" w:type="dxa"/>
            <w:vAlign w:val="center"/>
          </w:tcPr>
          <w:p>
            <w:pPr>
              <w:pStyle w:val="13"/>
            </w:pPr>
            <w:r>
              <w:t>反映政策性农村住房灾害保险补助累计受益人口数</w:t>
            </w:r>
          </w:p>
        </w:tc>
        <w:tc>
          <w:tcPr>
            <w:tcW w:w="2268" w:type="dxa"/>
            <w:vAlign w:val="center"/>
          </w:tcPr>
          <w:p>
            <w:pPr>
              <w:pStyle w:val="13"/>
            </w:pPr>
            <w:r>
              <w:t>16.47万</w:t>
            </w:r>
          </w:p>
        </w:tc>
        <w:tc>
          <w:tcPr>
            <w:tcW w:w="1276" w:type="dxa"/>
            <w:vAlign w:val="center"/>
          </w:tcPr>
          <w:p>
            <w:pPr>
              <w:pStyle w:val="13"/>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受益对象的满意程度</w:t>
            </w:r>
          </w:p>
        </w:tc>
        <w:tc>
          <w:tcPr>
            <w:tcW w:w="2268" w:type="dxa"/>
            <w:vAlign w:val="center"/>
          </w:tcPr>
          <w:p>
            <w:pPr>
              <w:pStyle w:val="13"/>
            </w:pPr>
            <w:r>
              <w:t>≥95%</w:t>
            </w:r>
          </w:p>
        </w:tc>
        <w:tc>
          <w:tcPr>
            <w:tcW w:w="1276" w:type="dxa"/>
            <w:vAlign w:val="center"/>
          </w:tcPr>
          <w:p>
            <w:pPr>
              <w:pStyle w:val="13"/>
            </w:pPr>
            <w:r>
              <w:t>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16、关于下达2024年安全生产预防和应急救援能力建设补助资金预算（尾矿库风险隐患治理支出）的通知（冀财建[2024]89号））绩效目标表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13032124P00326310059D</w:t>
            </w:r>
          </w:p>
        </w:tc>
        <w:tc>
          <w:tcPr>
            <w:tcW w:w="2835" w:type="dxa"/>
            <w:vAlign w:val="center"/>
          </w:tcPr>
          <w:p>
            <w:pPr>
              <w:pStyle w:val="11"/>
            </w:pPr>
            <w:r>
              <w:t>项目名称</w:t>
            </w:r>
          </w:p>
        </w:tc>
        <w:tc>
          <w:tcPr>
            <w:tcW w:w="6095" w:type="dxa"/>
            <w:gridSpan w:val="3"/>
            <w:vAlign w:val="center"/>
          </w:tcPr>
          <w:p>
            <w:pPr>
              <w:pStyle w:val="13"/>
            </w:pPr>
            <w:r>
              <w:t>关于下达2024年安全生产预防和应急救援能力建设补助资金预算（尾矿库风险隐患治理支出）的通知（冀财建[2024]89号））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1078.00</w:t>
            </w:r>
          </w:p>
        </w:tc>
        <w:tc>
          <w:tcPr>
            <w:tcW w:w="2835" w:type="dxa"/>
            <w:vAlign w:val="center"/>
          </w:tcPr>
          <w:p>
            <w:pPr>
              <w:pStyle w:val="11"/>
            </w:pPr>
            <w:r>
              <w:t>其中：财政    资金</w:t>
            </w:r>
          </w:p>
        </w:tc>
        <w:tc>
          <w:tcPr>
            <w:tcW w:w="2551" w:type="dxa"/>
            <w:vAlign w:val="center"/>
          </w:tcPr>
          <w:p>
            <w:pPr>
              <w:pStyle w:val="13"/>
            </w:pPr>
            <w:r>
              <w:t>1078.00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预算安排1078万元，其中：财政拨款1078万元，主要用于尾矿库风险隐患治理项目建设支出。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1.通过该项目的实施，在全面摸清尾矿库安全环境风险的基础上，按照尾矿库闭库相关法律法规及技术规范，对两座具有风险隐患尾矿库实施闭库销号治理。</w:t>
            </w:r>
          </w:p>
          <w:p>
            <w:pPr>
              <w:pStyle w:val="13"/>
            </w:pPr>
            <w:r>
              <w:t>2.通过该项目的实施，对两座具有风险隐患尾矿库进行坝坡治理、改造排洪系统、改造防渗设施等来提升尾矿库安全风险防控能力。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尾矿库风险隐患治理数量</w:t>
            </w:r>
          </w:p>
        </w:tc>
        <w:tc>
          <w:tcPr>
            <w:tcW w:w="5386" w:type="dxa"/>
            <w:vAlign w:val="center"/>
          </w:tcPr>
          <w:p>
            <w:pPr>
              <w:pStyle w:val="13"/>
            </w:pPr>
            <w:r>
              <w:t>反映需要治理的风险尾矿库</w:t>
            </w:r>
          </w:p>
        </w:tc>
        <w:tc>
          <w:tcPr>
            <w:tcW w:w="2268" w:type="dxa"/>
            <w:vAlign w:val="center"/>
          </w:tcPr>
          <w:p>
            <w:pPr>
              <w:pStyle w:val="13"/>
            </w:pPr>
            <w:r>
              <w:t>2座</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隐患治理率</w:t>
            </w:r>
          </w:p>
        </w:tc>
        <w:tc>
          <w:tcPr>
            <w:tcW w:w="5386" w:type="dxa"/>
            <w:vAlign w:val="center"/>
          </w:tcPr>
          <w:p>
            <w:pPr>
              <w:pStyle w:val="13"/>
            </w:pPr>
            <w:r>
              <w:t>反映隐患治理的尾矿库数量占应治理的尾矿库数量的比率</w:t>
            </w:r>
          </w:p>
        </w:tc>
        <w:tc>
          <w:tcPr>
            <w:tcW w:w="2268" w:type="dxa"/>
            <w:vAlign w:val="center"/>
          </w:tcPr>
          <w:p>
            <w:pPr>
              <w:pStyle w:val="13"/>
            </w:pPr>
            <w:r>
              <w:t>100%</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工程合格率</w:t>
            </w:r>
          </w:p>
        </w:tc>
        <w:tc>
          <w:tcPr>
            <w:tcW w:w="5386" w:type="dxa"/>
            <w:vAlign w:val="center"/>
          </w:tcPr>
          <w:p>
            <w:pPr>
              <w:pStyle w:val="13"/>
            </w:pPr>
            <w:r>
              <w:t>反映尾矿库治理工程的合格率</w:t>
            </w:r>
          </w:p>
        </w:tc>
        <w:tc>
          <w:tcPr>
            <w:tcW w:w="2268" w:type="dxa"/>
            <w:vAlign w:val="center"/>
          </w:tcPr>
          <w:p>
            <w:pPr>
              <w:pStyle w:val="13"/>
            </w:pPr>
            <w:r>
              <w:t>100%</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坝体抗滑稳定性系数k</w:t>
            </w:r>
          </w:p>
        </w:tc>
        <w:tc>
          <w:tcPr>
            <w:tcW w:w="5386" w:type="dxa"/>
            <w:vAlign w:val="center"/>
          </w:tcPr>
          <w:p>
            <w:pPr>
              <w:pStyle w:val="13"/>
            </w:pPr>
            <w:r>
              <w:t>反映坝体抗滑稳定性系数k的值</w:t>
            </w:r>
          </w:p>
        </w:tc>
        <w:tc>
          <w:tcPr>
            <w:tcW w:w="2268" w:type="dxa"/>
            <w:vAlign w:val="center"/>
          </w:tcPr>
          <w:p>
            <w:pPr>
              <w:pStyle w:val="13"/>
            </w:pPr>
            <w:r>
              <w:t>≥1.55</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防洪设防标准</w:t>
            </w:r>
          </w:p>
        </w:tc>
        <w:tc>
          <w:tcPr>
            <w:tcW w:w="5386" w:type="dxa"/>
            <w:vAlign w:val="center"/>
          </w:tcPr>
          <w:p>
            <w:pPr>
              <w:pStyle w:val="13"/>
            </w:pPr>
            <w:r>
              <w:t>反映防洪设防标准</w:t>
            </w:r>
          </w:p>
        </w:tc>
        <w:tc>
          <w:tcPr>
            <w:tcW w:w="2268" w:type="dxa"/>
            <w:vAlign w:val="center"/>
          </w:tcPr>
          <w:p>
            <w:pPr>
              <w:pStyle w:val="13"/>
            </w:pPr>
            <w:r>
              <w:t>≥500年</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建设周期</w:t>
            </w:r>
          </w:p>
        </w:tc>
        <w:tc>
          <w:tcPr>
            <w:tcW w:w="5386" w:type="dxa"/>
            <w:vAlign w:val="center"/>
          </w:tcPr>
          <w:p>
            <w:pPr>
              <w:pStyle w:val="13"/>
            </w:pPr>
            <w:r>
              <w:t>尾矿库治理建设的周期</w:t>
            </w:r>
          </w:p>
        </w:tc>
        <w:tc>
          <w:tcPr>
            <w:tcW w:w="2268" w:type="dxa"/>
            <w:vAlign w:val="center"/>
          </w:tcPr>
          <w:p>
            <w:pPr>
              <w:pStyle w:val="13"/>
            </w:pPr>
            <w:r>
              <w:t>≤1年</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完成销号时间</w:t>
            </w:r>
          </w:p>
        </w:tc>
        <w:tc>
          <w:tcPr>
            <w:tcW w:w="5386" w:type="dxa"/>
            <w:vAlign w:val="center"/>
          </w:tcPr>
          <w:p>
            <w:pPr>
              <w:pStyle w:val="13"/>
            </w:pPr>
            <w:r>
              <w:t>尾矿库完成销号的时间</w:t>
            </w:r>
          </w:p>
        </w:tc>
        <w:tc>
          <w:tcPr>
            <w:tcW w:w="2268" w:type="dxa"/>
            <w:vAlign w:val="center"/>
          </w:tcPr>
          <w:p>
            <w:pPr>
              <w:pStyle w:val="13"/>
            </w:pPr>
            <w:r>
              <w:t>≤1年</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尾矿库治理补助单位成本</w:t>
            </w:r>
          </w:p>
        </w:tc>
        <w:tc>
          <w:tcPr>
            <w:tcW w:w="5386" w:type="dxa"/>
            <w:vAlign w:val="center"/>
          </w:tcPr>
          <w:p>
            <w:pPr>
              <w:pStyle w:val="13"/>
            </w:pPr>
            <w:r>
              <w:t>反映尾矿库治理补助的单位成本</w:t>
            </w:r>
          </w:p>
        </w:tc>
        <w:tc>
          <w:tcPr>
            <w:tcW w:w="2268" w:type="dxa"/>
            <w:vAlign w:val="center"/>
          </w:tcPr>
          <w:p>
            <w:pPr>
              <w:pStyle w:val="13"/>
            </w:pPr>
            <w:r>
              <w:t>≤539万元</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防渗效果</w:t>
            </w:r>
          </w:p>
        </w:tc>
        <w:tc>
          <w:tcPr>
            <w:tcW w:w="5386" w:type="dxa"/>
            <w:vAlign w:val="center"/>
          </w:tcPr>
          <w:p>
            <w:pPr>
              <w:pStyle w:val="13"/>
            </w:pPr>
            <w:r>
              <w:t>反映尾矿库治理后防渗的效果</w:t>
            </w:r>
          </w:p>
        </w:tc>
        <w:tc>
          <w:tcPr>
            <w:tcW w:w="2268" w:type="dxa"/>
            <w:vAlign w:val="center"/>
          </w:tcPr>
          <w:p>
            <w:pPr>
              <w:pStyle w:val="13"/>
            </w:pPr>
            <w:r>
              <w:t>达标排放</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滩面植被率</w:t>
            </w:r>
          </w:p>
        </w:tc>
        <w:tc>
          <w:tcPr>
            <w:tcW w:w="5386" w:type="dxa"/>
            <w:vAlign w:val="center"/>
          </w:tcPr>
          <w:p>
            <w:pPr>
              <w:pStyle w:val="13"/>
            </w:pPr>
            <w:r>
              <w:t>反映尾矿库治理后滩面植被率</w:t>
            </w:r>
          </w:p>
        </w:tc>
        <w:tc>
          <w:tcPr>
            <w:tcW w:w="2268" w:type="dxa"/>
            <w:vAlign w:val="center"/>
          </w:tcPr>
          <w:p>
            <w:pPr>
              <w:pStyle w:val="13"/>
            </w:pPr>
            <w:r>
              <w:t>≥95%</w:t>
            </w:r>
          </w:p>
        </w:tc>
        <w:tc>
          <w:tcPr>
            <w:tcW w:w="1276" w:type="dxa"/>
            <w:vAlign w:val="center"/>
          </w:tcPr>
          <w:p>
            <w:pPr>
              <w:pStyle w:val="13"/>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17、关于下达省级2024年自然灾害救灾资金（冬春临时生活困难救助资金）的通知（冀财建【2024】290号）绩效目标表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13032124P00326310088D</w:t>
            </w:r>
          </w:p>
        </w:tc>
        <w:tc>
          <w:tcPr>
            <w:tcW w:w="2835" w:type="dxa"/>
            <w:vAlign w:val="center"/>
          </w:tcPr>
          <w:p>
            <w:pPr>
              <w:pStyle w:val="11"/>
            </w:pPr>
            <w:r>
              <w:t>项目名称</w:t>
            </w:r>
          </w:p>
        </w:tc>
        <w:tc>
          <w:tcPr>
            <w:tcW w:w="6095" w:type="dxa"/>
            <w:gridSpan w:val="3"/>
            <w:vAlign w:val="center"/>
          </w:tcPr>
          <w:p>
            <w:pPr>
              <w:pStyle w:val="13"/>
            </w:pPr>
            <w:r>
              <w:t>关于下达省级2024年自然灾害救灾资金（冬春临时生活困难救助资金）的通知（冀财建【2024】290号）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389.84</w:t>
            </w:r>
          </w:p>
        </w:tc>
        <w:tc>
          <w:tcPr>
            <w:tcW w:w="2835" w:type="dxa"/>
            <w:vAlign w:val="center"/>
          </w:tcPr>
          <w:p>
            <w:pPr>
              <w:pStyle w:val="11"/>
            </w:pPr>
            <w:r>
              <w:t>其中：财政    资金</w:t>
            </w:r>
          </w:p>
        </w:tc>
        <w:tc>
          <w:tcPr>
            <w:tcW w:w="2551" w:type="dxa"/>
            <w:vAlign w:val="center"/>
          </w:tcPr>
          <w:p>
            <w:pPr>
              <w:pStyle w:val="13"/>
            </w:pPr>
            <w:r>
              <w:t>389.84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预算安排389.8363万元，其中：财政拨款389.8363万元，主要用于受灾群众冬春临时生活困难救助工作支出。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1.通过此项目的实施，使全县受灾人口得到及时救助，防止受灾人口因灾返贫；</w:t>
            </w:r>
          </w:p>
          <w:p>
            <w:pPr>
              <w:pStyle w:val="13"/>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救助的户数</w:t>
            </w:r>
          </w:p>
        </w:tc>
        <w:tc>
          <w:tcPr>
            <w:tcW w:w="5386" w:type="dxa"/>
            <w:vAlign w:val="center"/>
          </w:tcPr>
          <w:p>
            <w:pPr>
              <w:pStyle w:val="13"/>
            </w:pPr>
            <w:r>
              <w:t>反映因灾需要救助的农户数量</w:t>
            </w:r>
          </w:p>
        </w:tc>
        <w:tc>
          <w:tcPr>
            <w:tcW w:w="2268" w:type="dxa"/>
            <w:vAlign w:val="center"/>
          </w:tcPr>
          <w:p>
            <w:pPr>
              <w:pStyle w:val="13"/>
            </w:pPr>
            <w:r>
              <w:t>3356户</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救助的人口</w:t>
            </w:r>
          </w:p>
        </w:tc>
        <w:tc>
          <w:tcPr>
            <w:tcW w:w="5386" w:type="dxa"/>
            <w:vAlign w:val="center"/>
          </w:tcPr>
          <w:p>
            <w:pPr>
              <w:pStyle w:val="13"/>
            </w:pPr>
            <w:r>
              <w:t>反映因灾需要救助的人口数量</w:t>
            </w:r>
          </w:p>
        </w:tc>
        <w:tc>
          <w:tcPr>
            <w:tcW w:w="2268" w:type="dxa"/>
            <w:vAlign w:val="center"/>
          </w:tcPr>
          <w:p>
            <w:pPr>
              <w:pStyle w:val="13"/>
            </w:pPr>
            <w:r>
              <w:t>6714人</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救助户数比率</w:t>
            </w:r>
          </w:p>
        </w:tc>
        <w:tc>
          <w:tcPr>
            <w:tcW w:w="5386" w:type="dxa"/>
            <w:vAlign w:val="center"/>
          </w:tcPr>
          <w:p>
            <w:pPr>
              <w:pStyle w:val="13"/>
            </w:pPr>
            <w:r>
              <w:t>反映实际救助的数量占应救助数量的比率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救助人口比率</w:t>
            </w:r>
          </w:p>
        </w:tc>
        <w:tc>
          <w:tcPr>
            <w:tcW w:w="5386" w:type="dxa"/>
            <w:vAlign w:val="center"/>
          </w:tcPr>
          <w:p>
            <w:pPr>
              <w:pStyle w:val="13"/>
            </w:pPr>
            <w:r>
              <w:t>反映实际救助的人口数量占应救助人口数量的比率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救助完成时间</w:t>
            </w:r>
          </w:p>
        </w:tc>
        <w:tc>
          <w:tcPr>
            <w:tcW w:w="2268" w:type="dxa"/>
            <w:vAlign w:val="center"/>
          </w:tcPr>
          <w:p>
            <w:pPr>
              <w:pStyle w:val="13"/>
            </w:pPr>
            <w:r>
              <w:t>2024年12月底前完成</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救助户数资金成本</w:t>
            </w:r>
          </w:p>
        </w:tc>
        <w:tc>
          <w:tcPr>
            <w:tcW w:w="5386" w:type="dxa"/>
            <w:vAlign w:val="center"/>
          </w:tcPr>
          <w:p>
            <w:pPr>
              <w:pStyle w:val="13"/>
            </w:pPr>
            <w:r>
              <w:t>反映平均每户救助资金金额</w:t>
            </w:r>
          </w:p>
        </w:tc>
        <w:tc>
          <w:tcPr>
            <w:tcW w:w="2268" w:type="dxa"/>
            <w:vAlign w:val="center"/>
          </w:tcPr>
          <w:p>
            <w:pPr>
              <w:pStyle w:val="13"/>
            </w:pPr>
            <w:r>
              <w:t>1161元/户</w:t>
            </w:r>
          </w:p>
        </w:tc>
        <w:tc>
          <w:tcPr>
            <w:tcW w:w="1276" w:type="dxa"/>
            <w:vAlign w:val="center"/>
          </w:tcPr>
          <w:p>
            <w:pPr>
              <w:pStyle w:val="13"/>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救助人口资金成本</w:t>
            </w:r>
          </w:p>
        </w:tc>
        <w:tc>
          <w:tcPr>
            <w:tcW w:w="5386" w:type="dxa"/>
            <w:vAlign w:val="center"/>
          </w:tcPr>
          <w:p>
            <w:pPr>
              <w:pStyle w:val="13"/>
            </w:pPr>
            <w:r>
              <w:t>反映平均每人救助资金金额</w:t>
            </w:r>
          </w:p>
        </w:tc>
        <w:tc>
          <w:tcPr>
            <w:tcW w:w="2268" w:type="dxa"/>
            <w:vAlign w:val="center"/>
          </w:tcPr>
          <w:p>
            <w:pPr>
              <w:pStyle w:val="13"/>
            </w:pPr>
            <w:r>
              <w:t>581元/人</w:t>
            </w:r>
          </w:p>
        </w:tc>
        <w:tc>
          <w:tcPr>
            <w:tcW w:w="1276" w:type="dxa"/>
            <w:vAlign w:val="center"/>
          </w:tcPr>
          <w:p>
            <w:pPr>
              <w:pStyle w:val="13"/>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减少受灾农户生活成本</w:t>
            </w:r>
          </w:p>
        </w:tc>
        <w:tc>
          <w:tcPr>
            <w:tcW w:w="2268" w:type="dxa"/>
            <w:vAlign w:val="center"/>
          </w:tcPr>
          <w:p>
            <w:pPr>
              <w:pStyle w:val="13"/>
            </w:pPr>
            <w:r>
              <w:t>389.84万元</w:t>
            </w:r>
          </w:p>
        </w:tc>
        <w:tc>
          <w:tcPr>
            <w:tcW w:w="1276" w:type="dxa"/>
            <w:vAlign w:val="center"/>
          </w:tcPr>
          <w:p>
            <w:pPr>
              <w:pStyle w:val="13"/>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救助受灾农户</w:t>
            </w:r>
          </w:p>
        </w:tc>
        <w:tc>
          <w:tcPr>
            <w:tcW w:w="2268" w:type="dxa"/>
            <w:vAlign w:val="center"/>
          </w:tcPr>
          <w:p>
            <w:pPr>
              <w:pStyle w:val="13"/>
            </w:pPr>
            <w:r>
              <w:t>3356户</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防止农户因灾返贫比率</w:t>
            </w:r>
          </w:p>
        </w:tc>
        <w:tc>
          <w:tcPr>
            <w:tcW w:w="2268" w:type="dxa"/>
            <w:vAlign w:val="center"/>
          </w:tcPr>
          <w:p>
            <w:pPr>
              <w:pStyle w:val="13"/>
            </w:pPr>
            <w:r>
              <w:t>≥95%</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受灾群众满意程度</w:t>
            </w:r>
          </w:p>
        </w:tc>
        <w:tc>
          <w:tcPr>
            <w:tcW w:w="5386" w:type="dxa"/>
            <w:vAlign w:val="center"/>
          </w:tcPr>
          <w:p>
            <w:pPr>
              <w:pStyle w:val="13"/>
            </w:pPr>
            <w:r>
              <w:t>满意的受灾群众占总受灾的比率</w:t>
            </w:r>
          </w:p>
        </w:tc>
        <w:tc>
          <w:tcPr>
            <w:tcW w:w="2268" w:type="dxa"/>
            <w:vAlign w:val="center"/>
          </w:tcPr>
          <w:p>
            <w:pPr>
              <w:pStyle w:val="13"/>
            </w:pPr>
            <w:r>
              <w:t>≥95%</w:t>
            </w:r>
          </w:p>
        </w:tc>
        <w:tc>
          <w:tcPr>
            <w:tcW w:w="1276" w:type="dxa"/>
            <w:vAlign w:val="center"/>
          </w:tcPr>
          <w:p>
            <w:pPr>
              <w:pStyle w:val="13"/>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18、关于下达增发2023年国债自然灾害应急能力提升工程（应急领域）补助资金预算的通知（冀财建【2024】26号）绩效目标表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13032124P000008100326</w:t>
            </w:r>
          </w:p>
        </w:tc>
        <w:tc>
          <w:tcPr>
            <w:tcW w:w="2835" w:type="dxa"/>
            <w:vAlign w:val="center"/>
          </w:tcPr>
          <w:p>
            <w:pPr>
              <w:pStyle w:val="11"/>
            </w:pPr>
            <w:r>
              <w:t>项目名称</w:t>
            </w:r>
          </w:p>
        </w:tc>
        <w:tc>
          <w:tcPr>
            <w:tcW w:w="6095" w:type="dxa"/>
            <w:gridSpan w:val="3"/>
            <w:vAlign w:val="center"/>
          </w:tcPr>
          <w:p>
            <w:pPr>
              <w:pStyle w:val="13"/>
            </w:pPr>
            <w:r>
              <w:t>关于下达增发2023年国债自然灾害应急能力提升工程（应急领域）补助资金预算的通知（冀财建【2024】26号）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40.96</w:t>
            </w:r>
          </w:p>
        </w:tc>
        <w:tc>
          <w:tcPr>
            <w:tcW w:w="2835" w:type="dxa"/>
            <w:vAlign w:val="center"/>
          </w:tcPr>
          <w:p>
            <w:pPr>
              <w:pStyle w:val="11"/>
            </w:pPr>
            <w:r>
              <w:t>其中：财政    资金</w:t>
            </w:r>
          </w:p>
        </w:tc>
        <w:tc>
          <w:tcPr>
            <w:tcW w:w="2551" w:type="dxa"/>
            <w:vAlign w:val="center"/>
          </w:tcPr>
          <w:p>
            <w:pPr>
              <w:pStyle w:val="13"/>
            </w:pPr>
            <w:r>
              <w:t>40.96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预算金额40.9621万元，其中财政拨款40.9621万元，主要用于增发2023年国债自然灾害应急能力提升工程项目建设支出。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19、关于下达增发2023年国债自然灾害应急能力提升工程（应急领域）省级补助资金预算的通知（冀财建【2024】28号）绩效目标表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13032124P000010100030</w:t>
            </w:r>
          </w:p>
        </w:tc>
        <w:tc>
          <w:tcPr>
            <w:tcW w:w="2835" w:type="dxa"/>
            <w:vAlign w:val="center"/>
          </w:tcPr>
          <w:p>
            <w:pPr>
              <w:pStyle w:val="11"/>
            </w:pPr>
            <w:r>
              <w:t>项目名称</w:t>
            </w:r>
          </w:p>
        </w:tc>
        <w:tc>
          <w:tcPr>
            <w:tcW w:w="6095" w:type="dxa"/>
            <w:gridSpan w:val="3"/>
            <w:vAlign w:val="center"/>
          </w:tcPr>
          <w:p>
            <w:pPr>
              <w:pStyle w:val="13"/>
            </w:pPr>
            <w:r>
              <w:t>关于下达增发2023年国债自然灾害应急能力提升工程（应急领域）省级补助资金预算的通知（冀财建【2024】28号）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3.96</w:t>
            </w:r>
          </w:p>
        </w:tc>
        <w:tc>
          <w:tcPr>
            <w:tcW w:w="2835" w:type="dxa"/>
            <w:vAlign w:val="center"/>
          </w:tcPr>
          <w:p>
            <w:pPr>
              <w:pStyle w:val="11"/>
            </w:pPr>
            <w:r>
              <w:t>其中：财政    资金</w:t>
            </w:r>
          </w:p>
        </w:tc>
        <w:tc>
          <w:tcPr>
            <w:tcW w:w="2551" w:type="dxa"/>
            <w:vAlign w:val="center"/>
          </w:tcPr>
          <w:p>
            <w:pPr>
              <w:pStyle w:val="13"/>
            </w:pPr>
            <w:r>
              <w:t>3.96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预算安排3.9643万元，其中财政拨款3.9643万元，主要用于增发2023年国债自然灾害应急能力提升工程设备购置支出。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1.通过此项目的实施，对预警指挥项目进行建设，加速我县应急指挥系统建设进程。</w:t>
            </w:r>
          </w:p>
          <w:p>
            <w:pPr>
              <w:pStyle w:val="13"/>
            </w:pPr>
            <w:r>
              <w:t>2.通过此项目的实施，对预警指挥项目进行建设，提升我县防灾减灾救灾能力。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指挥中心音视频改造数量</w:t>
            </w:r>
          </w:p>
        </w:tc>
        <w:tc>
          <w:tcPr>
            <w:tcW w:w="5386" w:type="dxa"/>
            <w:vAlign w:val="center"/>
          </w:tcPr>
          <w:p>
            <w:pPr>
              <w:pStyle w:val="13"/>
            </w:pPr>
            <w:r>
              <w:t>反映指挥中心音视频改造的数量</w:t>
            </w:r>
          </w:p>
        </w:tc>
        <w:tc>
          <w:tcPr>
            <w:tcW w:w="2268" w:type="dxa"/>
            <w:vAlign w:val="center"/>
          </w:tcPr>
          <w:p>
            <w:pPr>
              <w:pStyle w:val="13"/>
            </w:pPr>
            <w:r>
              <w:t>＝1个</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设备购置种类</w:t>
            </w:r>
          </w:p>
        </w:tc>
        <w:tc>
          <w:tcPr>
            <w:tcW w:w="5386" w:type="dxa"/>
            <w:vAlign w:val="center"/>
          </w:tcPr>
          <w:p>
            <w:pPr>
              <w:pStyle w:val="13"/>
            </w:pPr>
            <w:r>
              <w:t>反映购置的设备种类</w:t>
            </w:r>
          </w:p>
        </w:tc>
        <w:tc>
          <w:tcPr>
            <w:tcW w:w="2268" w:type="dxa"/>
            <w:vAlign w:val="center"/>
          </w:tcPr>
          <w:p>
            <w:pPr>
              <w:pStyle w:val="13"/>
            </w:pPr>
            <w:r>
              <w:t>≥1类</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设备质量合格率（%）</w:t>
            </w:r>
          </w:p>
        </w:tc>
        <w:tc>
          <w:tcPr>
            <w:tcW w:w="5386" w:type="dxa"/>
            <w:vAlign w:val="center"/>
          </w:tcPr>
          <w:p>
            <w:pPr>
              <w:pStyle w:val="13"/>
            </w:pPr>
            <w:r>
              <w:t>反映购置设备质量合格率情况</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设备精确度</w:t>
            </w:r>
          </w:p>
        </w:tc>
        <w:tc>
          <w:tcPr>
            <w:tcW w:w="5386" w:type="dxa"/>
            <w:vAlign w:val="center"/>
          </w:tcPr>
          <w:p>
            <w:pPr>
              <w:pStyle w:val="13"/>
            </w:pPr>
            <w:r>
              <w:t>反映购置设备精确度情况</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安装工程验收合格率</w:t>
            </w:r>
          </w:p>
        </w:tc>
        <w:tc>
          <w:tcPr>
            <w:tcW w:w="5386" w:type="dxa"/>
            <w:vAlign w:val="center"/>
          </w:tcPr>
          <w:p>
            <w:pPr>
              <w:pStyle w:val="13"/>
            </w:pPr>
            <w:r>
              <w:t>反映设备安装工程质量情况</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设备故障率</w:t>
            </w:r>
          </w:p>
        </w:tc>
        <w:tc>
          <w:tcPr>
            <w:tcW w:w="5386" w:type="dxa"/>
            <w:vAlign w:val="center"/>
          </w:tcPr>
          <w:p>
            <w:pPr>
              <w:pStyle w:val="13"/>
            </w:pPr>
            <w:r>
              <w:t>反映设备故障情况</w:t>
            </w:r>
          </w:p>
        </w:tc>
        <w:tc>
          <w:tcPr>
            <w:tcW w:w="2268" w:type="dxa"/>
            <w:vAlign w:val="center"/>
          </w:tcPr>
          <w:p>
            <w:pPr>
              <w:pStyle w:val="13"/>
            </w:pPr>
            <w:r>
              <w:t>≤5%</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设备购置完成时间</w:t>
            </w:r>
          </w:p>
        </w:tc>
        <w:tc>
          <w:tcPr>
            <w:tcW w:w="5386" w:type="dxa"/>
            <w:vAlign w:val="center"/>
          </w:tcPr>
          <w:p>
            <w:pPr>
              <w:pStyle w:val="13"/>
            </w:pPr>
            <w:r>
              <w:t>反映设备购置工作完成时间</w:t>
            </w:r>
          </w:p>
        </w:tc>
        <w:tc>
          <w:tcPr>
            <w:tcW w:w="2268" w:type="dxa"/>
            <w:vAlign w:val="center"/>
          </w:tcPr>
          <w:p>
            <w:pPr>
              <w:pStyle w:val="13"/>
            </w:pPr>
            <w:r>
              <w:t>2024年底前完成</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指挥中心音视频改造单位成本</w:t>
            </w:r>
          </w:p>
        </w:tc>
        <w:tc>
          <w:tcPr>
            <w:tcW w:w="5386" w:type="dxa"/>
            <w:vAlign w:val="center"/>
          </w:tcPr>
          <w:p>
            <w:pPr>
              <w:pStyle w:val="13"/>
            </w:pPr>
            <w:r>
              <w:t>反映指挥中心音视频改造单位成本控制情况</w:t>
            </w:r>
          </w:p>
        </w:tc>
        <w:tc>
          <w:tcPr>
            <w:tcW w:w="2268" w:type="dxa"/>
            <w:vAlign w:val="center"/>
          </w:tcPr>
          <w:p>
            <w:pPr>
              <w:pStyle w:val="13"/>
            </w:pPr>
            <w:r>
              <w:t>≤7.27万元</w:t>
            </w:r>
          </w:p>
        </w:tc>
        <w:tc>
          <w:tcPr>
            <w:tcW w:w="1276" w:type="dxa"/>
            <w:vAlign w:val="center"/>
          </w:tcPr>
          <w:p>
            <w:pPr>
              <w:pStyle w:val="13"/>
            </w:pPr>
            <w:r>
              <w:t>冀财建[2024]28号分析填报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功能保障实际需求程度</w:t>
            </w:r>
          </w:p>
        </w:tc>
        <w:tc>
          <w:tcPr>
            <w:tcW w:w="5386" w:type="dxa"/>
            <w:vAlign w:val="center"/>
          </w:tcPr>
          <w:p>
            <w:pPr>
              <w:pStyle w:val="13"/>
            </w:pPr>
            <w:r>
              <w:t>反映设备功能保障水平</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设备可持续使用时间</w:t>
            </w:r>
          </w:p>
        </w:tc>
        <w:tc>
          <w:tcPr>
            <w:tcW w:w="5386" w:type="dxa"/>
            <w:vAlign w:val="center"/>
          </w:tcPr>
          <w:p>
            <w:pPr>
              <w:pStyle w:val="13"/>
            </w:pPr>
            <w:r>
              <w:t>反映设备正常使用年限</w:t>
            </w:r>
          </w:p>
        </w:tc>
        <w:tc>
          <w:tcPr>
            <w:tcW w:w="2268" w:type="dxa"/>
            <w:vAlign w:val="center"/>
          </w:tcPr>
          <w:p>
            <w:pPr>
              <w:pStyle w:val="13"/>
            </w:pPr>
            <w:r>
              <w:t>≥10年</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受益群体满意度</w:t>
            </w:r>
          </w:p>
        </w:tc>
        <w:tc>
          <w:tcPr>
            <w:tcW w:w="2268" w:type="dxa"/>
            <w:vAlign w:val="center"/>
          </w:tcPr>
          <w:p>
            <w:pPr>
              <w:pStyle w:val="13"/>
            </w:pPr>
            <w:r>
              <w:t>≥95%</w:t>
            </w:r>
          </w:p>
        </w:tc>
        <w:tc>
          <w:tcPr>
            <w:tcW w:w="1276" w:type="dxa"/>
            <w:vAlign w:val="center"/>
          </w:tcPr>
          <w:p>
            <w:pPr>
              <w:pStyle w:val="13"/>
            </w:pPr>
            <w:r>
              <w:t>调查总问卷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20、关于下达中央2024年自然灾害救灾资金（冬春临时生活困难救助资金）的通知（冀财建【2024】290号）绩效目标表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13032124P003263100891</w:t>
            </w:r>
          </w:p>
        </w:tc>
        <w:tc>
          <w:tcPr>
            <w:tcW w:w="2835" w:type="dxa"/>
            <w:vAlign w:val="center"/>
          </w:tcPr>
          <w:p>
            <w:pPr>
              <w:pStyle w:val="11"/>
            </w:pPr>
            <w:r>
              <w:t>项目名称</w:t>
            </w:r>
          </w:p>
        </w:tc>
        <w:tc>
          <w:tcPr>
            <w:tcW w:w="6095" w:type="dxa"/>
            <w:gridSpan w:val="3"/>
            <w:vAlign w:val="center"/>
          </w:tcPr>
          <w:p>
            <w:pPr>
              <w:pStyle w:val="13"/>
            </w:pPr>
            <w:r>
              <w:t>关于下达中央2024年自然灾害救灾资金（冬春临时生活困难救助资金）的通知（冀财建【2024】290号）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513.22</w:t>
            </w:r>
          </w:p>
        </w:tc>
        <w:tc>
          <w:tcPr>
            <w:tcW w:w="2835" w:type="dxa"/>
            <w:vAlign w:val="center"/>
          </w:tcPr>
          <w:p>
            <w:pPr>
              <w:pStyle w:val="11"/>
            </w:pPr>
            <w:r>
              <w:t>其中：财政    资金</w:t>
            </w:r>
          </w:p>
        </w:tc>
        <w:tc>
          <w:tcPr>
            <w:tcW w:w="2551" w:type="dxa"/>
            <w:vAlign w:val="center"/>
          </w:tcPr>
          <w:p>
            <w:pPr>
              <w:pStyle w:val="13"/>
            </w:pPr>
            <w:r>
              <w:t>513.22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预算安排513.2237万元，其中：财政拨款513.2237万元，主要用于受灾群众冬春临时生活困难救助支出。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1.通过此项目的实施，使全县受灾人口得到及时救助，防止受灾人口因灾返贫；</w:t>
            </w:r>
          </w:p>
          <w:p>
            <w:pPr>
              <w:pStyle w:val="13"/>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救助的户数</w:t>
            </w:r>
          </w:p>
        </w:tc>
        <w:tc>
          <w:tcPr>
            <w:tcW w:w="5386" w:type="dxa"/>
            <w:vAlign w:val="center"/>
          </w:tcPr>
          <w:p>
            <w:pPr>
              <w:pStyle w:val="13"/>
            </w:pPr>
            <w:r>
              <w:t>反映因灾需要救助的农户数量</w:t>
            </w:r>
          </w:p>
        </w:tc>
        <w:tc>
          <w:tcPr>
            <w:tcW w:w="2268" w:type="dxa"/>
            <w:vAlign w:val="center"/>
          </w:tcPr>
          <w:p>
            <w:pPr>
              <w:pStyle w:val="13"/>
            </w:pPr>
            <w:r>
              <w:t>4420户</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救助的人口</w:t>
            </w:r>
          </w:p>
        </w:tc>
        <w:tc>
          <w:tcPr>
            <w:tcW w:w="5386" w:type="dxa"/>
            <w:vAlign w:val="center"/>
          </w:tcPr>
          <w:p>
            <w:pPr>
              <w:pStyle w:val="13"/>
            </w:pPr>
            <w:r>
              <w:t>反映因灾需要救助的人口数量</w:t>
            </w:r>
          </w:p>
        </w:tc>
        <w:tc>
          <w:tcPr>
            <w:tcW w:w="2268" w:type="dxa"/>
            <w:vAlign w:val="center"/>
          </w:tcPr>
          <w:p>
            <w:pPr>
              <w:pStyle w:val="13"/>
            </w:pPr>
            <w:r>
              <w:t>8837人</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救助户数比率</w:t>
            </w:r>
          </w:p>
        </w:tc>
        <w:tc>
          <w:tcPr>
            <w:tcW w:w="5386" w:type="dxa"/>
            <w:vAlign w:val="center"/>
          </w:tcPr>
          <w:p>
            <w:pPr>
              <w:pStyle w:val="13"/>
            </w:pPr>
            <w:r>
              <w:t>反映实际救助的数量占应救助数量的比率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救助人口比率</w:t>
            </w:r>
          </w:p>
        </w:tc>
        <w:tc>
          <w:tcPr>
            <w:tcW w:w="5386" w:type="dxa"/>
            <w:vAlign w:val="center"/>
          </w:tcPr>
          <w:p>
            <w:pPr>
              <w:pStyle w:val="13"/>
            </w:pPr>
            <w:r>
              <w:t>反映实际救助的人口数量占应救助人口数量的比率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救助完成时间</w:t>
            </w:r>
          </w:p>
        </w:tc>
        <w:tc>
          <w:tcPr>
            <w:tcW w:w="2268" w:type="dxa"/>
            <w:vAlign w:val="center"/>
          </w:tcPr>
          <w:p>
            <w:pPr>
              <w:pStyle w:val="13"/>
            </w:pPr>
            <w:r>
              <w:t>2024年12月底前完成</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救助户数资金成本</w:t>
            </w:r>
          </w:p>
        </w:tc>
        <w:tc>
          <w:tcPr>
            <w:tcW w:w="5386" w:type="dxa"/>
            <w:vAlign w:val="center"/>
          </w:tcPr>
          <w:p>
            <w:pPr>
              <w:pStyle w:val="13"/>
            </w:pPr>
            <w:r>
              <w:t>反映平均每户救助资金金额</w:t>
            </w:r>
          </w:p>
        </w:tc>
        <w:tc>
          <w:tcPr>
            <w:tcW w:w="2268" w:type="dxa"/>
            <w:vAlign w:val="center"/>
          </w:tcPr>
          <w:p>
            <w:pPr>
              <w:pStyle w:val="13"/>
            </w:pPr>
            <w:r>
              <w:t>1161元/户</w:t>
            </w:r>
          </w:p>
        </w:tc>
        <w:tc>
          <w:tcPr>
            <w:tcW w:w="1276" w:type="dxa"/>
            <w:vAlign w:val="center"/>
          </w:tcPr>
          <w:p>
            <w:pPr>
              <w:pStyle w:val="13"/>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救助人口资金成本</w:t>
            </w:r>
          </w:p>
        </w:tc>
        <w:tc>
          <w:tcPr>
            <w:tcW w:w="5386" w:type="dxa"/>
            <w:vAlign w:val="center"/>
          </w:tcPr>
          <w:p>
            <w:pPr>
              <w:pStyle w:val="13"/>
            </w:pPr>
            <w:r>
              <w:t>反映平均每人救助资金金额</w:t>
            </w:r>
          </w:p>
        </w:tc>
        <w:tc>
          <w:tcPr>
            <w:tcW w:w="2268" w:type="dxa"/>
            <w:vAlign w:val="center"/>
          </w:tcPr>
          <w:p>
            <w:pPr>
              <w:pStyle w:val="13"/>
            </w:pPr>
            <w:r>
              <w:t>581元/人</w:t>
            </w:r>
          </w:p>
        </w:tc>
        <w:tc>
          <w:tcPr>
            <w:tcW w:w="1276" w:type="dxa"/>
            <w:vAlign w:val="center"/>
          </w:tcPr>
          <w:p>
            <w:pPr>
              <w:pStyle w:val="13"/>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减少受灾农户生活成本</w:t>
            </w:r>
          </w:p>
        </w:tc>
        <w:tc>
          <w:tcPr>
            <w:tcW w:w="2268" w:type="dxa"/>
            <w:vAlign w:val="center"/>
          </w:tcPr>
          <w:p>
            <w:pPr>
              <w:pStyle w:val="13"/>
            </w:pPr>
            <w:r>
              <w:t>513.22万元</w:t>
            </w:r>
          </w:p>
        </w:tc>
        <w:tc>
          <w:tcPr>
            <w:tcW w:w="1276" w:type="dxa"/>
            <w:vAlign w:val="center"/>
          </w:tcPr>
          <w:p>
            <w:pPr>
              <w:pStyle w:val="13"/>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救助受灾农户</w:t>
            </w:r>
          </w:p>
        </w:tc>
        <w:tc>
          <w:tcPr>
            <w:tcW w:w="2268" w:type="dxa"/>
            <w:vAlign w:val="center"/>
          </w:tcPr>
          <w:p>
            <w:pPr>
              <w:pStyle w:val="13"/>
            </w:pPr>
            <w:r>
              <w:t>4420户</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防止农户因灾返贫比率</w:t>
            </w:r>
          </w:p>
        </w:tc>
        <w:tc>
          <w:tcPr>
            <w:tcW w:w="2268" w:type="dxa"/>
            <w:vAlign w:val="center"/>
          </w:tcPr>
          <w:p>
            <w:pPr>
              <w:pStyle w:val="13"/>
            </w:pPr>
            <w:r>
              <w:t>≥95%</w:t>
            </w:r>
          </w:p>
        </w:tc>
        <w:tc>
          <w:tcPr>
            <w:tcW w:w="1276" w:type="dxa"/>
            <w:vAlign w:val="center"/>
          </w:tcPr>
          <w:p>
            <w:pPr>
              <w:pStyle w:val="13"/>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受灾群众满意程度</w:t>
            </w:r>
          </w:p>
        </w:tc>
        <w:tc>
          <w:tcPr>
            <w:tcW w:w="5386" w:type="dxa"/>
            <w:vAlign w:val="center"/>
          </w:tcPr>
          <w:p>
            <w:pPr>
              <w:pStyle w:val="13"/>
            </w:pPr>
            <w:r>
              <w:t>满意的受灾群众占总受灾的比率</w:t>
            </w:r>
          </w:p>
        </w:tc>
        <w:tc>
          <w:tcPr>
            <w:tcW w:w="2268" w:type="dxa"/>
            <w:vAlign w:val="center"/>
          </w:tcPr>
          <w:p>
            <w:pPr>
              <w:pStyle w:val="13"/>
            </w:pPr>
            <w:r>
              <w:t>≥95%</w:t>
            </w:r>
          </w:p>
        </w:tc>
        <w:tc>
          <w:tcPr>
            <w:tcW w:w="1276" w:type="dxa"/>
            <w:vAlign w:val="center"/>
          </w:tcPr>
          <w:p>
            <w:pPr>
              <w:pStyle w:val="13"/>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21、关于预拨2024年中央自然灾害救灾资金（第七批）的通知（冀财建【2024】159号）绩效目标表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13032124P00326310078H</w:t>
            </w:r>
          </w:p>
        </w:tc>
        <w:tc>
          <w:tcPr>
            <w:tcW w:w="2835" w:type="dxa"/>
            <w:vAlign w:val="center"/>
          </w:tcPr>
          <w:p>
            <w:pPr>
              <w:pStyle w:val="11"/>
            </w:pPr>
            <w:r>
              <w:t>项目名称</w:t>
            </w:r>
          </w:p>
        </w:tc>
        <w:tc>
          <w:tcPr>
            <w:tcW w:w="6095" w:type="dxa"/>
            <w:gridSpan w:val="3"/>
            <w:vAlign w:val="center"/>
          </w:tcPr>
          <w:p>
            <w:pPr>
              <w:pStyle w:val="13"/>
            </w:pPr>
            <w:r>
              <w:t>关于预拨2024年中央自然灾害救灾资金（第七批）的通知（冀财建【2024】159号）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51.00</w:t>
            </w:r>
          </w:p>
        </w:tc>
        <w:tc>
          <w:tcPr>
            <w:tcW w:w="2835" w:type="dxa"/>
            <w:vAlign w:val="center"/>
          </w:tcPr>
          <w:p>
            <w:pPr>
              <w:pStyle w:val="11"/>
            </w:pPr>
            <w:r>
              <w:t>其中：财政    资金</w:t>
            </w:r>
          </w:p>
        </w:tc>
        <w:tc>
          <w:tcPr>
            <w:tcW w:w="2551" w:type="dxa"/>
            <w:vAlign w:val="center"/>
          </w:tcPr>
          <w:p>
            <w:pPr>
              <w:pStyle w:val="13"/>
            </w:pPr>
            <w:r>
              <w:t>51.00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预算安排51万元，其中：财政拨款51万元，主要用于开展应急抢险和倒损民房修复工作支出。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1.通过设计和增加应急避难场所示意图等公共标志物，保障社会生活稳定。</w:t>
            </w:r>
          </w:p>
          <w:p>
            <w:pPr>
              <w:pStyle w:val="13"/>
            </w:pPr>
            <w:r>
              <w:t>2.通过加设避难场所标志牌，完善应急领域基础公共设施。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因灾倒损重点农房数量</w:t>
            </w:r>
          </w:p>
        </w:tc>
        <w:tc>
          <w:tcPr>
            <w:tcW w:w="5386" w:type="dxa"/>
            <w:vAlign w:val="center"/>
          </w:tcPr>
          <w:p>
            <w:pPr>
              <w:pStyle w:val="13"/>
            </w:pPr>
            <w:r>
              <w:t>反映因灾倒损重点农房的数量</w:t>
            </w:r>
          </w:p>
        </w:tc>
        <w:tc>
          <w:tcPr>
            <w:tcW w:w="2268" w:type="dxa"/>
            <w:vAlign w:val="center"/>
          </w:tcPr>
          <w:p>
            <w:pPr>
              <w:pStyle w:val="13"/>
            </w:pPr>
            <w:r>
              <w:t>15座</w:t>
            </w:r>
          </w:p>
        </w:tc>
        <w:tc>
          <w:tcPr>
            <w:tcW w:w="1276" w:type="dxa"/>
            <w:vAlign w:val="center"/>
          </w:tcPr>
          <w:p>
            <w:pPr>
              <w:pStyle w:val="13"/>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因灾倒损一般农房数量</w:t>
            </w:r>
          </w:p>
        </w:tc>
        <w:tc>
          <w:tcPr>
            <w:tcW w:w="5386" w:type="dxa"/>
            <w:vAlign w:val="center"/>
          </w:tcPr>
          <w:p>
            <w:pPr>
              <w:pStyle w:val="13"/>
            </w:pPr>
            <w:r>
              <w:t>反映因灾倒损一般农房的数量</w:t>
            </w:r>
          </w:p>
        </w:tc>
        <w:tc>
          <w:tcPr>
            <w:tcW w:w="2268" w:type="dxa"/>
            <w:vAlign w:val="center"/>
          </w:tcPr>
          <w:p>
            <w:pPr>
              <w:pStyle w:val="13"/>
            </w:pPr>
            <w:r>
              <w:t>40座</w:t>
            </w:r>
          </w:p>
        </w:tc>
        <w:tc>
          <w:tcPr>
            <w:tcW w:w="1276" w:type="dxa"/>
            <w:vAlign w:val="center"/>
          </w:tcPr>
          <w:p>
            <w:pPr>
              <w:pStyle w:val="13"/>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灾害救助完成率</w:t>
            </w:r>
          </w:p>
        </w:tc>
        <w:tc>
          <w:tcPr>
            <w:tcW w:w="5386" w:type="dxa"/>
            <w:vAlign w:val="center"/>
          </w:tcPr>
          <w:p>
            <w:pPr>
              <w:pStyle w:val="13"/>
            </w:pPr>
            <w:r>
              <w:t>反映对受灾户救助的比率</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灾害救助完成时间</w:t>
            </w:r>
          </w:p>
        </w:tc>
        <w:tc>
          <w:tcPr>
            <w:tcW w:w="5386" w:type="dxa"/>
            <w:vAlign w:val="center"/>
          </w:tcPr>
          <w:p>
            <w:pPr>
              <w:pStyle w:val="13"/>
            </w:pPr>
            <w:r>
              <w:t>反映对受灾户进行补助完成时限</w:t>
            </w:r>
          </w:p>
        </w:tc>
        <w:tc>
          <w:tcPr>
            <w:tcW w:w="2268" w:type="dxa"/>
            <w:vAlign w:val="center"/>
          </w:tcPr>
          <w:p>
            <w:pPr>
              <w:pStyle w:val="13"/>
            </w:pPr>
            <w:r>
              <w:t>年底前完成</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补助资金发放成本</w:t>
            </w:r>
          </w:p>
        </w:tc>
        <w:tc>
          <w:tcPr>
            <w:tcW w:w="5386" w:type="dxa"/>
            <w:vAlign w:val="center"/>
          </w:tcPr>
          <w:p>
            <w:pPr>
              <w:pStyle w:val="13"/>
            </w:pPr>
            <w:r>
              <w:t>反映每户发放的补助资金金额</w:t>
            </w:r>
          </w:p>
        </w:tc>
        <w:tc>
          <w:tcPr>
            <w:tcW w:w="2268" w:type="dxa"/>
            <w:vAlign w:val="center"/>
          </w:tcPr>
          <w:p>
            <w:pPr>
              <w:pStyle w:val="13"/>
            </w:pPr>
            <w:r>
              <w:t>0.92万元</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减少受灾农户生活成本</w:t>
            </w:r>
          </w:p>
        </w:tc>
        <w:tc>
          <w:tcPr>
            <w:tcW w:w="5386" w:type="dxa"/>
            <w:vAlign w:val="center"/>
          </w:tcPr>
          <w:p>
            <w:pPr>
              <w:pStyle w:val="13"/>
            </w:pPr>
            <w:r>
              <w:t>反映受灾农户减少的生活成本</w:t>
            </w:r>
          </w:p>
        </w:tc>
        <w:tc>
          <w:tcPr>
            <w:tcW w:w="2268" w:type="dxa"/>
            <w:vAlign w:val="center"/>
          </w:tcPr>
          <w:p>
            <w:pPr>
              <w:pStyle w:val="13"/>
            </w:pPr>
            <w:r>
              <w:t>万元</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救助受灾农户</w:t>
            </w:r>
          </w:p>
        </w:tc>
        <w:tc>
          <w:tcPr>
            <w:tcW w:w="5386" w:type="dxa"/>
            <w:vAlign w:val="center"/>
          </w:tcPr>
          <w:p>
            <w:pPr>
              <w:pStyle w:val="13"/>
            </w:pPr>
            <w:r>
              <w:t>反映受救助的受灾农户户数</w:t>
            </w:r>
          </w:p>
        </w:tc>
        <w:tc>
          <w:tcPr>
            <w:tcW w:w="2268" w:type="dxa"/>
            <w:vAlign w:val="center"/>
          </w:tcPr>
          <w:p>
            <w:pPr>
              <w:pStyle w:val="13"/>
            </w:pPr>
            <w:r>
              <w:t>户</w:t>
            </w:r>
          </w:p>
        </w:tc>
        <w:tc>
          <w:tcPr>
            <w:tcW w:w="1276" w:type="dxa"/>
            <w:vAlign w:val="center"/>
          </w:tcPr>
          <w:p>
            <w:pPr>
              <w:pStyle w:val="13"/>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防止农户因自然灾害返贫比率</w:t>
            </w:r>
          </w:p>
        </w:tc>
        <w:tc>
          <w:tcPr>
            <w:tcW w:w="5386" w:type="dxa"/>
            <w:vAlign w:val="center"/>
          </w:tcPr>
          <w:p>
            <w:pPr>
              <w:pStyle w:val="13"/>
            </w:pPr>
            <w:r>
              <w:t>反映防止农户因自然灾害返贫比率</w:t>
            </w:r>
          </w:p>
        </w:tc>
        <w:tc>
          <w:tcPr>
            <w:tcW w:w="2268" w:type="dxa"/>
            <w:vAlign w:val="center"/>
          </w:tcPr>
          <w:p>
            <w:pPr>
              <w:pStyle w:val="13"/>
            </w:pPr>
            <w:r>
              <w:t>≥95%</w:t>
            </w:r>
          </w:p>
        </w:tc>
        <w:tc>
          <w:tcPr>
            <w:tcW w:w="1276" w:type="dxa"/>
            <w:vAlign w:val="center"/>
          </w:tcPr>
          <w:p>
            <w:pPr>
              <w:pStyle w:val="13"/>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受助对象满意度</w:t>
            </w:r>
          </w:p>
        </w:tc>
        <w:tc>
          <w:tcPr>
            <w:tcW w:w="5386" w:type="dxa"/>
            <w:vAlign w:val="center"/>
          </w:tcPr>
          <w:p>
            <w:pPr>
              <w:pStyle w:val="13"/>
            </w:pPr>
            <w:r>
              <w:t>受助对象满意度</w:t>
            </w:r>
          </w:p>
        </w:tc>
        <w:tc>
          <w:tcPr>
            <w:tcW w:w="2268" w:type="dxa"/>
            <w:vAlign w:val="center"/>
          </w:tcPr>
          <w:p>
            <w:pPr>
              <w:pStyle w:val="13"/>
            </w:pPr>
            <w:r>
              <w:t>≥95%</w:t>
            </w:r>
          </w:p>
        </w:tc>
        <w:tc>
          <w:tcPr>
            <w:tcW w:w="1276" w:type="dxa"/>
            <w:vAlign w:val="center"/>
          </w:tcPr>
          <w:p>
            <w:pPr>
              <w:pStyle w:val="13"/>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22、尾矿库闭库配套资金绩效目标表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13032125P00011610153W</w:t>
            </w:r>
          </w:p>
        </w:tc>
        <w:tc>
          <w:tcPr>
            <w:tcW w:w="2835" w:type="dxa"/>
            <w:vAlign w:val="center"/>
          </w:tcPr>
          <w:p>
            <w:pPr>
              <w:pStyle w:val="11"/>
            </w:pPr>
            <w:r>
              <w:t>项目名称</w:t>
            </w:r>
          </w:p>
        </w:tc>
        <w:tc>
          <w:tcPr>
            <w:tcW w:w="6095" w:type="dxa"/>
            <w:gridSpan w:val="3"/>
            <w:vAlign w:val="center"/>
          </w:tcPr>
          <w:p>
            <w:pPr>
              <w:pStyle w:val="13"/>
            </w:pPr>
            <w:r>
              <w:t>尾矿库闭库配套资金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360.00</w:t>
            </w:r>
          </w:p>
        </w:tc>
        <w:tc>
          <w:tcPr>
            <w:tcW w:w="2835" w:type="dxa"/>
            <w:vAlign w:val="center"/>
          </w:tcPr>
          <w:p>
            <w:pPr>
              <w:pStyle w:val="11"/>
            </w:pPr>
            <w:r>
              <w:t>其中：财政    资金</w:t>
            </w:r>
          </w:p>
        </w:tc>
        <w:tc>
          <w:tcPr>
            <w:tcW w:w="2551" w:type="dxa"/>
            <w:vAlign w:val="center"/>
          </w:tcPr>
          <w:p>
            <w:pPr>
              <w:pStyle w:val="13"/>
            </w:pPr>
            <w:r>
              <w:t>360.00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预算安排360万元，其中：财政拨款360万元，主要用于尾矿库闭库配套资金支出。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1.通过对该项目的实施，及时发现并消除选厂存在的安全生产隐患，防止发生安全生产事故。</w:t>
            </w:r>
          </w:p>
          <w:p>
            <w:pPr>
              <w:pStyle w:val="13"/>
            </w:pPr>
            <w:r>
              <w:t>2.通过该项目的实施，对存在危险风险的尾矿库进行治理，全面发现并彻底整改非煤矿山安全生产风险管控和隐患排查治理。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2家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2座</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尾矿库治理率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完成治理时效</w:t>
            </w:r>
          </w:p>
        </w:tc>
        <w:tc>
          <w:tcPr>
            <w:tcW w:w="5386" w:type="dxa"/>
            <w:vAlign w:val="center"/>
          </w:tcPr>
          <w:p>
            <w:pPr>
              <w:pStyle w:val="13"/>
            </w:pPr>
            <w:r>
              <w:t>完成尾矿库治理的时间</w:t>
            </w:r>
          </w:p>
        </w:tc>
        <w:tc>
          <w:tcPr>
            <w:tcW w:w="2268" w:type="dxa"/>
            <w:vAlign w:val="center"/>
          </w:tcPr>
          <w:p>
            <w:pPr>
              <w:pStyle w:val="13"/>
            </w:pPr>
            <w:r>
              <w:t>三年内完成</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企业补助成本</w:t>
            </w:r>
          </w:p>
        </w:tc>
        <w:tc>
          <w:tcPr>
            <w:tcW w:w="5386" w:type="dxa"/>
            <w:vAlign w:val="center"/>
          </w:tcPr>
          <w:p>
            <w:pPr>
              <w:pStyle w:val="13"/>
            </w:pPr>
            <w:r>
              <w:t>反映用于尾矿库治理补助的单位成本</w:t>
            </w:r>
          </w:p>
        </w:tc>
        <w:tc>
          <w:tcPr>
            <w:tcW w:w="2268" w:type="dxa"/>
            <w:vAlign w:val="center"/>
          </w:tcPr>
          <w:p>
            <w:pPr>
              <w:pStyle w:val="13"/>
            </w:pPr>
            <w:r>
              <w:t>≤50万元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23、尾矿库治理资金绩效目标表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13032123P00331810032X</w:t>
            </w:r>
          </w:p>
        </w:tc>
        <w:tc>
          <w:tcPr>
            <w:tcW w:w="2835" w:type="dxa"/>
            <w:vAlign w:val="center"/>
          </w:tcPr>
          <w:p>
            <w:pPr>
              <w:pStyle w:val="11"/>
            </w:pPr>
            <w:r>
              <w:t>项目名称</w:t>
            </w:r>
          </w:p>
        </w:tc>
        <w:tc>
          <w:tcPr>
            <w:tcW w:w="6095" w:type="dxa"/>
            <w:gridSpan w:val="3"/>
            <w:vAlign w:val="center"/>
          </w:tcPr>
          <w:p>
            <w:pPr>
              <w:pStyle w:val="13"/>
            </w:pPr>
            <w:r>
              <w:t>尾矿库治理资金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135.37</w:t>
            </w:r>
          </w:p>
        </w:tc>
        <w:tc>
          <w:tcPr>
            <w:tcW w:w="2835" w:type="dxa"/>
            <w:vAlign w:val="center"/>
          </w:tcPr>
          <w:p>
            <w:pPr>
              <w:pStyle w:val="11"/>
            </w:pPr>
            <w:r>
              <w:t>其中：财政    资金</w:t>
            </w:r>
          </w:p>
        </w:tc>
        <w:tc>
          <w:tcPr>
            <w:tcW w:w="2551" w:type="dxa"/>
            <w:vAlign w:val="center"/>
          </w:tcPr>
          <w:p>
            <w:pPr>
              <w:pStyle w:val="13"/>
            </w:pPr>
            <w:r>
              <w:t>135.37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预算安排135.3735万元，其中：财政拨款135.3735万元，主要用于尾矿库治理支出。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1.通过该项目的实施，对存在危险风险的尾矿库进行治理，全面发现并彻底整改非煤矿山安全生产风险管控和隐患排查治理。</w:t>
            </w:r>
          </w:p>
          <w:p>
            <w:pPr>
              <w:pStyle w:val="13"/>
            </w:pPr>
            <w:r>
              <w:t>2.通过对该项目的实施，及时发现并消除选厂存在的安全生产隐患，防止发生安全生产事故。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2家</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2座</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尾矿库治理率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完成治理时效</w:t>
            </w:r>
          </w:p>
        </w:tc>
        <w:tc>
          <w:tcPr>
            <w:tcW w:w="5386" w:type="dxa"/>
            <w:vAlign w:val="center"/>
          </w:tcPr>
          <w:p>
            <w:pPr>
              <w:pStyle w:val="13"/>
            </w:pPr>
            <w:r>
              <w:t>完成尾矿库治理的时间</w:t>
            </w:r>
          </w:p>
        </w:tc>
        <w:tc>
          <w:tcPr>
            <w:tcW w:w="2268" w:type="dxa"/>
            <w:vAlign w:val="center"/>
          </w:tcPr>
          <w:p>
            <w:pPr>
              <w:pStyle w:val="13"/>
            </w:pPr>
            <w:r>
              <w:t>三年内完成</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企业补助成本</w:t>
            </w:r>
          </w:p>
        </w:tc>
        <w:tc>
          <w:tcPr>
            <w:tcW w:w="5386" w:type="dxa"/>
            <w:vAlign w:val="center"/>
          </w:tcPr>
          <w:p>
            <w:pPr>
              <w:pStyle w:val="13"/>
            </w:pPr>
            <w:r>
              <w:t>反映用于尾矿库治理补助的单位成本</w:t>
            </w:r>
          </w:p>
        </w:tc>
        <w:tc>
          <w:tcPr>
            <w:tcW w:w="2268" w:type="dxa"/>
            <w:vAlign w:val="center"/>
          </w:tcPr>
          <w:p>
            <w:pPr>
              <w:pStyle w:val="13"/>
            </w:pPr>
            <w:r>
              <w:t>≤135.37万元</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24、尾矿库治理资金绩效目标表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13032125P00011610117U</w:t>
            </w:r>
          </w:p>
        </w:tc>
        <w:tc>
          <w:tcPr>
            <w:tcW w:w="2835" w:type="dxa"/>
            <w:vAlign w:val="center"/>
          </w:tcPr>
          <w:p>
            <w:pPr>
              <w:pStyle w:val="11"/>
            </w:pPr>
            <w:r>
              <w:t>项目名称</w:t>
            </w:r>
          </w:p>
        </w:tc>
        <w:tc>
          <w:tcPr>
            <w:tcW w:w="6095" w:type="dxa"/>
            <w:gridSpan w:val="3"/>
            <w:vAlign w:val="center"/>
          </w:tcPr>
          <w:p>
            <w:pPr>
              <w:pStyle w:val="13"/>
            </w:pPr>
            <w:r>
              <w:t>尾矿库治理资金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预算安排100万元，其中：财政拨款100万元，主要用于尾矿库安全生产风险管控和隐患排查治理支出。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1.通过对该项目的实施，及时发现并消除选厂存在的安全生产隐患，防止发生安全生产事故。</w:t>
            </w:r>
          </w:p>
          <w:p>
            <w:pPr>
              <w:pStyle w:val="13"/>
            </w:pPr>
            <w:r>
              <w:t>2.通过该项目的实施，对存在危险风险的尾矿库进行治理，全面发现并彻底整改非煤矿山安全生产风险管控和隐患排查治理。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2家</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2座</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尾矿库治理率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完成治理时效</w:t>
            </w:r>
          </w:p>
        </w:tc>
        <w:tc>
          <w:tcPr>
            <w:tcW w:w="5386" w:type="dxa"/>
            <w:vAlign w:val="center"/>
          </w:tcPr>
          <w:p>
            <w:pPr>
              <w:pStyle w:val="13"/>
            </w:pPr>
            <w:r>
              <w:t>完成尾矿库治理的时间</w:t>
            </w:r>
          </w:p>
        </w:tc>
        <w:tc>
          <w:tcPr>
            <w:tcW w:w="2268" w:type="dxa"/>
            <w:vAlign w:val="center"/>
          </w:tcPr>
          <w:p>
            <w:pPr>
              <w:pStyle w:val="13"/>
            </w:pPr>
            <w:r>
              <w:t>三年内完成</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企业补助成本</w:t>
            </w:r>
          </w:p>
        </w:tc>
        <w:tc>
          <w:tcPr>
            <w:tcW w:w="5386" w:type="dxa"/>
            <w:vAlign w:val="center"/>
          </w:tcPr>
          <w:p>
            <w:pPr>
              <w:pStyle w:val="13"/>
            </w:pPr>
            <w:r>
              <w:t>反映用于尾矿库治理补助的单位成本</w:t>
            </w:r>
          </w:p>
        </w:tc>
        <w:tc>
          <w:tcPr>
            <w:tcW w:w="2268" w:type="dxa"/>
            <w:vAlign w:val="center"/>
          </w:tcPr>
          <w:p>
            <w:pPr>
              <w:pStyle w:val="13"/>
            </w:pPr>
            <w:r>
              <w:t>≤50万元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25、应急避难场所设置经费绩效目标表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13032124P00331910089N</w:t>
            </w:r>
          </w:p>
        </w:tc>
        <w:tc>
          <w:tcPr>
            <w:tcW w:w="2835" w:type="dxa"/>
            <w:vAlign w:val="center"/>
          </w:tcPr>
          <w:p>
            <w:pPr>
              <w:pStyle w:val="11"/>
            </w:pPr>
            <w:r>
              <w:t>项目名称</w:t>
            </w:r>
          </w:p>
        </w:tc>
        <w:tc>
          <w:tcPr>
            <w:tcW w:w="6095" w:type="dxa"/>
            <w:gridSpan w:val="3"/>
            <w:vAlign w:val="center"/>
          </w:tcPr>
          <w:p>
            <w:pPr>
              <w:pStyle w:val="13"/>
            </w:pPr>
            <w:r>
              <w:t>应急避难场所设置经费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预算安排12万元，其中：财政拨款12万元，主要用于应急避难场所设置支出。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1.通过设计和增加应急避难场所示意图等公共标志物，保障社会生活稳定。</w:t>
            </w:r>
          </w:p>
          <w:p>
            <w:pPr>
              <w:pStyle w:val="13"/>
            </w:pPr>
            <w:r>
              <w:t>2.通过加设避难场所标志牌，完善应急领域基础公共设施。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避难场所示意图数量</w:t>
            </w:r>
          </w:p>
        </w:tc>
        <w:tc>
          <w:tcPr>
            <w:tcW w:w="5386" w:type="dxa"/>
            <w:vAlign w:val="center"/>
          </w:tcPr>
          <w:p>
            <w:pPr>
              <w:pStyle w:val="13"/>
            </w:pPr>
            <w:r>
              <w:t>反映应安装示意图的数量</w:t>
            </w:r>
          </w:p>
        </w:tc>
        <w:tc>
          <w:tcPr>
            <w:tcW w:w="2268" w:type="dxa"/>
            <w:vAlign w:val="center"/>
          </w:tcPr>
          <w:p>
            <w:pPr>
              <w:pStyle w:val="13"/>
            </w:pPr>
            <w:r>
              <w:t>23座</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避难场所标志数量</w:t>
            </w:r>
          </w:p>
        </w:tc>
        <w:tc>
          <w:tcPr>
            <w:tcW w:w="5386" w:type="dxa"/>
            <w:vAlign w:val="center"/>
          </w:tcPr>
          <w:p>
            <w:pPr>
              <w:pStyle w:val="13"/>
            </w:pPr>
            <w:r>
              <w:t>反映应安装标志的数量</w:t>
            </w:r>
          </w:p>
        </w:tc>
        <w:tc>
          <w:tcPr>
            <w:tcW w:w="2268" w:type="dxa"/>
            <w:vAlign w:val="center"/>
          </w:tcPr>
          <w:p>
            <w:pPr>
              <w:pStyle w:val="13"/>
            </w:pPr>
            <w:r>
              <w:t>63座</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安装设置完成率</w:t>
            </w:r>
          </w:p>
        </w:tc>
        <w:tc>
          <w:tcPr>
            <w:tcW w:w="5386" w:type="dxa"/>
            <w:vAlign w:val="center"/>
          </w:tcPr>
          <w:p>
            <w:pPr>
              <w:pStyle w:val="13"/>
            </w:pPr>
            <w:r>
              <w:t>反映设置安装完成的比率</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避难场所设置安装完成时间</w:t>
            </w:r>
          </w:p>
        </w:tc>
        <w:tc>
          <w:tcPr>
            <w:tcW w:w="5386" w:type="dxa"/>
            <w:vAlign w:val="center"/>
          </w:tcPr>
          <w:p>
            <w:pPr>
              <w:pStyle w:val="13"/>
            </w:pPr>
            <w:r>
              <w:t>反映对避难设置安装的完成时限</w:t>
            </w:r>
          </w:p>
        </w:tc>
        <w:tc>
          <w:tcPr>
            <w:tcW w:w="2268" w:type="dxa"/>
            <w:vAlign w:val="center"/>
          </w:tcPr>
          <w:p>
            <w:pPr>
              <w:pStyle w:val="13"/>
            </w:pPr>
            <w:r>
              <w:t>年底前完成</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增加避难场所示意图的单位成本</w:t>
            </w:r>
          </w:p>
        </w:tc>
        <w:tc>
          <w:tcPr>
            <w:tcW w:w="5386" w:type="dxa"/>
            <w:vAlign w:val="center"/>
          </w:tcPr>
          <w:p>
            <w:pPr>
              <w:pStyle w:val="13"/>
            </w:pPr>
            <w:r>
              <w:t>反映每个避难场所示意图的金额</w:t>
            </w:r>
          </w:p>
        </w:tc>
        <w:tc>
          <w:tcPr>
            <w:tcW w:w="2268" w:type="dxa"/>
            <w:vAlign w:val="center"/>
          </w:tcPr>
          <w:p>
            <w:pPr>
              <w:pStyle w:val="13"/>
            </w:pPr>
            <w:r>
              <w:t>0.52万元</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增加避难场所标志的单位成本</w:t>
            </w:r>
          </w:p>
        </w:tc>
        <w:tc>
          <w:tcPr>
            <w:tcW w:w="5386" w:type="dxa"/>
            <w:vAlign w:val="center"/>
          </w:tcPr>
          <w:p>
            <w:pPr>
              <w:pStyle w:val="13"/>
            </w:pPr>
            <w:r>
              <w:t>反映每个避难场所标志的金额</w:t>
            </w:r>
          </w:p>
        </w:tc>
        <w:tc>
          <w:tcPr>
            <w:tcW w:w="2268" w:type="dxa"/>
            <w:vAlign w:val="center"/>
          </w:tcPr>
          <w:p>
            <w:pPr>
              <w:pStyle w:val="13"/>
            </w:pPr>
            <w:r>
              <w:t>0.2万元</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安装避难场所设置的成本</w:t>
            </w:r>
          </w:p>
        </w:tc>
        <w:tc>
          <w:tcPr>
            <w:tcW w:w="5386" w:type="dxa"/>
            <w:vAlign w:val="center"/>
          </w:tcPr>
          <w:p>
            <w:pPr>
              <w:pStyle w:val="13"/>
            </w:pPr>
            <w:r>
              <w:t>反映安装避难场所设置的成本</w:t>
            </w:r>
          </w:p>
        </w:tc>
        <w:tc>
          <w:tcPr>
            <w:tcW w:w="2268" w:type="dxa"/>
            <w:vAlign w:val="center"/>
          </w:tcPr>
          <w:p>
            <w:pPr>
              <w:pStyle w:val="13"/>
            </w:pPr>
            <w:r>
              <w:t>万元</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安装避难场所设置数量</w:t>
            </w:r>
          </w:p>
        </w:tc>
        <w:tc>
          <w:tcPr>
            <w:tcW w:w="5386" w:type="dxa"/>
            <w:vAlign w:val="center"/>
          </w:tcPr>
          <w:p>
            <w:pPr>
              <w:pStyle w:val="13"/>
            </w:pPr>
            <w:r>
              <w:t>反映安装避难场所设置的数量</w:t>
            </w:r>
          </w:p>
        </w:tc>
        <w:tc>
          <w:tcPr>
            <w:tcW w:w="2268" w:type="dxa"/>
            <w:vAlign w:val="center"/>
          </w:tcPr>
          <w:p>
            <w:pPr>
              <w:pStyle w:val="13"/>
            </w:pPr>
            <w:r>
              <w:t>户</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应急避难场所指示率</w:t>
            </w:r>
          </w:p>
        </w:tc>
        <w:tc>
          <w:tcPr>
            <w:tcW w:w="5386" w:type="dxa"/>
            <w:vAlign w:val="center"/>
          </w:tcPr>
          <w:p>
            <w:pPr>
              <w:pStyle w:val="13"/>
            </w:pPr>
            <w:r>
              <w:t>反映应急避难场所设置的指示效率</w:t>
            </w:r>
          </w:p>
        </w:tc>
        <w:tc>
          <w:tcPr>
            <w:tcW w:w="2268" w:type="dxa"/>
            <w:vAlign w:val="center"/>
          </w:tcPr>
          <w:p>
            <w:pPr>
              <w:pStyle w:val="13"/>
            </w:pPr>
            <w:r>
              <w:t>≥95%</w:t>
            </w:r>
          </w:p>
        </w:tc>
        <w:tc>
          <w:tcPr>
            <w:tcW w:w="1276"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受助对象满意度</w:t>
            </w:r>
          </w:p>
        </w:tc>
        <w:tc>
          <w:tcPr>
            <w:tcW w:w="5386" w:type="dxa"/>
            <w:vAlign w:val="center"/>
          </w:tcPr>
          <w:p>
            <w:pPr>
              <w:pStyle w:val="13"/>
            </w:pPr>
            <w:r>
              <w:t>受助对象满意度</w:t>
            </w:r>
          </w:p>
        </w:tc>
        <w:tc>
          <w:tcPr>
            <w:tcW w:w="2268" w:type="dxa"/>
            <w:vAlign w:val="center"/>
          </w:tcPr>
          <w:p>
            <w:pPr>
              <w:pStyle w:val="13"/>
            </w:pPr>
            <w:r>
              <w:t>≥95%</w:t>
            </w:r>
          </w:p>
        </w:tc>
        <w:tc>
          <w:tcPr>
            <w:tcW w:w="1276" w:type="dxa"/>
            <w:vAlign w:val="center"/>
          </w:tcPr>
          <w:p>
            <w:pPr>
              <w:pStyle w:val="13"/>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26、应急救援经费绩效目标表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13032125P00010210004X</w:t>
            </w:r>
          </w:p>
        </w:tc>
        <w:tc>
          <w:tcPr>
            <w:tcW w:w="2835" w:type="dxa"/>
            <w:vAlign w:val="center"/>
          </w:tcPr>
          <w:p>
            <w:pPr>
              <w:pStyle w:val="11"/>
            </w:pPr>
            <w:r>
              <w:t>项目名称</w:t>
            </w:r>
          </w:p>
        </w:tc>
        <w:tc>
          <w:tcPr>
            <w:tcW w:w="6095" w:type="dxa"/>
            <w:gridSpan w:val="3"/>
            <w:vAlign w:val="center"/>
          </w:tcPr>
          <w:p>
            <w:pPr>
              <w:pStyle w:val="13"/>
            </w:pPr>
            <w:r>
              <w:t>应急救援经费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71.00</w:t>
            </w:r>
          </w:p>
        </w:tc>
        <w:tc>
          <w:tcPr>
            <w:tcW w:w="2835" w:type="dxa"/>
            <w:vAlign w:val="center"/>
          </w:tcPr>
          <w:p>
            <w:pPr>
              <w:pStyle w:val="11"/>
            </w:pPr>
            <w:r>
              <w:t>其中：财政    资金</w:t>
            </w:r>
          </w:p>
        </w:tc>
        <w:tc>
          <w:tcPr>
            <w:tcW w:w="2551" w:type="dxa"/>
            <w:vAlign w:val="center"/>
          </w:tcPr>
          <w:p>
            <w:pPr>
              <w:pStyle w:val="13"/>
            </w:pPr>
            <w:r>
              <w:t>71.00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预算安排71万元，其中：财政拨款71万元，主要用于防汛防火支出。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bookmarkStart w:id="20" w:name="_GoBack" w:colFirst="1" w:colLast="6"/>
          </w:p>
        </w:tc>
        <w:tc>
          <w:tcPr>
            <w:tcW w:w="5103"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bookmarkEnd w:id="20"/>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1.通过开展应急救援工作，使组织协调重要应急物资的储备、调拨和紧急配送，承担救灾款物的管理、分配和监督使用管理工作如期完成。</w:t>
            </w:r>
          </w:p>
          <w:p>
            <w:pPr>
              <w:pStyle w:val="13"/>
            </w:pPr>
            <w:r>
              <w:t>2.通过开展应急救援工作，值守值班、应急预案编制演练、各项灾害防治工作正常开展。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印刷费成本</w:t>
            </w:r>
          </w:p>
        </w:tc>
        <w:tc>
          <w:tcPr>
            <w:tcW w:w="5386" w:type="dxa"/>
            <w:vAlign w:val="center"/>
          </w:tcPr>
          <w:p>
            <w:pPr>
              <w:pStyle w:val="13"/>
            </w:pPr>
            <w:r>
              <w:t>反映用于印刷的费用</w:t>
            </w:r>
          </w:p>
        </w:tc>
        <w:tc>
          <w:tcPr>
            <w:tcW w:w="2268" w:type="dxa"/>
            <w:vAlign w:val="center"/>
          </w:tcPr>
          <w:p>
            <w:pPr>
              <w:pStyle w:val="13"/>
            </w:pPr>
            <w:r>
              <w:t>≤6万元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公车运行维护费成本</w:t>
            </w:r>
          </w:p>
        </w:tc>
        <w:tc>
          <w:tcPr>
            <w:tcW w:w="5386" w:type="dxa"/>
            <w:vAlign w:val="center"/>
          </w:tcPr>
          <w:p>
            <w:pPr>
              <w:pStyle w:val="13"/>
            </w:pPr>
            <w:r>
              <w:t>反映用于公车使用费用</w:t>
            </w:r>
          </w:p>
        </w:tc>
        <w:tc>
          <w:tcPr>
            <w:tcW w:w="2268" w:type="dxa"/>
            <w:vAlign w:val="center"/>
          </w:tcPr>
          <w:p>
            <w:pPr>
              <w:pStyle w:val="13"/>
            </w:pPr>
            <w:r>
              <w:t>≤30万元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反映用于租用社会车辆费用</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0事故</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426青龙满族自治县应急管理局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50.73</w:t>
            </w:r>
          </w:p>
        </w:tc>
        <w:tc>
          <w:tcPr>
            <w:tcW w:w="964" w:type="dxa"/>
            <w:vAlign w:val="center"/>
          </w:tcPr>
          <w:p>
            <w:pPr>
              <w:pStyle w:val="16"/>
            </w:pPr>
            <w:r>
              <w:t>5.80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44.93</w:t>
            </w:r>
          </w:p>
        </w:tc>
        <w:tc>
          <w:tcPr>
            <w:tcW w:w="964" w:type="dxa"/>
            <w:vAlign w:val="center"/>
          </w:tcPr>
          <w:p>
            <w:pPr>
              <w:pStyle w:val="16"/>
            </w:pPr>
            <w:r>
              <w:t>50.73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青龙满族自治县应急管理局本级小计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50.73</w:t>
            </w:r>
          </w:p>
        </w:tc>
        <w:tc>
          <w:tcPr>
            <w:tcW w:w="964" w:type="dxa"/>
            <w:vAlign w:val="center"/>
          </w:tcPr>
          <w:p>
            <w:pPr>
              <w:pStyle w:val="16"/>
            </w:pPr>
            <w:r>
              <w:t>5.80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44.93</w:t>
            </w:r>
          </w:p>
        </w:tc>
        <w:tc>
          <w:tcPr>
            <w:tcW w:w="964" w:type="dxa"/>
            <w:vAlign w:val="center"/>
          </w:tcPr>
          <w:p>
            <w:pPr>
              <w:pStyle w:val="16"/>
            </w:pPr>
            <w:r>
              <w:t>50.73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关于下达增发2023年国债自然灾害应急能力提升工程（应急领域）补助资金预算的通知（冀财建【2024】26号）</w:t>
            </w:r>
          </w:p>
        </w:tc>
        <w:tc>
          <w:tcPr>
            <w:tcW w:w="964" w:type="dxa"/>
            <w:vAlign w:val="center"/>
          </w:tcPr>
          <w:p>
            <w:pPr>
              <w:pStyle w:val="12"/>
            </w:pPr>
            <w:r>
              <w:t>40.96</w:t>
            </w:r>
          </w:p>
        </w:tc>
        <w:tc>
          <w:tcPr>
            <w:tcW w:w="1134" w:type="dxa"/>
            <w:vAlign w:val="center"/>
          </w:tcPr>
          <w:p>
            <w:pPr>
              <w:pStyle w:val="13"/>
            </w:pPr>
            <w:r>
              <w:t>应急救援设备类</w:t>
            </w:r>
          </w:p>
        </w:tc>
        <w:tc>
          <w:tcPr>
            <w:tcW w:w="1134" w:type="dxa"/>
            <w:vAlign w:val="center"/>
          </w:tcPr>
          <w:p>
            <w:pPr>
              <w:pStyle w:val="13"/>
            </w:pPr>
            <w:r>
              <w:t>A02340800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40.96</w:t>
            </w:r>
          </w:p>
        </w:tc>
        <w:tc>
          <w:tcPr>
            <w:tcW w:w="964" w:type="dxa"/>
            <w:vAlign w:val="center"/>
          </w:tcPr>
          <w:p>
            <w:pPr>
              <w:pStyle w:val="12"/>
            </w:pPr>
            <w:r>
              <w:t>40.96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40.96</w:t>
            </w:r>
          </w:p>
        </w:tc>
        <w:tc>
          <w:tcPr>
            <w:tcW w:w="964" w:type="dxa"/>
            <w:vAlign w:val="center"/>
          </w:tcPr>
          <w:p>
            <w:pPr>
              <w:pStyle w:val="12"/>
            </w:pPr>
            <w:r>
              <w:t>40.96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关于下达增发2023年国债自然灾害应急能力提升工程（应急领域）省级补助资金预算的通知（冀财建【2024】28号）</w:t>
            </w:r>
          </w:p>
        </w:tc>
        <w:tc>
          <w:tcPr>
            <w:tcW w:w="964" w:type="dxa"/>
            <w:vAlign w:val="center"/>
          </w:tcPr>
          <w:p>
            <w:pPr>
              <w:pStyle w:val="12"/>
            </w:pPr>
            <w:r>
              <w:t>3.96</w:t>
            </w:r>
          </w:p>
        </w:tc>
        <w:tc>
          <w:tcPr>
            <w:tcW w:w="1134" w:type="dxa"/>
            <w:vAlign w:val="center"/>
          </w:tcPr>
          <w:p>
            <w:pPr>
              <w:pStyle w:val="13"/>
            </w:pPr>
            <w:r>
              <w:t>应急救援设备类</w:t>
            </w:r>
          </w:p>
        </w:tc>
        <w:tc>
          <w:tcPr>
            <w:tcW w:w="1134" w:type="dxa"/>
            <w:vAlign w:val="center"/>
          </w:tcPr>
          <w:p>
            <w:pPr>
              <w:pStyle w:val="13"/>
            </w:pPr>
            <w:r>
              <w:t>A02340800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3.96</w:t>
            </w:r>
          </w:p>
        </w:tc>
        <w:tc>
          <w:tcPr>
            <w:tcW w:w="964" w:type="dxa"/>
            <w:vAlign w:val="center"/>
          </w:tcPr>
          <w:p>
            <w:pPr>
              <w:pStyle w:val="12"/>
            </w:pPr>
            <w:r>
              <w:t>3.96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3.96</w:t>
            </w:r>
          </w:p>
        </w:tc>
        <w:tc>
          <w:tcPr>
            <w:tcW w:w="964" w:type="dxa"/>
            <w:vAlign w:val="center"/>
          </w:tcPr>
          <w:p>
            <w:pPr>
              <w:pStyle w:val="12"/>
            </w:pPr>
            <w:r>
              <w:t>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14.13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50</w:t>
            </w:r>
          </w:p>
        </w:tc>
        <w:tc>
          <w:tcPr>
            <w:tcW w:w="850" w:type="dxa"/>
            <w:vAlign w:val="center"/>
          </w:tcPr>
          <w:p>
            <w:pPr>
              <w:pStyle w:val="12"/>
            </w:pPr>
            <w:r>
              <w:t>0.02</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14.13</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个</w:t>
            </w:r>
          </w:p>
        </w:tc>
        <w:tc>
          <w:tcPr>
            <w:tcW w:w="850" w:type="dxa"/>
            <w:vAlign w:val="center"/>
          </w:tcPr>
          <w:p>
            <w:pPr>
              <w:pStyle w:val="12"/>
            </w:pPr>
            <w:r>
              <w:t>100</w:t>
            </w:r>
          </w:p>
        </w:tc>
        <w:tc>
          <w:tcPr>
            <w:tcW w:w="850" w:type="dxa"/>
            <w:vAlign w:val="center"/>
          </w:tcPr>
          <w:p>
            <w:pPr>
              <w:pStyle w:val="12"/>
            </w:pPr>
            <w:r>
              <w:t>0.02</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14.13</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14.13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14.13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青龙满族自治县应急管理局（含所属单位）上年末固定资产金额为1063.23万元（详见下表）。本年度拟购置固定资产总额为0.00万元，已按要求列入政府采购预算，详见政府采购预算表。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426青龙满族自治县应急管理局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1063.23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881.69</w:t>
            </w:r>
          </w:p>
        </w:tc>
        <w:tc>
          <w:tcPr>
            <w:tcW w:w="2835" w:type="dxa"/>
            <w:vAlign w:val="center"/>
          </w:tcPr>
          <w:p>
            <w:pPr>
              <w:pStyle w:val="12"/>
            </w:pPr>
            <w:r>
              <w:t>75.80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881.69</w:t>
            </w:r>
          </w:p>
        </w:tc>
        <w:tc>
          <w:tcPr>
            <w:tcW w:w="2835" w:type="dxa"/>
            <w:vAlign w:val="center"/>
          </w:tcPr>
          <w:p>
            <w:pPr>
              <w:pStyle w:val="12"/>
            </w:pPr>
            <w:r>
              <w:t>75.80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318.60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1032</w:t>
            </w:r>
          </w:p>
        </w:tc>
        <w:tc>
          <w:tcPr>
            <w:tcW w:w="2835" w:type="dxa"/>
            <w:vAlign w:val="center"/>
          </w:tcPr>
          <w:p>
            <w:pPr>
              <w:pStyle w:val="12"/>
            </w:pPr>
            <w:r>
              <w:t>646.95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052CA"/>
    <w:multiLevelType w:val="singleLevel"/>
    <w:tmpl w:val="FE4052C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1713585"/>
    <w:rsid w:val="39525388"/>
    <w:rsid w:val="44B275CF"/>
    <w:rsid w:val="65FC171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2025-01-24T15:00:00Z</dcterms:created>
  <dc:creator>Administrator</dc:creator>
  <cp:lastModifiedBy>DELL</cp:lastModifiedBy>
  <dcterms:modified xsi:type="dcterms:W3CDTF">2025-11-20T08:05:57Z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FF23DC264F644962B7D43A668F5552F3</vt:lpwstr>
  </property>
</Properties>
</file>