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一、青龙满族自治县融媒体中心（青龙满族自治县广播电视台）（本级）收支预算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一、青龙满族自治县融媒体中心（青龙满族自治县广播电视台）（本级）收支预算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880.22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15.00</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r>
              <w:t>60.00</w:t>
            </w: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776.27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141.18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38.51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37.08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955.22</w:t>
            </w:r>
          </w:p>
        </w:tc>
        <w:tc>
          <w:tcPr>
            <w:tcW w:w="4535" w:type="dxa"/>
            <w:vAlign w:val="center"/>
          </w:tcPr>
          <w:p>
            <w:pPr>
              <w:pStyle w:val="14"/>
            </w:pPr>
            <w:r>
              <w:t>本年支出合计</w:t>
            </w:r>
          </w:p>
        </w:tc>
        <w:tc>
          <w:tcPr>
            <w:tcW w:w="2126" w:type="dxa"/>
            <w:vAlign w:val="center"/>
          </w:tcPr>
          <w:p>
            <w:pPr>
              <w:pStyle w:val="15"/>
            </w:pPr>
            <w:r>
              <w:t>1008.03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52.81</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1008.03</w:t>
            </w:r>
          </w:p>
        </w:tc>
        <w:tc>
          <w:tcPr>
            <w:tcW w:w="4535" w:type="dxa"/>
            <w:vAlign w:val="center"/>
          </w:tcPr>
          <w:p>
            <w:pPr>
              <w:pStyle w:val="14"/>
            </w:pPr>
            <w:r>
              <w:t>支出总计</w:t>
            </w:r>
          </w:p>
        </w:tc>
        <w:tc>
          <w:tcPr>
            <w:tcW w:w="2126" w:type="dxa"/>
            <w:vAlign w:val="center"/>
          </w:tcPr>
          <w:p>
            <w:pPr>
              <w:pStyle w:val="15"/>
            </w:pPr>
            <w:r>
              <w:t>1008.03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1008.03</w:t>
            </w:r>
          </w:p>
        </w:tc>
        <w:tc>
          <w:tcPr>
            <w:tcW w:w="1134" w:type="dxa"/>
            <w:vAlign w:val="center"/>
          </w:tcPr>
          <w:p>
            <w:pPr>
              <w:pStyle w:val="15"/>
            </w:pPr>
            <w:r>
              <w:t>955.22</w:t>
            </w:r>
          </w:p>
        </w:tc>
        <w:tc>
          <w:tcPr>
            <w:tcW w:w="1134" w:type="dxa"/>
            <w:vAlign w:val="center"/>
          </w:tcPr>
          <w:p>
            <w:pPr>
              <w:pStyle w:val="15"/>
            </w:pPr>
            <w:r>
              <w:t>895.22</w:t>
            </w:r>
          </w:p>
        </w:tc>
        <w:tc>
          <w:tcPr>
            <w:tcW w:w="1134" w:type="dxa"/>
            <w:vAlign w:val="center"/>
          </w:tcPr>
          <w:p>
            <w:pPr>
              <w:pStyle w:val="15"/>
            </w:pPr>
          </w:p>
        </w:tc>
        <w:tc>
          <w:tcPr>
            <w:tcW w:w="1134" w:type="dxa"/>
            <w:vAlign w:val="center"/>
          </w:tcPr>
          <w:p>
            <w:pPr>
              <w:pStyle w:val="15"/>
            </w:pPr>
            <w:r>
              <w:t>60.00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52.81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776.27</w:t>
            </w:r>
          </w:p>
        </w:tc>
        <w:tc>
          <w:tcPr>
            <w:tcW w:w="1134" w:type="dxa"/>
            <w:vAlign w:val="center"/>
          </w:tcPr>
          <w:p>
            <w:pPr>
              <w:pStyle w:val="11"/>
            </w:pPr>
            <w:r>
              <w:t>724.71</w:t>
            </w:r>
          </w:p>
        </w:tc>
        <w:tc>
          <w:tcPr>
            <w:tcW w:w="1134" w:type="dxa"/>
            <w:vAlign w:val="center"/>
          </w:tcPr>
          <w:p>
            <w:pPr>
              <w:pStyle w:val="11"/>
            </w:pPr>
            <w:r>
              <w:t>664.71</w:t>
            </w:r>
          </w:p>
        </w:tc>
        <w:tc>
          <w:tcPr>
            <w:tcW w:w="1134" w:type="dxa"/>
            <w:vAlign w:val="center"/>
          </w:tcPr>
          <w:p>
            <w:pPr>
              <w:pStyle w:val="11"/>
            </w:pPr>
          </w:p>
        </w:tc>
        <w:tc>
          <w:tcPr>
            <w:tcW w:w="1134" w:type="dxa"/>
            <w:vAlign w:val="center"/>
          </w:tcPr>
          <w:p>
            <w:pPr>
              <w:pStyle w:val="11"/>
            </w:pPr>
            <w:r>
              <w:t>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51.56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20708</w:t>
            </w:r>
          </w:p>
        </w:tc>
        <w:tc>
          <w:tcPr>
            <w:tcW w:w="1559" w:type="dxa"/>
            <w:vAlign w:val="center"/>
          </w:tcPr>
          <w:p>
            <w:pPr>
              <w:pStyle w:val="12"/>
            </w:pPr>
            <w:r>
              <w:t>广播电视</w:t>
            </w:r>
          </w:p>
        </w:tc>
        <w:tc>
          <w:tcPr>
            <w:tcW w:w="1134" w:type="dxa"/>
            <w:vAlign w:val="center"/>
          </w:tcPr>
          <w:p>
            <w:pPr>
              <w:pStyle w:val="11"/>
            </w:pPr>
            <w:r>
              <w:t>776.27</w:t>
            </w:r>
          </w:p>
        </w:tc>
        <w:tc>
          <w:tcPr>
            <w:tcW w:w="1134" w:type="dxa"/>
            <w:vAlign w:val="center"/>
          </w:tcPr>
          <w:p>
            <w:pPr>
              <w:pStyle w:val="11"/>
            </w:pPr>
            <w:r>
              <w:t>724.71</w:t>
            </w:r>
          </w:p>
        </w:tc>
        <w:tc>
          <w:tcPr>
            <w:tcW w:w="1134" w:type="dxa"/>
            <w:vAlign w:val="center"/>
          </w:tcPr>
          <w:p>
            <w:pPr>
              <w:pStyle w:val="11"/>
            </w:pPr>
            <w:r>
              <w:t>664.71</w:t>
            </w:r>
          </w:p>
        </w:tc>
        <w:tc>
          <w:tcPr>
            <w:tcW w:w="1134" w:type="dxa"/>
            <w:vAlign w:val="center"/>
          </w:tcPr>
          <w:p>
            <w:pPr>
              <w:pStyle w:val="11"/>
            </w:pPr>
          </w:p>
        </w:tc>
        <w:tc>
          <w:tcPr>
            <w:tcW w:w="1134" w:type="dxa"/>
            <w:vAlign w:val="center"/>
          </w:tcPr>
          <w:p>
            <w:pPr>
              <w:pStyle w:val="11"/>
            </w:pPr>
            <w:r>
              <w:t>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51.56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2070807</w:t>
            </w:r>
          </w:p>
        </w:tc>
        <w:tc>
          <w:tcPr>
            <w:tcW w:w="1559" w:type="dxa"/>
            <w:vAlign w:val="center"/>
          </w:tcPr>
          <w:p>
            <w:pPr>
              <w:pStyle w:val="12"/>
            </w:pPr>
            <w:r>
              <w:t>传输发射</w:t>
            </w:r>
          </w:p>
        </w:tc>
        <w:tc>
          <w:tcPr>
            <w:tcW w:w="1134" w:type="dxa"/>
            <w:vAlign w:val="center"/>
          </w:tcPr>
          <w:p>
            <w:pPr>
              <w:pStyle w:val="11"/>
            </w:pPr>
            <w:r>
              <w:t>61.17</w:t>
            </w:r>
          </w:p>
        </w:tc>
        <w:tc>
          <w:tcPr>
            <w:tcW w:w="1134" w:type="dxa"/>
            <w:vAlign w:val="center"/>
          </w:tcPr>
          <w:p>
            <w:pPr>
              <w:pStyle w:val="11"/>
            </w:pPr>
            <w:r>
              <w:t>46.06</w:t>
            </w:r>
          </w:p>
        </w:tc>
        <w:tc>
          <w:tcPr>
            <w:tcW w:w="1134" w:type="dxa"/>
            <w:vAlign w:val="center"/>
          </w:tcPr>
          <w:p>
            <w:pPr>
              <w:pStyle w:val="11"/>
            </w:pPr>
            <w:r>
              <w:t>46.06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2070808</w:t>
            </w:r>
          </w:p>
        </w:tc>
        <w:tc>
          <w:tcPr>
            <w:tcW w:w="1559" w:type="dxa"/>
            <w:vAlign w:val="center"/>
          </w:tcPr>
          <w:p>
            <w:pPr>
              <w:pStyle w:val="12"/>
            </w:pPr>
            <w:r>
              <w:t>广播电视事务</w:t>
            </w:r>
          </w:p>
        </w:tc>
        <w:tc>
          <w:tcPr>
            <w:tcW w:w="1134" w:type="dxa"/>
            <w:vAlign w:val="center"/>
          </w:tcPr>
          <w:p>
            <w:pPr>
              <w:pStyle w:val="11"/>
            </w:pPr>
            <w:r>
              <w:t>715.10</w:t>
            </w:r>
          </w:p>
        </w:tc>
        <w:tc>
          <w:tcPr>
            <w:tcW w:w="1134" w:type="dxa"/>
            <w:vAlign w:val="center"/>
          </w:tcPr>
          <w:p>
            <w:pPr>
              <w:pStyle w:val="11"/>
            </w:pPr>
            <w:r>
              <w:t>678.65</w:t>
            </w:r>
          </w:p>
        </w:tc>
        <w:tc>
          <w:tcPr>
            <w:tcW w:w="1134" w:type="dxa"/>
            <w:vAlign w:val="center"/>
          </w:tcPr>
          <w:p>
            <w:pPr>
              <w:pStyle w:val="11"/>
            </w:pPr>
            <w:r>
              <w:t>618.65</w:t>
            </w:r>
          </w:p>
        </w:tc>
        <w:tc>
          <w:tcPr>
            <w:tcW w:w="1134" w:type="dxa"/>
            <w:vAlign w:val="center"/>
          </w:tcPr>
          <w:p>
            <w:pPr>
              <w:pStyle w:val="11"/>
            </w:pPr>
          </w:p>
        </w:tc>
        <w:tc>
          <w:tcPr>
            <w:tcW w:w="1134" w:type="dxa"/>
            <w:vAlign w:val="center"/>
          </w:tcPr>
          <w:p>
            <w:pPr>
              <w:pStyle w:val="11"/>
            </w:pPr>
            <w:r>
              <w:t>60.00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36.45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141.18</w:t>
            </w:r>
          </w:p>
        </w:tc>
        <w:tc>
          <w:tcPr>
            <w:tcW w:w="1134" w:type="dxa"/>
            <w:vAlign w:val="center"/>
          </w:tcPr>
          <w:p>
            <w:pPr>
              <w:pStyle w:val="11"/>
            </w:pPr>
            <w:r>
              <w:t>139.92</w:t>
            </w:r>
          </w:p>
        </w:tc>
        <w:tc>
          <w:tcPr>
            <w:tcW w:w="1134" w:type="dxa"/>
            <w:vAlign w:val="center"/>
          </w:tcPr>
          <w:p>
            <w:pPr>
              <w:pStyle w:val="11"/>
            </w:pPr>
            <w:r>
              <w:t>139.92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134.13</w:t>
            </w:r>
          </w:p>
        </w:tc>
        <w:tc>
          <w:tcPr>
            <w:tcW w:w="1134" w:type="dxa"/>
            <w:vAlign w:val="center"/>
          </w:tcPr>
          <w:p>
            <w:pPr>
              <w:pStyle w:val="11"/>
            </w:pPr>
            <w:r>
              <w:t>132.88</w:t>
            </w:r>
          </w:p>
        </w:tc>
        <w:tc>
          <w:tcPr>
            <w:tcW w:w="1134" w:type="dxa"/>
            <w:vAlign w:val="center"/>
          </w:tcPr>
          <w:p>
            <w:pPr>
              <w:pStyle w:val="11"/>
            </w:pPr>
            <w:r>
              <w:t>132.88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25.69</w:t>
            </w:r>
          </w:p>
        </w:tc>
        <w:tc>
          <w:tcPr>
            <w:tcW w:w="1134" w:type="dxa"/>
            <w:vAlign w:val="center"/>
          </w:tcPr>
          <w:p>
            <w:pPr>
              <w:pStyle w:val="11"/>
            </w:pPr>
            <w:r>
              <w:t>24.43</w:t>
            </w:r>
          </w:p>
        </w:tc>
        <w:tc>
          <w:tcPr>
            <w:tcW w:w="1134" w:type="dxa"/>
            <w:vAlign w:val="center"/>
          </w:tcPr>
          <w:p>
            <w:pPr>
              <w:pStyle w:val="11"/>
            </w:pPr>
            <w:r>
              <w:t>24.43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72.30</w:t>
            </w:r>
          </w:p>
        </w:tc>
        <w:tc>
          <w:tcPr>
            <w:tcW w:w="1134" w:type="dxa"/>
            <w:vAlign w:val="center"/>
          </w:tcPr>
          <w:p>
            <w:pPr>
              <w:pStyle w:val="11"/>
            </w:pPr>
            <w:r>
              <w:t>72.30</w:t>
            </w:r>
          </w:p>
        </w:tc>
        <w:tc>
          <w:tcPr>
            <w:tcW w:w="1134" w:type="dxa"/>
            <w:vAlign w:val="center"/>
          </w:tcPr>
          <w:p>
            <w:pPr>
              <w:pStyle w:val="11"/>
            </w:pPr>
            <w:r>
              <w:t>72.30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36.15</w:t>
            </w:r>
          </w:p>
        </w:tc>
        <w:tc>
          <w:tcPr>
            <w:tcW w:w="1134" w:type="dxa"/>
            <w:vAlign w:val="center"/>
          </w:tcPr>
          <w:p>
            <w:pPr>
              <w:pStyle w:val="11"/>
            </w:pPr>
            <w:r>
              <w:t>36.15</w:t>
            </w:r>
          </w:p>
        </w:tc>
        <w:tc>
          <w:tcPr>
            <w:tcW w:w="1134" w:type="dxa"/>
            <w:vAlign w:val="center"/>
          </w:tcPr>
          <w:p>
            <w:pPr>
              <w:pStyle w:val="11"/>
            </w:pPr>
            <w:r>
              <w:t>36.15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7.04</w:t>
            </w:r>
          </w:p>
        </w:tc>
        <w:tc>
          <w:tcPr>
            <w:tcW w:w="1134" w:type="dxa"/>
            <w:vAlign w:val="center"/>
          </w:tcPr>
          <w:p>
            <w:pPr>
              <w:pStyle w:val="11"/>
            </w:pPr>
            <w:r>
              <w:t>7.04</w:t>
            </w:r>
          </w:p>
        </w:tc>
        <w:tc>
          <w:tcPr>
            <w:tcW w:w="1134" w:type="dxa"/>
            <w:vAlign w:val="center"/>
          </w:tcPr>
          <w:p>
            <w:pPr>
              <w:pStyle w:val="11"/>
            </w:pPr>
            <w:r>
              <w:t>7.04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7.04</w:t>
            </w:r>
          </w:p>
        </w:tc>
        <w:tc>
          <w:tcPr>
            <w:tcW w:w="1134" w:type="dxa"/>
            <w:vAlign w:val="center"/>
          </w:tcPr>
          <w:p>
            <w:pPr>
              <w:pStyle w:val="11"/>
            </w:pPr>
            <w:r>
              <w:t>7.04</w:t>
            </w:r>
          </w:p>
        </w:tc>
        <w:tc>
          <w:tcPr>
            <w:tcW w:w="1134" w:type="dxa"/>
            <w:vAlign w:val="center"/>
          </w:tcPr>
          <w:p>
            <w:pPr>
              <w:pStyle w:val="11"/>
            </w:pPr>
            <w:r>
              <w:t>7.04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38.51</w:t>
            </w:r>
          </w:p>
        </w:tc>
        <w:tc>
          <w:tcPr>
            <w:tcW w:w="1134" w:type="dxa"/>
            <w:vAlign w:val="center"/>
          </w:tcPr>
          <w:p>
            <w:pPr>
              <w:pStyle w:val="11"/>
            </w:pPr>
            <w:r>
              <w:t>38.51</w:t>
            </w:r>
          </w:p>
        </w:tc>
        <w:tc>
          <w:tcPr>
            <w:tcW w:w="1134" w:type="dxa"/>
            <w:vAlign w:val="center"/>
          </w:tcPr>
          <w:p>
            <w:pPr>
              <w:pStyle w:val="11"/>
            </w:pPr>
            <w:r>
              <w:t>38.51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38.51</w:t>
            </w:r>
          </w:p>
        </w:tc>
        <w:tc>
          <w:tcPr>
            <w:tcW w:w="1134" w:type="dxa"/>
            <w:vAlign w:val="center"/>
          </w:tcPr>
          <w:p>
            <w:pPr>
              <w:pStyle w:val="11"/>
            </w:pPr>
            <w:r>
              <w:t>38.51</w:t>
            </w:r>
          </w:p>
        </w:tc>
        <w:tc>
          <w:tcPr>
            <w:tcW w:w="1134" w:type="dxa"/>
            <w:vAlign w:val="center"/>
          </w:tcPr>
          <w:p>
            <w:pPr>
              <w:pStyle w:val="11"/>
            </w:pPr>
            <w:r>
              <w:t>38.51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38.51</w:t>
            </w:r>
          </w:p>
        </w:tc>
        <w:tc>
          <w:tcPr>
            <w:tcW w:w="1134" w:type="dxa"/>
            <w:vAlign w:val="center"/>
          </w:tcPr>
          <w:p>
            <w:pPr>
              <w:pStyle w:val="11"/>
            </w:pPr>
            <w:r>
              <w:t>38.51</w:t>
            </w:r>
          </w:p>
        </w:tc>
        <w:tc>
          <w:tcPr>
            <w:tcW w:w="1134" w:type="dxa"/>
            <w:vAlign w:val="center"/>
          </w:tcPr>
          <w:p>
            <w:pPr>
              <w:pStyle w:val="11"/>
            </w:pPr>
            <w:r>
              <w:t>38.51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37.08</w:t>
            </w:r>
          </w:p>
        </w:tc>
        <w:tc>
          <w:tcPr>
            <w:tcW w:w="1134" w:type="dxa"/>
            <w:vAlign w:val="center"/>
          </w:tcPr>
          <w:p>
            <w:pPr>
              <w:pStyle w:val="11"/>
            </w:pPr>
            <w:r>
              <w:t>37.08</w:t>
            </w:r>
          </w:p>
        </w:tc>
        <w:tc>
          <w:tcPr>
            <w:tcW w:w="1134" w:type="dxa"/>
            <w:vAlign w:val="center"/>
          </w:tcPr>
          <w:p>
            <w:pPr>
              <w:pStyle w:val="11"/>
            </w:pPr>
            <w:r>
              <w:t>37.08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37.08</w:t>
            </w:r>
          </w:p>
        </w:tc>
        <w:tc>
          <w:tcPr>
            <w:tcW w:w="1134" w:type="dxa"/>
            <w:vAlign w:val="center"/>
          </w:tcPr>
          <w:p>
            <w:pPr>
              <w:pStyle w:val="11"/>
            </w:pPr>
            <w:r>
              <w:t>37.08</w:t>
            </w:r>
          </w:p>
        </w:tc>
        <w:tc>
          <w:tcPr>
            <w:tcW w:w="1134" w:type="dxa"/>
            <w:vAlign w:val="center"/>
          </w:tcPr>
          <w:p>
            <w:pPr>
              <w:pStyle w:val="11"/>
            </w:pPr>
            <w:r>
              <w:t>37.08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37.08</w:t>
            </w:r>
          </w:p>
        </w:tc>
        <w:tc>
          <w:tcPr>
            <w:tcW w:w="1134" w:type="dxa"/>
            <w:vAlign w:val="center"/>
          </w:tcPr>
          <w:p>
            <w:pPr>
              <w:pStyle w:val="11"/>
            </w:pPr>
            <w:r>
              <w:t>37.08</w:t>
            </w:r>
          </w:p>
        </w:tc>
        <w:tc>
          <w:tcPr>
            <w:tcW w:w="1134" w:type="dxa"/>
            <w:vAlign w:val="center"/>
          </w:tcPr>
          <w:p>
            <w:pPr>
              <w:pStyle w:val="11"/>
            </w:pPr>
            <w:r>
              <w:t>37.08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1008.03</w:t>
            </w:r>
          </w:p>
        </w:tc>
        <w:tc>
          <w:tcPr>
            <w:tcW w:w="1361" w:type="dxa"/>
            <w:vAlign w:val="center"/>
          </w:tcPr>
          <w:p>
            <w:pPr>
              <w:pStyle w:val="15"/>
            </w:pPr>
            <w:r>
              <w:t>931.87</w:t>
            </w:r>
          </w:p>
        </w:tc>
        <w:tc>
          <w:tcPr>
            <w:tcW w:w="1361" w:type="dxa"/>
            <w:vAlign w:val="center"/>
          </w:tcPr>
          <w:p>
            <w:pPr>
              <w:pStyle w:val="15"/>
            </w:pPr>
            <w:r>
              <w:t>76.17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776.27</w:t>
            </w:r>
          </w:p>
        </w:tc>
        <w:tc>
          <w:tcPr>
            <w:tcW w:w="1361" w:type="dxa"/>
            <w:vAlign w:val="center"/>
          </w:tcPr>
          <w:p>
            <w:pPr>
              <w:pStyle w:val="11"/>
            </w:pPr>
            <w:r>
              <w:t>715.10</w:t>
            </w:r>
          </w:p>
        </w:tc>
        <w:tc>
          <w:tcPr>
            <w:tcW w:w="1361" w:type="dxa"/>
            <w:vAlign w:val="center"/>
          </w:tcPr>
          <w:p>
            <w:pPr>
              <w:pStyle w:val="11"/>
            </w:pPr>
            <w:r>
              <w:t>61.17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20708</w:t>
            </w:r>
          </w:p>
        </w:tc>
        <w:tc>
          <w:tcPr>
            <w:tcW w:w="4535" w:type="dxa"/>
            <w:vAlign w:val="center"/>
          </w:tcPr>
          <w:p>
            <w:pPr>
              <w:pStyle w:val="12"/>
            </w:pPr>
            <w:r>
              <w:t>广播电视</w:t>
            </w:r>
          </w:p>
        </w:tc>
        <w:tc>
          <w:tcPr>
            <w:tcW w:w="1361" w:type="dxa"/>
            <w:vAlign w:val="center"/>
          </w:tcPr>
          <w:p>
            <w:pPr>
              <w:pStyle w:val="11"/>
            </w:pPr>
            <w:r>
              <w:t>776.27</w:t>
            </w:r>
          </w:p>
        </w:tc>
        <w:tc>
          <w:tcPr>
            <w:tcW w:w="1361" w:type="dxa"/>
            <w:vAlign w:val="center"/>
          </w:tcPr>
          <w:p>
            <w:pPr>
              <w:pStyle w:val="11"/>
            </w:pPr>
            <w:r>
              <w:t>715.10</w:t>
            </w:r>
          </w:p>
        </w:tc>
        <w:tc>
          <w:tcPr>
            <w:tcW w:w="1361" w:type="dxa"/>
            <w:vAlign w:val="center"/>
          </w:tcPr>
          <w:p>
            <w:pPr>
              <w:pStyle w:val="11"/>
            </w:pPr>
            <w:r>
              <w:t>61.17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2070807</w:t>
            </w:r>
          </w:p>
        </w:tc>
        <w:tc>
          <w:tcPr>
            <w:tcW w:w="4535" w:type="dxa"/>
            <w:vAlign w:val="center"/>
          </w:tcPr>
          <w:p>
            <w:pPr>
              <w:pStyle w:val="12"/>
            </w:pPr>
            <w:r>
              <w:t>传输发射</w:t>
            </w:r>
          </w:p>
        </w:tc>
        <w:tc>
          <w:tcPr>
            <w:tcW w:w="1361" w:type="dxa"/>
            <w:vAlign w:val="center"/>
          </w:tcPr>
          <w:p>
            <w:pPr>
              <w:pStyle w:val="11"/>
            </w:pPr>
            <w:r>
              <w:t>61.17</w:t>
            </w:r>
          </w:p>
        </w:tc>
        <w:tc>
          <w:tcPr>
            <w:tcW w:w="1361" w:type="dxa"/>
            <w:vAlign w:val="center"/>
          </w:tcPr>
          <w:p>
            <w:pPr>
              <w:pStyle w:val="11"/>
            </w:pPr>
          </w:p>
        </w:tc>
        <w:tc>
          <w:tcPr>
            <w:tcW w:w="1361" w:type="dxa"/>
            <w:vAlign w:val="center"/>
          </w:tcPr>
          <w:p>
            <w:pPr>
              <w:pStyle w:val="11"/>
            </w:pPr>
            <w:r>
              <w:t>61.17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2070808</w:t>
            </w:r>
          </w:p>
        </w:tc>
        <w:tc>
          <w:tcPr>
            <w:tcW w:w="4535" w:type="dxa"/>
            <w:vAlign w:val="center"/>
          </w:tcPr>
          <w:p>
            <w:pPr>
              <w:pStyle w:val="12"/>
            </w:pPr>
            <w:r>
              <w:t>广播电视事务</w:t>
            </w:r>
          </w:p>
        </w:tc>
        <w:tc>
          <w:tcPr>
            <w:tcW w:w="1361" w:type="dxa"/>
            <w:vAlign w:val="center"/>
          </w:tcPr>
          <w:p>
            <w:pPr>
              <w:pStyle w:val="11"/>
            </w:pPr>
            <w:r>
              <w:t>715.10</w:t>
            </w:r>
          </w:p>
        </w:tc>
        <w:tc>
          <w:tcPr>
            <w:tcW w:w="1361" w:type="dxa"/>
            <w:vAlign w:val="center"/>
          </w:tcPr>
          <w:p>
            <w:pPr>
              <w:pStyle w:val="11"/>
            </w:pPr>
            <w:r>
              <w:t>715.10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141.18</w:t>
            </w:r>
          </w:p>
        </w:tc>
        <w:tc>
          <w:tcPr>
            <w:tcW w:w="1361" w:type="dxa"/>
            <w:vAlign w:val="center"/>
          </w:tcPr>
          <w:p>
            <w:pPr>
              <w:pStyle w:val="11"/>
            </w:pPr>
            <w:r>
              <w:t>141.18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134.13</w:t>
            </w:r>
          </w:p>
        </w:tc>
        <w:tc>
          <w:tcPr>
            <w:tcW w:w="1361" w:type="dxa"/>
            <w:vAlign w:val="center"/>
          </w:tcPr>
          <w:p>
            <w:pPr>
              <w:pStyle w:val="11"/>
            </w:pPr>
            <w:r>
              <w:t>134.13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25.69</w:t>
            </w:r>
          </w:p>
        </w:tc>
        <w:tc>
          <w:tcPr>
            <w:tcW w:w="1361" w:type="dxa"/>
            <w:vAlign w:val="center"/>
          </w:tcPr>
          <w:p>
            <w:pPr>
              <w:pStyle w:val="11"/>
            </w:pPr>
            <w:r>
              <w:t>25.69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72.30</w:t>
            </w:r>
          </w:p>
        </w:tc>
        <w:tc>
          <w:tcPr>
            <w:tcW w:w="1361" w:type="dxa"/>
            <w:vAlign w:val="center"/>
          </w:tcPr>
          <w:p>
            <w:pPr>
              <w:pStyle w:val="11"/>
            </w:pPr>
            <w:r>
              <w:t>72.30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36.15</w:t>
            </w:r>
          </w:p>
        </w:tc>
        <w:tc>
          <w:tcPr>
            <w:tcW w:w="1361" w:type="dxa"/>
            <w:vAlign w:val="center"/>
          </w:tcPr>
          <w:p>
            <w:pPr>
              <w:pStyle w:val="11"/>
            </w:pPr>
            <w:r>
              <w:t>36.15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7.04</w:t>
            </w:r>
          </w:p>
        </w:tc>
        <w:tc>
          <w:tcPr>
            <w:tcW w:w="1361" w:type="dxa"/>
            <w:vAlign w:val="center"/>
          </w:tcPr>
          <w:p>
            <w:pPr>
              <w:pStyle w:val="11"/>
            </w:pPr>
            <w:r>
              <w:t>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7.04</w:t>
            </w:r>
          </w:p>
        </w:tc>
        <w:tc>
          <w:tcPr>
            <w:tcW w:w="1361" w:type="dxa"/>
            <w:vAlign w:val="center"/>
          </w:tcPr>
          <w:p>
            <w:pPr>
              <w:pStyle w:val="11"/>
            </w:pPr>
            <w:r>
              <w:t>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38.51</w:t>
            </w:r>
          </w:p>
        </w:tc>
        <w:tc>
          <w:tcPr>
            <w:tcW w:w="1361" w:type="dxa"/>
            <w:vAlign w:val="center"/>
          </w:tcPr>
          <w:p>
            <w:pPr>
              <w:pStyle w:val="11"/>
            </w:pPr>
            <w:r>
              <w:t>38.51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38.51</w:t>
            </w:r>
          </w:p>
        </w:tc>
        <w:tc>
          <w:tcPr>
            <w:tcW w:w="1361" w:type="dxa"/>
            <w:vAlign w:val="center"/>
          </w:tcPr>
          <w:p>
            <w:pPr>
              <w:pStyle w:val="11"/>
            </w:pPr>
            <w:r>
              <w:t>38.51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38.51</w:t>
            </w:r>
          </w:p>
        </w:tc>
        <w:tc>
          <w:tcPr>
            <w:tcW w:w="1361" w:type="dxa"/>
            <w:vAlign w:val="center"/>
          </w:tcPr>
          <w:p>
            <w:pPr>
              <w:pStyle w:val="11"/>
            </w:pPr>
            <w:r>
              <w:t>38.51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37.08</w:t>
            </w:r>
          </w:p>
        </w:tc>
        <w:tc>
          <w:tcPr>
            <w:tcW w:w="1361" w:type="dxa"/>
            <w:vAlign w:val="center"/>
          </w:tcPr>
          <w:p>
            <w:pPr>
              <w:pStyle w:val="11"/>
            </w:pPr>
            <w:r>
              <w:t>37.08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37.08</w:t>
            </w:r>
          </w:p>
        </w:tc>
        <w:tc>
          <w:tcPr>
            <w:tcW w:w="1361" w:type="dxa"/>
            <w:vAlign w:val="center"/>
          </w:tcPr>
          <w:p>
            <w:pPr>
              <w:pStyle w:val="11"/>
            </w:pPr>
            <w:r>
              <w:t>37.08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37.08</w:t>
            </w:r>
          </w:p>
        </w:tc>
        <w:tc>
          <w:tcPr>
            <w:tcW w:w="1361" w:type="dxa"/>
            <w:vAlign w:val="center"/>
          </w:tcPr>
          <w:p>
            <w:pPr>
              <w:pStyle w:val="11"/>
            </w:pPr>
            <w:r>
              <w:t>37.08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880.22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15.00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716.27</w:t>
            </w:r>
          </w:p>
        </w:tc>
        <w:tc>
          <w:tcPr>
            <w:tcW w:w="1474" w:type="dxa"/>
            <w:vAlign w:val="center"/>
          </w:tcPr>
          <w:p>
            <w:pPr>
              <w:pStyle w:val="11"/>
            </w:pPr>
            <w:r>
              <w:t>716.27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141.18</w:t>
            </w:r>
          </w:p>
        </w:tc>
        <w:tc>
          <w:tcPr>
            <w:tcW w:w="1474" w:type="dxa"/>
            <w:vAlign w:val="center"/>
          </w:tcPr>
          <w:p>
            <w:pPr>
              <w:pStyle w:val="11"/>
            </w:pPr>
            <w:r>
              <w:t>141.18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38.51</w:t>
            </w:r>
          </w:p>
        </w:tc>
        <w:tc>
          <w:tcPr>
            <w:tcW w:w="1474" w:type="dxa"/>
            <w:vAlign w:val="center"/>
          </w:tcPr>
          <w:p>
            <w:pPr>
              <w:pStyle w:val="11"/>
            </w:pPr>
            <w:r>
              <w:t>38.51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15.00</w:t>
            </w:r>
          </w:p>
        </w:tc>
        <w:tc>
          <w:tcPr>
            <w:tcW w:w="1474" w:type="dxa"/>
            <w:vAlign w:val="center"/>
          </w:tcPr>
          <w:p>
            <w:pPr>
              <w:pStyle w:val="11"/>
            </w:pPr>
          </w:p>
        </w:tc>
        <w:tc>
          <w:tcPr>
            <w:tcW w:w="1474" w:type="dxa"/>
            <w:vAlign w:val="center"/>
          </w:tcPr>
          <w:p>
            <w:pPr>
              <w:pStyle w:val="11"/>
            </w:pPr>
            <w:r>
              <w:t>15.00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37.08</w:t>
            </w:r>
          </w:p>
        </w:tc>
        <w:tc>
          <w:tcPr>
            <w:tcW w:w="1474" w:type="dxa"/>
            <w:vAlign w:val="center"/>
          </w:tcPr>
          <w:p>
            <w:pPr>
              <w:pStyle w:val="11"/>
            </w:pPr>
            <w:r>
              <w:t>37.08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895.22</w:t>
            </w:r>
          </w:p>
        </w:tc>
        <w:tc>
          <w:tcPr>
            <w:tcW w:w="3402" w:type="dxa"/>
            <w:vAlign w:val="center"/>
          </w:tcPr>
          <w:p>
            <w:pPr>
              <w:pStyle w:val="14"/>
            </w:pPr>
            <w:r>
              <w:t>本年支出合计</w:t>
            </w:r>
          </w:p>
        </w:tc>
        <w:tc>
          <w:tcPr>
            <w:tcW w:w="1474" w:type="dxa"/>
            <w:vAlign w:val="center"/>
          </w:tcPr>
          <w:p>
            <w:pPr>
              <w:pStyle w:val="15"/>
            </w:pPr>
            <w:r>
              <w:t>948.03</w:t>
            </w:r>
          </w:p>
        </w:tc>
        <w:tc>
          <w:tcPr>
            <w:tcW w:w="1474" w:type="dxa"/>
            <w:vAlign w:val="center"/>
          </w:tcPr>
          <w:p>
            <w:pPr>
              <w:pStyle w:val="15"/>
            </w:pPr>
            <w:r>
              <w:t>933.03</w:t>
            </w:r>
          </w:p>
        </w:tc>
        <w:tc>
          <w:tcPr>
            <w:tcW w:w="1474" w:type="dxa"/>
            <w:vAlign w:val="center"/>
          </w:tcPr>
          <w:p>
            <w:pPr>
              <w:pStyle w:val="15"/>
            </w:pPr>
            <w:r>
              <w:t>15.00</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52.81</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52.81</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948.03</w:t>
            </w:r>
          </w:p>
        </w:tc>
        <w:tc>
          <w:tcPr>
            <w:tcW w:w="3402" w:type="dxa"/>
            <w:vAlign w:val="center"/>
          </w:tcPr>
          <w:p>
            <w:pPr>
              <w:pStyle w:val="14"/>
            </w:pPr>
            <w:r>
              <w:t>支出总计</w:t>
            </w:r>
          </w:p>
        </w:tc>
        <w:tc>
          <w:tcPr>
            <w:tcW w:w="1474" w:type="dxa"/>
            <w:vAlign w:val="center"/>
          </w:tcPr>
          <w:p>
            <w:pPr>
              <w:pStyle w:val="15"/>
            </w:pPr>
            <w:r>
              <w:t>948.03</w:t>
            </w:r>
          </w:p>
        </w:tc>
        <w:tc>
          <w:tcPr>
            <w:tcW w:w="1474" w:type="dxa"/>
            <w:vAlign w:val="center"/>
          </w:tcPr>
          <w:p>
            <w:pPr>
              <w:pStyle w:val="15"/>
            </w:pPr>
            <w:r>
              <w:t>933.03</w:t>
            </w:r>
          </w:p>
        </w:tc>
        <w:tc>
          <w:tcPr>
            <w:tcW w:w="1474" w:type="dxa"/>
            <w:vAlign w:val="center"/>
          </w:tcPr>
          <w:p>
            <w:pPr>
              <w:pStyle w:val="15"/>
            </w:pPr>
            <w:r>
              <w:t>15.00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933.03</w:t>
            </w:r>
          </w:p>
        </w:tc>
        <w:tc>
          <w:tcPr>
            <w:tcW w:w="2551" w:type="dxa"/>
            <w:vAlign w:val="center"/>
          </w:tcPr>
          <w:p>
            <w:pPr>
              <w:pStyle w:val="15"/>
            </w:pPr>
            <w:r>
              <w:t>871.87</w:t>
            </w:r>
          </w:p>
        </w:tc>
        <w:tc>
          <w:tcPr>
            <w:tcW w:w="2551" w:type="dxa"/>
            <w:vAlign w:val="center"/>
          </w:tcPr>
          <w:p>
            <w:pPr>
              <w:pStyle w:val="15"/>
            </w:pPr>
            <w:r>
              <w:t>61.17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716.27</w:t>
            </w:r>
          </w:p>
        </w:tc>
        <w:tc>
          <w:tcPr>
            <w:tcW w:w="2551" w:type="dxa"/>
            <w:vAlign w:val="center"/>
          </w:tcPr>
          <w:p>
            <w:pPr>
              <w:pStyle w:val="11"/>
            </w:pPr>
            <w:r>
              <w:t>655.10</w:t>
            </w:r>
          </w:p>
        </w:tc>
        <w:tc>
          <w:tcPr>
            <w:tcW w:w="2551" w:type="dxa"/>
            <w:vAlign w:val="center"/>
          </w:tcPr>
          <w:p>
            <w:pPr>
              <w:pStyle w:val="11"/>
            </w:pPr>
            <w:r>
              <w:t>61.17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20708</w:t>
            </w:r>
          </w:p>
        </w:tc>
        <w:tc>
          <w:tcPr>
            <w:tcW w:w="4535" w:type="dxa"/>
            <w:vAlign w:val="center"/>
          </w:tcPr>
          <w:p>
            <w:pPr>
              <w:pStyle w:val="12"/>
            </w:pPr>
            <w:r>
              <w:t>广播电视</w:t>
            </w:r>
          </w:p>
        </w:tc>
        <w:tc>
          <w:tcPr>
            <w:tcW w:w="2551" w:type="dxa"/>
            <w:vAlign w:val="center"/>
          </w:tcPr>
          <w:p>
            <w:pPr>
              <w:pStyle w:val="11"/>
            </w:pPr>
            <w:r>
              <w:t>716.27</w:t>
            </w:r>
          </w:p>
        </w:tc>
        <w:tc>
          <w:tcPr>
            <w:tcW w:w="2551" w:type="dxa"/>
            <w:vAlign w:val="center"/>
          </w:tcPr>
          <w:p>
            <w:pPr>
              <w:pStyle w:val="11"/>
            </w:pPr>
            <w:r>
              <w:t>655.10</w:t>
            </w:r>
          </w:p>
        </w:tc>
        <w:tc>
          <w:tcPr>
            <w:tcW w:w="2551" w:type="dxa"/>
            <w:vAlign w:val="center"/>
          </w:tcPr>
          <w:p>
            <w:pPr>
              <w:pStyle w:val="11"/>
            </w:pPr>
            <w:r>
              <w:t>61.17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2070807</w:t>
            </w:r>
          </w:p>
        </w:tc>
        <w:tc>
          <w:tcPr>
            <w:tcW w:w="4535" w:type="dxa"/>
            <w:vAlign w:val="center"/>
          </w:tcPr>
          <w:p>
            <w:pPr>
              <w:pStyle w:val="12"/>
            </w:pPr>
            <w:r>
              <w:t>传输发射</w:t>
            </w:r>
          </w:p>
        </w:tc>
        <w:tc>
          <w:tcPr>
            <w:tcW w:w="2551" w:type="dxa"/>
            <w:vAlign w:val="center"/>
          </w:tcPr>
          <w:p>
            <w:pPr>
              <w:pStyle w:val="11"/>
            </w:pPr>
            <w:r>
              <w:t>61.17</w:t>
            </w:r>
          </w:p>
        </w:tc>
        <w:tc>
          <w:tcPr>
            <w:tcW w:w="2551" w:type="dxa"/>
            <w:vAlign w:val="center"/>
          </w:tcPr>
          <w:p>
            <w:pPr>
              <w:pStyle w:val="11"/>
            </w:pPr>
          </w:p>
        </w:tc>
        <w:tc>
          <w:tcPr>
            <w:tcW w:w="2551" w:type="dxa"/>
            <w:vAlign w:val="center"/>
          </w:tcPr>
          <w:p>
            <w:pPr>
              <w:pStyle w:val="11"/>
            </w:pPr>
            <w:r>
              <w:t>61.17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2070808</w:t>
            </w:r>
          </w:p>
        </w:tc>
        <w:tc>
          <w:tcPr>
            <w:tcW w:w="4535" w:type="dxa"/>
            <w:vAlign w:val="center"/>
          </w:tcPr>
          <w:p>
            <w:pPr>
              <w:pStyle w:val="12"/>
            </w:pPr>
            <w:r>
              <w:t>广播电视事务</w:t>
            </w:r>
          </w:p>
        </w:tc>
        <w:tc>
          <w:tcPr>
            <w:tcW w:w="2551" w:type="dxa"/>
            <w:vAlign w:val="center"/>
          </w:tcPr>
          <w:p>
            <w:pPr>
              <w:pStyle w:val="11"/>
            </w:pPr>
            <w:r>
              <w:t>655.10</w:t>
            </w:r>
          </w:p>
        </w:tc>
        <w:tc>
          <w:tcPr>
            <w:tcW w:w="2551" w:type="dxa"/>
            <w:vAlign w:val="center"/>
          </w:tcPr>
          <w:p>
            <w:pPr>
              <w:pStyle w:val="11"/>
            </w:pPr>
            <w:r>
              <w:t>655.10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141.18</w:t>
            </w:r>
          </w:p>
        </w:tc>
        <w:tc>
          <w:tcPr>
            <w:tcW w:w="2551" w:type="dxa"/>
            <w:vAlign w:val="center"/>
          </w:tcPr>
          <w:p>
            <w:pPr>
              <w:pStyle w:val="11"/>
            </w:pPr>
            <w:r>
              <w:t>141.18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134.13</w:t>
            </w:r>
          </w:p>
        </w:tc>
        <w:tc>
          <w:tcPr>
            <w:tcW w:w="2551" w:type="dxa"/>
            <w:vAlign w:val="center"/>
          </w:tcPr>
          <w:p>
            <w:pPr>
              <w:pStyle w:val="11"/>
            </w:pPr>
            <w:r>
              <w:t>134.13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25.69</w:t>
            </w:r>
          </w:p>
        </w:tc>
        <w:tc>
          <w:tcPr>
            <w:tcW w:w="2551" w:type="dxa"/>
            <w:vAlign w:val="center"/>
          </w:tcPr>
          <w:p>
            <w:pPr>
              <w:pStyle w:val="11"/>
            </w:pPr>
            <w:r>
              <w:t>25.69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72.30</w:t>
            </w:r>
          </w:p>
        </w:tc>
        <w:tc>
          <w:tcPr>
            <w:tcW w:w="2551" w:type="dxa"/>
            <w:vAlign w:val="center"/>
          </w:tcPr>
          <w:p>
            <w:pPr>
              <w:pStyle w:val="11"/>
            </w:pPr>
            <w:r>
              <w:t>72.30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36.15</w:t>
            </w:r>
          </w:p>
        </w:tc>
        <w:tc>
          <w:tcPr>
            <w:tcW w:w="2551" w:type="dxa"/>
            <w:vAlign w:val="center"/>
          </w:tcPr>
          <w:p>
            <w:pPr>
              <w:pStyle w:val="11"/>
            </w:pPr>
            <w:r>
              <w:t>36.15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7.04</w:t>
            </w:r>
          </w:p>
        </w:tc>
        <w:tc>
          <w:tcPr>
            <w:tcW w:w="2551" w:type="dxa"/>
            <w:vAlign w:val="center"/>
          </w:tcPr>
          <w:p>
            <w:pPr>
              <w:pStyle w:val="11"/>
            </w:pPr>
            <w:r>
              <w:t>7.04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7.04</w:t>
            </w:r>
          </w:p>
        </w:tc>
        <w:tc>
          <w:tcPr>
            <w:tcW w:w="2551" w:type="dxa"/>
            <w:vAlign w:val="center"/>
          </w:tcPr>
          <w:p>
            <w:pPr>
              <w:pStyle w:val="11"/>
            </w:pPr>
            <w:r>
              <w:t>7.04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38.51</w:t>
            </w:r>
          </w:p>
        </w:tc>
        <w:tc>
          <w:tcPr>
            <w:tcW w:w="2551" w:type="dxa"/>
            <w:vAlign w:val="center"/>
          </w:tcPr>
          <w:p>
            <w:pPr>
              <w:pStyle w:val="11"/>
            </w:pPr>
            <w:r>
              <w:t>38.51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38.51</w:t>
            </w:r>
          </w:p>
        </w:tc>
        <w:tc>
          <w:tcPr>
            <w:tcW w:w="2551" w:type="dxa"/>
            <w:vAlign w:val="center"/>
          </w:tcPr>
          <w:p>
            <w:pPr>
              <w:pStyle w:val="11"/>
            </w:pPr>
            <w:r>
              <w:t>38.51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38.51</w:t>
            </w:r>
          </w:p>
        </w:tc>
        <w:tc>
          <w:tcPr>
            <w:tcW w:w="2551" w:type="dxa"/>
            <w:vAlign w:val="center"/>
          </w:tcPr>
          <w:p>
            <w:pPr>
              <w:pStyle w:val="11"/>
            </w:pPr>
            <w:r>
              <w:t>38.51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37.08</w:t>
            </w:r>
          </w:p>
        </w:tc>
        <w:tc>
          <w:tcPr>
            <w:tcW w:w="2551" w:type="dxa"/>
            <w:vAlign w:val="center"/>
          </w:tcPr>
          <w:p>
            <w:pPr>
              <w:pStyle w:val="11"/>
            </w:pPr>
            <w:r>
              <w:t>37.08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37.08</w:t>
            </w:r>
          </w:p>
        </w:tc>
        <w:tc>
          <w:tcPr>
            <w:tcW w:w="2551" w:type="dxa"/>
            <w:vAlign w:val="center"/>
          </w:tcPr>
          <w:p>
            <w:pPr>
              <w:pStyle w:val="11"/>
            </w:pPr>
            <w:r>
              <w:t>37.08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37.08</w:t>
            </w:r>
          </w:p>
        </w:tc>
        <w:tc>
          <w:tcPr>
            <w:tcW w:w="2551" w:type="dxa"/>
            <w:vAlign w:val="center"/>
          </w:tcPr>
          <w:p>
            <w:pPr>
              <w:pStyle w:val="11"/>
            </w:pPr>
            <w:r>
              <w:t>37.08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871.87</w:t>
            </w:r>
          </w:p>
        </w:tc>
        <w:tc>
          <w:tcPr>
            <w:tcW w:w="2551" w:type="dxa"/>
            <w:vAlign w:val="center"/>
          </w:tcPr>
          <w:p>
            <w:pPr>
              <w:pStyle w:val="15"/>
            </w:pPr>
            <w:r>
              <w:t>781.13</w:t>
            </w:r>
          </w:p>
        </w:tc>
        <w:tc>
          <w:tcPr>
            <w:tcW w:w="2551" w:type="dxa"/>
            <w:vAlign w:val="center"/>
          </w:tcPr>
          <w:p>
            <w:pPr>
              <w:pStyle w:val="15"/>
            </w:pPr>
            <w:r>
              <w:t>90.74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748.39</w:t>
            </w:r>
          </w:p>
        </w:tc>
        <w:tc>
          <w:tcPr>
            <w:tcW w:w="2551" w:type="dxa"/>
            <w:vAlign w:val="center"/>
          </w:tcPr>
          <w:p>
            <w:pPr>
              <w:pStyle w:val="11"/>
            </w:pPr>
            <w:r>
              <w:t>748.39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268.44</w:t>
            </w:r>
          </w:p>
        </w:tc>
        <w:tc>
          <w:tcPr>
            <w:tcW w:w="2551" w:type="dxa"/>
            <w:vAlign w:val="center"/>
          </w:tcPr>
          <w:p>
            <w:pPr>
              <w:pStyle w:val="11"/>
            </w:pPr>
            <w:r>
              <w:t>268.44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26.93</w:t>
            </w:r>
          </w:p>
        </w:tc>
        <w:tc>
          <w:tcPr>
            <w:tcW w:w="2551" w:type="dxa"/>
            <w:vAlign w:val="center"/>
          </w:tcPr>
          <w:p>
            <w:pPr>
              <w:pStyle w:val="11"/>
            </w:pPr>
            <w:r>
              <w:t>26.93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157.28</w:t>
            </w:r>
          </w:p>
        </w:tc>
        <w:tc>
          <w:tcPr>
            <w:tcW w:w="2551" w:type="dxa"/>
            <w:vAlign w:val="center"/>
          </w:tcPr>
          <w:p>
            <w:pPr>
              <w:pStyle w:val="11"/>
            </w:pPr>
            <w:r>
              <w:t>157.28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72.30</w:t>
            </w:r>
          </w:p>
        </w:tc>
        <w:tc>
          <w:tcPr>
            <w:tcW w:w="2551" w:type="dxa"/>
            <w:vAlign w:val="center"/>
          </w:tcPr>
          <w:p>
            <w:pPr>
              <w:pStyle w:val="11"/>
            </w:pPr>
            <w:r>
              <w:t>72.30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36.15</w:t>
            </w:r>
          </w:p>
        </w:tc>
        <w:tc>
          <w:tcPr>
            <w:tcW w:w="2551" w:type="dxa"/>
            <w:vAlign w:val="center"/>
          </w:tcPr>
          <w:p>
            <w:pPr>
              <w:pStyle w:val="11"/>
            </w:pPr>
            <w:r>
              <w:t>36.15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38.51</w:t>
            </w:r>
          </w:p>
        </w:tc>
        <w:tc>
          <w:tcPr>
            <w:tcW w:w="2551" w:type="dxa"/>
            <w:vAlign w:val="center"/>
          </w:tcPr>
          <w:p>
            <w:pPr>
              <w:pStyle w:val="11"/>
            </w:pPr>
            <w:r>
              <w:t>38.51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2.26</w:t>
            </w:r>
          </w:p>
        </w:tc>
        <w:tc>
          <w:tcPr>
            <w:tcW w:w="2551" w:type="dxa"/>
            <w:vAlign w:val="center"/>
          </w:tcPr>
          <w:p>
            <w:pPr>
              <w:pStyle w:val="11"/>
            </w:pPr>
            <w:r>
              <w:t>2.26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37.08</w:t>
            </w:r>
          </w:p>
        </w:tc>
        <w:tc>
          <w:tcPr>
            <w:tcW w:w="2551" w:type="dxa"/>
            <w:vAlign w:val="center"/>
          </w:tcPr>
          <w:p>
            <w:pPr>
              <w:pStyle w:val="11"/>
            </w:pPr>
            <w:r>
              <w:t>37.08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109.46</w:t>
            </w:r>
          </w:p>
        </w:tc>
        <w:tc>
          <w:tcPr>
            <w:tcW w:w="2551" w:type="dxa"/>
            <w:vAlign w:val="center"/>
          </w:tcPr>
          <w:p>
            <w:pPr>
              <w:pStyle w:val="11"/>
            </w:pPr>
            <w:r>
              <w:t>109.46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90.74</w:t>
            </w:r>
          </w:p>
        </w:tc>
        <w:tc>
          <w:tcPr>
            <w:tcW w:w="2551" w:type="dxa"/>
            <w:vAlign w:val="center"/>
          </w:tcPr>
          <w:p>
            <w:pPr>
              <w:pStyle w:val="11"/>
            </w:pPr>
          </w:p>
        </w:tc>
        <w:tc>
          <w:tcPr>
            <w:tcW w:w="2551" w:type="dxa"/>
            <w:vAlign w:val="center"/>
          </w:tcPr>
          <w:p>
            <w:pPr>
              <w:pStyle w:val="11"/>
            </w:pPr>
            <w:r>
              <w:t>90.74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29.81</w:t>
            </w:r>
          </w:p>
        </w:tc>
        <w:tc>
          <w:tcPr>
            <w:tcW w:w="2551" w:type="dxa"/>
            <w:vAlign w:val="center"/>
          </w:tcPr>
          <w:p>
            <w:pPr>
              <w:pStyle w:val="11"/>
            </w:pPr>
          </w:p>
        </w:tc>
        <w:tc>
          <w:tcPr>
            <w:tcW w:w="2551" w:type="dxa"/>
            <w:vAlign w:val="center"/>
          </w:tcPr>
          <w:p>
            <w:pPr>
              <w:pStyle w:val="11"/>
            </w:pPr>
            <w:r>
              <w:t>29.81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0.49</w:t>
            </w:r>
          </w:p>
        </w:tc>
        <w:tc>
          <w:tcPr>
            <w:tcW w:w="2551" w:type="dxa"/>
            <w:vAlign w:val="center"/>
          </w:tcPr>
          <w:p>
            <w:pPr>
              <w:pStyle w:val="11"/>
            </w:pPr>
          </w:p>
        </w:tc>
        <w:tc>
          <w:tcPr>
            <w:tcW w:w="2551" w:type="dxa"/>
            <w:vAlign w:val="center"/>
          </w:tcPr>
          <w:p>
            <w:pPr>
              <w:pStyle w:val="11"/>
            </w:pPr>
            <w:r>
              <w:t>0.49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14.65</w:t>
            </w:r>
          </w:p>
        </w:tc>
        <w:tc>
          <w:tcPr>
            <w:tcW w:w="2551" w:type="dxa"/>
            <w:vAlign w:val="center"/>
          </w:tcPr>
          <w:p>
            <w:pPr>
              <w:pStyle w:val="11"/>
            </w:pPr>
          </w:p>
        </w:tc>
        <w:tc>
          <w:tcPr>
            <w:tcW w:w="2551" w:type="dxa"/>
            <w:vAlign w:val="center"/>
          </w:tcPr>
          <w:p>
            <w:pPr>
              <w:pStyle w:val="11"/>
            </w:pPr>
            <w:r>
              <w:t>14.65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12.90</w:t>
            </w:r>
          </w:p>
        </w:tc>
        <w:tc>
          <w:tcPr>
            <w:tcW w:w="2551" w:type="dxa"/>
            <w:vAlign w:val="center"/>
          </w:tcPr>
          <w:p>
            <w:pPr>
              <w:pStyle w:val="11"/>
            </w:pPr>
          </w:p>
        </w:tc>
        <w:tc>
          <w:tcPr>
            <w:tcW w:w="2551" w:type="dxa"/>
            <w:vAlign w:val="center"/>
          </w:tcPr>
          <w:p>
            <w:pPr>
              <w:pStyle w:val="11"/>
            </w:pPr>
            <w:r>
              <w:t>12.90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1.87</w:t>
            </w:r>
          </w:p>
        </w:tc>
        <w:tc>
          <w:tcPr>
            <w:tcW w:w="2551" w:type="dxa"/>
            <w:vAlign w:val="center"/>
          </w:tcPr>
          <w:p>
            <w:pPr>
              <w:pStyle w:val="11"/>
            </w:pPr>
          </w:p>
        </w:tc>
        <w:tc>
          <w:tcPr>
            <w:tcW w:w="2551" w:type="dxa"/>
            <w:vAlign w:val="center"/>
          </w:tcPr>
          <w:p>
            <w:pPr>
              <w:pStyle w:val="11"/>
            </w:pPr>
            <w:r>
              <w:t>1.87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28.62</w:t>
            </w:r>
          </w:p>
        </w:tc>
        <w:tc>
          <w:tcPr>
            <w:tcW w:w="2551" w:type="dxa"/>
            <w:vAlign w:val="center"/>
          </w:tcPr>
          <w:p>
            <w:pPr>
              <w:pStyle w:val="11"/>
            </w:pPr>
          </w:p>
        </w:tc>
        <w:tc>
          <w:tcPr>
            <w:tcW w:w="2551" w:type="dxa"/>
            <w:vAlign w:val="center"/>
          </w:tcPr>
          <w:p>
            <w:pPr>
              <w:pStyle w:val="11"/>
            </w:pPr>
            <w:r>
              <w:t>28.62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32.73</w:t>
            </w:r>
          </w:p>
        </w:tc>
        <w:tc>
          <w:tcPr>
            <w:tcW w:w="2551" w:type="dxa"/>
            <w:vAlign w:val="center"/>
          </w:tcPr>
          <w:p>
            <w:pPr>
              <w:pStyle w:val="11"/>
            </w:pPr>
            <w:r>
              <w:t>32.73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25.69</w:t>
            </w:r>
          </w:p>
        </w:tc>
        <w:tc>
          <w:tcPr>
            <w:tcW w:w="2551" w:type="dxa"/>
            <w:vAlign w:val="center"/>
          </w:tcPr>
          <w:p>
            <w:pPr>
              <w:pStyle w:val="11"/>
            </w:pPr>
            <w:r>
              <w:t>25.69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7.04</w:t>
            </w:r>
          </w:p>
        </w:tc>
        <w:tc>
          <w:tcPr>
            <w:tcW w:w="2551" w:type="dxa"/>
            <w:vAlign w:val="center"/>
          </w:tcPr>
          <w:p>
            <w:pPr>
              <w:pStyle w:val="11"/>
            </w:pPr>
            <w:r>
              <w:t>7.04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15.00</w:t>
            </w:r>
          </w:p>
        </w:tc>
        <w:tc>
          <w:tcPr>
            <w:tcW w:w="2551" w:type="dxa"/>
            <w:vAlign w:val="center"/>
          </w:tcPr>
          <w:p>
            <w:pPr>
              <w:pStyle w:val="15"/>
            </w:pPr>
          </w:p>
        </w:tc>
        <w:tc>
          <w:tcPr>
            <w:tcW w:w="2551" w:type="dxa"/>
            <w:vAlign w:val="center"/>
          </w:tcPr>
          <w:p>
            <w:pPr>
              <w:pStyle w:val="15"/>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2381" w:type="dxa"/>
            <w:tcBorders>
              <w:top w:val="single" w:color="FFFFFF" w:sz="6" w:space="0"/>
              <w:left w:val="single" w:color="FFFFFF" w:sz="6" w:space="0"/>
              <w:right w:val="single" w:color="FFFFFF" w:sz="6" w:space="0"/>
            </w:tcBorders>
            <w:vAlign w:val="center"/>
          </w:tcPr>
          <w:p>
            <w:pPr>
              <w:pStyle w:val="8"/>
              <w:rPr>
                <w:rFonts w:hint="eastAsia" w:eastAsia="方正小标宋_GBK"/>
                <w:lang w:val="en-US" w:eastAsia="zh-CN"/>
              </w:rPr>
            </w:pPr>
            <w:r>
              <w:t>预算年度：202</w:t>
            </w:r>
            <w:r>
              <w:rPr>
                <w:rFonts w:hint="eastAsia"/>
                <w:lang w:val="en-US" w:eastAsia="zh-CN"/>
              </w:rPr>
              <w:t>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“三公”经费小计</w:t>
            </w:r>
          </w:p>
        </w:tc>
        <w:tc>
          <w:tcPr>
            <w:tcW w:w="2381" w:type="dxa"/>
            <w:vAlign w:val="center"/>
          </w:tcPr>
          <w:p>
            <w:pPr>
              <w:pStyle w:val="15"/>
            </w:pPr>
            <w:r>
              <w:t>1.87</w:t>
            </w:r>
          </w:p>
        </w:tc>
        <w:tc>
          <w:tcPr>
            <w:tcW w:w="2381" w:type="dxa"/>
            <w:vAlign w:val="center"/>
          </w:tcPr>
          <w:p>
            <w:pPr>
              <w:pStyle w:val="15"/>
            </w:pPr>
            <w:r>
              <w:t>1.87</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二、公务用车购置及运维费</w:t>
            </w:r>
          </w:p>
        </w:tc>
        <w:tc>
          <w:tcPr>
            <w:tcW w:w="2381" w:type="dxa"/>
            <w:vAlign w:val="center"/>
          </w:tcPr>
          <w:p>
            <w:pPr>
              <w:pStyle w:val="11"/>
            </w:pPr>
            <w:r>
              <w:t>1.87</w:t>
            </w:r>
          </w:p>
        </w:tc>
        <w:tc>
          <w:tcPr>
            <w:tcW w:w="2381" w:type="dxa"/>
            <w:vAlign w:val="center"/>
          </w:tcPr>
          <w:p>
            <w:pPr>
              <w:pStyle w:val="11"/>
            </w:pPr>
            <w:r>
              <w:t>1.87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公务用车运行维护费</w:t>
            </w:r>
          </w:p>
        </w:tc>
        <w:tc>
          <w:tcPr>
            <w:tcW w:w="2381" w:type="dxa"/>
            <w:vAlign w:val="center"/>
          </w:tcPr>
          <w:p>
            <w:pPr>
              <w:pStyle w:val="11"/>
            </w:pPr>
            <w:r>
              <w:t>1.87</w:t>
            </w:r>
          </w:p>
        </w:tc>
        <w:tc>
          <w:tcPr>
            <w:tcW w:w="2381" w:type="dxa"/>
            <w:vAlign w:val="center"/>
          </w:tcPr>
          <w:p>
            <w:pPr>
              <w:pStyle w:val="11"/>
            </w:pPr>
            <w:r>
              <w:t>1.87</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青龙满族自治县融媒体中心（青龙满族自治县广播电视台）（本级）2025年单位预算信息公开情况说明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融媒体中心（青龙满族自治县广播电视台）（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pStyle w:val="22"/>
      </w:pPr>
      <w:r>
        <w:t>（一）贯彻执行党和国家有关新闻宣传、广播电视管理等方面的法律法规和方针政策。根据国家、省、市的总体规划和要求，拟定全县融媒体事业发展规划、计划，组织实施全县融媒体重大项目建设，促进媒体融合工作、宣传工作、广播电视事业及产业的发展。</w:t>
      </w:r>
    </w:p>
    <w:p>
      <w:pPr>
        <w:pStyle w:val="22"/>
      </w:pPr>
      <w:r>
        <w:t>（二）负责宣传党中央、省市各项决策部署，全面准确及时宣传县委县政府中心工作和重点工作。负责组织全局性重大宣传报道活动，引导正确舆论导向，当好党和政府的喉舌。发挥舆论监督职能，传播精神文明，引领社会风尚。发挥主流媒体作用，联合吸纳自媒体资源，牢牢占领舆论宣传主阵地。</w:t>
      </w:r>
    </w:p>
    <w:p>
      <w:pPr>
        <w:pStyle w:val="22"/>
      </w:pPr>
      <w:r>
        <w:t>（三）负责打造媒体传播平台，坚持移动优先、优化配置和媒体融合，突出“传播+政务+服务”三位一体功能，做好全县广播电视、互联网、移动客户端等平台打造。精准定位广播、电视、新闻网站、微博、微信、手机台、客户端、户外大屏等各类传播平台。将各部门、单位、乡镇、社区等政务信息网站、官方微博、微信公众号等统一接入县融媒体中心平台，着力构建全媒体矩阵。</w:t>
      </w:r>
    </w:p>
    <w:p>
      <w:pPr>
        <w:pStyle w:val="22"/>
      </w:pPr>
      <w:r>
        <w:t>（四）负责打造综合服务平台，积极参与智慧政务建设，对接党政部门技术平台，整合党政部门信息资源，充分发挥信息服务平台作用。积极参与智慧城市建设，整合各类便民服务资源，向基层干部群众提供政府服务、生活服务、社会传播、教育培训等综合服务，打通线上线下，开展群众活动、社区交流，打造社区信息枢纽，在县委县政府和人民群众之间架设沟通的桥梁。</w:t>
      </w:r>
    </w:p>
    <w:p>
      <w:pPr>
        <w:pStyle w:val="22"/>
      </w:pPr>
      <w:r>
        <w:t>（五）负责贯彻执行国家广播电视技术政策标准，做好全县广播电视无线发射、管理广播电视节目，以及南山转播台的传输工作。负责融媒体中心摄录编播等设备的管理使用维护工作，确保本台节目的安全制作播出。负责APP和新媒体的开发、推广和管理。</w:t>
      </w:r>
    </w:p>
    <w:p>
      <w:pPr>
        <w:pStyle w:val="22"/>
      </w:pPr>
      <w:r>
        <w:t>（六）完成县委、县政府和上级交办的其他事项。</w:t>
      </w:r>
    </w:p>
    <w:p>
      <w:pPr>
        <w:spacing w:before="0" w:after="0" w:line="240" w:lineRule="auto"/>
        <w:ind w:firstLine="640"/>
        <w:jc w:val="left"/>
        <w:outlineLvl w:val="9"/>
        <w:rPr>
          <w:rFonts w:ascii="方正楷体_GBK" w:hAnsi="方正楷体_GBK" w:eastAsia="方正楷体_GBK" w:cs="方正楷体_GBK"/>
          <w:b/>
          <w:color w:val="000000"/>
          <w:sz w:val="32"/>
        </w:rPr>
      </w:pP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青龙满族自治县融媒体中心（青龙满族自治县广播电视台）（本级）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财政性资金定额或定项补助</w:t>
            </w:r>
          </w:p>
        </w:tc>
      </w:tr>
    </w:tbl>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单位预算安排的总体情况</w:t>
      </w:r>
    </w:p>
    <w:p>
      <w:pPr>
        <w:pStyle w:val="23"/>
      </w:pPr>
      <w:r>
        <w:t>按照预算管理有关规定，目前</w:t>
      </w:r>
      <w:r>
        <w:rPr>
          <w:rFonts w:hint="eastAsia"/>
          <w:lang w:eastAsia="zh-CN"/>
        </w:rPr>
        <w:t>单位</w:t>
      </w:r>
      <w:r>
        <w:t>预算的编制实行综合预算管理，即全部收入和支出都反映在预算中。青龙满族自治县融媒体中心（青龙满族自治县广播电视台）机关及所属事业单位的收支包含在部门预算中。</w:t>
      </w:r>
    </w:p>
    <w:p>
      <w:pPr>
        <w:pStyle w:val="23"/>
      </w:pPr>
      <w:r>
        <w:t>1、收入说明</w:t>
      </w:r>
    </w:p>
    <w:p>
      <w:pPr>
        <w:pStyle w:val="23"/>
      </w:pPr>
      <w:r>
        <w:t>反映本</w:t>
      </w:r>
      <w:r>
        <w:rPr>
          <w:rFonts w:hint="eastAsia"/>
          <w:lang w:eastAsia="zh-CN"/>
        </w:rPr>
        <w:t>单位</w:t>
      </w:r>
      <w:r>
        <w:t>当年全部收入。2025年预算收入1008.03万元，其中：一般公共预算收入880.22万元，基金预算收入15.00万元，国有资本经营预算收入0.00万元，财政专户核拨收入0.00万元，单位资金收入60.00万元，上年结转结余52.81万元。</w:t>
      </w:r>
    </w:p>
    <w:p>
      <w:pPr>
        <w:pStyle w:val="23"/>
      </w:pPr>
      <w:r>
        <w:t>2、支出说明</w:t>
      </w:r>
    </w:p>
    <w:p>
      <w:pPr>
        <w:pStyle w:val="23"/>
      </w:pPr>
      <w:r>
        <w:t>收支预算总表支出栏、基本支出表、项目支出表按经济分类和支出功能分类科目编制，反映青龙满族自治县融媒体中心（青龙满族自治县广播电视台）年度</w:t>
      </w:r>
      <w:r>
        <w:rPr>
          <w:rFonts w:hint="eastAsia"/>
          <w:lang w:eastAsia="zh-CN"/>
        </w:rPr>
        <w:t>单位</w:t>
      </w:r>
      <w:r>
        <w:t>预算中支出预算的总体情况。2025年支出预算1008.03万元，其中基本支出931.87万元，包括人员经费781.13万元和日常公用经费150.74万元；项目支出76.17万元，主要为1、关于提前下达2025年省级公共文化服务体系建设补助资金的通知-农村省一套广播节目无线覆盖工程运行维护费（冀财教[2024]144号）3万元；2、关于提前下达2025年中央支持地方公共文化服务体系建设专项资金预算的通知-中央广播电视节目无线覆盖（模拟）运行维护费（冀财教[2024]113号）7.76万元；3、关于提前下达2025年中央支持地方公共文化服务体系建设专项资金预算的通知-中央广播电视节目无线覆盖（数字）运行维护费（冀财教[2024]113号）35.3万元；4、维修加固办公大楼外墙专项资金15万元；5、上年结转项目关于提前下达2024年中央支持地方公共文化服务体系建设专项资金预算的通知-中央广播电视节目无线覆盖（数字）运行维护费（冀财教[2023]134号）15.11万元。</w:t>
      </w:r>
      <w:r>
        <w:tab/>
      </w:r>
      <w:r>
        <w:tab/>
      </w:r>
    </w:p>
    <w:p>
      <w:pPr>
        <w:pStyle w:val="23"/>
      </w:pPr>
      <w:r>
        <w:t>3、比上年增减情况</w:t>
      </w:r>
    </w:p>
    <w:p>
      <w:pPr>
        <w:pStyle w:val="23"/>
      </w:pPr>
      <w:r>
        <w:t>2025年预算收支安排1008.03万元，较2024年预算增加72.65万元，其中：基本支出增加88.56万元，主要为新招录6人导致人员经费支出增加及单位资金安排公用经费增加；项目支出减少15.90万元，主要为上年结转项目较2024结转项目经费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w:t>
      </w:r>
      <w:r>
        <w:rPr>
          <w:rFonts w:hint="eastAsia"/>
          <w:lang w:eastAsia="zh-CN"/>
        </w:rPr>
        <w:t>单位</w:t>
      </w:r>
      <w:r>
        <w:t>机关运行经费共计安排150.74万元，主要用于日常维修、办公用房水电费、办公用房取暖费、办公用房物业管理费等日常运行支出。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spacing w:line="500" w:lineRule="exact"/>
        <w:ind w:firstLine="560" w:firstLineChars="200"/>
        <w:jc w:val="left"/>
        <w:rPr>
          <w:rFonts w:ascii="Times New Roman" w:eastAsia="方正仿宋_GBK"/>
          <w:sz w:val="28"/>
          <w:szCs w:val="28"/>
        </w:rPr>
      </w:pPr>
      <w:r>
        <w:rPr>
          <w:sz w:val="28"/>
          <w:szCs w:val="28"/>
        </w:rPr>
        <w:t>2025年</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我</w:t>
      </w:r>
      <w:r>
        <w:rPr>
          <w:rFonts w:hint="eastAsia" w:ascii="方正仿宋_GBK" w:hAnsi="方正仿宋_GBK" w:eastAsia="方正仿宋_GBK" w:cs="方正仿宋_GBK"/>
          <w:sz w:val="28"/>
          <w:szCs w:val="28"/>
          <w:lang w:eastAsia="zh-CN"/>
        </w:rPr>
        <w:t>单位</w:t>
      </w:r>
      <w:r>
        <w:rPr>
          <w:rFonts w:hint="eastAsia" w:ascii="方正仿宋_GBK" w:hAnsi="方正仿宋_GBK" w:eastAsia="方正仿宋_GBK" w:cs="方正仿宋_GBK"/>
          <w:sz w:val="28"/>
          <w:szCs w:val="28"/>
        </w:rPr>
        <w:t>安排“三公”经费预算</w:t>
      </w:r>
      <w:r>
        <w:rPr>
          <w:rFonts w:hint="eastAsia" w:ascii="Times New Roman" w:hAnsi="Times New Roman" w:eastAsia="方正仿宋_GBK" w:cs="Times New Roman"/>
          <w:sz w:val="28"/>
          <w:szCs w:val="20"/>
        </w:rPr>
        <w:t>1.87</w:t>
      </w:r>
      <w:r>
        <w:rPr>
          <w:rFonts w:hint="eastAsia" w:ascii="方正仿宋_GBK" w:hAnsi="方正仿宋_GBK" w:eastAsia="方正仿宋_GBK" w:cs="方正仿宋_GBK"/>
          <w:sz w:val="28"/>
          <w:szCs w:val="28"/>
        </w:rPr>
        <w:t>万元，其中因公出国（境）费</w:t>
      </w:r>
      <w:r>
        <w:rPr>
          <w:rFonts w:hint="eastAsia" w:ascii="Times New Roman" w:hAnsi="Times New Roman" w:eastAsia="方正仿宋_GBK" w:cs="Times New Roman"/>
          <w:sz w:val="28"/>
          <w:szCs w:val="20"/>
        </w:rPr>
        <w:t>0.00</w:t>
      </w:r>
      <w:r>
        <w:rPr>
          <w:rFonts w:hint="eastAsia" w:ascii="方正仿宋_GBK" w:hAnsi="方正仿宋_GBK" w:eastAsia="方正仿宋_GBK" w:cs="方正仿宋_GBK"/>
          <w:sz w:val="28"/>
          <w:szCs w:val="28"/>
        </w:rPr>
        <w:t>万元；公务用车购置及运维费</w:t>
      </w:r>
      <w:r>
        <w:rPr>
          <w:rFonts w:hint="eastAsia" w:ascii="Times New Roman" w:hAnsi="Times New Roman" w:eastAsia="方正仿宋_GBK" w:cs="Times New Roman"/>
          <w:sz w:val="28"/>
          <w:szCs w:val="20"/>
          <w:lang w:eastAsia="zh-CN"/>
        </w:rPr>
        <w:t>1.87</w:t>
      </w:r>
      <w:r>
        <w:rPr>
          <w:rFonts w:hint="eastAsia" w:ascii="方正仿宋_GBK" w:hAnsi="方正仿宋_GBK" w:eastAsia="方正仿宋_GBK" w:cs="方正仿宋_GBK"/>
          <w:sz w:val="28"/>
          <w:szCs w:val="28"/>
        </w:rPr>
        <w:t>万元（其中：公务用车购置费为</w:t>
      </w:r>
      <w:r>
        <w:rPr>
          <w:rFonts w:hint="eastAsia" w:ascii="Times New Roman" w:hAnsi="Times New Roman" w:eastAsia="方正仿宋_GBK" w:cs="Times New Roman"/>
          <w:sz w:val="28"/>
          <w:szCs w:val="20"/>
        </w:rPr>
        <w:t>0.00</w:t>
      </w:r>
      <w:r>
        <w:rPr>
          <w:rFonts w:hint="eastAsia" w:ascii="方正仿宋_GBK" w:hAnsi="方正仿宋_GBK" w:eastAsia="方正仿宋_GBK" w:cs="方正仿宋_GBK"/>
          <w:sz w:val="28"/>
          <w:szCs w:val="28"/>
        </w:rPr>
        <w:t>万元，公务用车运维费</w:t>
      </w:r>
      <w:r>
        <w:rPr>
          <w:rFonts w:hint="eastAsia" w:ascii="Times New Roman" w:hAnsi="Times New Roman" w:eastAsia="方正仿宋_GBK" w:cs="Times New Roman"/>
          <w:sz w:val="28"/>
          <w:szCs w:val="20"/>
          <w:lang w:eastAsia="zh-CN"/>
        </w:rPr>
        <w:t>1.87</w:t>
      </w:r>
      <w:r>
        <w:rPr>
          <w:rFonts w:hint="eastAsia" w:ascii="方正仿宋_GBK" w:hAnsi="方正仿宋_GBK" w:eastAsia="方正仿宋_GBK" w:cs="方正仿宋_GBK"/>
          <w:sz w:val="28"/>
          <w:szCs w:val="28"/>
        </w:rPr>
        <w:t>万元)；公务接待费</w:t>
      </w:r>
      <w:r>
        <w:rPr>
          <w:rFonts w:hint="eastAsia" w:ascii="Times New Roman" w:hAnsi="Times New Roman" w:eastAsia="方正仿宋_GBK" w:cs="Times New Roman"/>
          <w:sz w:val="28"/>
          <w:szCs w:val="20"/>
          <w:lang w:eastAsia="zh-CN"/>
        </w:rPr>
        <w:t>0</w:t>
      </w:r>
      <w:r>
        <w:rPr>
          <w:rFonts w:hint="eastAsia" w:ascii="Times New Roman" w:hAnsi="Times New Roman" w:eastAsia="方正仿宋_GBK" w:cs="Times New Roman"/>
          <w:sz w:val="28"/>
          <w:szCs w:val="20"/>
        </w:rPr>
        <w:t>万</w:t>
      </w:r>
      <w:r>
        <w:rPr>
          <w:rFonts w:hint="eastAsia" w:ascii="方正仿宋_GBK" w:hAnsi="方正仿宋_GBK" w:eastAsia="方正仿宋_GBK" w:cs="方正仿宋_GBK"/>
          <w:sz w:val="28"/>
          <w:szCs w:val="28"/>
        </w:rPr>
        <w:t>元。较上年</w:t>
      </w:r>
      <w:r>
        <w:rPr>
          <w:rFonts w:hint="eastAsia" w:ascii="方正仿宋_GBK" w:hAnsi="方正仿宋_GBK" w:eastAsia="方正仿宋_GBK" w:cs="方正仿宋_GBK"/>
          <w:sz w:val="28"/>
          <w:szCs w:val="28"/>
          <w:lang w:eastAsia="zh-CN"/>
        </w:rPr>
        <w:t>持平。</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1、关于提前下达2024年中央补助地方公共文化服务体系建设专项资金预算的通知-中央广播电视节目无线覆盖（数字）运行维护费（冀财教[2023]134号）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13032123P00302910001C</w:t>
            </w:r>
          </w:p>
        </w:tc>
        <w:tc>
          <w:tcPr>
            <w:tcW w:w="2835" w:type="dxa"/>
            <w:vAlign w:val="center"/>
          </w:tcPr>
          <w:p>
            <w:pPr>
              <w:pStyle w:val="10"/>
            </w:pPr>
            <w:r>
              <w:t>项目名称</w:t>
            </w:r>
          </w:p>
        </w:tc>
        <w:tc>
          <w:tcPr>
            <w:tcW w:w="6095" w:type="dxa"/>
            <w:gridSpan w:val="3"/>
            <w:vAlign w:val="center"/>
          </w:tcPr>
          <w:p>
            <w:pPr>
              <w:pStyle w:val="12"/>
            </w:pPr>
            <w:r>
              <w:t>关于提前下达2024年中央补助地方公共文化服务体系建设专项资金预算的通知-中央广播电视节目无线覆盖（数字）运行维护费（冀财教[2023]134号）</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15.11</w:t>
            </w:r>
          </w:p>
        </w:tc>
        <w:tc>
          <w:tcPr>
            <w:tcW w:w="2835" w:type="dxa"/>
            <w:vAlign w:val="center"/>
          </w:tcPr>
          <w:p>
            <w:pPr>
              <w:pStyle w:val="10"/>
            </w:pPr>
            <w:r>
              <w:t>其中：财政    资金</w:t>
            </w:r>
          </w:p>
        </w:tc>
        <w:tc>
          <w:tcPr>
            <w:tcW w:w="2551" w:type="dxa"/>
            <w:vAlign w:val="center"/>
          </w:tcPr>
          <w:p>
            <w:pPr>
              <w:pStyle w:val="12"/>
            </w:pPr>
            <w:r>
              <w:t>15.11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预算安排15.109098万元，其中财政拨款15.109098万元，主要用于南山转播台发射机等设备的日常维护与保养、电费等方面的支出。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1.通过对数字发射设备的日常维修维护及保养，保障中央广播电视节目正常播出。</w:t>
            </w:r>
          </w:p>
          <w:p>
            <w:pPr>
              <w:pStyle w:val="12"/>
            </w:pPr>
            <w:r>
              <w:t>2.通过按时播放中央广播电视节目，丰富广大人民群众的精神文化生活。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数字发射机运行维护数量</w:t>
            </w:r>
          </w:p>
        </w:tc>
        <w:tc>
          <w:tcPr>
            <w:tcW w:w="5386" w:type="dxa"/>
            <w:vAlign w:val="center"/>
          </w:tcPr>
          <w:p>
            <w:pPr>
              <w:pStyle w:val="12"/>
            </w:pPr>
            <w:r>
              <w:t>纳入中央广播电视节目无线覆盖项目范围的数字广播发射机、数字电视发射机</w:t>
            </w:r>
          </w:p>
        </w:tc>
        <w:tc>
          <w:tcPr>
            <w:tcW w:w="2268" w:type="dxa"/>
            <w:vAlign w:val="center"/>
          </w:tcPr>
          <w:p>
            <w:pPr>
              <w:pStyle w:val="12"/>
            </w:pPr>
            <w:r>
              <w:t>3部</w:t>
            </w:r>
          </w:p>
        </w:tc>
        <w:tc>
          <w:tcPr>
            <w:tcW w:w="1276" w:type="dxa"/>
            <w:vAlign w:val="center"/>
          </w:tcPr>
          <w:p>
            <w:pPr>
              <w:pStyle w:val="12"/>
            </w:pPr>
            <w:r>
              <w:t>当年建设完成数量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通过地面数字电视提供中央电视节目</w:t>
            </w:r>
          </w:p>
        </w:tc>
        <w:tc>
          <w:tcPr>
            <w:tcW w:w="5386" w:type="dxa"/>
            <w:vAlign w:val="center"/>
          </w:tcPr>
          <w:p>
            <w:pPr>
              <w:pStyle w:val="12"/>
            </w:pPr>
            <w:r>
              <w:t>纳入中央广播电视节目无线覆盖项目范围的数字广播发射机、数字电视发射机提供的节目套数</w:t>
            </w:r>
          </w:p>
        </w:tc>
        <w:tc>
          <w:tcPr>
            <w:tcW w:w="2268" w:type="dxa"/>
            <w:vAlign w:val="center"/>
          </w:tcPr>
          <w:p>
            <w:pPr>
              <w:pStyle w:val="12"/>
            </w:pPr>
            <w:r>
              <w:t>3套</w:t>
            </w:r>
          </w:p>
        </w:tc>
        <w:tc>
          <w:tcPr>
            <w:tcW w:w="1276" w:type="dxa"/>
            <w:vAlign w:val="center"/>
          </w:tcPr>
          <w:p>
            <w:pPr>
              <w:pStyle w:val="12"/>
            </w:pPr>
            <w:r>
              <w:t>广电办发〔2023〕202号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数字发射机“三满”播出率</w:t>
            </w:r>
          </w:p>
        </w:tc>
        <w:tc>
          <w:tcPr>
            <w:tcW w:w="5386" w:type="dxa"/>
            <w:vAlign w:val="center"/>
          </w:tcPr>
          <w:p>
            <w:pPr>
              <w:pStyle w:val="12"/>
            </w:pPr>
            <w:r>
              <w:t>纳入中央广播电视节目无线覆盖项目范围的数字广播发射机、数字电视发射机“满功率、满时间、满调制度”播出情况</w:t>
            </w:r>
          </w:p>
        </w:tc>
        <w:tc>
          <w:tcPr>
            <w:tcW w:w="2268" w:type="dxa"/>
            <w:vAlign w:val="center"/>
          </w:tcPr>
          <w:p>
            <w:pPr>
              <w:pStyle w:val="12"/>
            </w:pPr>
            <w:r>
              <w:t>100%</w:t>
            </w:r>
          </w:p>
        </w:tc>
        <w:tc>
          <w:tcPr>
            <w:tcW w:w="1276" w:type="dxa"/>
            <w:vAlign w:val="center"/>
          </w:tcPr>
          <w:p>
            <w:pPr>
              <w:pStyle w:val="12"/>
            </w:pPr>
            <w:r>
              <w:t>根据《广播电视安全播出管理规定》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资金到位率</w:t>
            </w:r>
          </w:p>
        </w:tc>
        <w:tc>
          <w:tcPr>
            <w:tcW w:w="5386" w:type="dxa"/>
            <w:vAlign w:val="center"/>
          </w:tcPr>
          <w:p>
            <w:pPr>
              <w:pStyle w:val="12"/>
            </w:pPr>
            <w:r>
              <w:t>中央财政补助资金实际到位情况</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中央数字广播电视节目播出任务完成率</w:t>
            </w:r>
          </w:p>
        </w:tc>
        <w:tc>
          <w:tcPr>
            <w:tcW w:w="5386" w:type="dxa"/>
            <w:vAlign w:val="center"/>
          </w:tcPr>
          <w:p>
            <w:pPr>
              <w:pStyle w:val="12"/>
            </w:pPr>
            <w:r>
              <w:t>纳入中央广播电视节目无线覆盖项目范围的数字广播发射机、数字电视发射机播出任务完成情况</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实际支出控制在预算范围内</w:t>
            </w:r>
          </w:p>
        </w:tc>
        <w:tc>
          <w:tcPr>
            <w:tcW w:w="2268" w:type="dxa"/>
            <w:vAlign w:val="center"/>
          </w:tcPr>
          <w:p>
            <w:pPr>
              <w:pStyle w:val="12"/>
            </w:pPr>
            <w:r>
              <w:t>≤15.11万元</w:t>
            </w:r>
          </w:p>
        </w:tc>
        <w:tc>
          <w:tcPr>
            <w:tcW w:w="1276" w:type="dxa"/>
            <w:vAlign w:val="center"/>
          </w:tcPr>
          <w:p>
            <w:pPr>
              <w:pStyle w:val="12"/>
            </w:pPr>
            <w:r>
              <w:t>冀财教[2023]134号文件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广播节目综合人口覆盖率</w:t>
            </w:r>
          </w:p>
        </w:tc>
        <w:tc>
          <w:tcPr>
            <w:tcW w:w="5386" w:type="dxa"/>
            <w:vAlign w:val="center"/>
          </w:tcPr>
          <w:p>
            <w:pPr>
              <w:pStyle w:val="12"/>
            </w:pPr>
            <w:r>
              <w:t>能收听到广播节目的人口比重</w:t>
            </w:r>
          </w:p>
        </w:tc>
        <w:tc>
          <w:tcPr>
            <w:tcW w:w="2268" w:type="dxa"/>
            <w:vAlign w:val="center"/>
          </w:tcPr>
          <w:p>
            <w:pPr>
              <w:pStyle w:val="12"/>
            </w:pPr>
            <w:r>
              <w:t>≥99%</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电视节目综合人口覆盖率</w:t>
            </w:r>
          </w:p>
        </w:tc>
        <w:tc>
          <w:tcPr>
            <w:tcW w:w="5386" w:type="dxa"/>
            <w:vAlign w:val="center"/>
          </w:tcPr>
          <w:p>
            <w:pPr>
              <w:pStyle w:val="12"/>
            </w:pPr>
            <w:r>
              <w:t>能收看到电视节目的人口比重</w:t>
            </w:r>
          </w:p>
        </w:tc>
        <w:tc>
          <w:tcPr>
            <w:tcW w:w="2268" w:type="dxa"/>
            <w:vAlign w:val="center"/>
          </w:tcPr>
          <w:p>
            <w:pPr>
              <w:pStyle w:val="12"/>
            </w:pPr>
            <w:r>
              <w:t>≥99%</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基本公共文化服务水平</w:t>
            </w:r>
          </w:p>
        </w:tc>
        <w:tc>
          <w:tcPr>
            <w:tcW w:w="5386" w:type="dxa"/>
            <w:vAlign w:val="center"/>
          </w:tcPr>
          <w:p>
            <w:pPr>
              <w:pStyle w:val="12"/>
            </w:pPr>
            <w:r>
              <w:t>提供更好的广播电视基本公共服务</w:t>
            </w:r>
          </w:p>
        </w:tc>
        <w:tc>
          <w:tcPr>
            <w:tcW w:w="2268" w:type="dxa"/>
            <w:vAlign w:val="center"/>
          </w:tcPr>
          <w:p>
            <w:pPr>
              <w:pStyle w:val="12"/>
            </w:pPr>
            <w:r>
              <w:t>稳步提升</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无线覆盖运行维护可持续性</w:t>
            </w:r>
          </w:p>
        </w:tc>
        <w:tc>
          <w:tcPr>
            <w:tcW w:w="5386" w:type="dxa"/>
            <w:vAlign w:val="center"/>
          </w:tcPr>
          <w:p>
            <w:pPr>
              <w:pStyle w:val="12"/>
            </w:pPr>
            <w:r>
              <w:t>提供持续的无线广播电视节目服务</w:t>
            </w:r>
          </w:p>
        </w:tc>
        <w:tc>
          <w:tcPr>
            <w:tcW w:w="2268" w:type="dxa"/>
            <w:vAlign w:val="center"/>
          </w:tcPr>
          <w:p>
            <w:pPr>
              <w:pStyle w:val="12"/>
            </w:pPr>
            <w:r>
              <w:t>长期</w:t>
            </w:r>
          </w:p>
        </w:tc>
        <w:tc>
          <w:tcPr>
            <w:tcW w:w="1276" w:type="dxa"/>
            <w:vAlign w:val="center"/>
          </w:tcPr>
          <w:p>
            <w:pPr>
              <w:pStyle w:val="12"/>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群众对广播电视基本公共服务满意度</w:t>
            </w:r>
          </w:p>
        </w:tc>
        <w:tc>
          <w:tcPr>
            <w:tcW w:w="5386" w:type="dxa"/>
            <w:vAlign w:val="center"/>
          </w:tcPr>
          <w:p>
            <w:pPr>
              <w:pStyle w:val="12"/>
            </w:pPr>
            <w:r>
              <w:t>群众对广播电视基本公共服务的认可度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2、关于提前下达2025年省级公共文化服务体系建设补助资金的通知-农村省一套广播节目无线覆盖工程运行维护费（冀财教[2024]144号）绩效目标表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13032125P00008910007J</w:t>
            </w:r>
          </w:p>
        </w:tc>
        <w:tc>
          <w:tcPr>
            <w:tcW w:w="2835" w:type="dxa"/>
            <w:vAlign w:val="center"/>
          </w:tcPr>
          <w:p>
            <w:pPr>
              <w:pStyle w:val="10"/>
            </w:pPr>
            <w:r>
              <w:t>项目名称</w:t>
            </w:r>
          </w:p>
        </w:tc>
        <w:tc>
          <w:tcPr>
            <w:tcW w:w="6095" w:type="dxa"/>
            <w:gridSpan w:val="3"/>
            <w:vAlign w:val="center"/>
          </w:tcPr>
          <w:p>
            <w:pPr>
              <w:pStyle w:val="12"/>
            </w:pPr>
            <w:r>
              <w:t>关于提前下达2025年省级公共文化服务体系建设补助资金的通知-农村省一套广播节目无线覆盖工程运行维护费（冀财教[2024]144号）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预算安排3万元，其中财政拨款3万元，主要用于南山转播台设备的日常维修维护与保养等方面的支出。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1.通过按时播放农村省一套广播节目，丰富了广大人民群众的精神文化生活。</w:t>
            </w:r>
          </w:p>
          <w:p>
            <w:pPr>
              <w:pStyle w:val="12"/>
            </w:pPr>
            <w:r>
              <w:t>2.通过对发射设备日常维护与保养，保障农村省一套广播节目的正常播出。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发射机运行维护数量</w:t>
            </w:r>
          </w:p>
          <w:p>
            <w:pPr>
              <w:pStyle w:val="12"/>
            </w:pPr>
          </w:p>
        </w:tc>
        <w:tc>
          <w:tcPr>
            <w:tcW w:w="5386" w:type="dxa"/>
            <w:vAlign w:val="center"/>
          </w:tcPr>
          <w:p>
            <w:pPr>
              <w:pStyle w:val="12"/>
            </w:pPr>
            <w:r>
              <w:t>省一套广播节目无线覆盖项目范围的广播发射机数量</w:t>
            </w:r>
          </w:p>
          <w:p>
            <w:pPr>
              <w:pStyle w:val="12"/>
            </w:pPr>
          </w:p>
        </w:tc>
        <w:tc>
          <w:tcPr>
            <w:tcW w:w="2268" w:type="dxa"/>
            <w:vAlign w:val="center"/>
          </w:tcPr>
          <w:p>
            <w:pPr>
              <w:pStyle w:val="12"/>
            </w:pPr>
            <w:r>
              <w:t>1部</w:t>
            </w:r>
          </w:p>
        </w:tc>
        <w:tc>
          <w:tcPr>
            <w:tcW w:w="1276" w:type="dxa"/>
            <w:vAlign w:val="center"/>
          </w:tcPr>
          <w:p>
            <w:pPr>
              <w:pStyle w:val="12"/>
            </w:pPr>
            <w:r>
              <w:t>当年设备实有数量</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省一套广播节目数量</w:t>
            </w:r>
          </w:p>
          <w:p>
            <w:pPr>
              <w:pStyle w:val="12"/>
            </w:pPr>
          </w:p>
        </w:tc>
        <w:tc>
          <w:tcPr>
            <w:tcW w:w="5386" w:type="dxa"/>
            <w:vAlign w:val="center"/>
          </w:tcPr>
          <w:p>
            <w:pPr>
              <w:pStyle w:val="12"/>
            </w:pPr>
            <w:r>
              <w:t>省一套广播节目无线覆盖项目范围的节目套数</w:t>
            </w:r>
          </w:p>
          <w:p>
            <w:pPr>
              <w:pStyle w:val="12"/>
            </w:pPr>
          </w:p>
        </w:tc>
        <w:tc>
          <w:tcPr>
            <w:tcW w:w="2268" w:type="dxa"/>
            <w:vAlign w:val="center"/>
          </w:tcPr>
          <w:p>
            <w:pPr>
              <w:pStyle w:val="12"/>
            </w:pPr>
            <w:r>
              <w:t>1套</w:t>
            </w:r>
          </w:p>
        </w:tc>
        <w:tc>
          <w:tcPr>
            <w:tcW w:w="1276" w:type="dxa"/>
            <w:vAlign w:val="center"/>
          </w:tcPr>
          <w:p>
            <w:pPr>
              <w:pStyle w:val="12"/>
            </w:pPr>
            <w:r>
              <w:t>广电办发〔2023〕202号</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发射机“三满”播出率</w:t>
            </w:r>
          </w:p>
          <w:p>
            <w:pPr>
              <w:pStyle w:val="12"/>
            </w:pPr>
          </w:p>
        </w:tc>
        <w:tc>
          <w:tcPr>
            <w:tcW w:w="5386" w:type="dxa"/>
            <w:vAlign w:val="center"/>
          </w:tcPr>
          <w:p>
            <w:pPr>
              <w:pStyle w:val="12"/>
            </w:pPr>
            <w:r>
              <w:t>省一套广播节目无线覆盖项目范围的调频发射机“满功率、满时间、满调制度”播出情况</w:t>
            </w:r>
          </w:p>
          <w:p>
            <w:pPr>
              <w:pStyle w:val="12"/>
            </w:pPr>
          </w:p>
        </w:tc>
        <w:tc>
          <w:tcPr>
            <w:tcW w:w="2268" w:type="dxa"/>
            <w:vAlign w:val="center"/>
          </w:tcPr>
          <w:p>
            <w:pPr>
              <w:pStyle w:val="12"/>
            </w:pPr>
            <w:r>
              <w:t>100%</w:t>
            </w:r>
          </w:p>
        </w:tc>
        <w:tc>
          <w:tcPr>
            <w:tcW w:w="1276" w:type="dxa"/>
            <w:vAlign w:val="center"/>
          </w:tcPr>
          <w:p>
            <w:pPr>
              <w:pStyle w:val="12"/>
            </w:pPr>
            <w:r>
              <w:t>根据《广播电视安全播出管理规定》</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资金到位率</w:t>
            </w:r>
          </w:p>
          <w:p>
            <w:pPr>
              <w:pStyle w:val="12"/>
            </w:pPr>
          </w:p>
        </w:tc>
        <w:tc>
          <w:tcPr>
            <w:tcW w:w="5386" w:type="dxa"/>
            <w:vAlign w:val="center"/>
          </w:tcPr>
          <w:p>
            <w:pPr>
              <w:pStyle w:val="12"/>
            </w:pPr>
            <w:r>
              <w:t>财政补助资金实际到位情况</w:t>
            </w:r>
          </w:p>
          <w:p>
            <w:pPr>
              <w:pStyle w:val="12"/>
            </w:pP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省一套广播节目播出任务完成率</w:t>
            </w:r>
          </w:p>
          <w:p>
            <w:pPr>
              <w:pStyle w:val="12"/>
            </w:pPr>
          </w:p>
        </w:tc>
        <w:tc>
          <w:tcPr>
            <w:tcW w:w="5386" w:type="dxa"/>
            <w:vAlign w:val="center"/>
          </w:tcPr>
          <w:p>
            <w:pPr>
              <w:pStyle w:val="12"/>
            </w:pPr>
            <w:r>
              <w:t>省一套广播节目无线覆盖项目范围的调频发射机播出任务完成情况</w:t>
            </w:r>
          </w:p>
          <w:p>
            <w:pPr>
              <w:pStyle w:val="12"/>
            </w:pPr>
          </w:p>
        </w:tc>
        <w:tc>
          <w:tcPr>
            <w:tcW w:w="2268" w:type="dxa"/>
            <w:vAlign w:val="center"/>
          </w:tcPr>
          <w:p>
            <w:pPr>
              <w:pStyle w:val="12"/>
            </w:pPr>
            <w:r>
              <w:t>100%</w:t>
            </w:r>
          </w:p>
        </w:tc>
        <w:tc>
          <w:tcPr>
            <w:tcW w:w="1276" w:type="dxa"/>
            <w:vAlign w:val="center"/>
          </w:tcPr>
          <w:p>
            <w:pPr>
              <w:pStyle w:val="12"/>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p>
            <w:pPr>
              <w:pStyle w:val="12"/>
            </w:pPr>
          </w:p>
        </w:tc>
        <w:tc>
          <w:tcPr>
            <w:tcW w:w="5386" w:type="dxa"/>
            <w:vAlign w:val="center"/>
          </w:tcPr>
          <w:p>
            <w:pPr>
              <w:pStyle w:val="12"/>
            </w:pPr>
            <w:r>
              <w:t>实际支出控制在预算范围内</w:t>
            </w:r>
          </w:p>
          <w:p>
            <w:pPr>
              <w:pStyle w:val="12"/>
            </w:pPr>
          </w:p>
        </w:tc>
        <w:tc>
          <w:tcPr>
            <w:tcW w:w="2268" w:type="dxa"/>
            <w:vAlign w:val="center"/>
          </w:tcPr>
          <w:p>
            <w:pPr>
              <w:pStyle w:val="12"/>
            </w:pPr>
            <w:r>
              <w:t>≤3万元</w:t>
            </w:r>
          </w:p>
        </w:tc>
        <w:tc>
          <w:tcPr>
            <w:tcW w:w="1276" w:type="dxa"/>
            <w:vAlign w:val="center"/>
          </w:tcPr>
          <w:p>
            <w:pPr>
              <w:pStyle w:val="12"/>
            </w:pPr>
            <w:r>
              <w:t>冀财教[2024]144号文件</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广播节目综合人口覆盖率</w:t>
            </w:r>
          </w:p>
          <w:p>
            <w:pPr>
              <w:pStyle w:val="12"/>
            </w:pPr>
          </w:p>
        </w:tc>
        <w:tc>
          <w:tcPr>
            <w:tcW w:w="5386" w:type="dxa"/>
            <w:vAlign w:val="center"/>
          </w:tcPr>
          <w:p>
            <w:pPr>
              <w:pStyle w:val="12"/>
            </w:pPr>
            <w:r>
              <w:t>能收听到广播节目的人口比重</w:t>
            </w:r>
          </w:p>
          <w:p>
            <w:pPr>
              <w:pStyle w:val="12"/>
            </w:pPr>
          </w:p>
        </w:tc>
        <w:tc>
          <w:tcPr>
            <w:tcW w:w="2268" w:type="dxa"/>
            <w:vAlign w:val="center"/>
          </w:tcPr>
          <w:p>
            <w:pPr>
              <w:pStyle w:val="12"/>
            </w:pPr>
            <w:r>
              <w:t>≥99%</w:t>
            </w:r>
          </w:p>
        </w:tc>
        <w:tc>
          <w:tcPr>
            <w:tcW w:w="1276" w:type="dxa"/>
            <w:vAlign w:val="center"/>
          </w:tcPr>
          <w:p>
            <w:pPr>
              <w:pStyle w:val="12"/>
            </w:pPr>
            <w:r>
              <w:t>工作实际</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基本公共文化服务水平</w:t>
            </w:r>
          </w:p>
          <w:p>
            <w:pPr>
              <w:pStyle w:val="12"/>
            </w:pPr>
          </w:p>
        </w:tc>
        <w:tc>
          <w:tcPr>
            <w:tcW w:w="5386" w:type="dxa"/>
            <w:vAlign w:val="center"/>
          </w:tcPr>
          <w:p>
            <w:pPr>
              <w:pStyle w:val="12"/>
            </w:pPr>
            <w:r>
              <w:t>提供更好的广播电视基本公共服务</w:t>
            </w:r>
          </w:p>
          <w:p>
            <w:pPr>
              <w:pStyle w:val="12"/>
            </w:pPr>
          </w:p>
        </w:tc>
        <w:tc>
          <w:tcPr>
            <w:tcW w:w="2268" w:type="dxa"/>
            <w:vAlign w:val="center"/>
          </w:tcPr>
          <w:p>
            <w:pPr>
              <w:pStyle w:val="12"/>
            </w:pPr>
            <w:r>
              <w:t>稳步提升</w:t>
            </w:r>
          </w:p>
        </w:tc>
        <w:tc>
          <w:tcPr>
            <w:tcW w:w="1276" w:type="dxa"/>
            <w:vAlign w:val="center"/>
          </w:tcPr>
          <w:p>
            <w:pPr>
              <w:pStyle w:val="12"/>
            </w:pPr>
            <w:r>
              <w:t>工作实际</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无线覆盖运行维护可持续性</w:t>
            </w:r>
          </w:p>
          <w:p>
            <w:pPr>
              <w:pStyle w:val="12"/>
            </w:pPr>
          </w:p>
        </w:tc>
        <w:tc>
          <w:tcPr>
            <w:tcW w:w="5386" w:type="dxa"/>
            <w:vAlign w:val="center"/>
          </w:tcPr>
          <w:p>
            <w:pPr>
              <w:pStyle w:val="12"/>
            </w:pPr>
            <w:r>
              <w:t>提供持续的无线广播电视节目服务</w:t>
            </w:r>
          </w:p>
          <w:p>
            <w:pPr>
              <w:pStyle w:val="12"/>
            </w:pPr>
          </w:p>
        </w:tc>
        <w:tc>
          <w:tcPr>
            <w:tcW w:w="2268" w:type="dxa"/>
            <w:vAlign w:val="center"/>
          </w:tcPr>
          <w:p>
            <w:pPr>
              <w:pStyle w:val="12"/>
            </w:pPr>
            <w:r>
              <w:t>长期</w:t>
            </w:r>
          </w:p>
        </w:tc>
        <w:tc>
          <w:tcPr>
            <w:tcW w:w="1276" w:type="dxa"/>
            <w:vAlign w:val="center"/>
          </w:tcPr>
          <w:p>
            <w:pPr>
              <w:pStyle w:val="12"/>
            </w:pPr>
            <w:r>
              <w:t>工作实际</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群众对广播电视基本公共服务满意度</w:t>
            </w:r>
          </w:p>
          <w:p>
            <w:pPr>
              <w:pStyle w:val="12"/>
            </w:pPr>
          </w:p>
        </w:tc>
        <w:tc>
          <w:tcPr>
            <w:tcW w:w="5386" w:type="dxa"/>
            <w:vAlign w:val="center"/>
          </w:tcPr>
          <w:p>
            <w:pPr>
              <w:pStyle w:val="12"/>
            </w:pPr>
            <w:r>
              <w:t>群众对广播电视基本公共服务的认可度</w:t>
            </w:r>
          </w:p>
          <w:p>
            <w:pPr>
              <w:pStyle w:val="12"/>
            </w:pPr>
          </w:p>
        </w:tc>
        <w:tc>
          <w:tcPr>
            <w:tcW w:w="2268" w:type="dxa"/>
            <w:vAlign w:val="center"/>
          </w:tcPr>
          <w:p>
            <w:pPr>
              <w:pStyle w:val="12"/>
            </w:pPr>
            <w:r>
              <w:t>≥95%</w:t>
            </w:r>
          </w:p>
        </w:tc>
        <w:tc>
          <w:tcPr>
            <w:tcW w:w="1276" w:type="dxa"/>
            <w:vAlign w:val="center"/>
          </w:tcPr>
          <w:p>
            <w:pPr>
              <w:pStyle w:val="12"/>
            </w:pPr>
            <w:r>
              <w:t>问卷调查</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3、关于提前下达2025年中央支持地方公共文化服务体系建设补助资金预算的通知-中央广播电视节目无线覆盖（模拟）运行维护费（冀财教[2024]113号）绩效目标表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13032125P000089100086</w:t>
            </w:r>
          </w:p>
        </w:tc>
        <w:tc>
          <w:tcPr>
            <w:tcW w:w="2835" w:type="dxa"/>
            <w:vAlign w:val="center"/>
          </w:tcPr>
          <w:p>
            <w:pPr>
              <w:pStyle w:val="10"/>
            </w:pPr>
            <w:r>
              <w:t>项目名称</w:t>
            </w:r>
          </w:p>
        </w:tc>
        <w:tc>
          <w:tcPr>
            <w:tcW w:w="6095" w:type="dxa"/>
            <w:gridSpan w:val="3"/>
            <w:vAlign w:val="center"/>
          </w:tcPr>
          <w:p>
            <w:pPr>
              <w:pStyle w:val="12"/>
            </w:pPr>
            <w:r>
              <w:t>关于提前下达2025年中央支持地方公共文化服务体系建设补助资金预算的通知-中央广播电视节目无线覆盖（模拟）运行维护费（冀财教[2024]113号）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7.76</w:t>
            </w:r>
          </w:p>
        </w:tc>
        <w:tc>
          <w:tcPr>
            <w:tcW w:w="2835" w:type="dxa"/>
            <w:vAlign w:val="center"/>
          </w:tcPr>
          <w:p>
            <w:pPr>
              <w:pStyle w:val="10"/>
            </w:pPr>
            <w:r>
              <w:t>其中：财政    资金</w:t>
            </w:r>
          </w:p>
        </w:tc>
        <w:tc>
          <w:tcPr>
            <w:tcW w:w="2551" w:type="dxa"/>
            <w:vAlign w:val="center"/>
          </w:tcPr>
          <w:p>
            <w:pPr>
              <w:pStyle w:val="12"/>
            </w:pPr>
            <w:r>
              <w:t>7.76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预算安排7.76万元，其中财政拨款7.76万元，主要用于南山转播台设备的日常维修维护与保养等方面等支出。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1.通过按时播放中央广播节目，丰富广大人民群众的精神文化生活。</w:t>
            </w:r>
          </w:p>
          <w:p>
            <w:pPr>
              <w:pStyle w:val="12"/>
            </w:pPr>
            <w:r>
              <w:t>2.通过对模拟发射设备的日常维修维护及保养，保障中央广播节目正常播出。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模拟发射机运行维护数量</w:t>
            </w:r>
          </w:p>
        </w:tc>
        <w:tc>
          <w:tcPr>
            <w:tcW w:w="5386" w:type="dxa"/>
            <w:vAlign w:val="center"/>
          </w:tcPr>
          <w:p>
            <w:pPr>
              <w:pStyle w:val="12"/>
            </w:pPr>
            <w:r>
              <w:t>纳入中央广播电视节目无线覆盖项目范围的模拟广播发射机</w:t>
            </w:r>
          </w:p>
        </w:tc>
        <w:tc>
          <w:tcPr>
            <w:tcW w:w="2268" w:type="dxa"/>
            <w:vAlign w:val="center"/>
          </w:tcPr>
          <w:p>
            <w:pPr>
              <w:pStyle w:val="12"/>
            </w:pPr>
            <w:r>
              <w:t>1部</w:t>
            </w:r>
          </w:p>
        </w:tc>
        <w:tc>
          <w:tcPr>
            <w:tcW w:w="1276" w:type="dxa"/>
            <w:vAlign w:val="center"/>
          </w:tcPr>
          <w:p>
            <w:pPr>
              <w:pStyle w:val="12"/>
            </w:pPr>
            <w:r>
              <w:t>当年设备实有数量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通过地面无线模拟提供中央广播节目</w:t>
            </w:r>
          </w:p>
          <w:p>
            <w:pPr>
              <w:pStyle w:val="12"/>
            </w:pPr>
          </w:p>
        </w:tc>
        <w:tc>
          <w:tcPr>
            <w:tcW w:w="5386" w:type="dxa"/>
            <w:vAlign w:val="center"/>
          </w:tcPr>
          <w:p>
            <w:pPr>
              <w:pStyle w:val="12"/>
            </w:pPr>
            <w:r>
              <w:t>纳入中央广播节目无线覆盖项目范围的调频发射机的节目套数</w:t>
            </w:r>
          </w:p>
          <w:p>
            <w:pPr>
              <w:pStyle w:val="12"/>
            </w:pPr>
          </w:p>
        </w:tc>
        <w:tc>
          <w:tcPr>
            <w:tcW w:w="2268" w:type="dxa"/>
            <w:vAlign w:val="center"/>
          </w:tcPr>
          <w:p>
            <w:pPr>
              <w:pStyle w:val="12"/>
            </w:pPr>
            <w:r>
              <w:t>1套</w:t>
            </w:r>
          </w:p>
        </w:tc>
        <w:tc>
          <w:tcPr>
            <w:tcW w:w="1276" w:type="dxa"/>
            <w:vAlign w:val="center"/>
          </w:tcPr>
          <w:p>
            <w:pPr>
              <w:pStyle w:val="12"/>
            </w:pPr>
            <w:r>
              <w:t>广电办发〔2023〕202号</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模拟发射机“三满”播出率</w:t>
            </w:r>
          </w:p>
        </w:tc>
        <w:tc>
          <w:tcPr>
            <w:tcW w:w="5386" w:type="dxa"/>
            <w:vAlign w:val="center"/>
          </w:tcPr>
          <w:p>
            <w:pPr>
              <w:pStyle w:val="12"/>
            </w:pPr>
            <w:r>
              <w:t>纳入中央广播节目无线覆盖项目范围的调频发射机“满功率、满时间、满调制度”播出情况</w:t>
            </w:r>
          </w:p>
          <w:p>
            <w:pPr>
              <w:pStyle w:val="12"/>
            </w:pPr>
          </w:p>
        </w:tc>
        <w:tc>
          <w:tcPr>
            <w:tcW w:w="2268" w:type="dxa"/>
            <w:vAlign w:val="center"/>
          </w:tcPr>
          <w:p>
            <w:pPr>
              <w:pStyle w:val="12"/>
            </w:pPr>
            <w:r>
              <w:t>100%</w:t>
            </w:r>
          </w:p>
        </w:tc>
        <w:tc>
          <w:tcPr>
            <w:tcW w:w="1276" w:type="dxa"/>
            <w:vAlign w:val="center"/>
          </w:tcPr>
          <w:p>
            <w:pPr>
              <w:pStyle w:val="12"/>
            </w:pPr>
            <w:r>
              <w:t>根据《广播电视安全播出管理规定》</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资金到位率</w:t>
            </w:r>
          </w:p>
          <w:p>
            <w:pPr>
              <w:pStyle w:val="12"/>
            </w:pPr>
          </w:p>
        </w:tc>
        <w:tc>
          <w:tcPr>
            <w:tcW w:w="5386" w:type="dxa"/>
            <w:vAlign w:val="center"/>
          </w:tcPr>
          <w:p>
            <w:pPr>
              <w:pStyle w:val="12"/>
            </w:pPr>
            <w:r>
              <w:t>中央财政补助资金实际到位情况</w:t>
            </w:r>
          </w:p>
          <w:p>
            <w:pPr>
              <w:pStyle w:val="12"/>
            </w:pPr>
          </w:p>
        </w:tc>
        <w:tc>
          <w:tcPr>
            <w:tcW w:w="2268" w:type="dxa"/>
            <w:vAlign w:val="center"/>
          </w:tcPr>
          <w:p>
            <w:pPr>
              <w:pStyle w:val="12"/>
            </w:pPr>
            <w:r>
              <w:t>100%</w:t>
            </w:r>
          </w:p>
        </w:tc>
        <w:tc>
          <w:tcPr>
            <w:tcW w:w="1276" w:type="dxa"/>
            <w:vAlign w:val="center"/>
          </w:tcPr>
          <w:p>
            <w:pPr>
              <w:pStyle w:val="12"/>
            </w:pPr>
            <w:r>
              <w:t>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中央模拟广播节目播出任务完成率</w:t>
            </w:r>
          </w:p>
          <w:p>
            <w:pPr>
              <w:pStyle w:val="12"/>
            </w:pPr>
          </w:p>
        </w:tc>
        <w:tc>
          <w:tcPr>
            <w:tcW w:w="5386" w:type="dxa"/>
            <w:vAlign w:val="center"/>
          </w:tcPr>
          <w:p>
            <w:pPr>
              <w:pStyle w:val="12"/>
            </w:pPr>
            <w:r>
              <w:t>纳入中央广播节目无线覆盖项目范围的调频发射机播出任务完成情况</w:t>
            </w:r>
          </w:p>
          <w:p>
            <w:pPr>
              <w:pStyle w:val="12"/>
            </w:pPr>
          </w:p>
        </w:tc>
        <w:tc>
          <w:tcPr>
            <w:tcW w:w="2268" w:type="dxa"/>
            <w:vAlign w:val="center"/>
          </w:tcPr>
          <w:p>
            <w:pPr>
              <w:pStyle w:val="12"/>
            </w:pPr>
            <w:r>
              <w:t>100%</w:t>
            </w:r>
          </w:p>
        </w:tc>
        <w:tc>
          <w:tcPr>
            <w:tcW w:w="1276" w:type="dxa"/>
            <w:vAlign w:val="center"/>
          </w:tcPr>
          <w:p>
            <w:pPr>
              <w:pStyle w:val="12"/>
            </w:pPr>
            <w:r>
              <w:t>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p>
            <w:pPr>
              <w:pStyle w:val="12"/>
            </w:pPr>
          </w:p>
        </w:tc>
        <w:tc>
          <w:tcPr>
            <w:tcW w:w="5386" w:type="dxa"/>
            <w:vAlign w:val="center"/>
          </w:tcPr>
          <w:p>
            <w:pPr>
              <w:pStyle w:val="12"/>
            </w:pPr>
            <w:r>
              <w:t>实际支出控制在预算范围内</w:t>
            </w:r>
          </w:p>
          <w:p>
            <w:pPr>
              <w:pStyle w:val="12"/>
            </w:pPr>
          </w:p>
        </w:tc>
        <w:tc>
          <w:tcPr>
            <w:tcW w:w="2268" w:type="dxa"/>
            <w:vAlign w:val="center"/>
          </w:tcPr>
          <w:p>
            <w:pPr>
              <w:pStyle w:val="12"/>
            </w:pPr>
            <w:r>
              <w:t>≤7.76万元</w:t>
            </w:r>
          </w:p>
        </w:tc>
        <w:tc>
          <w:tcPr>
            <w:tcW w:w="1276" w:type="dxa"/>
            <w:vAlign w:val="center"/>
          </w:tcPr>
          <w:p>
            <w:pPr>
              <w:pStyle w:val="12"/>
            </w:pPr>
            <w:r>
              <w:t>冀财教[2024]113号文件</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广播节目综合人口覆盖率</w:t>
            </w:r>
          </w:p>
          <w:p>
            <w:pPr>
              <w:pStyle w:val="12"/>
            </w:pPr>
          </w:p>
          <w:p>
            <w:pPr>
              <w:pStyle w:val="12"/>
            </w:pPr>
          </w:p>
        </w:tc>
        <w:tc>
          <w:tcPr>
            <w:tcW w:w="5386" w:type="dxa"/>
            <w:vAlign w:val="center"/>
          </w:tcPr>
          <w:p>
            <w:pPr>
              <w:pStyle w:val="12"/>
            </w:pPr>
            <w:r>
              <w:t>能收听到广播节目的人口比重</w:t>
            </w:r>
          </w:p>
          <w:p>
            <w:pPr>
              <w:pStyle w:val="12"/>
            </w:pPr>
          </w:p>
        </w:tc>
        <w:tc>
          <w:tcPr>
            <w:tcW w:w="2268" w:type="dxa"/>
            <w:vAlign w:val="center"/>
          </w:tcPr>
          <w:p>
            <w:pPr>
              <w:pStyle w:val="12"/>
            </w:pPr>
            <w:r>
              <w:t>≥99%</w:t>
            </w:r>
          </w:p>
        </w:tc>
        <w:tc>
          <w:tcPr>
            <w:tcW w:w="1276" w:type="dxa"/>
            <w:vAlign w:val="center"/>
          </w:tcPr>
          <w:p>
            <w:pPr>
              <w:pStyle w:val="12"/>
            </w:pPr>
            <w:r>
              <w:t>工作实际</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基本公共文化服务水平</w:t>
            </w:r>
          </w:p>
          <w:p>
            <w:pPr>
              <w:pStyle w:val="12"/>
            </w:pPr>
          </w:p>
        </w:tc>
        <w:tc>
          <w:tcPr>
            <w:tcW w:w="5386" w:type="dxa"/>
            <w:vAlign w:val="center"/>
          </w:tcPr>
          <w:p>
            <w:pPr>
              <w:pStyle w:val="12"/>
            </w:pPr>
            <w:r>
              <w:t>提供更好的广播电视基本公共服务</w:t>
            </w:r>
          </w:p>
        </w:tc>
        <w:tc>
          <w:tcPr>
            <w:tcW w:w="2268" w:type="dxa"/>
            <w:vAlign w:val="center"/>
          </w:tcPr>
          <w:p>
            <w:pPr>
              <w:pStyle w:val="12"/>
            </w:pPr>
            <w:r>
              <w:t>稳步提升</w:t>
            </w:r>
          </w:p>
        </w:tc>
        <w:tc>
          <w:tcPr>
            <w:tcW w:w="1276" w:type="dxa"/>
            <w:vAlign w:val="center"/>
          </w:tcPr>
          <w:p>
            <w:pPr>
              <w:pStyle w:val="12"/>
            </w:pPr>
            <w:r>
              <w:t>工作实际</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无线覆盖运行维护可持续性</w:t>
            </w:r>
          </w:p>
          <w:p>
            <w:pPr>
              <w:pStyle w:val="12"/>
            </w:pPr>
          </w:p>
        </w:tc>
        <w:tc>
          <w:tcPr>
            <w:tcW w:w="5386" w:type="dxa"/>
            <w:vAlign w:val="center"/>
          </w:tcPr>
          <w:p>
            <w:pPr>
              <w:pStyle w:val="12"/>
            </w:pPr>
            <w:r>
              <w:t>提供持续的无线广播电视节目服务</w:t>
            </w:r>
          </w:p>
          <w:p>
            <w:pPr>
              <w:pStyle w:val="12"/>
            </w:pPr>
          </w:p>
        </w:tc>
        <w:tc>
          <w:tcPr>
            <w:tcW w:w="2268" w:type="dxa"/>
            <w:vAlign w:val="center"/>
          </w:tcPr>
          <w:p>
            <w:pPr>
              <w:pStyle w:val="12"/>
            </w:pPr>
            <w:r>
              <w:t>长期</w:t>
            </w:r>
          </w:p>
        </w:tc>
        <w:tc>
          <w:tcPr>
            <w:tcW w:w="1276" w:type="dxa"/>
            <w:vAlign w:val="center"/>
          </w:tcPr>
          <w:p>
            <w:pPr>
              <w:pStyle w:val="12"/>
            </w:pPr>
            <w:r>
              <w:t>工作实际</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群众对广播电视基本公共服务满意度</w:t>
            </w:r>
          </w:p>
          <w:p>
            <w:pPr>
              <w:pStyle w:val="12"/>
            </w:pPr>
          </w:p>
        </w:tc>
        <w:tc>
          <w:tcPr>
            <w:tcW w:w="5386" w:type="dxa"/>
            <w:vAlign w:val="center"/>
          </w:tcPr>
          <w:p>
            <w:pPr>
              <w:pStyle w:val="12"/>
            </w:pPr>
            <w:r>
              <w:t>群众对广播电视基本公共服务的认可度</w:t>
            </w:r>
          </w:p>
          <w:p>
            <w:pPr>
              <w:pStyle w:val="12"/>
            </w:pP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4、关于提前下达2025年中央支持地方公共文化服务体系建设补助资金预算的通知-中央广播电视节目无线覆盖（数字）运行维护费（冀财教[2024]113号）绩效目标表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13032125P00008910009R</w:t>
            </w:r>
          </w:p>
        </w:tc>
        <w:tc>
          <w:tcPr>
            <w:tcW w:w="2835" w:type="dxa"/>
            <w:vAlign w:val="center"/>
          </w:tcPr>
          <w:p>
            <w:pPr>
              <w:pStyle w:val="10"/>
            </w:pPr>
            <w:r>
              <w:t>项目名称</w:t>
            </w:r>
          </w:p>
        </w:tc>
        <w:tc>
          <w:tcPr>
            <w:tcW w:w="6095" w:type="dxa"/>
            <w:gridSpan w:val="3"/>
            <w:vAlign w:val="center"/>
          </w:tcPr>
          <w:p>
            <w:pPr>
              <w:pStyle w:val="12"/>
            </w:pPr>
            <w:r>
              <w:t>关于提前下达2025年中央支持地方公共文化服务体系建设补助资金预算的通知-中央广播电视节目无线覆盖（数字）运行维护费（冀财教[2024]113号）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35.30</w:t>
            </w:r>
          </w:p>
        </w:tc>
        <w:tc>
          <w:tcPr>
            <w:tcW w:w="2835" w:type="dxa"/>
            <w:vAlign w:val="center"/>
          </w:tcPr>
          <w:p>
            <w:pPr>
              <w:pStyle w:val="10"/>
            </w:pPr>
            <w:r>
              <w:t>其中：财政    资金</w:t>
            </w:r>
          </w:p>
        </w:tc>
        <w:tc>
          <w:tcPr>
            <w:tcW w:w="2551" w:type="dxa"/>
            <w:vAlign w:val="center"/>
          </w:tcPr>
          <w:p>
            <w:pPr>
              <w:pStyle w:val="12"/>
            </w:pPr>
            <w:r>
              <w:t>35.30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预算安排35.3万元，其中财政拨款35.3万元，主要用于南山转播台设备的日常维修维护与保养、电费等方面的支出。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1.通过按时播放中央广播电视节目，丰富广大人民群众的精神文化生活。</w:t>
            </w:r>
          </w:p>
          <w:p>
            <w:pPr>
              <w:pStyle w:val="12"/>
            </w:pPr>
            <w:r>
              <w:t>2.通过对数字发射设备的日常维修维护及保养，保障中央广播电视节目正常播出。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数字发射机运行维护数量</w:t>
            </w:r>
          </w:p>
          <w:p>
            <w:pPr>
              <w:pStyle w:val="12"/>
            </w:pPr>
          </w:p>
        </w:tc>
        <w:tc>
          <w:tcPr>
            <w:tcW w:w="5386" w:type="dxa"/>
            <w:vAlign w:val="center"/>
          </w:tcPr>
          <w:p>
            <w:pPr>
              <w:pStyle w:val="12"/>
            </w:pPr>
            <w:r>
              <w:t>纳入中央广播电视节目无线覆盖项目范围的数字广播发射机、数字电视发射机</w:t>
            </w:r>
          </w:p>
          <w:p>
            <w:pPr>
              <w:pStyle w:val="12"/>
            </w:pPr>
          </w:p>
        </w:tc>
        <w:tc>
          <w:tcPr>
            <w:tcW w:w="2268" w:type="dxa"/>
            <w:vAlign w:val="center"/>
          </w:tcPr>
          <w:p>
            <w:pPr>
              <w:pStyle w:val="12"/>
            </w:pPr>
            <w:r>
              <w:t>3部</w:t>
            </w:r>
          </w:p>
        </w:tc>
        <w:tc>
          <w:tcPr>
            <w:tcW w:w="1276" w:type="dxa"/>
            <w:vAlign w:val="center"/>
          </w:tcPr>
          <w:p>
            <w:pPr>
              <w:pStyle w:val="12"/>
            </w:pPr>
            <w:r>
              <w:t>当年设备实有数量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通过地面数字电视提供中央电视节目</w:t>
            </w:r>
          </w:p>
          <w:p>
            <w:pPr>
              <w:pStyle w:val="12"/>
            </w:pPr>
          </w:p>
        </w:tc>
        <w:tc>
          <w:tcPr>
            <w:tcW w:w="5386" w:type="dxa"/>
            <w:vAlign w:val="center"/>
          </w:tcPr>
          <w:p>
            <w:pPr>
              <w:pStyle w:val="12"/>
            </w:pPr>
            <w:r>
              <w:t>纳入中央广播电视节目无线覆盖项目范围的数字广播发射机、数字电视发射机提供的节目套数</w:t>
            </w:r>
          </w:p>
          <w:p>
            <w:pPr>
              <w:pStyle w:val="12"/>
            </w:pPr>
          </w:p>
        </w:tc>
        <w:tc>
          <w:tcPr>
            <w:tcW w:w="2268" w:type="dxa"/>
            <w:vAlign w:val="center"/>
          </w:tcPr>
          <w:p>
            <w:pPr>
              <w:pStyle w:val="12"/>
            </w:pPr>
            <w:r>
              <w:t>3套</w:t>
            </w:r>
          </w:p>
        </w:tc>
        <w:tc>
          <w:tcPr>
            <w:tcW w:w="1276" w:type="dxa"/>
            <w:vAlign w:val="center"/>
          </w:tcPr>
          <w:p>
            <w:pPr>
              <w:pStyle w:val="12"/>
            </w:pPr>
            <w:r>
              <w:t>广电办发〔2023〕202号</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数字发射机“三满”播出率</w:t>
            </w:r>
          </w:p>
          <w:p>
            <w:pPr>
              <w:pStyle w:val="12"/>
            </w:pPr>
          </w:p>
        </w:tc>
        <w:tc>
          <w:tcPr>
            <w:tcW w:w="5386" w:type="dxa"/>
            <w:vAlign w:val="center"/>
          </w:tcPr>
          <w:p>
            <w:pPr>
              <w:pStyle w:val="12"/>
            </w:pPr>
            <w:r>
              <w:t>纳入中央广播电视节目无线覆盖项目范围的数字广播发射机、数字电视发射机“满功率、满时间、满调制度”播出情况</w:t>
            </w:r>
          </w:p>
          <w:p>
            <w:pPr>
              <w:pStyle w:val="12"/>
            </w:pPr>
          </w:p>
        </w:tc>
        <w:tc>
          <w:tcPr>
            <w:tcW w:w="2268" w:type="dxa"/>
            <w:vAlign w:val="center"/>
          </w:tcPr>
          <w:p>
            <w:pPr>
              <w:pStyle w:val="12"/>
            </w:pPr>
            <w:r>
              <w:t>100%</w:t>
            </w:r>
          </w:p>
        </w:tc>
        <w:tc>
          <w:tcPr>
            <w:tcW w:w="1276" w:type="dxa"/>
            <w:vAlign w:val="center"/>
          </w:tcPr>
          <w:p>
            <w:pPr>
              <w:pStyle w:val="12"/>
            </w:pPr>
            <w:r>
              <w:t>根据《广播电视安全播出管理规定》</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资金到位率</w:t>
            </w:r>
          </w:p>
          <w:p>
            <w:pPr>
              <w:pStyle w:val="12"/>
            </w:pPr>
          </w:p>
        </w:tc>
        <w:tc>
          <w:tcPr>
            <w:tcW w:w="5386" w:type="dxa"/>
            <w:vAlign w:val="center"/>
          </w:tcPr>
          <w:p>
            <w:pPr>
              <w:pStyle w:val="12"/>
            </w:pPr>
            <w:r>
              <w:t>中央财政补助资金实际到位情况</w:t>
            </w:r>
          </w:p>
          <w:p>
            <w:pPr>
              <w:pStyle w:val="12"/>
            </w:pPr>
          </w:p>
        </w:tc>
        <w:tc>
          <w:tcPr>
            <w:tcW w:w="2268" w:type="dxa"/>
            <w:vAlign w:val="center"/>
          </w:tcPr>
          <w:p>
            <w:pPr>
              <w:pStyle w:val="12"/>
            </w:pPr>
            <w:r>
              <w:t>100%</w:t>
            </w:r>
          </w:p>
        </w:tc>
        <w:tc>
          <w:tcPr>
            <w:tcW w:w="1276" w:type="dxa"/>
            <w:vAlign w:val="center"/>
          </w:tcPr>
          <w:p>
            <w:pPr>
              <w:pStyle w:val="12"/>
            </w:pPr>
            <w:r>
              <w:t>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中央数字广播电视节目播出任务完成率</w:t>
            </w:r>
          </w:p>
          <w:p>
            <w:pPr>
              <w:pStyle w:val="12"/>
            </w:pPr>
          </w:p>
        </w:tc>
        <w:tc>
          <w:tcPr>
            <w:tcW w:w="5386" w:type="dxa"/>
            <w:vAlign w:val="center"/>
          </w:tcPr>
          <w:p>
            <w:pPr>
              <w:pStyle w:val="12"/>
            </w:pPr>
            <w:r>
              <w:t>纳入中央广播电视节目无线覆盖项目范围的数字广播发射机、数字电视发射机播出任务完成情况</w:t>
            </w:r>
          </w:p>
          <w:p>
            <w:pPr>
              <w:pStyle w:val="12"/>
            </w:pPr>
          </w:p>
        </w:tc>
        <w:tc>
          <w:tcPr>
            <w:tcW w:w="2268" w:type="dxa"/>
            <w:vAlign w:val="center"/>
          </w:tcPr>
          <w:p>
            <w:pPr>
              <w:pStyle w:val="12"/>
            </w:pPr>
            <w:r>
              <w:t>100%</w:t>
            </w:r>
          </w:p>
        </w:tc>
        <w:tc>
          <w:tcPr>
            <w:tcW w:w="1276" w:type="dxa"/>
            <w:vAlign w:val="center"/>
          </w:tcPr>
          <w:p>
            <w:pPr>
              <w:pStyle w:val="12"/>
            </w:pPr>
            <w:r>
              <w:t>工作计划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p>
            <w:pPr>
              <w:pStyle w:val="12"/>
            </w:pPr>
          </w:p>
        </w:tc>
        <w:tc>
          <w:tcPr>
            <w:tcW w:w="5386" w:type="dxa"/>
            <w:vAlign w:val="center"/>
          </w:tcPr>
          <w:p>
            <w:pPr>
              <w:pStyle w:val="12"/>
            </w:pPr>
            <w:r>
              <w:t>实际支出控制在预算范围内</w:t>
            </w:r>
          </w:p>
          <w:p>
            <w:pPr>
              <w:pStyle w:val="12"/>
            </w:pPr>
          </w:p>
        </w:tc>
        <w:tc>
          <w:tcPr>
            <w:tcW w:w="2268" w:type="dxa"/>
            <w:vAlign w:val="center"/>
          </w:tcPr>
          <w:p>
            <w:pPr>
              <w:pStyle w:val="12"/>
            </w:pPr>
            <w:r>
              <w:t>≤35.3万元</w:t>
            </w:r>
          </w:p>
        </w:tc>
        <w:tc>
          <w:tcPr>
            <w:tcW w:w="1276" w:type="dxa"/>
            <w:vAlign w:val="center"/>
          </w:tcPr>
          <w:p>
            <w:pPr>
              <w:pStyle w:val="12"/>
            </w:pPr>
            <w:r>
              <w:t>冀财教[2024]113号文件</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广播节目综合人口覆盖率</w:t>
            </w:r>
          </w:p>
          <w:p>
            <w:pPr>
              <w:pStyle w:val="12"/>
            </w:pPr>
          </w:p>
        </w:tc>
        <w:tc>
          <w:tcPr>
            <w:tcW w:w="5386" w:type="dxa"/>
            <w:vAlign w:val="center"/>
          </w:tcPr>
          <w:p>
            <w:pPr>
              <w:pStyle w:val="12"/>
            </w:pPr>
            <w:r>
              <w:t>能收听到广播节目的人口比重</w:t>
            </w:r>
          </w:p>
          <w:p>
            <w:pPr>
              <w:pStyle w:val="12"/>
            </w:pPr>
          </w:p>
        </w:tc>
        <w:tc>
          <w:tcPr>
            <w:tcW w:w="2268" w:type="dxa"/>
            <w:vAlign w:val="center"/>
          </w:tcPr>
          <w:p>
            <w:pPr>
              <w:pStyle w:val="12"/>
            </w:pPr>
            <w:r>
              <w:t>≥99%</w:t>
            </w:r>
          </w:p>
        </w:tc>
        <w:tc>
          <w:tcPr>
            <w:tcW w:w="1276" w:type="dxa"/>
            <w:vAlign w:val="center"/>
          </w:tcPr>
          <w:p>
            <w:pPr>
              <w:pStyle w:val="12"/>
            </w:pPr>
            <w:r>
              <w:t>工作实际</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电视节目综合人口覆盖率</w:t>
            </w:r>
          </w:p>
          <w:p>
            <w:pPr>
              <w:pStyle w:val="12"/>
            </w:pPr>
          </w:p>
        </w:tc>
        <w:tc>
          <w:tcPr>
            <w:tcW w:w="5386" w:type="dxa"/>
            <w:vAlign w:val="center"/>
          </w:tcPr>
          <w:p>
            <w:pPr>
              <w:pStyle w:val="12"/>
            </w:pPr>
            <w:r>
              <w:t>能收看到电视节目的人口比重</w:t>
            </w:r>
          </w:p>
          <w:p>
            <w:pPr>
              <w:pStyle w:val="12"/>
            </w:pPr>
          </w:p>
        </w:tc>
        <w:tc>
          <w:tcPr>
            <w:tcW w:w="2268" w:type="dxa"/>
            <w:vAlign w:val="center"/>
          </w:tcPr>
          <w:p>
            <w:pPr>
              <w:pStyle w:val="12"/>
            </w:pPr>
            <w:r>
              <w:t>≥99%</w:t>
            </w:r>
          </w:p>
        </w:tc>
        <w:tc>
          <w:tcPr>
            <w:tcW w:w="1276" w:type="dxa"/>
            <w:vAlign w:val="center"/>
          </w:tcPr>
          <w:p>
            <w:pPr>
              <w:pStyle w:val="12"/>
            </w:pPr>
            <w:r>
              <w:t>工作实际</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基本公共文化服务水平</w:t>
            </w:r>
          </w:p>
          <w:p>
            <w:pPr>
              <w:pStyle w:val="12"/>
            </w:pPr>
          </w:p>
        </w:tc>
        <w:tc>
          <w:tcPr>
            <w:tcW w:w="5386" w:type="dxa"/>
            <w:vAlign w:val="center"/>
          </w:tcPr>
          <w:p>
            <w:pPr>
              <w:pStyle w:val="12"/>
            </w:pPr>
            <w:r>
              <w:t>提供更好的广播电视基本公共服务</w:t>
            </w:r>
          </w:p>
          <w:p>
            <w:pPr>
              <w:pStyle w:val="12"/>
            </w:pPr>
          </w:p>
        </w:tc>
        <w:tc>
          <w:tcPr>
            <w:tcW w:w="2268" w:type="dxa"/>
            <w:vAlign w:val="center"/>
          </w:tcPr>
          <w:p>
            <w:pPr>
              <w:pStyle w:val="12"/>
            </w:pPr>
            <w:r>
              <w:t>稳步提升</w:t>
            </w:r>
          </w:p>
        </w:tc>
        <w:tc>
          <w:tcPr>
            <w:tcW w:w="1276" w:type="dxa"/>
            <w:vAlign w:val="center"/>
          </w:tcPr>
          <w:p>
            <w:pPr>
              <w:pStyle w:val="12"/>
            </w:pPr>
            <w:r>
              <w:t>工作实际</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无线覆盖运行维护可持续性</w:t>
            </w:r>
          </w:p>
          <w:p>
            <w:pPr>
              <w:pStyle w:val="12"/>
            </w:pPr>
          </w:p>
        </w:tc>
        <w:tc>
          <w:tcPr>
            <w:tcW w:w="5386" w:type="dxa"/>
            <w:vAlign w:val="center"/>
          </w:tcPr>
          <w:p>
            <w:pPr>
              <w:pStyle w:val="12"/>
            </w:pPr>
            <w:r>
              <w:t>提供持续的无线广播电视节目服务</w:t>
            </w:r>
          </w:p>
          <w:p>
            <w:pPr>
              <w:pStyle w:val="12"/>
            </w:pPr>
          </w:p>
        </w:tc>
        <w:tc>
          <w:tcPr>
            <w:tcW w:w="2268" w:type="dxa"/>
            <w:vAlign w:val="center"/>
          </w:tcPr>
          <w:p>
            <w:pPr>
              <w:pStyle w:val="12"/>
            </w:pPr>
            <w:r>
              <w:t>长期</w:t>
            </w:r>
          </w:p>
        </w:tc>
        <w:tc>
          <w:tcPr>
            <w:tcW w:w="1276" w:type="dxa"/>
            <w:vAlign w:val="center"/>
          </w:tcPr>
          <w:p>
            <w:pPr>
              <w:pStyle w:val="12"/>
            </w:pPr>
            <w:r>
              <w:t>工作实际</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群众对广播电视基本公共服务满意度</w:t>
            </w:r>
          </w:p>
          <w:p>
            <w:pPr>
              <w:pStyle w:val="12"/>
            </w:pPr>
          </w:p>
        </w:tc>
        <w:tc>
          <w:tcPr>
            <w:tcW w:w="5386" w:type="dxa"/>
            <w:vAlign w:val="center"/>
          </w:tcPr>
          <w:p>
            <w:pPr>
              <w:pStyle w:val="12"/>
            </w:pPr>
            <w:r>
              <w:t>群众对广播电视基本公共服务的认可度</w:t>
            </w:r>
          </w:p>
          <w:p>
            <w:pPr>
              <w:pStyle w:val="12"/>
            </w:pPr>
          </w:p>
        </w:tc>
        <w:tc>
          <w:tcPr>
            <w:tcW w:w="2268" w:type="dxa"/>
            <w:vAlign w:val="center"/>
          </w:tcPr>
          <w:p>
            <w:pPr>
              <w:pStyle w:val="12"/>
            </w:pPr>
            <w:r>
              <w:t>≥95%</w:t>
            </w:r>
          </w:p>
        </w:tc>
        <w:tc>
          <w:tcPr>
            <w:tcW w:w="1276" w:type="dxa"/>
            <w:vAlign w:val="center"/>
          </w:tcPr>
          <w:p>
            <w:pPr>
              <w:pStyle w:val="12"/>
            </w:pPr>
            <w:r>
              <w:t>问卷调查</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5、维修加固办公大楼外墙专项资金绩效目标表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13032125P000093100012</w:t>
            </w:r>
          </w:p>
        </w:tc>
        <w:tc>
          <w:tcPr>
            <w:tcW w:w="2835" w:type="dxa"/>
            <w:vAlign w:val="center"/>
          </w:tcPr>
          <w:p>
            <w:pPr>
              <w:pStyle w:val="10"/>
            </w:pPr>
            <w:r>
              <w:t>项目名称</w:t>
            </w:r>
          </w:p>
        </w:tc>
        <w:tc>
          <w:tcPr>
            <w:tcW w:w="6095" w:type="dxa"/>
            <w:gridSpan w:val="3"/>
            <w:vAlign w:val="center"/>
          </w:tcPr>
          <w:p>
            <w:pPr>
              <w:pStyle w:val="12"/>
            </w:pPr>
            <w:r>
              <w:t>维修加固办公大楼外墙专项资金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预算安排15万元，其中：财政拨款15万元。主要用于维修加固办公大楼外墙的支出。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rPr>
                <w:rFonts w:hint="eastAsia"/>
                <w:lang w:val="en-US" w:eastAsia="zh-CN"/>
              </w:rPr>
              <w:t>25</w:t>
            </w:r>
            <w:r>
              <w:t xml:space="preserve"> </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1.通过对办公大楼外墙的维修加固，保障人民群众和单位职工的人身财产安全。</w:t>
            </w:r>
          </w:p>
          <w:p>
            <w:pPr>
              <w:pStyle w:val="12"/>
            </w:pPr>
            <w:r>
              <w:t>2.通过对办公大楼外墙的维修加固，消除发生人身伤亡事故的安全隐患。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维修加固外墙面积</w:t>
            </w:r>
          </w:p>
        </w:tc>
        <w:tc>
          <w:tcPr>
            <w:tcW w:w="5386" w:type="dxa"/>
            <w:vAlign w:val="center"/>
          </w:tcPr>
          <w:p>
            <w:pPr>
              <w:pStyle w:val="12"/>
            </w:pPr>
            <w:r>
              <w:t>维修加固办公大楼外墙面积</w:t>
            </w:r>
          </w:p>
        </w:tc>
        <w:tc>
          <w:tcPr>
            <w:tcW w:w="2268" w:type="dxa"/>
            <w:vAlign w:val="center"/>
          </w:tcPr>
          <w:p>
            <w:pPr>
              <w:pStyle w:val="12"/>
            </w:pPr>
            <w:r>
              <w:t>1500平方米</w:t>
            </w:r>
          </w:p>
        </w:tc>
        <w:tc>
          <w:tcPr>
            <w:tcW w:w="1276" w:type="dxa"/>
            <w:vAlign w:val="center"/>
          </w:tcPr>
          <w:p>
            <w:pPr>
              <w:pStyle w:val="12"/>
            </w:pPr>
            <w:r>
              <w:t>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项目按期完成率</w:t>
            </w:r>
          </w:p>
        </w:tc>
        <w:tc>
          <w:tcPr>
            <w:tcW w:w="5386" w:type="dxa"/>
            <w:vAlign w:val="center"/>
          </w:tcPr>
          <w:p>
            <w:pPr>
              <w:pStyle w:val="12"/>
            </w:pPr>
            <w:r>
              <w:t>项目按期完成数占总项目数的比率</w:t>
            </w:r>
          </w:p>
        </w:tc>
        <w:tc>
          <w:tcPr>
            <w:tcW w:w="2268" w:type="dxa"/>
            <w:vAlign w:val="center"/>
          </w:tcPr>
          <w:p>
            <w:pPr>
              <w:pStyle w:val="12"/>
            </w:pPr>
            <w:r>
              <w:t>100%</w:t>
            </w:r>
          </w:p>
        </w:tc>
        <w:tc>
          <w:tcPr>
            <w:tcW w:w="1276" w:type="dxa"/>
            <w:vAlign w:val="center"/>
          </w:tcPr>
          <w:p>
            <w:pPr>
              <w:pStyle w:val="12"/>
            </w:pPr>
            <w:r>
              <w:t>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如期完成任务</w:t>
            </w:r>
          </w:p>
        </w:tc>
        <w:tc>
          <w:tcPr>
            <w:tcW w:w="5386" w:type="dxa"/>
            <w:vAlign w:val="center"/>
          </w:tcPr>
          <w:p>
            <w:pPr>
              <w:pStyle w:val="12"/>
            </w:pPr>
            <w:r>
              <w:t>在合同规定的时间内完成任务</w:t>
            </w:r>
          </w:p>
        </w:tc>
        <w:tc>
          <w:tcPr>
            <w:tcW w:w="2268" w:type="dxa"/>
            <w:vAlign w:val="center"/>
          </w:tcPr>
          <w:p>
            <w:pPr>
              <w:pStyle w:val="12"/>
            </w:pPr>
            <w:r>
              <w:t>&lt;1年</w:t>
            </w:r>
          </w:p>
        </w:tc>
        <w:tc>
          <w:tcPr>
            <w:tcW w:w="1276" w:type="dxa"/>
            <w:vAlign w:val="center"/>
          </w:tcPr>
          <w:p>
            <w:pPr>
              <w:pStyle w:val="12"/>
            </w:pPr>
            <w:r>
              <w:t>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实际支出控制在预算范围内</w:t>
            </w:r>
          </w:p>
        </w:tc>
        <w:tc>
          <w:tcPr>
            <w:tcW w:w="2268" w:type="dxa"/>
            <w:vAlign w:val="center"/>
          </w:tcPr>
          <w:p>
            <w:pPr>
              <w:pStyle w:val="12"/>
            </w:pPr>
            <w:r>
              <w:t>≤15万元</w:t>
            </w:r>
          </w:p>
        </w:tc>
        <w:tc>
          <w:tcPr>
            <w:tcW w:w="1276" w:type="dxa"/>
            <w:vAlign w:val="center"/>
          </w:tcPr>
          <w:p>
            <w:pPr>
              <w:pStyle w:val="12"/>
            </w:pPr>
            <w:r>
              <w:t>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消除发生人身伤亡事故的安全隐患</w:t>
            </w:r>
          </w:p>
        </w:tc>
        <w:tc>
          <w:tcPr>
            <w:tcW w:w="5386" w:type="dxa"/>
            <w:vAlign w:val="center"/>
          </w:tcPr>
          <w:p>
            <w:pPr>
              <w:pStyle w:val="12"/>
            </w:pPr>
            <w:r>
              <w:t>有效消除发生人身伤亡事故的安全隐患</w:t>
            </w:r>
          </w:p>
        </w:tc>
        <w:tc>
          <w:tcPr>
            <w:tcW w:w="2268" w:type="dxa"/>
            <w:vAlign w:val="center"/>
          </w:tcPr>
          <w:p>
            <w:pPr>
              <w:pStyle w:val="12"/>
            </w:pPr>
            <w:r>
              <w:t>不发生安全事故</w:t>
            </w:r>
          </w:p>
        </w:tc>
        <w:tc>
          <w:tcPr>
            <w:tcW w:w="1276" w:type="dxa"/>
            <w:vAlign w:val="center"/>
          </w:tcPr>
          <w:p>
            <w:pPr>
              <w:pStyle w:val="12"/>
            </w:pPr>
            <w:r>
              <w:t>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提升人民群众的人身财产安全</w:t>
            </w:r>
          </w:p>
        </w:tc>
        <w:tc>
          <w:tcPr>
            <w:tcW w:w="5386" w:type="dxa"/>
            <w:vAlign w:val="center"/>
          </w:tcPr>
          <w:p>
            <w:pPr>
              <w:pStyle w:val="12"/>
            </w:pPr>
            <w:r>
              <w:t>大力提升人民群众的人身财产安全</w:t>
            </w:r>
          </w:p>
        </w:tc>
        <w:tc>
          <w:tcPr>
            <w:tcW w:w="2268" w:type="dxa"/>
            <w:vAlign w:val="center"/>
          </w:tcPr>
          <w:p>
            <w:pPr>
              <w:pStyle w:val="12"/>
            </w:pPr>
            <w:r>
              <w:t>≥5年</w:t>
            </w:r>
          </w:p>
        </w:tc>
        <w:tc>
          <w:tcPr>
            <w:tcW w:w="1276" w:type="dxa"/>
            <w:vAlign w:val="center"/>
          </w:tcPr>
          <w:p>
            <w:pPr>
              <w:pStyle w:val="12"/>
            </w:pPr>
            <w:r>
              <w:t>单位工作计划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2.80</w:t>
            </w:r>
          </w:p>
        </w:tc>
        <w:tc>
          <w:tcPr>
            <w:tcW w:w="964" w:type="dxa"/>
            <w:vAlign w:val="center"/>
          </w:tcPr>
          <w:p>
            <w:pPr>
              <w:pStyle w:val="15"/>
            </w:pPr>
            <w:r>
              <w:t>2.80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青龙满族自治县融媒体中心（青龙满族自治县广播电视台）（本级）小计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2.80</w:t>
            </w:r>
          </w:p>
        </w:tc>
        <w:tc>
          <w:tcPr>
            <w:tcW w:w="964" w:type="dxa"/>
            <w:vAlign w:val="center"/>
          </w:tcPr>
          <w:p>
            <w:pPr>
              <w:pStyle w:val="15"/>
            </w:pPr>
            <w:r>
              <w:t>2.80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115.67</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400</w:t>
            </w:r>
          </w:p>
        </w:tc>
        <w:tc>
          <w:tcPr>
            <w:tcW w:w="850" w:type="dxa"/>
            <w:vAlign w:val="center"/>
          </w:tcPr>
          <w:p>
            <w:pPr>
              <w:pStyle w:val="11"/>
            </w:pPr>
            <w:r>
              <w:t>0.00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115.67</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115.67</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0.70</w:t>
            </w:r>
          </w:p>
        </w:tc>
        <w:tc>
          <w:tcPr>
            <w:tcW w:w="964" w:type="dxa"/>
            <w:vAlign w:val="center"/>
          </w:tcPr>
          <w:p>
            <w:pPr>
              <w:pStyle w:val="11"/>
            </w:pPr>
            <w:r>
              <w:t>0.70</w:t>
            </w:r>
          </w:p>
        </w:tc>
        <w:tc>
          <w:tcPr>
            <w:tcW w:w="964" w:type="dxa"/>
            <w:vAlign w:val="center"/>
          </w:tcPr>
          <w:p>
            <w:pPr>
              <w:pStyle w:val="11"/>
            </w:pPr>
            <w:r>
              <w:t>0.70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公用经费一</w:t>
            </w:r>
          </w:p>
        </w:tc>
        <w:tc>
          <w:tcPr>
            <w:tcW w:w="964" w:type="dxa"/>
            <w:vAlign w:val="center"/>
          </w:tcPr>
          <w:p>
            <w:pPr>
              <w:pStyle w:val="11"/>
            </w:pPr>
            <w:r>
              <w:t>115.67</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0.80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bookmarkStart w:id="1" w:name="_GoBack"/>
      <w:bookmarkEnd w:id="1"/>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青龙满族自治县融媒体中心（青龙满族自治县广播电视台）（本级）上年末固定资产金额为1762.99万元（详见下表）。本年度拟购置固定资产总额为0.00万元，已按要求列入政府采购预算，详见政府采购预算表。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998001青龙满族自治县融媒体中心（青龙满族自治县广播电视台）（本级）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1762.99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4826.40</w:t>
            </w:r>
          </w:p>
        </w:tc>
        <w:tc>
          <w:tcPr>
            <w:tcW w:w="2835" w:type="dxa"/>
            <w:vAlign w:val="center"/>
          </w:tcPr>
          <w:p>
            <w:pPr>
              <w:pStyle w:val="11"/>
            </w:pPr>
            <w:r>
              <w:t>617.17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4271.80</w:t>
            </w:r>
          </w:p>
        </w:tc>
        <w:tc>
          <w:tcPr>
            <w:tcW w:w="2835" w:type="dxa"/>
            <w:vAlign w:val="center"/>
          </w:tcPr>
          <w:p>
            <w:pPr>
              <w:pStyle w:val="11"/>
            </w:pPr>
            <w:r>
              <w:t>476.78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45.60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111.50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615</w:t>
            </w:r>
          </w:p>
        </w:tc>
        <w:tc>
          <w:tcPr>
            <w:tcW w:w="2835" w:type="dxa"/>
            <w:vAlign w:val="center"/>
          </w:tcPr>
          <w:p>
            <w:pPr>
              <w:pStyle w:val="11"/>
            </w:pPr>
            <w:r>
              <w:t>988.72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28</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56F60"/>
    <w:multiLevelType w:val="singleLevel"/>
    <w:tmpl w:val="67856F6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252E0"/>
    <w:rsid w:val="165C7AA0"/>
    <w:rsid w:val="1D007699"/>
    <w:rsid w:val="5D4601EE"/>
    <w:rsid w:val="7C2406B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Pages>
  <TotalTime>4</TotalTime>
  <ScaleCrop>false</ScaleCrop>
  <LinksUpToDate>false</LinksUpToDate>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2025-01-23T09:34:00Z</dcterms:created>
  <dc:creator>Administrator</dc:creator>
  <cp:lastModifiedBy>Administrator</cp:lastModifiedBy>
  <dcterms:modified xsi:type="dcterms:W3CDTF">2025-11-20T02:57:13Z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55F021C977614816B3845C1BCAEE3299</vt:lpwstr>
  </property>
</Properties>
</file>